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2A66" w14:textId="77777777" w:rsidR="00DA1814" w:rsidRDefault="00587553">
      <w:pPr>
        <w:rPr>
          <w:rFonts w:ascii="Times New Roman" w:hAnsi="Times New Roman" w:cs="Times New Roman"/>
          <w:b/>
          <w:sz w:val="24"/>
          <w:szCs w:val="24"/>
        </w:rPr>
      </w:pPr>
      <w:r w:rsidRPr="00587553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587553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3C803B62" w14:textId="77777777" w:rsidR="00587553" w:rsidRDefault="000316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B8BC4CE" wp14:editId="0C09D932">
            <wp:extent cx="5741719" cy="233891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29" cy="234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2FE83" w14:textId="77777777" w:rsidR="00CD5A73" w:rsidRDefault="00587553" w:rsidP="00587553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587553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1</w:t>
      </w:r>
      <w:r w:rsidR="00CD5A73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. The levels of Nrf2, </w:t>
      </w:r>
      <w:r w:rsidRPr="00587553">
        <w:rPr>
          <w:rFonts w:ascii="Palatino Linotype" w:eastAsia="SimSun" w:hAnsi="Palatino Linotype" w:cs="Times New Roman"/>
          <w:iCs/>
          <w:color w:val="000000"/>
          <w:sz w:val="18"/>
          <w:szCs w:val="20"/>
          <w:lang w:val="en-US" w:eastAsia="zh-CN"/>
        </w:rPr>
        <w:t>phosphorylated Nrf2</w:t>
      </w:r>
      <w:r w:rsidRPr="00587553">
        <w:rPr>
          <w:rFonts w:ascii="Palatino Linotype" w:eastAsia="SimSun" w:hAnsi="Palatino Linotype" w:cs="Times New Roman"/>
          <w:i/>
          <w:iCs/>
          <w:color w:val="000000"/>
          <w:sz w:val="18"/>
          <w:szCs w:val="20"/>
          <w:lang w:val="en-US" w:eastAsia="zh-CN"/>
        </w:rPr>
        <w:t xml:space="preserve"> </w:t>
      </w:r>
      <w:r w:rsidRPr="00587553">
        <w:rPr>
          <w:rFonts w:ascii="Palatino Linotype" w:eastAsia="SimSun" w:hAnsi="Palatino Linotype" w:cs="Times New Roman"/>
          <w:iCs/>
          <w:color w:val="000000"/>
          <w:sz w:val="18"/>
          <w:szCs w:val="20"/>
          <w:lang w:val="en-US" w:eastAsia="zh-CN"/>
        </w:rPr>
        <w:t>(p-Nrf2)</w:t>
      </w:r>
      <w:r w:rsidRPr="00587553">
        <w:rPr>
          <w:rFonts w:ascii="Palatino Linotype" w:eastAsia="SimSun" w:hAnsi="Palatino Linotype" w:cs="Times New Roman"/>
          <w:i/>
          <w:color w:val="000000"/>
          <w:sz w:val="18"/>
          <w:szCs w:val="20"/>
          <w:lang w:val="en-US" w:eastAsia="zh-CN"/>
        </w:rPr>
        <w:t xml:space="preserve">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and its inhibitor Kelch-like ECH-associated protein 1 (Keap1) as well as </w:t>
      </w:r>
      <w:r w:rsidRPr="00587553">
        <w:rPr>
          <w:rFonts w:ascii="Palatino Linotype" w:eastAsia="SimSun" w:hAnsi="Palatino Linotype" w:cs="Times New Roman"/>
          <w:iCs/>
          <w:color w:val="000000"/>
          <w:sz w:val="18"/>
          <w:szCs w:val="20"/>
          <w:lang w:val="en-US" w:eastAsia="zh-CN"/>
        </w:rPr>
        <w:t>heme oxygenase 1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(HO-1) in the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granulocytes of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patients </w:t>
      </w:r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with </w:t>
      </w:r>
      <w:r w:rsidRPr="00587553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COVID-19, including those who recovered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and </w:t>
      </w:r>
      <w:r w:rsidRPr="00587553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those who deceased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= 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) as well as healthy subjects (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CD5A73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). </w:t>
      </w:r>
      <w:r w:rsidR="00CD5A73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3C9AAE3F" w14:textId="77777777" w:rsidR="00CD5A73" w:rsidRDefault="00CD5A73" w:rsidP="00587553">
      <w:pPr>
        <w:spacing w:after="80" w:line="220" w:lineRule="exact"/>
        <w:jc w:val="both"/>
        <w:rPr>
          <w:rFonts w:ascii="Palatino Linotype" w:eastAsia="SimSun" w:hAnsi="Palatino Linotype" w:cs="Times New Roman"/>
          <w:sz w:val="18"/>
          <w:szCs w:val="20"/>
          <w:lang w:val="en-US" w:eastAsia="zh-CN"/>
        </w:rPr>
      </w:pPr>
    </w:p>
    <w:p w14:paraId="151B8BBE" w14:textId="77777777" w:rsidR="00AB7065" w:rsidRPr="00587553" w:rsidRDefault="00AB7065" w:rsidP="00587553">
      <w:pPr>
        <w:spacing w:after="80" w:line="220" w:lineRule="exact"/>
        <w:jc w:val="both"/>
        <w:rPr>
          <w:rFonts w:ascii="Palatino Linotype" w:eastAsia="SimSun" w:hAnsi="Palatino Linotype" w:cs="Times New Roman"/>
          <w:color w:val="FF0000"/>
          <w:sz w:val="18"/>
          <w:szCs w:val="20"/>
          <w:lang w:val="en-US" w:eastAsia="zh-CN"/>
        </w:rPr>
      </w:pPr>
    </w:p>
    <w:p w14:paraId="5CCCBE3B" w14:textId="77777777" w:rsidR="00587553" w:rsidRDefault="000316BA" w:rsidP="00872E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0DE1C24" wp14:editId="13EA8E23">
            <wp:extent cx="3596640" cy="20180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ABED7" w14:textId="77777777" w:rsidR="00A96D47" w:rsidRDefault="00AB7065" w:rsidP="00A96D47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587553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2</w:t>
      </w:r>
      <w:r w:rsidR="00A96D47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.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The activity of superoxide dismutase (cytosolic - </w:t>
      </w:r>
      <w:proofErr w:type="spellStart"/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Cu,Zn</w:t>
      </w:r>
      <w:proofErr w:type="spellEnd"/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-SOD and mitochondrial - Mn-SOD) in granulocytes of patients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with COVID-19, including those who recovered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) and those who deceased 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= 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) as well as healthy subjects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58755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).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72681D09" w14:textId="77777777" w:rsidR="00587553" w:rsidRDefault="00545839" w:rsidP="00872E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285B8E56" wp14:editId="5B7046DE">
            <wp:extent cx="5777346" cy="231501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05" cy="2316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EE7CB" w14:textId="77777777" w:rsidR="00A96D47" w:rsidRDefault="00AB7065" w:rsidP="00A96D47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AB7065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3</w:t>
      </w:r>
      <w:r w:rsidR="00A96D47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. The level of proteins playing essential role in development of inflammation, such as two family members of nuclear factor kappa-light-chain-enhancer of activated B cells (NFκB p52 and </w:t>
      </w:r>
      <w:bookmarkStart w:id="0" w:name="_Hlk108693295"/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NFκB p65</w:t>
      </w:r>
      <w:bookmarkEnd w:id="0"/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as well as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tumor necrosis factor alpha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(TNF-α), in the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granulocytes of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patients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with COVID-19, including those who recovered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) and those who deceased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= 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) as well as healthy subjects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).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657F2498" w14:textId="77777777" w:rsidR="00AB7065" w:rsidRDefault="00AB7065" w:rsidP="0097526D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ABD0DB" w14:textId="77777777" w:rsidR="00AB7065" w:rsidRDefault="00AB706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784224" w14:textId="77777777" w:rsidR="00AB7065" w:rsidRDefault="00545839" w:rsidP="00872E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D5B9361" wp14:editId="3D31DD2F">
            <wp:extent cx="3602990" cy="20847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E3E17" w14:textId="77777777" w:rsidR="00A96D47" w:rsidRDefault="00AB7065" w:rsidP="00A96D47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AB7065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4</w:t>
      </w:r>
      <w:r w:rsidR="00A96D47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. The level of anti-inflammatory i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nterleukin 10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IL-10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) and pro-inflammatory i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nterleukin 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IL-2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and interleukin 6 (IL-6) in the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granulocytes of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patients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with COVID-19, including those who recovered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) and those who deceased 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= 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as well as healthy subjects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).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72F0B81E" w14:textId="77777777" w:rsidR="00AB7065" w:rsidRDefault="00AB7065" w:rsidP="00A96D47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D446D8" w14:textId="77777777" w:rsidR="00AB7065" w:rsidRDefault="00AB706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AE8E55" w14:textId="77777777" w:rsidR="00AB7065" w:rsidRDefault="005458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3CFF321C" wp14:editId="25323470">
            <wp:extent cx="5830784" cy="220608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82" cy="220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71FC1" w14:textId="77777777" w:rsidR="00A96D47" w:rsidRDefault="00AB7065" w:rsidP="00A96D47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AB7065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5</w:t>
      </w:r>
      <w:r w:rsidR="00A96D47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. The level of pro-inflammatory eicosanoids (A): thromboxane B2 (TXB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and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prostaglandin E2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(PGE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) and  anti-inflammatory eicosanoids (B): 15-deoxy-delta12,14-prostaglandin J2 (</w:t>
      </w:r>
      <w:r w:rsidRPr="00AB7065">
        <w:rPr>
          <w:rFonts w:ascii="Palatino Linotype" w:eastAsia="SimSun" w:hAnsi="Palatino Linotype" w:cs="Times New Roman"/>
          <w:bCs/>
          <w:iCs/>
          <w:color w:val="000000"/>
          <w:sz w:val="18"/>
          <w:szCs w:val="20"/>
          <w:lang w:val="en-US" w:eastAsia="zh-CN"/>
        </w:rPr>
        <w:t>15d-PGJ2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and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5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-hydroxyeicosatetraenoic acid (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5-HETE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) in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the granulocytes of 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patients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with COVID-19, including those who recovered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) and those who deceased 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= 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 xml:space="preserve">)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 w:bidi="en-US"/>
        </w:rPr>
        <w:t xml:space="preserve">as well as healthy subjects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>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/>
        </w:rPr>
        <w:t xml:space="preserve">).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44AA16E4" w14:textId="77777777" w:rsidR="00AB7065" w:rsidRDefault="00AB7065" w:rsidP="00A96D47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3CF242" w14:textId="77777777" w:rsidR="00AB7065" w:rsidRDefault="0054583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212857B" wp14:editId="6B977C86">
            <wp:extent cx="5747657" cy="216996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98" cy="2169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6A81D" w14:textId="77777777" w:rsidR="00A96D47" w:rsidRDefault="00AB7065" w:rsidP="00A96D47">
      <w:pPr>
        <w:spacing w:after="80" w:line="220" w:lineRule="exact"/>
        <w:jc w:val="both"/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</w:pPr>
      <w:r w:rsidRPr="00AB7065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Figure 6</w:t>
      </w:r>
      <w:r w:rsidR="00A96D47">
        <w:rPr>
          <w:rFonts w:ascii="Palatino Linotype" w:eastAsia="SimSun" w:hAnsi="Palatino Linotype" w:cs="Times New Roman"/>
          <w:b/>
          <w:color w:val="000000"/>
          <w:sz w:val="18"/>
          <w:szCs w:val="20"/>
          <w:lang w:val="en-US" w:eastAsia="zh-CN"/>
        </w:rPr>
        <w:t>A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. The level of receptors involved in oxidative and inflammatory reactions 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of granulocytes from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>patients</w:t>
      </w:r>
      <w:r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divided into  female and man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 w:bidi="en-US"/>
        </w:rPr>
        <w:t xml:space="preserve"> 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 w:bidi="en-US"/>
        </w:rPr>
        <w:t>with COVID-19, including those who recovered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=9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 w:bidi="en-US"/>
        </w:rPr>
        <w:t>) and those who deceased 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8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 w:bidi="en-US"/>
        </w:rPr>
        <w:t>) as well as healthy subjects (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F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7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 and </w:t>
      </w:r>
      <w:proofErr w:type="spellStart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n</w:t>
      </w:r>
      <w:r w:rsidR="00A96D47" w:rsidRPr="002C56D4">
        <w:rPr>
          <w:rFonts w:ascii="Palatino Linotype" w:eastAsia="SimSun" w:hAnsi="Palatino Linotype" w:cs="Times New Roman"/>
          <w:color w:val="000000"/>
          <w:sz w:val="18"/>
          <w:szCs w:val="20"/>
          <w:vertAlign w:val="subscript"/>
          <w:lang w:val="en-US" w:eastAsia="zh-CN"/>
        </w:rPr>
        <w:t>M</w:t>
      </w:r>
      <w:proofErr w:type="spellEnd"/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=</w:t>
      </w:r>
      <w:r w:rsidR="00FC39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9</w:t>
      </w:r>
      <w:r w:rsidRPr="00AB7065">
        <w:rPr>
          <w:rFonts w:ascii="Palatino Linotype" w:eastAsia="SimSun" w:hAnsi="Palatino Linotype" w:cs="Times New Roman"/>
          <w:bCs/>
          <w:color w:val="000000"/>
          <w:sz w:val="18"/>
          <w:szCs w:val="20"/>
          <w:lang w:val="en-US" w:eastAsia="zh-CN" w:bidi="en-US"/>
        </w:rPr>
        <w:t xml:space="preserve">). </w:t>
      </w:r>
      <w:r w:rsidRPr="00AB7065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 xml:space="preserve">CB1 and CB2 - cannabinoid receptors 1 and 2; TRPV1 - the transient receptor potential cation channel subfamily V member 1; PPARγ - peroxisome proliferator-activated receptor gamma. </w:t>
      </w:r>
      <w:r w:rsidR="00A96D47" w:rsidRPr="00CD5A73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Data points represent the mean ± SD; b – significant differences in relation to healthy people (among women (hatched bars)/men (dotted bars), p &lt; 0.05; c – significant differences in relation to recovered people with COVID-19 (female/man), p &lt; 0.05; z – significant differences between females and males in group of healthy people, patients with COVID-19 recovered and patients w</w:t>
      </w:r>
      <w:r w:rsidR="00A96D47">
        <w:rPr>
          <w:rFonts w:ascii="Palatino Linotype" w:eastAsia="SimSun" w:hAnsi="Palatino Linotype" w:cs="Times New Roman"/>
          <w:color w:val="000000"/>
          <w:sz w:val="18"/>
          <w:szCs w:val="20"/>
          <w:lang w:val="en-US" w:eastAsia="zh-CN"/>
        </w:rPr>
        <w:t>ith COVID-19 deceased, p &lt; 0.05.</w:t>
      </w:r>
    </w:p>
    <w:p w14:paraId="3B0C4E15" w14:textId="77777777" w:rsidR="00C42D90" w:rsidRDefault="00C42D90" w:rsidP="00587553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1C4488" w14:textId="77777777" w:rsidR="00C42D90" w:rsidRDefault="00C42D90" w:rsidP="00587553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7E0B7E" w14:textId="77777777" w:rsidR="00C42D90" w:rsidRPr="00587553" w:rsidRDefault="00C42D90" w:rsidP="00587553">
      <w:pPr>
        <w:spacing w:after="8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C42D90" w:rsidRPr="00587553" w:rsidSect="00C42D90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9299" w14:textId="77777777" w:rsidR="00215A1F" w:rsidRDefault="00215A1F" w:rsidP="00D0225A">
      <w:pPr>
        <w:spacing w:after="0" w:line="240" w:lineRule="auto"/>
      </w:pPr>
      <w:r>
        <w:separator/>
      </w:r>
    </w:p>
  </w:endnote>
  <w:endnote w:type="continuationSeparator" w:id="0">
    <w:p w14:paraId="38478876" w14:textId="77777777" w:rsidR="00215A1F" w:rsidRDefault="00215A1F" w:rsidP="00D0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150026"/>
      <w:docPartObj>
        <w:docPartGallery w:val="Page Numbers (Bottom of Page)"/>
        <w:docPartUnique/>
      </w:docPartObj>
    </w:sdtPr>
    <w:sdtContent>
      <w:p w14:paraId="63576C1E" w14:textId="77777777" w:rsidR="00D0225A" w:rsidRDefault="00D0225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9D">
          <w:rPr>
            <w:noProof/>
          </w:rPr>
          <w:t>1</w:t>
        </w:r>
        <w:r>
          <w:fldChar w:fldCharType="end"/>
        </w:r>
      </w:p>
    </w:sdtContent>
  </w:sdt>
  <w:p w14:paraId="2BDBAD17" w14:textId="77777777" w:rsidR="00D0225A" w:rsidRDefault="00D022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C42C" w14:textId="77777777" w:rsidR="00215A1F" w:rsidRDefault="00215A1F" w:rsidP="00D0225A">
      <w:pPr>
        <w:spacing w:after="0" w:line="240" w:lineRule="auto"/>
      </w:pPr>
      <w:r>
        <w:separator/>
      </w:r>
    </w:p>
  </w:footnote>
  <w:footnote w:type="continuationSeparator" w:id="0">
    <w:p w14:paraId="719CB31D" w14:textId="77777777" w:rsidR="00215A1F" w:rsidRDefault="00215A1F" w:rsidP="00D02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53"/>
    <w:rsid w:val="000316BA"/>
    <w:rsid w:val="00215A1F"/>
    <w:rsid w:val="002C56D4"/>
    <w:rsid w:val="00545839"/>
    <w:rsid w:val="00587553"/>
    <w:rsid w:val="00872E71"/>
    <w:rsid w:val="0090357D"/>
    <w:rsid w:val="0097526D"/>
    <w:rsid w:val="00A22B9D"/>
    <w:rsid w:val="00A96D47"/>
    <w:rsid w:val="00AB7065"/>
    <w:rsid w:val="00BB0155"/>
    <w:rsid w:val="00BD491B"/>
    <w:rsid w:val="00C42D90"/>
    <w:rsid w:val="00CD5A73"/>
    <w:rsid w:val="00D0225A"/>
    <w:rsid w:val="00DA181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32EC"/>
  <w15:docId w15:val="{32FC023E-F07E-4128-A5BD-3D08767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5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0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25A"/>
  </w:style>
  <w:style w:type="paragraph" w:styleId="Podnoje">
    <w:name w:val="footer"/>
    <w:basedOn w:val="Normal"/>
    <w:link w:val="PodnojeChar"/>
    <w:uiPriority w:val="99"/>
    <w:unhideWhenUsed/>
    <w:rsid w:val="00D0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Neven Zarkovic</cp:lastModifiedBy>
  <cp:revision>2</cp:revision>
  <dcterms:created xsi:type="dcterms:W3CDTF">2022-08-30T12:20:00Z</dcterms:created>
  <dcterms:modified xsi:type="dcterms:W3CDTF">2022-08-30T12:20:00Z</dcterms:modified>
</cp:coreProperties>
</file>