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2D3D" w14:textId="77777777" w:rsidR="002A47DE" w:rsidRDefault="002A47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10206" w:type="dxa"/>
        <w:tblInd w:w="-567" w:type="dxa"/>
        <w:tblLayout w:type="fixed"/>
        <w:tblLook w:val="0400" w:firstRow="0" w:lastRow="0" w:firstColumn="0" w:lastColumn="0" w:noHBand="0" w:noVBand="1"/>
      </w:tblPr>
      <w:tblGrid>
        <w:gridCol w:w="1843"/>
        <w:gridCol w:w="1418"/>
        <w:gridCol w:w="2976"/>
        <w:gridCol w:w="3969"/>
      </w:tblGrid>
      <w:tr w:rsidR="009761D1" w14:paraId="45229BD7" w14:textId="77777777" w:rsidTr="001018CC">
        <w:trPr>
          <w:trHeight w:val="50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3820" w14:textId="643869F4" w:rsidR="009761D1" w:rsidRPr="00312CCA" w:rsidRDefault="009761D1" w:rsidP="009761D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21F5" w14:textId="63C93B89" w:rsidR="009761D1" w:rsidRPr="00C84509" w:rsidRDefault="009761D1" w:rsidP="00976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3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C84509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Number of sequences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7112" w14:textId="3CC04381" w:rsidR="009761D1" w:rsidRPr="00C84509" w:rsidRDefault="009761D1" w:rsidP="00976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C84509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Population and group identified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9ACF" w14:textId="77777777" w:rsidR="009761D1" w:rsidRDefault="009761D1" w:rsidP="009761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4E21FC" w14:paraId="66A1FC1B" w14:textId="77777777" w:rsidTr="001018CC">
        <w:trPr>
          <w:trHeight w:val="50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EC7D8" w14:textId="77777777" w:rsidR="004E21FC" w:rsidRPr="00312CCA" w:rsidRDefault="004E21FC" w:rsidP="004E21F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97FE" w14:textId="5AEDFC2B" w:rsidR="004E21FC" w:rsidRPr="00C84509" w:rsidRDefault="004E21FC" w:rsidP="004E2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3"/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9761D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F1C2" w14:textId="77777777" w:rsidR="004E21FC" w:rsidRPr="009761D1" w:rsidRDefault="004E21FC" w:rsidP="004E21FC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  <w:p w14:paraId="6E1A8E25" w14:textId="77777777" w:rsidR="004E21FC" w:rsidRPr="009761D1" w:rsidRDefault="004E21FC" w:rsidP="004E21F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9761D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Italian</w:t>
            </w:r>
          </w:p>
          <w:p w14:paraId="3C049BAD" w14:textId="0E276365" w:rsidR="004E21FC" w:rsidRPr="006F4463" w:rsidRDefault="004E21FC" w:rsidP="006F4463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highlight w:val="white"/>
              </w:rPr>
            </w:pPr>
            <w:r w:rsidRPr="009761D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highlight w:val="white"/>
              </w:rPr>
              <w:t>T2D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22BA" w14:textId="51440A43" w:rsidR="004E21FC" w:rsidRDefault="004E21FC" w:rsidP="004E21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1FC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Achilli, A., et al. (2011). </w:t>
            </w:r>
            <w:r w:rsidRPr="009761D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Mitochondrial DNA backgrounds might modulate diabetes complications rather than T2DM as a whole. PloS one, 6(6), e21029. </w:t>
            </w:r>
            <w:hyperlink r:id="rId6">
              <w:r w:rsidRPr="009761D1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.1,</w:t>
              </w:r>
              <w:r w:rsidRPr="009761D1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371/journal.pone.0021029</w:t>
              </w:r>
            </w:hyperlink>
          </w:p>
        </w:tc>
      </w:tr>
      <w:tr w:rsidR="004E21FC" w14:paraId="43DF101C" w14:textId="77777777" w:rsidTr="001018CC">
        <w:trPr>
          <w:trHeight w:val="50"/>
        </w:trPr>
        <w:tc>
          <w:tcPr>
            <w:tcW w:w="1020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3C" w14:textId="77777777" w:rsidR="004E21FC" w:rsidRDefault="004E21FC" w:rsidP="004E21FC">
            <w:pPr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</w:pPr>
          </w:p>
          <w:p w14:paraId="6E33F509" w14:textId="11359B5E" w:rsidR="004E21FC" w:rsidRPr="00312CCA" w:rsidRDefault="004E21FC" w:rsidP="004E21FC">
            <w:pPr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.1</w:t>
            </w:r>
            <w:r w:rsidR="00D619AB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JF717355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.1</w:t>
            </w:r>
            <w:r w:rsidR="00D619AB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  <w:t>.</w:t>
            </w:r>
          </w:p>
          <w:p w14:paraId="68F6170C" w14:textId="77777777" w:rsidR="004E21FC" w:rsidRPr="004E21FC" w:rsidRDefault="004E21FC" w:rsidP="004E21F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tr w:rsidR="004E21FC" w14:paraId="5332CE47" w14:textId="77777777" w:rsidTr="001018CC">
        <w:trPr>
          <w:trHeight w:val="50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5993" w14:textId="77777777" w:rsidR="004E21FC" w:rsidRPr="00312CCA" w:rsidRDefault="004E21FC" w:rsidP="004E21F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25C2" w14:textId="6AFCF8C2" w:rsidR="004E21FC" w:rsidRPr="009761D1" w:rsidRDefault="004E21FC" w:rsidP="004E2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3"/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1FBE" w14:textId="77777777" w:rsidR="004E21FC" w:rsidRPr="00CE7374" w:rsidRDefault="004E21FC" w:rsidP="004E21F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Finnish</w:t>
            </w:r>
          </w:p>
          <w:p w14:paraId="022E79D8" w14:textId="77777777" w:rsidR="004E21FC" w:rsidRPr="00CE7374" w:rsidRDefault="004E21FC" w:rsidP="004E21F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T2D</w:t>
            </w:r>
          </w:p>
          <w:p w14:paraId="765C56A5" w14:textId="77777777" w:rsidR="004E21FC" w:rsidRPr="009761D1" w:rsidRDefault="004E21FC" w:rsidP="004E21FC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E99B" w14:textId="55D4BC15" w:rsidR="004E21FC" w:rsidRPr="004E21FC" w:rsidRDefault="004E21FC" w:rsidP="004E21F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Soini, H. K., Moilanen, J. S., Finnila, S., &amp; Majamaa, K. (2012). Mitochondrial DNA sequence variation in Finnish patients with matrilineal diabetes mellitus. BMC research notes, 5, 350. </w:t>
            </w:r>
            <w:hyperlink r:id="rId7">
              <w:r w:rsidRPr="00CE7374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.1,</w:t>
              </w:r>
              <w:r w:rsidRPr="00CE7374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186/1756-0500-5-350</w:t>
              </w:r>
            </w:hyperlink>
          </w:p>
        </w:tc>
      </w:tr>
      <w:tr w:rsidR="000B411E" w14:paraId="7757189F" w14:textId="77777777" w:rsidTr="001018CC">
        <w:trPr>
          <w:trHeight w:val="50"/>
        </w:trPr>
        <w:tc>
          <w:tcPr>
            <w:tcW w:w="1020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CC91" w14:textId="77777777" w:rsidR="000B411E" w:rsidRPr="00CE7374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JX171130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J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X171109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JX171100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JX171090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JX171079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and </w:t>
            </w:r>
          </w:p>
          <w:p w14:paraId="7B36CBC9" w14:textId="77777777" w:rsidR="000B411E" w:rsidRPr="00D619AB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JX171077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.1.</w:t>
            </w:r>
          </w:p>
          <w:p w14:paraId="05A3C8B2" w14:textId="77777777" w:rsidR="000B411E" w:rsidRPr="00CE7374" w:rsidRDefault="000B411E" w:rsidP="004E21F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tr w:rsidR="000B411E" w14:paraId="252292A4" w14:textId="77777777" w:rsidTr="001018CC">
        <w:trPr>
          <w:trHeight w:val="50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3EE6" w14:textId="77777777" w:rsidR="000B411E" w:rsidRPr="00312CCA" w:rsidRDefault="000B411E" w:rsidP="000B41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C0B2" w14:textId="065538F4" w:rsidR="000B411E" w:rsidRPr="006F4463" w:rsidRDefault="000B411E" w:rsidP="006F4463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 w:rsidRPr="006F4463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96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8F13" w14:textId="77777777" w:rsidR="000B411E" w:rsidRPr="006F4463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 w:rsidRPr="006F4463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Japanese</w:t>
            </w:r>
          </w:p>
          <w:p w14:paraId="5E4A168C" w14:textId="3D31054D" w:rsidR="000B411E" w:rsidRPr="006F4463" w:rsidRDefault="000B411E" w:rsidP="006F4463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 w:rsidRPr="006F4463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T2</w:t>
            </w:r>
            <w:r w:rsidR="006F4463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D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F2CD" w14:textId="5B9DF9BC" w:rsidR="000B411E" w:rsidRPr="006F4463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6F4463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Tanaka </w:t>
            </w:r>
            <w:r w:rsidRPr="006F4463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>et al.</w:t>
            </w:r>
            <w:r w:rsidRPr="006F4463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(2004). Mitochondrial genome variation in eastern Asia and the peopling of Japan. Genome research, 14(10A), 1832–1850. </w:t>
            </w:r>
            <w:hyperlink r:id="rId8">
              <w:r w:rsidRPr="006F4463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https://doi.org/10.1,101/gr.2286304</w:t>
              </w:r>
            </w:hyperlink>
          </w:p>
        </w:tc>
      </w:tr>
      <w:tr w:rsidR="000B411E" w14:paraId="63AAD647" w14:textId="77777777" w:rsidTr="001018CC">
        <w:trPr>
          <w:trHeight w:val="50"/>
        </w:trPr>
        <w:tc>
          <w:tcPr>
            <w:tcW w:w="1020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8806" w14:textId="77777777" w:rsidR="000B411E" w:rsidRPr="00312CCA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AP008821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AP008800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AP008790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A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P008776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AP008770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 A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P008767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AP008760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AP008730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and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AP008729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.1.</w:t>
            </w:r>
          </w:p>
          <w:p w14:paraId="0217BC98" w14:textId="77777777" w:rsidR="000B411E" w:rsidRPr="00CE7374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tr w:rsidR="000B411E" w14:paraId="52EDFD2C" w14:textId="77777777" w:rsidTr="001018CC">
        <w:trPr>
          <w:trHeight w:val="50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0A75" w14:textId="77777777" w:rsidR="000B411E" w:rsidRPr="00312CCA" w:rsidRDefault="000B411E" w:rsidP="000B41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F6EF" w14:textId="054A4AE2" w:rsidR="000B411E" w:rsidRPr="006F4463" w:rsidRDefault="000B411E" w:rsidP="006F4463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33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5F8C" w14:textId="77777777" w:rsidR="000B411E" w:rsidRPr="00942D2D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 w:rsidRPr="00942D2D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Japanese</w:t>
            </w:r>
          </w:p>
          <w:p w14:paraId="6B60ECCA" w14:textId="1CA51CB0" w:rsidR="000B411E" w:rsidRPr="006F4463" w:rsidRDefault="000B411E" w:rsidP="006F4463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  <w:t>controls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E38B" w14:textId="243A978F" w:rsidR="000B411E" w:rsidRPr="00CE7374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942D2D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Tanaka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942D2D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942D2D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(2004). Mitochondrial genome variation in eastern Asia and the peopling of Japan. Genome research, 14(10A), 1832–1850. </w:t>
            </w:r>
            <w:hyperlink r:id="rId9">
              <w:r w:rsidRPr="00942D2D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.1,</w:t>
              </w:r>
              <w:r w:rsidRPr="00942D2D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101/gr.2286304</w:t>
              </w:r>
            </w:hyperlink>
          </w:p>
        </w:tc>
      </w:tr>
      <w:tr w:rsidR="000B411E" w14:paraId="309BB964" w14:textId="77777777" w:rsidTr="001018CC">
        <w:tc>
          <w:tcPr>
            <w:tcW w:w="10206" w:type="dxa"/>
            <w:gridSpan w:val="4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6BE9" w14:textId="6F07A723" w:rsidR="000B411E" w:rsidRPr="00312CCA" w:rsidRDefault="000B411E" w:rsidP="006F446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AP008632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A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P008631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AP008630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A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P008627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AP008600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and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AP008599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6F446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98FE6F2" w14:textId="6FB21E73" w:rsidR="000B411E" w:rsidRPr="009761D1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411E" w14:paraId="3347F1F1" w14:textId="77777777" w:rsidTr="001018CC">
        <w:tc>
          <w:tcPr>
            <w:tcW w:w="10206" w:type="dxa"/>
            <w:gridSpan w:val="4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378E" w14:textId="77777777" w:rsidR="000B411E" w:rsidRDefault="000B411E" w:rsidP="000B411E">
            <w:pPr>
              <w:jc w:val="both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</w:pPr>
          </w:p>
        </w:tc>
      </w:tr>
      <w:tr w:rsidR="000B411E" w14:paraId="7F4BFA94" w14:textId="77777777" w:rsidTr="00F6491B"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38B2" w14:textId="77777777" w:rsidR="000B411E" w:rsidRPr="00312CCA" w:rsidRDefault="000B411E" w:rsidP="000B411E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73E5F" w14:textId="77777777" w:rsidR="000B411E" w:rsidRPr="00942D2D" w:rsidRDefault="000B411E" w:rsidP="000B4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94C9" w14:textId="3309B557" w:rsidR="000B411E" w:rsidRPr="00942D2D" w:rsidRDefault="000B411E" w:rsidP="000B4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A76D" w14:textId="24407385" w:rsidR="000B411E" w:rsidRPr="00942D2D" w:rsidRDefault="000B411E" w:rsidP="000B41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411E" w14:paraId="6D22B2CB" w14:textId="77777777" w:rsidTr="00F6491B">
        <w:trPr>
          <w:trHeight w:val="1280"/>
        </w:trPr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EBD6" w14:textId="77777777" w:rsidR="000B411E" w:rsidRPr="00312CCA" w:rsidRDefault="000B411E" w:rsidP="000B411E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  <w:p w14:paraId="69D43FA5" w14:textId="77777777" w:rsidR="000B411E" w:rsidRPr="00312CCA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7EA7" w14:textId="77777777" w:rsidR="000B411E" w:rsidRPr="00942D2D" w:rsidRDefault="000B411E" w:rsidP="000B411E">
            <w:pP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7ABF" w14:textId="77777777" w:rsidR="000B411E" w:rsidRPr="00942D2D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E66D" w14:textId="055C5F6D" w:rsidR="000B411E" w:rsidRPr="00942D2D" w:rsidRDefault="000B411E" w:rsidP="000B411E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tr w:rsidR="000B411E" w14:paraId="3C2FE930" w14:textId="77777777" w:rsidTr="00F6491B">
        <w:trPr>
          <w:trHeight w:val="1125"/>
        </w:trPr>
        <w:tc>
          <w:tcPr>
            <w:tcW w:w="184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F7AF" w14:textId="77777777" w:rsidR="000B411E" w:rsidRPr="00312CCA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  <w:p w14:paraId="2E5028DF" w14:textId="6CB75D9C" w:rsidR="000B411E" w:rsidRPr="00312CCA" w:rsidRDefault="000B411E" w:rsidP="000B411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7BD8" w14:textId="30B884EF" w:rsidR="000B411E" w:rsidRPr="00281F49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81F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BE77" w14:textId="156FAC4E" w:rsidR="000B411E" w:rsidRPr="00281F49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281F49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Taiwanese</w:t>
            </w:r>
          </w:p>
          <w:p w14:paraId="7831F457" w14:textId="661EF238" w:rsidR="000B411E" w:rsidRPr="00281F49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281F49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T2D</w:t>
            </w:r>
          </w:p>
          <w:p w14:paraId="0D20D28E" w14:textId="5C3065A8" w:rsidR="000B411E" w:rsidRPr="00281F49" w:rsidRDefault="000B411E" w:rsidP="000B4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5732" w14:textId="4AFDBEB3" w:rsidR="000B411E" w:rsidRPr="00281F49" w:rsidRDefault="000B411E" w:rsidP="000B41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F49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Loo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281F49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 xml:space="preserve">et al. </w:t>
            </w:r>
            <w:r w:rsidRPr="00281F49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(2014). Mitochondrial DNA association study of type 2 diabetes with or without ischemic stroke in Taiwan. BMC research notes, 7, 223. </w:t>
            </w:r>
            <w:hyperlink r:id="rId10">
              <w:r w:rsidRPr="00281F49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.1,</w:t>
              </w:r>
              <w:r w:rsidRPr="00281F49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186/1756-0500-7-223</w:t>
              </w:r>
            </w:hyperlink>
          </w:p>
        </w:tc>
      </w:tr>
      <w:tr w:rsidR="006F4463" w14:paraId="4B2F8725" w14:textId="77777777" w:rsidTr="00C71178"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91A8" w14:textId="5AF2671B" w:rsidR="006F4463" w:rsidRDefault="006F4463" w:rsidP="006F446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C252419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KC252429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KC252439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KC252449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KC252459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KC252469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KC252479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KC252481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KC252482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and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KC252483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.1.</w:t>
            </w:r>
          </w:p>
          <w:p w14:paraId="2A74500B" w14:textId="746A66B1" w:rsidR="006F4463" w:rsidRPr="00281F49" w:rsidRDefault="006F4463" w:rsidP="006F4463">
            <w:pPr>
              <w:spacing w:line="276" w:lineRule="auto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tr w:rsidR="000B411E" w14:paraId="7A8F91E5" w14:textId="77777777" w:rsidTr="00C71178">
        <w:trPr>
          <w:trHeight w:val="108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9EFC" w14:textId="77777777" w:rsidR="000B411E" w:rsidRPr="00312CCA" w:rsidRDefault="000B411E" w:rsidP="006F446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0269" w14:textId="528C9233" w:rsidR="000B411E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281F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3DC5" w14:textId="77777777" w:rsidR="000B411E" w:rsidRPr="00281F49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281F49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Taiwanese</w:t>
            </w:r>
          </w:p>
          <w:p w14:paraId="0C736EDC" w14:textId="2DCBD4C3" w:rsidR="000B411E" w:rsidRPr="00281F49" w:rsidRDefault="000B411E" w:rsidP="000B4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controls</w:t>
            </w:r>
          </w:p>
          <w:p w14:paraId="3B4D6052" w14:textId="77777777" w:rsidR="000B411E" w:rsidRDefault="000B411E" w:rsidP="000B411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EC07" w14:textId="4067D07F" w:rsidR="000B411E" w:rsidRDefault="000B411E" w:rsidP="000B411E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281F49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Loo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281F49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 xml:space="preserve">et al. </w:t>
            </w:r>
            <w:r w:rsidRPr="00281F49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(2014). Mitochondrial DNA association study of type 2 diabetes with or without ischemic stroke in Taiwan. BMC research notes, 7, 223. </w:t>
            </w:r>
            <w:hyperlink r:id="rId11">
              <w:r w:rsidRPr="00281F49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.1,</w:t>
              </w:r>
              <w:r w:rsidRPr="00281F49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186/1756-0500-7-223</w:t>
              </w:r>
            </w:hyperlink>
          </w:p>
        </w:tc>
      </w:tr>
      <w:tr w:rsidR="006F4463" w14:paraId="196383AB" w14:textId="77777777" w:rsidTr="00C71178">
        <w:trPr>
          <w:trHeight w:val="2609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2482" w14:textId="148C4423" w:rsidR="006F4463" w:rsidRPr="00281F49" w:rsidRDefault="006F4463" w:rsidP="001018CC">
            <w:pPr>
              <w:spacing w:line="276" w:lineRule="auto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KC252336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KC252337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KC252338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KC252339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C252343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KC252349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KC252358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C252359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C252362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C252367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KC252369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7625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C252376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3651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C252379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3651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KC252389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C252390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C252394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C252395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KC252399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.1,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and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KC252407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1018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65161" w14:paraId="3DA53DCD" w14:textId="77777777" w:rsidTr="00365161">
        <w:trPr>
          <w:trHeight w:val="2136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77D7" w14:textId="77777777" w:rsidR="00365161" w:rsidRPr="00312CCA" w:rsidRDefault="00365161" w:rsidP="0036516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5F3B" w14:textId="1968B704" w:rsidR="00365161" w:rsidRPr="00365161" w:rsidRDefault="00365161" w:rsidP="00365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5161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D6EA" w14:textId="77777777" w:rsidR="00365161" w:rsidRPr="00365161" w:rsidRDefault="00365161" w:rsidP="00365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365161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Danish</w:t>
            </w:r>
          </w:p>
          <w:p w14:paraId="35DEAD45" w14:textId="77777777" w:rsidR="00365161" w:rsidRPr="00365161" w:rsidRDefault="00365161" w:rsidP="00365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365161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T2D</w:t>
            </w:r>
          </w:p>
          <w:p w14:paraId="5AC11207" w14:textId="77777777" w:rsidR="00365161" w:rsidRPr="00365161" w:rsidRDefault="00365161" w:rsidP="00365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8E34" w14:textId="3AA9F6E0" w:rsidR="00365161" w:rsidRPr="00365161" w:rsidRDefault="00365161" w:rsidP="00365161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36516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Li </w:t>
            </w:r>
            <w:r w:rsidRPr="00365161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>et al.</w:t>
            </w:r>
            <w:r w:rsidRPr="0036516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(2014). Variation and association to diabetes in 2000 full mtDNA sequences mined from an exome study in a Danish population. European journal of human genetics 22(8), 1040–1045. </w:t>
            </w:r>
            <w:hyperlink r:id="rId12">
              <w:r w:rsidRPr="00365161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https://doi.org/10.1,038/ejhg.2013.282</w:t>
              </w:r>
            </w:hyperlink>
          </w:p>
        </w:tc>
      </w:tr>
      <w:tr w:rsidR="00365161" w14:paraId="403CA426" w14:textId="77777777" w:rsidTr="00C71178">
        <w:trPr>
          <w:trHeight w:val="2121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6FCA" w14:textId="77777777" w:rsidR="00365161" w:rsidRPr="00312CCA" w:rsidRDefault="00365161" w:rsidP="0036516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6758563" w14:textId="314DEF29" w:rsidR="00365161" w:rsidRPr="00312CCA" w:rsidRDefault="00365161" w:rsidP="0036516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KF161069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,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KF161079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F161087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KF161089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F161090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KF161099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KF161109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F161116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F161117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KF161119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KF161125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KF161126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KF161127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KF161128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KF161129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KF161130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KF161131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KF161132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KF161133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KF161134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93C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KF161139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KF161149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KF161159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KF161169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KF161179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KF161189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KF161199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KF161209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KF161211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KF161212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KF161213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KF161214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KF161215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KF161216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,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KF161217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KF161218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KF161219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KF161220</w:t>
            </w:r>
            <w:r w:rsidR="00701A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KF161221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KF161222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KF161223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KF161224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KF161225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KF161226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KF161227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KF161228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KF161229</w:t>
            </w:r>
            <w:r w:rsidR="00BB11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KF161239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KF161249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KF161259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KF161269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KF161279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KF161289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KF161291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KF161299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KF161309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KF161319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KF161329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KF161339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KF161349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KF161359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KF161369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KF161379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KF161389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KF161399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KF161409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KF161419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KF161429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KF161435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KF161437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KF161438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KF161439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KF161440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KF161441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KF161442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KF161443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KF161444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KF161446</w:t>
            </w:r>
            <w:r w:rsidR="002458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KF161449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KF161459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KF161468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F161469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KF161470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KF161471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KF161478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KF161483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KF161486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KF161487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KF161494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KF161500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KF161505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KF161507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KF161654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KF161683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KF161715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KF161724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KF161735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KF161738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KF161761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KF161786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KF161802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KF161840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KF161859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KF161879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KF161896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KF161903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KF161929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KF161939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KF161945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KF161949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KF161950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KF161951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KF161952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KF161953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KF161954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KF161962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KF161963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KF161966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KF161967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KF161968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KF161969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KF161970</w:t>
            </w:r>
            <w:r w:rsidR="00E315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KF161979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KF161997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KF162007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KF162019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KF162029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KF162043</w:t>
            </w:r>
            <w:r w:rsidR="002445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KF162058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KF162064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KF162068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KF162091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KF162099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KF162100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KF162150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KF162195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KF162209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KF162210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KF162212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KF162214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KF162219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KF162227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KF162229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KF162249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KF162259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KF162269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KF162277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KF162279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KF162291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F162293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KF162299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KF162309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KF162319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KF162329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KF162343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KF162349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KF162359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KF162369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KF162379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KF162399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KF162409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F162417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KF162419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KF162428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KF162429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KF162445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KF162449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KF162459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KF162463</w:t>
            </w:r>
            <w:r w:rsidR="00C711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KF162469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KF162479</w:t>
            </w:r>
            <w:r w:rsidR="00C711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KF162499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KF162503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KF162509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KF162519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KF162524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KF162529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KF162534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KF162549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120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KF162557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KF162559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KF162569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KF162570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KF162572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KF162576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KF162579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KF162599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KF162636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KF162664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KF162684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KF162722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KF162728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KF162755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KF162757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KF162786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KF162821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KF162830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KF162962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KF162989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KF163039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KF163048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KF163049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KF163050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KF163051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KF163052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KF163053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KF163054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KF163055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KF163056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KF163057</w:t>
            </w:r>
            <w:r w:rsidR="00C452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KF163058</w:t>
            </w:r>
            <w:r w:rsidR="00F649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and</w:t>
            </w:r>
            <w:r w:rsidR="00970B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KF163059</w:t>
            </w:r>
            <w:r w:rsidR="00F649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11CFDAD" w14:textId="77777777" w:rsidR="00365161" w:rsidRDefault="00365161" w:rsidP="003651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91B" w14:paraId="361D0F74" w14:textId="77777777" w:rsidTr="005B7654">
        <w:trPr>
          <w:trHeight w:val="421"/>
        </w:trPr>
        <w:tc>
          <w:tcPr>
            <w:tcW w:w="1843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A1B7" w14:textId="1A3C41A6" w:rsidR="00F6491B" w:rsidRPr="00312CCA" w:rsidRDefault="00F6491B" w:rsidP="00F6491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CC11" w14:textId="540F9619" w:rsidR="00F6491B" w:rsidRDefault="00F6491B" w:rsidP="00F64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161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1FE9" w14:textId="77777777" w:rsidR="00F6491B" w:rsidRPr="00365161" w:rsidRDefault="00F6491B" w:rsidP="00F64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365161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Danish</w:t>
            </w:r>
          </w:p>
          <w:p w14:paraId="541B1DE3" w14:textId="2A249E7C" w:rsidR="00F6491B" w:rsidRPr="00365161" w:rsidRDefault="00F6491B" w:rsidP="00F64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Controls</w:t>
            </w:r>
          </w:p>
          <w:p w14:paraId="05D88BE9" w14:textId="34E53AB9" w:rsidR="00F6491B" w:rsidRDefault="00F6491B" w:rsidP="00F6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1421" w14:textId="2F566B34" w:rsidR="00F6491B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16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Li </w:t>
            </w:r>
            <w:r w:rsidRPr="00365161">
              <w:rPr>
                <w:rFonts w:ascii="Times New Roman" w:eastAsia="Times New Roman" w:hAnsi="Times New Roman" w:cs="Times New Roman"/>
                <w:i/>
                <w:iCs/>
                <w:color w:val="212121"/>
                <w:sz w:val="20"/>
                <w:szCs w:val="20"/>
              </w:rPr>
              <w:t>et al.</w:t>
            </w:r>
            <w:r w:rsidRPr="0036516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(2014). Variation and association to diabetes in 2000 full mtDNA sequences mined from an exome study in a Danish population. European journal of human genetics 22(8), 1040–1045. </w:t>
            </w:r>
            <w:hyperlink r:id="rId13">
              <w:r w:rsidRPr="00365161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https://doi.org/10.1,038/ejhg.2013.282</w:t>
              </w:r>
            </w:hyperlink>
          </w:p>
        </w:tc>
      </w:tr>
      <w:tr w:rsidR="00F6491B" w14:paraId="3142565B" w14:textId="77777777" w:rsidTr="00F6491B">
        <w:trPr>
          <w:trHeight w:val="13603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1061" w14:textId="39B35EF0" w:rsidR="00F6491B" w:rsidRPr="007A5CAB" w:rsidRDefault="00F6491B" w:rsidP="00F6491B">
            <w:pPr>
              <w:jc w:val="both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lastRenderedPageBreak/>
              <w:t>KF161060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KF161499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KF161599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KF161699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KF161776</w:t>
            </w:r>
            <w:r w:rsidR="00244534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KF161799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KF161899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KF161999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KF162098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KF162199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KF162255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KF162317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KF162337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KF162454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KF162457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KF162501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lastRenderedPageBreak/>
              <w:t>KF162671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KF162699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KF162798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 K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F162799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KF162849</w:t>
            </w:r>
            <w:r w:rsidR="00244534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KF162889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KF162899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KF162939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KF162949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KF162959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KF162969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KF162979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KF162988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KF162999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KF163009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KF163019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KF163022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KF163024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KF163025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KF163026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KF163027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KF163028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KF163029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,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KF163030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 xml:space="preserve"> </w:t>
            </w:r>
            <w:r w:rsidRPr="00312CCA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KF163031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.</w:t>
            </w:r>
          </w:p>
          <w:p w14:paraId="52A579E6" w14:textId="77777777" w:rsidR="00F6491B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91B" w14:paraId="3111D7CD" w14:textId="77777777" w:rsidTr="00574813">
        <w:trPr>
          <w:trHeight w:val="1546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A05C" w14:textId="77777777" w:rsidR="00F6491B" w:rsidRPr="003B2F45" w:rsidRDefault="00F6491B" w:rsidP="00F6491B">
            <w:pPr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A374" w14:textId="77777777" w:rsidR="00F6491B" w:rsidRPr="003B2F45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26A12C" w14:textId="44BC6B69" w:rsidR="00F6491B" w:rsidRPr="003B2F45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F45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85EC" w14:textId="77777777" w:rsidR="00F6491B" w:rsidRPr="003B2F45" w:rsidRDefault="00F6491B" w:rsidP="00F6491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</w:rPr>
            </w:pPr>
          </w:p>
          <w:p w14:paraId="1D2B5BFE" w14:textId="77777777" w:rsidR="00F6491B" w:rsidRPr="003B2F45" w:rsidRDefault="00F6491B" w:rsidP="00F6491B">
            <w:pPr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  <w:p w14:paraId="6F01CDDA" w14:textId="2374EE06" w:rsidR="00F6491B" w:rsidRPr="003B2F45" w:rsidRDefault="00F6491B" w:rsidP="00F6491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</w:rPr>
            </w:pPr>
            <w:r w:rsidRPr="003B2F45">
              <w:rPr>
                <w:rFonts w:ascii="Times New Roman" w:eastAsia="Times New Roman" w:hAnsi="Times New Roman" w:cs="Times New Roman"/>
                <w:bCs/>
                <w:color w:val="212121"/>
                <w:sz w:val="20"/>
                <w:szCs w:val="20"/>
              </w:rPr>
              <w:t>T2D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3259" w14:textId="77777777" w:rsidR="00F6491B" w:rsidRPr="004E21FC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8455D4" w14:textId="77777777" w:rsidR="00F6491B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4E21FC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Santhini,E., Vijaya Padma,V., Govindharaj,P., Sarveshwaran,V., Mohana Krishnan,L., Vijaya Kumar,K., Lalji,S. and Thangaraj,K. Mitochondrial COI and COII mutations in the type 2 diabetes patients with nephropathy.   </w:t>
            </w: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Unpublished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.</w:t>
            </w:r>
          </w:p>
          <w:p w14:paraId="30DD6329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  <w:p w14:paraId="3831D7C3" w14:textId="77777777" w:rsidR="00F6491B" w:rsidRPr="00C84509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Santhini,E., Vijaya Padma,V., Govindharaj,P., Sarveshwaran,V., Mohana Krishnan,L., Vijaya Kumar,K., Lalji,S. 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T</w:t>
            </w: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hangaraj,K.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Direct Submission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, s</w:t>
            </w: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ubmitted (14-NOV-2010) Biotechnology, Bharathiar University,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CE7374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            </w:t>
            </w:r>
            <w:r w:rsidRPr="00C84509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Maruthamalai Main Road, Coimbatore, Tamil Nadu 641046, India</w:t>
            </w: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>.</w:t>
            </w:r>
          </w:p>
          <w:p w14:paraId="6B2F32B2" w14:textId="77777777" w:rsidR="00F6491B" w:rsidRPr="00C84509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</w:p>
          <w:p w14:paraId="0CB8D539" w14:textId="77777777" w:rsidR="00F6491B" w:rsidRPr="003B2F45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es-MX"/>
              </w:rPr>
              <w:t>V</w:t>
            </w:r>
            <w:r w:rsidRPr="003B2F45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es-MX"/>
              </w:rPr>
              <w:t xml:space="preserve">ijaya Padma, V., Anitha, S., Santhini, E., Pradeepa, D., Tresa, D., Ganesan, P., Ishwarya, P., &amp; Balamurugan, R. (2010). </w:t>
            </w:r>
            <w:r w:rsidRPr="003B2F45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</w:rPr>
              <w:t xml:space="preserve">Mitochondrial and nuclear gene mutations in the type 2 diabetes patients of Coimbatore population. Molecular and cellular biochemistry, 345(1-2), 223–229. </w:t>
            </w:r>
            <w:hyperlink r:id="rId14" w:history="1">
              <w:r w:rsidRPr="003B2F45">
                <w:rPr>
                  <w:rStyle w:val="Hipervnculo"/>
                  <w:rFonts w:ascii="Times New Roman" w:eastAsia="Times New Roman" w:hAnsi="Times New Roman" w:cs="Times New Roman"/>
                  <w:sz w:val="20"/>
                  <w:szCs w:val="20"/>
                </w:rPr>
                <w:t>https://doi.org/10</w:t>
              </w:r>
              <w:r>
                <w:rPr>
                  <w:rStyle w:val="Hipervnculo"/>
                  <w:rFonts w:ascii="Times New Roman" w:eastAsia="Times New Roman" w:hAnsi="Times New Roman" w:cs="Times New Roman"/>
                  <w:sz w:val="20"/>
                  <w:szCs w:val="20"/>
                </w:rPr>
                <w:t>.1,</w:t>
              </w:r>
              <w:r w:rsidRPr="003B2F45">
                <w:rPr>
                  <w:rStyle w:val="Hipervnculo"/>
                  <w:rFonts w:ascii="Times New Roman" w:eastAsia="Times New Roman" w:hAnsi="Times New Roman" w:cs="Times New Roman"/>
                  <w:sz w:val="20"/>
                  <w:szCs w:val="20"/>
                </w:rPr>
                <w:t>007/s11010-010-0576-5</w:t>
              </w:r>
            </w:hyperlink>
          </w:p>
          <w:p w14:paraId="33431F3B" w14:textId="77777777" w:rsidR="00F6491B" w:rsidRPr="004E21FC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491B" w14:paraId="07764D01" w14:textId="77777777" w:rsidTr="00574813">
        <w:trPr>
          <w:trHeight w:val="1007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C5F6" w14:textId="325E0D8F" w:rsidR="00F6491B" w:rsidRPr="004E21FC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HQ610991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HQ610985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HQ610972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.1, H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Q610950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.1, H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Q610942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 and </w:t>
            </w:r>
            <w:r w:rsidRPr="003B2F45">
              <w:rPr>
                <w:rFonts w:ascii="Times New Roman" w:eastAsia="Times New Roman" w:hAnsi="Times New Roman" w:cs="Times New Roman"/>
                <w:sz w:val="20"/>
                <w:szCs w:val="20"/>
              </w:rPr>
              <w:t>HQ610932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</w:tr>
      <w:tr w:rsidR="00F6491B" w14:paraId="13B92CFC" w14:textId="77777777" w:rsidTr="00574813">
        <w:trPr>
          <w:trHeight w:val="1546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7415" w14:textId="77777777" w:rsidR="00F6491B" w:rsidRPr="003B2F45" w:rsidRDefault="00F6491B" w:rsidP="00F6491B">
            <w:pPr>
              <w:jc w:val="both"/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4F04" w14:textId="77777777" w:rsidR="00F6491B" w:rsidRPr="00CE7374" w:rsidRDefault="00F6491B" w:rsidP="00F649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C42F4F" w14:textId="1F35033A" w:rsidR="00F6491B" w:rsidRPr="003B2F45" w:rsidRDefault="00F6491B" w:rsidP="00F649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9971" w14:textId="77777777" w:rsidR="00F6491B" w:rsidRPr="00CE7374" w:rsidRDefault="00F6491B" w:rsidP="00F649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Indonesia</w:t>
            </w:r>
          </w:p>
          <w:p w14:paraId="5257AFD5" w14:textId="041067EF" w:rsidR="00F6491B" w:rsidRPr="003B2F45" w:rsidRDefault="00F6491B" w:rsidP="00F6491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T2D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F42D" w14:textId="77777777" w:rsidR="00F6491B" w:rsidRPr="00D619AB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p w14:paraId="55F7063D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Maksum,I.P., Noer,A.S., Suprijana,O., Natradisastra,G.  Nuswantara,S. Mitochondrial genome variation in maternally inherited diabetes           patients from Indonesia.  Unpublished</w:t>
            </w:r>
          </w:p>
          <w:p w14:paraId="00B72C3A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p w14:paraId="0E286D4A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Maksum,I.P., Noer,A.S., Suprijana,O., Natradisastra,G. Nuswantara,S. Mitochondrial genome variation in pure cataract patients from Indonesia. Unpublished.</w:t>
            </w:r>
          </w:p>
          <w:p w14:paraId="3FF5568C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p w14:paraId="420613B6" w14:textId="77777777" w:rsidR="00F6491B" w:rsidRPr="00CE7374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Maksum,I.P., Noer,A.S., Suprijana,O., Natradisastra,G. Nuswantara,S.</w:t>
            </w:r>
          </w:p>
          <w:p w14:paraId="176FA9EB" w14:textId="77777777" w:rsidR="00F6491B" w:rsidRDefault="00F6491B" w:rsidP="00F6491B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Direct Submission NCBI nucleotide database Submitted (01-JUN-2010) Chemistry, Universitas Padjadjaran,       Singaperbangsa No. 2, Bandung, West Java 40132, Indonesia.</w:t>
            </w:r>
          </w:p>
          <w:p w14:paraId="090158D2" w14:textId="64B1E373" w:rsidR="00F6491B" w:rsidRPr="004E21FC" w:rsidRDefault="00F6491B" w:rsidP="00F649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491B" w14:paraId="10879FE9" w14:textId="77777777" w:rsidTr="0076258C">
        <w:trPr>
          <w:trHeight w:val="637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1976" w14:textId="77777777" w:rsidR="00F6491B" w:rsidRDefault="00F6491B" w:rsidP="00F6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33E1A66" w14:textId="799E7F21" w:rsidR="00F6491B" w:rsidRPr="00D619AB" w:rsidRDefault="00F6491B" w:rsidP="00F6491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7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HM436820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HM436819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HM436817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.1, </w:t>
            </w: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HM436816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 and  </w:t>
            </w:r>
            <w:r w:rsidRPr="00CE7374">
              <w:rPr>
                <w:rFonts w:ascii="Times New Roman" w:eastAsia="Times New Roman" w:hAnsi="Times New Roman" w:cs="Times New Roman"/>
                <w:sz w:val="20"/>
                <w:szCs w:val="20"/>
              </w:rPr>
              <w:t>HM436814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</w:tr>
    </w:tbl>
    <w:p w14:paraId="31692D48" w14:textId="77777777" w:rsidR="002A47DE" w:rsidRDefault="002A47DE" w:rsidP="00CE7374">
      <w:pPr>
        <w:rPr>
          <w:rFonts w:ascii="Times New Roman" w:eastAsia="Times New Roman" w:hAnsi="Times New Roman" w:cs="Times New Roman"/>
        </w:rPr>
      </w:pPr>
    </w:p>
    <w:sectPr w:rsidR="002A47DE" w:rsidSect="00C71178">
      <w:pgSz w:w="12240" w:h="15840"/>
      <w:pgMar w:top="709" w:right="1701" w:bottom="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DE"/>
    <w:rsid w:val="000B411E"/>
    <w:rsid w:val="001018CC"/>
    <w:rsid w:val="00244534"/>
    <w:rsid w:val="00245858"/>
    <w:rsid w:val="00281F49"/>
    <w:rsid w:val="002A2476"/>
    <w:rsid w:val="002A47DE"/>
    <w:rsid w:val="002A5824"/>
    <w:rsid w:val="002A7E86"/>
    <w:rsid w:val="003120FC"/>
    <w:rsid w:val="00312CCA"/>
    <w:rsid w:val="00365161"/>
    <w:rsid w:val="003840F4"/>
    <w:rsid w:val="003B2F45"/>
    <w:rsid w:val="003E19E1"/>
    <w:rsid w:val="004E21FC"/>
    <w:rsid w:val="00503051"/>
    <w:rsid w:val="00574813"/>
    <w:rsid w:val="006F4463"/>
    <w:rsid w:val="00701A12"/>
    <w:rsid w:val="0076258C"/>
    <w:rsid w:val="00942D2D"/>
    <w:rsid w:val="00964D75"/>
    <w:rsid w:val="00965308"/>
    <w:rsid w:val="00970B30"/>
    <w:rsid w:val="009761D1"/>
    <w:rsid w:val="009C6E9E"/>
    <w:rsid w:val="00BB11C6"/>
    <w:rsid w:val="00C452CF"/>
    <w:rsid w:val="00C71178"/>
    <w:rsid w:val="00C84509"/>
    <w:rsid w:val="00C93CFE"/>
    <w:rsid w:val="00CE7374"/>
    <w:rsid w:val="00D619AB"/>
    <w:rsid w:val="00E315E4"/>
    <w:rsid w:val="00F6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3829B"/>
  <w15:docId w15:val="{865CF193-3CD6-46B8-A15F-5FBECA86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75C2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75C23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528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528CA"/>
    <w:rPr>
      <w:rFonts w:ascii="Courier New" w:eastAsia="Times New Roman" w:hAnsi="Courier New" w:cs="Courier New"/>
      <w:sz w:val="20"/>
      <w:szCs w:val="20"/>
      <w:lang w:val="es-MX"/>
    </w:rPr>
  </w:style>
  <w:style w:type="character" w:customStyle="1" w:styleId="y2iqfc">
    <w:name w:val="y2iqfc"/>
    <w:basedOn w:val="Fuentedeprrafopredeter"/>
    <w:rsid w:val="00E528CA"/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</w:tblPr>
  </w:style>
  <w:style w:type="character" w:customStyle="1" w:styleId="Ttulo1Car">
    <w:name w:val="Título 1 Car"/>
    <w:basedOn w:val="Fuentedeprrafopredeter"/>
    <w:link w:val="Ttulo1"/>
    <w:uiPriority w:val="9"/>
    <w:rsid w:val="00C71178"/>
    <w:rPr>
      <w:b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71178"/>
    <w:rPr>
      <w:b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1178"/>
    <w:rPr>
      <w:b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71178"/>
    <w:rPr>
      <w:b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1178"/>
    <w:rPr>
      <w:b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1178"/>
    <w:rPr>
      <w:b/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C71178"/>
    <w:rPr>
      <w:b/>
      <w:sz w:val="72"/>
      <w:szCs w:val="72"/>
    </w:rPr>
  </w:style>
  <w:style w:type="character" w:customStyle="1" w:styleId="SubttuloCar">
    <w:name w:val="Subtítulo Car"/>
    <w:basedOn w:val="Fuentedeprrafopredeter"/>
    <w:link w:val="Subttulo"/>
    <w:uiPriority w:val="11"/>
    <w:rsid w:val="00C71178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01/gr.2286304" TargetMode="External"/><Relationship Id="rId13" Type="http://schemas.openxmlformats.org/officeDocument/2006/relationships/hyperlink" Target="https://doi.org/10.1038/ejhg.2013.28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186/1756-0500-5-350" TargetMode="External"/><Relationship Id="rId12" Type="http://schemas.openxmlformats.org/officeDocument/2006/relationships/hyperlink" Target="https://doi.org/10.1038/ejhg.2013.28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371/journal.pone.0021029" TargetMode="External"/><Relationship Id="rId11" Type="http://schemas.openxmlformats.org/officeDocument/2006/relationships/hyperlink" Target="https://doi.org/10.1186/1756-0500-7-2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186/1756-0500-7-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01/gr.2286304" TargetMode="External"/><Relationship Id="rId14" Type="http://schemas.openxmlformats.org/officeDocument/2006/relationships/hyperlink" Target="https://doi.org/10.1007/s11010-010-0576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P4z8qtT3Q1BsWEh3iGwLaR5qHQ==">AMUW2mVSDRjtTnxGxPHWe9igLzmNMtr9rdU7Zmf4TEdtH/okoF+62LKLK74QcP1QreZDay96T9ZiJX9btUvAHKsGPKzlovM8h4ApfONV3s1DGaF5k4PlonM=</go:docsCustomData>
</go:gDocsCustomXmlDataStorage>
</file>

<file path=customXml/itemProps1.xml><?xml version="1.0" encoding="utf-8"?>
<ds:datastoreItem xmlns:ds="http://schemas.openxmlformats.org/officeDocument/2006/customXml" ds:itemID="{F81AFBEB-7928-6A4F-BA66-B3E4C859A0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4340</Words>
  <Characters>23870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BAPTISTA ROSAS, RAUL CUAUHTEMOC</cp:lastModifiedBy>
  <cp:revision>9</cp:revision>
  <dcterms:created xsi:type="dcterms:W3CDTF">2022-09-24T18:33:00Z</dcterms:created>
  <dcterms:modified xsi:type="dcterms:W3CDTF">2022-09-25T01:02:00Z</dcterms:modified>
</cp:coreProperties>
</file>