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A2D2" w14:textId="3526A675" w:rsidR="00864EB7" w:rsidRPr="00864EB7" w:rsidRDefault="00864EB7" w:rsidP="00864EB7">
      <w:pPr>
        <w:spacing w:line="257" w:lineRule="auto"/>
        <w:rPr>
          <w:rFonts w:asciiTheme="majorHAnsi" w:hAnsiTheme="majorHAnsi" w:cstheme="majorHAnsi"/>
          <w:sz w:val="32"/>
          <w:szCs w:val="32"/>
        </w:rPr>
      </w:pPr>
      <w:r w:rsidRPr="00864EB7">
        <w:rPr>
          <w:rFonts w:asciiTheme="majorHAnsi" w:eastAsia="Calibri" w:hAnsiTheme="majorHAnsi" w:cstheme="majorHAnsi"/>
          <w:color w:val="4472C4" w:themeColor="accent1"/>
          <w:sz w:val="32"/>
          <w:szCs w:val="32"/>
        </w:rPr>
        <w:t xml:space="preserve">Appendix </w:t>
      </w:r>
      <w:r w:rsidR="00E13415">
        <w:rPr>
          <w:rFonts w:asciiTheme="majorHAnsi" w:eastAsia="Calibri" w:hAnsiTheme="majorHAnsi" w:cstheme="majorHAnsi"/>
          <w:color w:val="4472C4" w:themeColor="accent1"/>
          <w:sz w:val="32"/>
          <w:szCs w:val="32"/>
        </w:rPr>
        <w:t>C</w:t>
      </w:r>
    </w:p>
    <w:p w14:paraId="17444CBA" w14:textId="102CA72B" w:rsidR="00864EB7" w:rsidRDefault="00A05DC7" w:rsidP="00864EB7">
      <w:pPr>
        <w:spacing w:line="257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CONCEPTS </w:t>
      </w:r>
      <w:r w:rsidR="005759AF">
        <w:rPr>
          <w:rFonts w:ascii="Calibri" w:eastAsia="Calibri" w:hAnsi="Calibri" w:cs="Calibri"/>
        </w:rPr>
        <w:t xml:space="preserve">OF </w:t>
      </w:r>
      <w:r>
        <w:rPr>
          <w:rFonts w:ascii="Calibri" w:eastAsia="Calibri" w:hAnsi="Calibri" w:cs="Calibri"/>
        </w:rPr>
        <w:t>LAW 13,123/2015</w:t>
      </w:r>
      <w:r w:rsidR="00EB7E4C">
        <w:rPr>
          <w:rFonts w:ascii="Calibri" w:eastAsia="Calibri" w:hAnsi="Calibri" w:cs="Calibri"/>
        </w:rPr>
        <w:t xml:space="preserve"> and Regulatory Decree 8.772/2016</w:t>
      </w:r>
      <w:r w:rsidR="00453601">
        <w:rPr>
          <w:rFonts w:ascii="Calibri" w:eastAsia="Calibri" w:hAnsi="Calibri" w:cs="Calibri"/>
        </w:rPr>
        <w:t>.</w:t>
      </w:r>
    </w:p>
    <w:p w14:paraId="7B8D70AD" w14:textId="5F86DAF7" w:rsidR="00A05DC7" w:rsidRDefault="005759AF" w:rsidP="00864EB7">
      <w:pPr>
        <w:spacing w:line="257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Selected terms and definitions of the Brazilian ABS legislation in force.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A05DC7" w:rsidRPr="00A05DC7" w14:paraId="59E21818" w14:textId="77777777" w:rsidTr="00A05DC7">
        <w:tc>
          <w:tcPr>
            <w:tcW w:w="2263" w:type="dxa"/>
            <w:shd w:val="clear" w:color="auto" w:fill="0070C0"/>
          </w:tcPr>
          <w:p w14:paraId="5C6E1B59" w14:textId="0D36CE22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ap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FFFFFF" w:themeColor="background1"/>
              </w:rPr>
              <w:t>TERM</w:t>
            </w:r>
          </w:p>
        </w:tc>
        <w:tc>
          <w:tcPr>
            <w:tcW w:w="6231" w:type="dxa"/>
            <w:shd w:val="clear" w:color="auto" w:fill="0070C0"/>
          </w:tcPr>
          <w:p w14:paraId="071C0B17" w14:textId="1B5C2547" w:rsidR="00A05DC7" w:rsidRPr="00A05DC7" w:rsidRDefault="00453601" w:rsidP="00864EB7">
            <w:pPr>
              <w:spacing w:line="257" w:lineRule="auto"/>
              <w:rPr>
                <w:caps/>
                <w:color w:val="FFFFFF" w:themeColor="background1"/>
              </w:rPr>
            </w:pPr>
            <w:r w:rsidRPr="00A05DC7">
              <w:rPr>
                <w:color w:val="FFFFFF" w:themeColor="background1"/>
              </w:rPr>
              <w:t>DEFINITION</w:t>
            </w:r>
          </w:p>
        </w:tc>
      </w:tr>
      <w:tr w:rsidR="00A05DC7" w14:paraId="6B40194A" w14:textId="77777777" w:rsidTr="00A05DC7">
        <w:tc>
          <w:tcPr>
            <w:tcW w:w="2263" w:type="dxa"/>
          </w:tcPr>
          <w:p w14:paraId="51C32709" w14:textId="32E71C03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Genetic Heritage</w:t>
            </w:r>
          </w:p>
        </w:tc>
        <w:tc>
          <w:tcPr>
            <w:tcW w:w="6231" w:type="dxa"/>
          </w:tcPr>
          <w:p w14:paraId="1A989DCF" w14:textId="77777777" w:rsidR="00A05DC7" w:rsidRDefault="00453601" w:rsidP="00864EB7">
            <w:pPr>
              <w:spacing w:line="257" w:lineRule="auto"/>
            </w:pPr>
            <w:r w:rsidRPr="00F83022">
              <w:t>Genetic information</w:t>
            </w:r>
            <w:r w:rsidR="00A05DC7">
              <w:t xml:space="preserve"> </w:t>
            </w:r>
            <w:r w:rsidR="00A05DC7" w:rsidRPr="00F83022">
              <w:t xml:space="preserve">from plants, animals, and microbial species, or any other species, including substances originating from the metabolism of these living </w:t>
            </w:r>
            <w:r w:rsidR="00A05DC7">
              <w:t>organisms</w:t>
            </w:r>
            <w:r w:rsidR="00EB7E4C">
              <w:t>.</w:t>
            </w:r>
          </w:p>
          <w:p w14:paraId="11767BB7" w14:textId="77777777" w:rsidR="00EB7E4C" w:rsidRDefault="00EB7E4C" w:rsidP="00864EB7">
            <w:pPr>
              <w:spacing w:line="257" w:lineRule="auto"/>
            </w:pPr>
          </w:p>
          <w:p w14:paraId="46BD67B3" w14:textId="23543B5D" w:rsidR="00EB7E4C" w:rsidRDefault="00EB7E4C" w:rsidP="00EB7E4C">
            <w:pPr>
              <w:spacing w:line="257" w:lineRule="auto"/>
            </w:pPr>
            <w:r>
              <w:t xml:space="preserve">Micro-organisms are considered Brazilian GH if they were isolated from substrata of the national territory, the territorial sea, the exclusive economic </w:t>
            </w:r>
            <w:proofErr w:type="gramStart"/>
            <w:r>
              <w:t>zone</w:t>
            </w:r>
            <w:proofErr w:type="gramEnd"/>
            <w:r>
              <w:t xml:space="preserve"> or the continental shelf (Decree 8.772/2016, Art 1. Para 1).</w:t>
            </w:r>
          </w:p>
        </w:tc>
      </w:tr>
      <w:tr w:rsidR="00A05DC7" w14:paraId="53B9F6A9" w14:textId="77777777" w:rsidTr="00A05DC7">
        <w:tc>
          <w:tcPr>
            <w:tcW w:w="2263" w:type="dxa"/>
          </w:tcPr>
          <w:p w14:paraId="15170EDE" w14:textId="61182F08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Associated Traditional Knowledge</w:t>
            </w:r>
          </w:p>
        </w:tc>
        <w:tc>
          <w:tcPr>
            <w:tcW w:w="6231" w:type="dxa"/>
          </w:tcPr>
          <w:p w14:paraId="30A20C2D" w14:textId="44676642" w:rsidR="00A05DC7" w:rsidRDefault="00453601" w:rsidP="00864EB7">
            <w:pPr>
              <w:spacing w:line="257" w:lineRule="auto"/>
            </w:pPr>
            <w:r w:rsidRPr="00F83022">
              <w:t>Information or practice of</w:t>
            </w:r>
            <w:r w:rsidR="00A05DC7">
              <w:t xml:space="preserve"> </w:t>
            </w:r>
            <w:r w:rsidR="00A05DC7" w:rsidRPr="00F83022">
              <w:t xml:space="preserve">indigenous population, traditional community, or traditional farmers </w:t>
            </w:r>
            <w:r w:rsidR="00A05DC7">
              <w:t>about</w:t>
            </w:r>
            <w:r w:rsidR="00A05DC7" w:rsidRPr="00F83022">
              <w:t xml:space="preserve"> the properties, or the direct or indirect use</w:t>
            </w:r>
            <w:r w:rsidR="00A05DC7">
              <w:t>s</w:t>
            </w:r>
            <w:r w:rsidR="00A05DC7" w:rsidRPr="00F83022">
              <w:t xml:space="preserve"> associated with genetic heritage</w:t>
            </w:r>
          </w:p>
        </w:tc>
      </w:tr>
      <w:tr w:rsidR="00A05DC7" w14:paraId="2FFAD73B" w14:textId="77777777" w:rsidTr="00A05DC7">
        <w:tc>
          <w:tcPr>
            <w:tcW w:w="2263" w:type="dxa"/>
          </w:tcPr>
          <w:p w14:paraId="203882D8" w14:textId="2EA45E13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Traditional Community</w:t>
            </w:r>
          </w:p>
        </w:tc>
        <w:tc>
          <w:tcPr>
            <w:tcW w:w="6231" w:type="dxa"/>
          </w:tcPr>
          <w:p w14:paraId="33005CF4" w14:textId="02B41728" w:rsidR="00A05DC7" w:rsidRDefault="00453601" w:rsidP="00864EB7">
            <w:pPr>
              <w:spacing w:line="257" w:lineRule="auto"/>
            </w:pPr>
            <w:r w:rsidRPr="00A05DC7">
              <w:t xml:space="preserve">A culturally differentiated group, which recognizes itself as such, has its own social organization and occupies and uses territories and natural resources as a condition for its cultural, social, religious, </w:t>
            </w:r>
            <w:r w:rsidR="00EB7E4C" w:rsidRPr="00A05DC7">
              <w:t>ancestral,</w:t>
            </w:r>
            <w:r w:rsidRPr="00A05DC7">
              <w:t xml:space="preserve"> and economic perpetuation, using knowl</w:t>
            </w:r>
            <w:r w:rsidR="00A05DC7" w:rsidRPr="00A05DC7">
              <w:t>edge, innovations and practices generated from and passed on by tradition</w:t>
            </w:r>
          </w:p>
        </w:tc>
      </w:tr>
      <w:tr w:rsidR="005759AF" w14:paraId="188FB6D2" w14:textId="77777777" w:rsidTr="009B1FC9">
        <w:tc>
          <w:tcPr>
            <w:tcW w:w="2263" w:type="dxa"/>
          </w:tcPr>
          <w:p w14:paraId="748CF0CE" w14:textId="77777777" w:rsidR="005759AF" w:rsidRPr="00453601" w:rsidRDefault="005759AF" w:rsidP="009B1FC9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User</w:t>
            </w:r>
          </w:p>
        </w:tc>
        <w:tc>
          <w:tcPr>
            <w:tcW w:w="6231" w:type="dxa"/>
          </w:tcPr>
          <w:p w14:paraId="5DFEF1D1" w14:textId="77777777" w:rsidR="005759AF" w:rsidRDefault="005759AF" w:rsidP="009B1FC9">
            <w:pPr>
              <w:spacing w:line="257" w:lineRule="auto"/>
            </w:pPr>
            <w:r w:rsidRPr="00F83022">
              <w:rPr>
                <w:rFonts w:cs="Book Antiqua"/>
              </w:rPr>
              <w:t xml:space="preserve">A </w:t>
            </w:r>
            <w:r>
              <w:rPr>
                <w:rFonts w:cs="Book Antiqua"/>
              </w:rPr>
              <w:t xml:space="preserve">natural or legal </w:t>
            </w:r>
            <w:r w:rsidRPr="00F83022">
              <w:rPr>
                <w:rFonts w:cs="Book Antiqua"/>
              </w:rPr>
              <w:t>person, that accesses genetic heritage or associated traditional knowledge, or economically explores a finished product or reproductive material originated from access to genetic heritage or associated traditional knowledge</w:t>
            </w:r>
          </w:p>
        </w:tc>
      </w:tr>
      <w:tr w:rsidR="00A05DC7" w14:paraId="69FFA607" w14:textId="77777777" w:rsidTr="00A05DC7">
        <w:tc>
          <w:tcPr>
            <w:tcW w:w="2263" w:type="dxa"/>
          </w:tcPr>
          <w:p w14:paraId="451FBD10" w14:textId="5D2A54CD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Associated Traditional Knowledge Provider</w:t>
            </w:r>
          </w:p>
        </w:tc>
        <w:tc>
          <w:tcPr>
            <w:tcW w:w="6231" w:type="dxa"/>
          </w:tcPr>
          <w:p w14:paraId="6DA4E55A" w14:textId="56C63710" w:rsidR="00A05DC7" w:rsidRDefault="00453601" w:rsidP="00864EB7">
            <w:pPr>
              <w:spacing w:line="257" w:lineRule="auto"/>
            </w:pPr>
            <w:r w:rsidRPr="00A05DC7">
              <w:t>Indigenous population, traditional community or traditional f</w:t>
            </w:r>
            <w:r w:rsidR="00A05DC7" w:rsidRPr="00A05DC7">
              <w:t>armer who holds and provides associated traditional knowledge</w:t>
            </w:r>
          </w:p>
        </w:tc>
      </w:tr>
      <w:tr w:rsidR="005759AF" w14:paraId="049EF86C" w14:textId="77777777" w:rsidTr="00914895">
        <w:tc>
          <w:tcPr>
            <w:tcW w:w="8494" w:type="dxa"/>
            <w:gridSpan w:val="2"/>
            <w:shd w:val="clear" w:color="auto" w:fill="B4C6E7" w:themeFill="accent1" w:themeFillTint="66"/>
          </w:tcPr>
          <w:p w14:paraId="6B7BBA17" w14:textId="77777777" w:rsidR="005759AF" w:rsidRPr="00A05DC7" w:rsidRDefault="005759AF" w:rsidP="00864EB7">
            <w:pPr>
              <w:spacing w:line="257" w:lineRule="auto"/>
            </w:pPr>
          </w:p>
        </w:tc>
      </w:tr>
      <w:tr w:rsidR="00A05DC7" w14:paraId="46D93F95" w14:textId="77777777" w:rsidTr="00A05DC7">
        <w:tc>
          <w:tcPr>
            <w:tcW w:w="2263" w:type="dxa"/>
          </w:tcPr>
          <w:p w14:paraId="0F914FF5" w14:textId="583A0487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 xml:space="preserve">Access </w:t>
            </w:r>
            <w:r w:rsidR="005759AF">
              <w:rPr>
                <w:rFonts w:asciiTheme="majorHAnsi" w:hAnsiTheme="majorHAnsi" w:cstheme="majorHAnsi"/>
                <w:b/>
                <w:bCs/>
                <w:color w:val="0070C0"/>
              </w:rPr>
              <w:t>T</w:t>
            </w: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o Genetic Heritage</w:t>
            </w:r>
          </w:p>
        </w:tc>
        <w:tc>
          <w:tcPr>
            <w:tcW w:w="6231" w:type="dxa"/>
          </w:tcPr>
          <w:p w14:paraId="54B535AE" w14:textId="35375F7A" w:rsidR="00A05DC7" w:rsidRDefault="00453601" w:rsidP="00864EB7">
            <w:pPr>
              <w:spacing w:line="257" w:lineRule="auto"/>
            </w:pPr>
            <w:r w:rsidRPr="00A05DC7">
              <w:t>Research or technological development carried out on genetic heritage samples;</w:t>
            </w:r>
          </w:p>
        </w:tc>
      </w:tr>
      <w:tr w:rsidR="00A05DC7" w14:paraId="78DD994C" w14:textId="77777777" w:rsidTr="00A05DC7">
        <w:tc>
          <w:tcPr>
            <w:tcW w:w="2263" w:type="dxa"/>
          </w:tcPr>
          <w:p w14:paraId="17691C23" w14:textId="7716477A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 xml:space="preserve">Access </w:t>
            </w:r>
            <w:r w:rsidR="005759AF">
              <w:rPr>
                <w:rFonts w:asciiTheme="majorHAnsi" w:hAnsiTheme="majorHAnsi" w:cstheme="majorHAnsi"/>
                <w:b/>
                <w:bCs/>
                <w:color w:val="0070C0"/>
              </w:rPr>
              <w:t>T</w:t>
            </w: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o Associated Traditional Knowledge</w:t>
            </w:r>
          </w:p>
        </w:tc>
        <w:tc>
          <w:tcPr>
            <w:tcW w:w="6231" w:type="dxa"/>
          </w:tcPr>
          <w:p w14:paraId="3669187F" w14:textId="1ED729E6" w:rsidR="00A05DC7" w:rsidRDefault="00453601" w:rsidP="00864EB7">
            <w:pPr>
              <w:spacing w:line="257" w:lineRule="auto"/>
            </w:pPr>
            <w:r w:rsidRPr="00F83022">
              <w:t xml:space="preserve">Research or technological development </w:t>
            </w:r>
            <w:r w:rsidR="00A05DC7">
              <w:t xml:space="preserve">carried </w:t>
            </w:r>
            <w:r w:rsidR="00A05DC7" w:rsidRPr="006E0AC7">
              <w:t>out on</w:t>
            </w:r>
            <w:r w:rsidR="00A05DC7" w:rsidRPr="00F83022">
              <w:t xml:space="preserve"> traditional knowledge associated </w:t>
            </w:r>
            <w:r w:rsidR="00A05DC7">
              <w:t>to</w:t>
            </w:r>
            <w:r w:rsidR="00A05DC7" w:rsidRPr="00F83022">
              <w:t xml:space="preserve"> genetic heritage that makes possible or facilitates access to genetic heritage, even if obtained from secondary sources such as: street markets, publications, inventories, films, scientific articles, registries and other forms of </w:t>
            </w:r>
            <w:r w:rsidR="00A05DC7">
              <w:t xml:space="preserve">systematization and </w:t>
            </w:r>
            <w:r w:rsidR="00A05DC7" w:rsidRPr="00F83022">
              <w:t>record of associated traditional knowledge</w:t>
            </w:r>
          </w:p>
        </w:tc>
      </w:tr>
      <w:tr w:rsidR="00A05DC7" w14:paraId="562E9B87" w14:textId="77777777" w:rsidTr="00A05DC7">
        <w:tc>
          <w:tcPr>
            <w:tcW w:w="2263" w:type="dxa"/>
          </w:tcPr>
          <w:p w14:paraId="684EFEA7" w14:textId="6E4B8B91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Research</w:t>
            </w:r>
          </w:p>
        </w:tc>
        <w:tc>
          <w:tcPr>
            <w:tcW w:w="6231" w:type="dxa"/>
          </w:tcPr>
          <w:p w14:paraId="398C4B39" w14:textId="2253D9C1" w:rsidR="00A05DC7" w:rsidRDefault="00453601" w:rsidP="00864EB7">
            <w:pPr>
              <w:spacing w:line="257" w:lineRule="auto"/>
            </w:pPr>
            <w:r w:rsidRPr="00F83022">
              <w:t xml:space="preserve">Experimental or theoretical activity </w:t>
            </w:r>
            <w:r w:rsidR="00A05DC7">
              <w:t xml:space="preserve">carried out </w:t>
            </w:r>
            <w:r w:rsidR="00A05DC7" w:rsidRPr="00F83022">
              <w:t xml:space="preserve">on genetic heritage or associated traditional knowledge with the objective of </w:t>
            </w:r>
            <w:r w:rsidR="00A05DC7">
              <w:t>building</w:t>
            </w:r>
            <w:r w:rsidR="00A05DC7" w:rsidRPr="00F83022">
              <w:t xml:space="preserve"> new knowledge by means of a systematic process that creates and tests hypothesis, describes and interprets fundamentals of observed phenomena and facts</w:t>
            </w:r>
          </w:p>
        </w:tc>
      </w:tr>
      <w:tr w:rsidR="00A05DC7" w14:paraId="18512BC5" w14:textId="77777777" w:rsidTr="00A05DC7">
        <w:tc>
          <w:tcPr>
            <w:tcW w:w="2263" w:type="dxa"/>
          </w:tcPr>
          <w:p w14:paraId="1296901A" w14:textId="16CFEB3D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Technological Development</w:t>
            </w:r>
          </w:p>
        </w:tc>
        <w:tc>
          <w:tcPr>
            <w:tcW w:w="6231" w:type="dxa"/>
          </w:tcPr>
          <w:p w14:paraId="3522EFAA" w14:textId="46B0F639" w:rsidR="00A05DC7" w:rsidRDefault="00453601" w:rsidP="00864EB7">
            <w:pPr>
              <w:spacing w:line="257" w:lineRule="auto"/>
            </w:pPr>
            <w:r w:rsidRPr="00F83022">
              <w:t xml:space="preserve">Systematic work on genetic heritage or associated traditional knowledge based on existing procedures resulting from research or from practical </w:t>
            </w:r>
            <w:r w:rsidR="005759AF" w:rsidRPr="00F83022">
              <w:t>experience carried</w:t>
            </w:r>
            <w:r w:rsidR="00A05DC7">
              <w:t xml:space="preserve"> out</w:t>
            </w:r>
            <w:r w:rsidR="00A05DC7" w:rsidRPr="001B3894">
              <w:t xml:space="preserve"> with</w:t>
            </w:r>
            <w:r w:rsidR="00A05DC7" w:rsidRPr="00F83022">
              <w:t xml:space="preserve"> the objective</w:t>
            </w:r>
            <w:r w:rsidR="00A05DC7">
              <w:t>s</w:t>
            </w:r>
            <w:r w:rsidR="00A05DC7" w:rsidRPr="00F83022">
              <w:t xml:space="preserve"> of developing new materials, </w:t>
            </w:r>
            <w:proofErr w:type="gramStart"/>
            <w:r w:rsidR="00A05DC7" w:rsidRPr="00F83022">
              <w:t>products</w:t>
            </w:r>
            <w:proofErr w:type="gramEnd"/>
            <w:r w:rsidR="00A05DC7" w:rsidRPr="00F83022">
              <w:t xml:space="preserve"> or devices, </w:t>
            </w:r>
            <w:r w:rsidR="00A05DC7">
              <w:t xml:space="preserve">or </w:t>
            </w:r>
            <w:r w:rsidR="00A05DC7" w:rsidRPr="00F83022">
              <w:t>improving or developing new processes</w:t>
            </w:r>
            <w:r w:rsidR="00A05DC7">
              <w:t>,</w:t>
            </w:r>
            <w:r w:rsidR="00A05DC7" w:rsidRPr="00F83022">
              <w:t xml:space="preserve"> for economic exploitation</w:t>
            </w:r>
          </w:p>
        </w:tc>
      </w:tr>
      <w:tr w:rsidR="005759AF" w14:paraId="5FF100FB" w14:textId="77777777" w:rsidTr="00061A58">
        <w:tc>
          <w:tcPr>
            <w:tcW w:w="8494" w:type="dxa"/>
            <w:gridSpan w:val="2"/>
            <w:shd w:val="clear" w:color="auto" w:fill="B4C6E7" w:themeFill="accent1" w:themeFillTint="66"/>
          </w:tcPr>
          <w:p w14:paraId="3F73FE56" w14:textId="77777777" w:rsidR="005759AF" w:rsidRPr="00F83022" w:rsidRDefault="005759AF" w:rsidP="00864EB7">
            <w:pPr>
              <w:spacing w:line="257" w:lineRule="auto"/>
            </w:pPr>
          </w:p>
        </w:tc>
      </w:tr>
      <w:tr w:rsidR="005759AF" w14:paraId="147ACC61" w14:textId="77777777" w:rsidTr="009B1FC9">
        <w:tc>
          <w:tcPr>
            <w:tcW w:w="2263" w:type="dxa"/>
          </w:tcPr>
          <w:p w14:paraId="1BF316AF" w14:textId="77777777" w:rsidR="005759AF" w:rsidRPr="00453601" w:rsidRDefault="005759AF" w:rsidP="009B1FC9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Reproductive Material</w:t>
            </w:r>
          </w:p>
        </w:tc>
        <w:tc>
          <w:tcPr>
            <w:tcW w:w="6231" w:type="dxa"/>
          </w:tcPr>
          <w:p w14:paraId="57B9F863" w14:textId="77777777" w:rsidR="005759AF" w:rsidRDefault="005759AF" w:rsidP="009B1FC9">
            <w:pPr>
              <w:spacing w:line="257" w:lineRule="auto"/>
            </w:pPr>
            <w:r w:rsidRPr="004E0ABB">
              <w:t xml:space="preserve">Plant propagating material or animal reproductive material from any genus, </w:t>
            </w:r>
            <w:proofErr w:type="gramStart"/>
            <w:r w:rsidRPr="004E0ABB">
              <w:t>species</w:t>
            </w:r>
            <w:proofErr w:type="gramEnd"/>
            <w:r w:rsidRPr="004E0ABB">
              <w:t xml:space="preserve"> or crop, coming from sexual or asexual reproduction</w:t>
            </w:r>
          </w:p>
        </w:tc>
      </w:tr>
      <w:tr w:rsidR="005759AF" w14:paraId="4EF8B4F2" w14:textId="77777777" w:rsidTr="009B1FC9">
        <w:tc>
          <w:tcPr>
            <w:tcW w:w="2263" w:type="dxa"/>
          </w:tcPr>
          <w:p w14:paraId="7813ADF8" w14:textId="77777777" w:rsidR="005759AF" w:rsidRPr="00453601" w:rsidRDefault="005759AF" w:rsidP="009B1FC9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Agricultural Activities</w:t>
            </w:r>
          </w:p>
        </w:tc>
        <w:tc>
          <w:tcPr>
            <w:tcW w:w="6231" w:type="dxa"/>
          </w:tcPr>
          <w:p w14:paraId="2605FE47" w14:textId="77777777" w:rsidR="005759AF" w:rsidRPr="00453601" w:rsidRDefault="005759AF" w:rsidP="009B1FC9">
            <w:pPr>
              <w:spacing w:line="257" w:lineRule="auto"/>
            </w:pPr>
            <w:r w:rsidRPr="00453601">
              <w:t>Activities of producing, processing and commercializing food, beverages, fibers, energy and planted forests</w:t>
            </w:r>
          </w:p>
        </w:tc>
      </w:tr>
      <w:tr w:rsidR="00A05DC7" w14:paraId="1E3ED8FE" w14:textId="77777777" w:rsidTr="00A05DC7">
        <w:tc>
          <w:tcPr>
            <w:tcW w:w="2263" w:type="dxa"/>
          </w:tcPr>
          <w:p w14:paraId="4FE81092" w14:textId="6349B4C7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Intermediate Product</w:t>
            </w:r>
          </w:p>
        </w:tc>
        <w:tc>
          <w:tcPr>
            <w:tcW w:w="6231" w:type="dxa"/>
          </w:tcPr>
          <w:p w14:paraId="14D08303" w14:textId="7CDDF590" w:rsidR="00A05DC7" w:rsidRDefault="00453601" w:rsidP="00864EB7">
            <w:pPr>
              <w:spacing w:line="257" w:lineRule="auto"/>
            </w:pPr>
            <w:r w:rsidRPr="00F83022">
              <w:rPr>
                <w:rFonts w:cs="Book Antiqua"/>
              </w:rPr>
              <w:t xml:space="preserve">A product used in the production chain as input, </w:t>
            </w:r>
            <w:proofErr w:type="gramStart"/>
            <w:r w:rsidRPr="00F83022">
              <w:rPr>
                <w:rFonts w:cs="Book Antiqua"/>
              </w:rPr>
              <w:t>excipient</w:t>
            </w:r>
            <w:proofErr w:type="gramEnd"/>
            <w:r w:rsidRPr="00F83022">
              <w:rPr>
                <w:rFonts w:cs="Book Antiqua"/>
              </w:rPr>
              <w:t xml:space="preserve"> and raw material, </w:t>
            </w:r>
            <w:r w:rsidR="00A05DC7">
              <w:rPr>
                <w:rFonts w:cs="Book Antiqua"/>
              </w:rPr>
              <w:t xml:space="preserve">for </w:t>
            </w:r>
            <w:r w:rsidR="00A05DC7" w:rsidRPr="00F83022">
              <w:rPr>
                <w:rFonts w:cs="Book Antiqua"/>
              </w:rPr>
              <w:t>develop</w:t>
            </w:r>
            <w:r w:rsidR="00A05DC7">
              <w:rPr>
                <w:rFonts w:cs="Book Antiqua"/>
              </w:rPr>
              <w:t>ing</w:t>
            </w:r>
            <w:r w:rsidR="00A05DC7" w:rsidRPr="00F83022">
              <w:rPr>
                <w:rFonts w:cs="Book Antiqua"/>
              </w:rPr>
              <w:t xml:space="preserve"> another intermediate or finished product</w:t>
            </w:r>
          </w:p>
        </w:tc>
      </w:tr>
      <w:tr w:rsidR="005759AF" w14:paraId="04030E73" w14:textId="77777777" w:rsidTr="009B1FC9">
        <w:tc>
          <w:tcPr>
            <w:tcW w:w="2263" w:type="dxa"/>
          </w:tcPr>
          <w:p w14:paraId="5BEBE0FF" w14:textId="77777777" w:rsidR="005759AF" w:rsidRPr="00453601" w:rsidRDefault="005759AF" w:rsidP="009B1FC9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Finished Product</w:t>
            </w:r>
          </w:p>
        </w:tc>
        <w:tc>
          <w:tcPr>
            <w:tcW w:w="6231" w:type="dxa"/>
          </w:tcPr>
          <w:p w14:paraId="03238071" w14:textId="77777777" w:rsidR="005759AF" w:rsidRDefault="005759AF" w:rsidP="009B1FC9">
            <w:pPr>
              <w:spacing w:line="257" w:lineRule="auto"/>
            </w:pPr>
            <w:r w:rsidRPr="00A05DC7">
              <w:t>A product originating from access to genetic heritage or associated traditional knowledge that does not need any additional processing, in which the genetic heritage or the traditional knowledge component is a key main element of value adding to the product, being it ready for use by the final consumer, whether a natural or a legal person</w:t>
            </w:r>
          </w:p>
        </w:tc>
      </w:tr>
      <w:tr w:rsidR="005759AF" w14:paraId="13D38C1C" w14:textId="77777777" w:rsidTr="00700BB0">
        <w:tc>
          <w:tcPr>
            <w:tcW w:w="8494" w:type="dxa"/>
            <w:gridSpan w:val="2"/>
            <w:shd w:val="clear" w:color="auto" w:fill="B4C6E7" w:themeFill="accent1" w:themeFillTint="66"/>
          </w:tcPr>
          <w:p w14:paraId="3CF811E6" w14:textId="77777777" w:rsidR="005759AF" w:rsidRPr="00F83022" w:rsidRDefault="005759AF" w:rsidP="00864EB7">
            <w:pPr>
              <w:spacing w:line="257" w:lineRule="auto"/>
              <w:rPr>
                <w:rFonts w:cs="Book Antiqua"/>
              </w:rPr>
            </w:pPr>
          </w:p>
        </w:tc>
      </w:tr>
      <w:tr w:rsidR="00A05DC7" w14:paraId="0CD71400" w14:textId="77777777" w:rsidTr="00A05DC7">
        <w:tc>
          <w:tcPr>
            <w:tcW w:w="2263" w:type="dxa"/>
          </w:tcPr>
          <w:p w14:paraId="5F129EDB" w14:textId="1F7AC57B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 xml:space="preserve">Key Elements </w:t>
            </w:r>
            <w:r w:rsidR="005759AF">
              <w:rPr>
                <w:rFonts w:asciiTheme="majorHAnsi" w:hAnsiTheme="majorHAnsi" w:cstheme="majorHAnsi"/>
                <w:b/>
                <w:bCs/>
                <w:color w:val="0070C0"/>
              </w:rPr>
              <w:t>o</w:t>
            </w: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 xml:space="preserve">f Value Adding </w:t>
            </w:r>
            <w:r w:rsidR="005759AF">
              <w:rPr>
                <w:rFonts w:asciiTheme="majorHAnsi" w:hAnsiTheme="majorHAnsi" w:cstheme="majorHAnsi"/>
                <w:b/>
                <w:bCs/>
                <w:color w:val="0070C0"/>
              </w:rPr>
              <w:t>t</w:t>
            </w: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 xml:space="preserve">o </w:t>
            </w:r>
            <w:r w:rsidR="005759AF">
              <w:rPr>
                <w:rFonts w:asciiTheme="majorHAnsi" w:hAnsiTheme="majorHAnsi" w:cstheme="majorHAnsi"/>
                <w:b/>
                <w:bCs/>
                <w:color w:val="0070C0"/>
              </w:rPr>
              <w:t>t</w:t>
            </w: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he Product</w:t>
            </w:r>
          </w:p>
        </w:tc>
        <w:tc>
          <w:tcPr>
            <w:tcW w:w="6231" w:type="dxa"/>
          </w:tcPr>
          <w:p w14:paraId="68652F5E" w14:textId="4AA987E4" w:rsidR="00A05DC7" w:rsidRDefault="00453601" w:rsidP="00864EB7">
            <w:pPr>
              <w:spacing w:line="257" w:lineRule="auto"/>
            </w:pPr>
            <w:r w:rsidRPr="00F83022">
              <w:t>Elements whose presence in the finished product is</w:t>
            </w:r>
            <w:r w:rsidR="00A05DC7">
              <w:t xml:space="preserve"> determinant </w:t>
            </w:r>
            <w:r w:rsidR="00A05DC7" w:rsidRPr="00F83022">
              <w:t>to its functional characteristics or to its marketing appeal</w:t>
            </w:r>
          </w:p>
        </w:tc>
      </w:tr>
      <w:tr w:rsidR="00A05DC7" w14:paraId="0E22C711" w14:textId="77777777" w:rsidTr="00A05DC7">
        <w:tc>
          <w:tcPr>
            <w:tcW w:w="2263" w:type="dxa"/>
          </w:tcPr>
          <w:p w14:paraId="0044A4DE" w14:textId="7ABE6410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Product Notification</w:t>
            </w:r>
          </w:p>
        </w:tc>
        <w:tc>
          <w:tcPr>
            <w:tcW w:w="6231" w:type="dxa"/>
          </w:tcPr>
          <w:p w14:paraId="647596B0" w14:textId="7753BC62" w:rsidR="00A05DC7" w:rsidRDefault="00453601" w:rsidP="00864EB7">
            <w:pPr>
              <w:spacing w:line="257" w:lineRule="auto"/>
            </w:pPr>
            <w:r w:rsidRPr="00F83022">
              <w:t xml:space="preserve">Declaration </w:t>
            </w:r>
            <w:r w:rsidR="00A05DC7" w:rsidRPr="00DE2DEF">
              <w:t>document</w:t>
            </w:r>
            <w:r w:rsidR="00A05DC7" w:rsidRPr="00F83022">
              <w:t xml:space="preserve"> required prior to economic explo</w:t>
            </w:r>
            <w:r w:rsidR="00A05DC7">
              <w:t>itation</w:t>
            </w:r>
            <w:r w:rsidR="00A05DC7" w:rsidRPr="00F83022">
              <w:t xml:space="preserve"> </w:t>
            </w:r>
            <w:r w:rsidR="00A05DC7">
              <w:t xml:space="preserve">of </w:t>
            </w:r>
            <w:r w:rsidR="00A05DC7" w:rsidRPr="00F83022">
              <w:t>a finished product or reproductive material originat</w:t>
            </w:r>
            <w:r w:rsidR="00A05DC7">
              <w:t>ing</w:t>
            </w:r>
            <w:r w:rsidR="00A05DC7" w:rsidRPr="00F83022">
              <w:t xml:space="preserve"> from access to genetic heritage or to associated traditional knowledge in which the user declares compliance with the requirements of this </w:t>
            </w:r>
            <w:r w:rsidR="00A05DC7">
              <w:t>Act</w:t>
            </w:r>
            <w:r w:rsidR="00A05DC7" w:rsidRPr="00F83022">
              <w:t xml:space="preserve"> and indicates the </w:t>
            </w:r>
            <w:r w:rsidR="00A05DC7" w:rsidRPr="00DE2DEF">
              <w:t>modality</w:t>
            </w:r>
            <w:r w:rsidR="00A05DC7" w:rsidRPr="00F83022">
              <w:t xml:space="preserve"> of benefit-sharing, when applicable, to be established in the benefit-sharing agreement</w:t>
            </w:r>
          </w:p>
        </w:tc>
      </w:tr>
      <w:tr w:rsidR="00A05DC7" w14:paraId="4661D99D" w14:textId="77777777" w:rsidTr="00A05DC7">
        <w:tc>
          <w:tcPr>
            <w:tcW w:w="2263" w:type="dxa"/>
          </w:tcPr>
          <w:p w14:paraId="4F8F1D61" w14:textId="428D4F0C" w:rsidR="00A05DC7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Benefit-Sharing Agreement</w:t>
            </w:r>
          </w:p>
        </w:tc>
        <w:tc>
          <w:tcPr>
            <w:tcW w:w="6231" w:type="dxa"/>
          </w:tcPr>
          <w:p w14:paraId="4066E4BC" w14:textId="56C77F45" w:rsidR="00A05DC7" w:rsidRDefault="00453601" w:rsidP="00864EB7">
            <w:pPr>
              <w:spacing w:line="257" w:lineRule="auto"/>
            </w:pPr>
            <w:r w:rsidRPr="00F83022">
              <w:t>A legal document that identifies the parts, object; and terms for benefit-sharing</w:t>
            </w:r>
          </w:p>
        </w:tc>
      </w:tr>
      <w:tr w:rsidR="00453601" w14:paraId="53B454D8" w14:textId="77777777" w:rsidTr="00A05DC7">
        <w:tc>
          <w:tcPr>
            <w:tcW w:w="2263" w:type="dxa"/>
            <w:vMerge w:val="restart"/>
          </w:tcPr>
          <w:p w14:paraId="0BECCF84" w14:textId="5FD37768" w:rsidR="00453601" w:rsidRPr="00453601" w:rsidRDefault="00453601" w:rsidP="00453601">
            <w:pPr>
              <w:spacing w:before="240"/>
              <w:jc w:val="both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Benefit-Sharing</w:t>
            </w:r>
          </w:p>
          <w:p w14:paraId="514DA90A" w14:textId="77777777" w:rsidR="00453601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</w:p>
        </w:tc>
        <w:tc>
          <w:tcPr>
            <w:tcW w:w="6231" w:type="dxa"/>
          </w:tcPr>
          <w:p w14:paraId="2B5AC13F" w14:textId="7AB2729A" w:rsidR="00453601" w:rsidRDefault="00453601" w:rsidP="00864EB7">
            <w:pPr>
              <w:spacing w:line="257" w:lineRule="auto"/>
            </w:pPr>
            <w:r w:rsidRPr="00F83022">
              <w:t xml:space="preserve">The benefits </w:t>
            </w:r>
            <w:r>
              <w:t>resulting</w:t>
            </w:r>
            <w:r w:rsidRPr="00F83022">
              <w:t xml:space="preserve"> from economic exploitation of finished </w:t>
            </w:r>
            <w:r>
              <w:t xml:space="preserve">product </w:t>
            </w:r>
            <w:r w:rsidRPr="00F83022">
              <w:t xml:space="preserve">or reproductive material arising from access to genetic heritage of species found </w:t>
            </w:r>
            <w:r w:rsidRPr="0066296B">
              <w:t>in</w:t>
            </w:r>
            <w:r w:rsidRPr="00A75AC8">
              <w:rPr>
                <w:i/>
              </w:rPr>
              <w:t xml:space="preserve"> </w:t>
            </w:r>
            <w:r w:rsidRPr="00F83022">
              <w:rPr>
                <w:i/>
              </w:rPr>
              <w:t>in situ</w:t>
            </w:r>
            <w:r w:rsidRPr="00F83022">
              <w:t xml:space="preserve"> </w:t>
            </w:r>
            <w:r>
              <w:t>conditions</w:t>
            </w:r>
            <w:r w:rsidRPr="00F83022">
              <w:t xml:space="preserve"> or to associated traditional knowledge, even if produced outside the country</w:t>
            </w:r>
          </w:p>
        </w:tc>
      </w:tr>
      <w:tr w:rsidR="00453601" w14:paraId="247C49AC" w14:textId="77777777" w:rsidTr="00A05DC7">
        <w:tc>
          <w:tcPr>
            <w:tcW w:w="2263" w:type="dxa"/>
            <w:vMerge/>
          </w:tcPr>
          <w:p w14:paraId="3B6F9573" w14:textId="77777777" w:rsidR="00453601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</w:p>
        </w:tc>
        <w:tc>
          <w:tcPr>
            <w:tcW w:w="6231" w:type="dxa"/>
          </w:tcPr>
          <w:p w14:paraId="42C541DB" w14:textId="17F3B4F3" w:rsidR="00453601" w:rsidRDefault="00453601" w:rsidP="00864EB7">
            <w:pPr>
              <w:spacing w:line="257" w:lineRule="auto"/>
            </w:pPr>
            <w:r>
              <w:t>Only t</w:t>
            </w:r>
            <w:r w:rsidRPr="00F83022">
              <w:t xml:space="preserve">he manufacturer of the finished product or </w:t>
            </w:r>
            <w:r>
              <w:t xml:space="preserve">the </w:t>
            </w:r>
            <w:r w:rsidRPr="00F83022">
              <w:t xml:space="preserve">producer of </w:t>
            </w:r>
            <w:r>
              <w:t xml:space="preserve">the </w:t>
            </w:r>
            <w:r w:rsidRPr="00F83022">
              <w:t xml:space="preserve">reproductive material will </w:t>
            </w:r>
            <w:r>
              <w:t>be obliged to share benefits</w:t>
            </w:r>
            <w:r w:rsidRPr="00F83022">
              <w:t xml:space="preserve">, regardless of who </w:t>
            </w:r>
            <w:r>
              <w:t xml:space="preserve">has </w:t>
            </w:r>
            <w:r w:rsidRPr="00F83022">
              <w:t xml:space="preserve">previously </w:t>
            </w:r>
            <w:r>
              <w:t>carried out access activities</w:t>
            </w:r>
          </w:p>
        </w:tc>
      </w:tr>
      <w:tr w:rsidR="00453601" w14:paraId="3F16632A" w14:textId="77777777" w:rsidTr="00A05DC7">
        <w:tc>
          <w:tcPr>
            <w:tcW w:w="2263" w:type="dxa"/>
          </w:tcPr>
          <w:p w14:paraId="33F60965" w14:textId="06A42E17" w:rsidR="00453601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Monetary Benefit-Sharing</w:t>
            </w:r>
          </w:p>
        </w:tc>
        <w:tc>
          <w:tcPr>
            <w:tcW w:w="6231" w:type="dxa"/>
          </w:tcPr>
          <w:p w14:paraId="00D323F0" w14:textId="691ACE40" w:rsidR="00453601" w:rsidRDefault="00453601" w:rsidP="00864EB7">
            <w:pPr>
              <w:spacing w:line="257" w:lineRule="auto"/>
            </w:pPr>
            <w:r w:rsidRPr="00453601">
              <w:t>Should represent 1% (one percent) of the annual net revenue obtained from economic exploitation of finished products or reproductive material arising from access to genetic heritage</w:t>
            </w:r>
          </w:p>
        </w:tc>
      </w:tr>
      <w:tr w:rsidR="00453601" w14:paraId="0005D897" w14:textId="77777777" w:rsidTr="00A05DC7">
        <w:tc>
          <w:tcPr>
            <w:tcW w:w="2263" w:type="dxa"/>
          </w:tcPr>
          <w:p w14:paraId="57BED99A" w14:textId="2A217250" w:rsidR="00453601" w:rsidRPr="00453601" w:rsidRDefault="00453601" w:rsidP="00453601">
            <w:pPr>
              <w:spacing w:line="257" w:lineRule="auto"/>
              <w:rPr>
                <w:rFonts w:asciiTheme="majorHAnsi" w:hAnsiTheme="majorHAnsi" w:cstheme="majorHAnsi"/>
                <w:b/>
                <w:bCs/>
                <w:color w:val="0070C0"/>
              </w:rPr>
            </w:pPr>
            <w:r w:rsidRPr="00453601">
              <w:rPr>
                <w:rFonts w:asciiTheme="majorHAnsi" w:hAnsiTheme="majorHAnsi" w:cstheme="majorHAnsi"/>
                <w:b/>
                <w:bCs/>
                <w:color w:val="0070C0"/>
              </w:rPr>
              <w:t>Non-Monetary Benefit-Sharing</w:t>
            </w:r>
          </w:p>
        </w:tc>
        <w:tc>
          <w:tcPr>
            <w:tcW w:w="6231" w:type="dxa"/>
          </w:tcPr>
          <w:p w14:paraId="4FAECD46" w14:textId="1E3C325D" w:rsidR="00453601" w:rsidRDefault="005759AF" w:rsidP="00864EB7">
            <w:pPr>
              <w:spacing w:line="257" w:lineRule="auto"/>
            </w:pPr>
            <w:r>
              <w:t>S</w:t>
            </w:r>
            <w:r w:rsidRPr="00C510EF">
              <w:t>hould be equivalent</w:t>
            </w:r>
            <w:r w:rsidRPr="00F83022">
              <w:t xml:space="preserve"> to 75% (seventy five percent) of the monetary benefit</w:t>
            </w:r>
            <w:r>
              <w:t>-sharing amount</w:t>
            </w:r>
            <w:r w:rsidRPr="00F83022">
              <w:t>, in accordance with criteria set by CGen</w:t>
            </w:r>
          </w:p>
        </w:tc>
      </w:tr>
    </w:tbl>
    <w:p w14:paraId="503B56E5" w14:textId="3AB67542" w:rsidR="00864EB7" w:rsidRDefault="00864EB7" w:rsidP="00A05DC7">
      <w:pPr>
        <w:spacing w:line="257" w:lineRule="auto"/>
      </w:pPr>
    </w:p>
    <w:p w14:paraId="04BD2C89" w14:textId="71763001" w:rsidR="00EB7E4C" w:rsidRDefault="00EB7E4C" w:rsidP="00A05DC7">
      <w:pPr>
        <w:spacing w:line="257" w:lineRule="auto"/>
      </w:pPr>
    </w:p>
    <w:sectPr w:rsidR="00EB7E4C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E7F53" w14:textId="77777777" w:rsidR="00772224" w:rsidRDefault="00772224" w:rsidP="005759AF">
      <w:pPr>
        <w:spacing w:after="0" w:line="240" w:lineRule="auto"/>
      </w:pPr>
      <w:r>
        <w:separator/>
      </w:r>
    </w:p>
  </w:endnote>
  <w:endnote w:type="continuationSeparator" w:id="0">
    <w:p w14:paraId="1649F983" w14:textId="77777777" w:rsidR="00772224" w:rsidRDefault="00772224" w:rsidP="00575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68743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4C15C9" w14:textId="36ABAA17" w:rsidR="005759AF" w:rsidRDefault="005759AF">
        <w:pPr>
          <w:pStyle w:val="Footer"/>
          <w:jc w:val="center"/>
        </w:pPr>
        <w:r w:rsidRPr="005759AF">
          <w:rPr>
            <w:color w:val="0070C0"/>
          </w:rPr>
          <w:fldChar w:fldCharType="begin"/>
        </w:r>
        <w:r w:rsidRPr="005759AF">
          <w:rPr>
            <w:color w:val="0070C0"/>
          </w:rPr>
          <w:instrText xml:space="preserve"> PAGE   \* MERGEFORMAT </w:instrText>
        </w:r>
        <w:r w:rsidRPr="005759AF">
          <w:rPr>
            <w:color w:val="0070C0"/>
          </w:rPr>
          <w:fldChar w:fldCharType="separate"/>
        </w:r>
        <w:r w:rsidRPr="005759AF">
          <w:rPr>
            <w:noProof/>
            <w:color w:val="0070C0"/>
          </w:rPr>
          <w:t>2</w:t>
        </w:r>
        <w:r w:rsidRPr="005759AF">
          <w:rPr>
            <w:noProof/>
            <w:color w:val="0070C0"/>
          </w:rPr>
          <w:fldChar w:fldCharType="end"/>
        </w:r>
        <w:r w:rsidRPr="005759AF">
          <w:rPr>
            <w:noProof/>
            <w:color w:val="0070C0"/>
          </w:rPr>
          <w:t>/2</w:t>
        </w:r>
      </w:p>
    </w:sdtContent>
  </w:sdt>
  <w:p w14:paraId="4F114708" w14:textId="77777777" w:rsidR="005759AF" w:rsidRDefault="005759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F8CCA" w14:textId="77777777" w:rsidR="00772224" w:rsidRDefault="00772224" w:rsidP="005759AF">
      <w:pPr>
        <w:spacing w:after="0" w:line="240" w:lineRule="auto"/>
      </w:pPr>
      <w:r>
        <w:separator/>
      </w:r>
    </w:p>
  </w:footnote>
  <w:footnote w:type="continuationSeparator" w:id="0">
    <w:p w14:paraId="5A6707F2" w14:textId="77777777" w:rsidR="00772224" w:rsidRDefault="00772224" w:rsidP="00575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7DD15"/>
    <w:multiLevelType w:val="hybridMultilevel"/>
    <w:tmpl w:val="8D0EE0A0"/>
    <w:lvl w:ilvl="0" w:tplc="1A8EF8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03438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A0C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2A9B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2808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A2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0E4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002F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4B1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2224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EB7"/>
    <w:rsid w:val="003D21CB"/>
    <w:rsid w:val="00453601"/>
    <w:rsid w:val="004A7C4B"/>
    <w:rsid w:val="005759AF"/>
    <w:rsid w:val="00772224"/>
    <w:rsid w:val="00864EB7"/>
    <w:rsid w:val="009D5CDD"/>
    <w:rsid w:val="00A05DC7"/>
    <w:rsid w:val="00A6489C"/>
    <w:rsid w:val="00AB6FC7"/>
    <w:rsid w:val="00E13415"/>
    <w:rsid w:val="00EB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264AB"/>
  <w15:chartTrackingRefBased/>
  <w15:docId w15:val="{2130988F-DF00-4B6B-A6DE-EC6CE9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EB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4EB7"/>
    <w:pPr>
      <w:ind w:left="720"/>
      <w:contextualSpacing/>
    </w:pPr>
  </w:style>
  <w:style w:type="table" w:styleId="TableGrid">
    <w:name w:val="Table Grid"/>
    <w:basedOn w:val="TableNormal"/>
    <w:uiPriority w:val="39"/>
    <w:rsid w:val="00A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759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9A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59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9A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786</Words>
  <Characters>4249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Jungmann</dc:creator>
  <cp:keywords/>
  <dc:description/>
  <cp:lastModifiedBy>Diana Jungmann</cp:lastModifiedBy>
  <cp:revision>3</cp:revision>
  <dcterms:created xsi:type="dcterms:W3CDTF">2022-11-28T02:49:00Z</dcterms:created>
  <dcterms:modified xsi:type="dcterms:W3CDTF">2022-12-04T19:39:00Z</dcterms:modified>
</cp:coreProperties>
</file>