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9946" w14:textId="63DB48BE" w:rsidR="00964D67" w:rsidRPr="0042064D" w:rsidRDefault="0042064D">
      <w:pPr>
        <w:rPr>
          <w:lang w:val="en-US"/>
        </w:rPr>
      </w:pPr>
      <w:r>
        <w:rPr>
          <w:b/>
          <w:bCs/>
          <w:lang w:val="en-US"/>
        </w:rPr>
        <w:t xml:space="preserve">Supplementary Table 1: </w:t>
      </w:r>
      <w:r>
        <w:rPr>
          <w:lang w:val="en-US"/>
        </w:rPr>
        <w:t>Safety profile of previous LNP-mRNA products</w:t>
      </w:r>
    </w:p>
    <w:tbl>
      <w:tblPr>
        <w:tblStyle w:val="TableGrid"/>
        <w:tblW w:w="13042" w:type="dxa"/>
        <w:tblInd w:w="-998" w:type="dxa"/>
        <w:tblLayout w:type="fixed"/>
        <w:tblLook w:val="04A0" w:firstRow="1" w:lastRow="0" w:firstColumn="1" w:lastColumn="0" w:noHBand="0" w:noVBand="1"/>
      </w:tblPr>
      <w:tblGrid>
        <w:gridCol w:w="1277"/>
        <w:gridCol w:w="1134"/>
        <w:gridCol w:w="1276"/>
        <w:gridCol w:w="1559"/>
        <w:gridCol w:w="1559"/>
        <w:gridCol w:w="2126"/>
        <w:gridCol w:w="1559"/>
        <w:gridCol w:w="1418"/>
        <w:gridCol w:w="1134"/>
      </w:tblGrid>
      <w:tr w:rsidR="00E06DFC" w:rsidRPr="00E06DFC" w14:paraId="55A1E7C3" w14:textId="77777777" w:rsidTr="00E06DFC">
        <w:tc>
          <w:tcPr>
            <w:tcW w:w="1277" w:type="dxa"/>
          </w:tcPr>
          <w:p w14:paraId="716F7BDD"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Intervention</w:t>
            </w:r>
          </w:p>
          <w:p w14:paraId="16553FD8" w14:textId="77060E75"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type</w:t>
            </w:r>
          </w:p>
        </w:tc>
        <w:tc>
          <w:tcPr>
            <w:tcW w:w="1134" w:type="dxa"/>
          </w:tcPr>
          <w:p w14:paraId="5F7EF910"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Treatment</w:t>
            </w:r>
          </w:p>
          <w:p w14:paraId="2525D27A"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Target</w:t>
            </w:r>
          </w:p>
        </w:tc>
        <w:tc>
          <w:tcPr>
            <w:tcW w:w="1276" w:type="dxa"/>
          </w:tcPr>
          <w:p w14:paraId="370848DE" w14:textId="1355C736"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Payload (Protein/RNA expressed)</w:t>
            </w:r>
          </w:p>
        </w:tc>
        <w:tc>
          <w:tcPr>
            <w:tcW w:w="1559" w:type="dxa"/>
          </w:tcPr>
          <w:p w14:paraId="53E04F7A"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Manufacturer</w:t>
            </w:r>
          </w:p>
        </w:tc>
        <w:tc>
          <w:tcPr>
            <w:tcW w:w="1559" w:type="dxa"/>
          </w:tcPr>
          <w:p w14:paraId="5F55EB90"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P</w:t>
            </w:r>
            <w:r w:rsidRPr="00E06DFC">
              <w:rPr>
                <w:rFonts w:ascii="Times New Roman" w:hAnsi="Times New Roman" w:cs="Times New Roman"/>
                <w:sz w:val="20"/>
                <w:szCs w:val="20"/>
                <w:lang w:val="en-GB"/>
              </w:rPr>
              <w:softHyphen/>
              <w:t>roduct</w:t>
            </w:r>
          </w:p>
        </w:tc>
        <w:tc>
          <w:tcPr>
            <w:tcW w:w="2126" w:type="dxa"/>
          </w:tcPr>
          <w:p w14:paraId="384F1A07"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Trials</w:t>
            </w:r>
          </w:p>
        </w:tc>
        <w:tc>
          <w:tcPr>
            <w:tcW w:w="1559" w:type="dxa"/>
          </w:tcPr>
          <w:p w14:paraId="627F119B"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(AE rate)</w:t>
            </w:r>
          </w:p>
          <w:p w14:paraId="4DA65F80" w14:textId="3FD3468B"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[SAE rate]</w:t>
            </w:r>
          </w:p>
        </w:tc>
        <w:tc>
          <w:tcPr>
            <w:tcW w:w="1418" w:type="dxa"/>
          </w:tcPr>
          <w:p w14:paraId="02AA8CFE" w14:textId="3D0DD703"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Severe Adverse reactions</w:t>
            </w:r>
          </w:p>
        </w:tc>
        <w:tc>
          <w:tcPr>
            <w:tcW w:w="1134" w:type="dxa"/>
          </w:tcPr>
          <w:p w14:paraId="63EF976E" w14:textId="77777777" w:rsidR="00E06DFC" w:rsidRPr="00E06DFC" w:rsidRDefault="00E06DFC" w:rsidP="005D6FFF">
            <w:pPr>
              <w:rPr>
                <w:rFonts w:ascii="Times New Roman" w:hAnsi="Times New Roman" w:cs="Times New Roman"/>
                <w:sz w:val="20"/>
                <w:szCs w:val="20"/>
                <w:lang w:val="en-GB"/>
              </w:rPr>
            </w:pPr>
            <w:r w:rsidRPr="00E06DFC">
              <w:rPr>
                <w:rFonts w:ascii="Times New Roman" w:hAnsi="Times New Roman" w:cs="Times New Roman"/>
                <w:sz w:val="20"/>
                <w:szCs w:val="20"/>
                <w:lang w:val="en-GB"/>
              </w:rPr>
              <w:t>Reference</w:t>
            </w:r>
          </w:p>
        </w:tc>
      </w:tr>
      <w:tr w:rsidR="00E06DFC" w:rsidRPr="00E06DFC" w14:paraId="79C0804A" w14:textId="77777777" w:rsidTr="00E06DFC">
        <w:tc>
          <w:tcPr>
            <w:tcW w:w="1277" w:type="dxa"/>
          </w:tcPr>
          <w:p w14:paraId="3F450C37"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LNP delivery of non-expressed RNA</w:t>
            </w:r>
          </w:p>
          <w:p w14:paraId="56F274CB" w14:textId="77777777" w:rsidR="00E06DFC" w:rsidRPr="00E06DFC" w:rsidRDefault="00E06DFC" w:rsidP="00E6447E">
            <w:pPr>
              <w:rPr>
                <w:rFonts w:ascii="Times New Roman" w:hAnsi="Times New Roman" w:cs="Times New Roman"/>
                <w:sz w:val="20"/>
                <w:szCs w:val="20"/>
                <w:lang w:val="en-GB"/>
              </w:rPr>
            </w:pPr>
          </w:p>
        </w:tc>
        <w:tc>
          <w:tcPr>
            <w:tcW w:w="1134" w:type="dxa"/>
          </w:tcPr>
          <w:p w14:paraId="2E8A8CFE"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Polyneuropathies</w:t>
            </w:r>
          </w:p>
          <w:p w14:paraId="2E776F48" w14:textId="049A4D0D" w:rsidR="00E06DFC" w:rsidRPr="00E06DFC" w:rsidRDefault="00E06DFC" w:rsidP="00E6447E">
            <w:pPr>
              <w:rPr>
                <w:rFonts w:ascii="Times New Roman" w:hAnsi="Times New Roman" w:cs="Times New Roman"/>
                <w:sz w:val="20"/>
                <w:szCs w:val="20"/>
                <w:lang w:val="en-GB"/>
              </w:rPr>
            </w:pPr>
          </w:p>
        </w:tc>
        <w:tc>
          <w:tcPr>
            <w:tcW w:w="1276" w:type="dxa"/>
          </w:tcPr>
          <w:p w14:paraId="36F4E756" w14:textId="2BC0700D"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siRNA to silence transthyretin</w:t>
            </w:r>
          </w:p>
        </w:tc>
        <w:tc>
          <w:tcPr>
            <w:tcW w:w="1559" w:type="dxa"/>
          </w:tcPr>
          <w:p w14:paraId="6C5BA156" w14:textId="342CE08E"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Sanofi Genzyme</w:t>
            </w:r>
          </w:p>
        </w:tc>
        <w:tc>
          <w:tcPr>
            <w:tcW w:w="1559" w:type="dxa"/>
          </w:tcPr>
          <w:p w14:paraId="12494AF1" w14:textId="7D76CA84" w:rsidR="00E06DFC" w:rsidRPr="00E06DFC" w:rsidRDefault="00E06DFC" w:rsidP="00E6447E">
            <w:pPr>
              <w:rPr>
                <w:rFonts w:ascii="Times New Roman" w:hAnsi="Times New Roman" w:cs="Times New Roman"/>
                <w:sz w:val="20"/>
                <w:szCs w:val="20"/>
                <w:lang w:val="en-GB"/>
              </w:rPr>
            </w:pPr>
            <w:proofErr w:type="spellStart"/>
            <w:r w:rsidRPr="00E06DFC">
              <w:rPr>
                <w:rFonts w:ascii="Times New Roman" w:hAnsi="Times New Roman" w:cs="Times New Roman"/>
                <w:sz w:val="20"/>
                <w:szCs w:val="20"/>
                <w:lang w:val="en-GB"/>
              </w:rPr>
              <w:t>Onpattro</w:t>
            </w:r>
            <w:proofErr w:type="spellEnd"/>
            <w:r w:rsidRPr="00E06DFC">
              <w:rPr>
                <w:rFonts w:ascii="Times New Roman" w:hAnsi="Times New Roman" w:cs="Times New Roman"/>
                <w:sz w:val="20"/>
                <w:szCs w:val="20"/>
                <w:lang w:val="en-GB"/>
              </w:rPr>
              <w:t>/</w:t>
            </w:r>
            <w:proofErr w:type="spellStart"/>
            <w:r w:rsidRPr="00E06DFC">
              <w:rPr>
                <w:rFonts w:ascii="Times New Roman" w:hAnsi="Times New Roman" w:cs="Times New Roman"/>
                <w:sz w:val="20"/>
                <w:szCs w:val="20"/>
                <w:lang w:val="en-GB"/>
              </w:rPr>
              <w:t>patisiran</w:t>
            </w:r>
            <w:proofErr w:type="spellEnd"/>
          </w:p>
        </w:tc>
        <w:tc>
          <w:tcPr>
            <w:tcW w:w="2126" w:type="dxa"/>
          </w:tcPr>
          <w:p w14:paraId="285D43A2" w14:textId="77777777"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sz w:val="20"/>
                <w:szCs w:val="20"/>
                <w:lang w:val="en-GB"/>
              </w:rPr>
              <w:t>Phase I:</w:t>
            </w:r>
            <w:r w:rsidRPr="00E06DFC">
              <w:rPr>
                <w:rFonts w:ascii="Times New Roman" w:hAnsi="Times New Roman" w:cs="Times New Roman"/>
                <w:color w:val="000000"/>
                <w:sz w:val="20"/>
                <w:szCs w:val="20"/>
                <w:shd w:val="clear" w:color="auto" w:fill="FFFFFF"/>
              </w:rPr>
              <w:t xml:space="preserve"> </w:t>
            </w:r>
          </w:p>
          <w:p w14:paraId="1CF876F2"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rPr>
              <w:t>NCT01559077</w:t>
            </w:r>
            <w:r w:rsidRPr="00E06DFC">
              <w:rPr>
                <w:rFonts w:ascii="Times New Roman" w:hAnsi="Times New Roman" w:cs="Times New Roman"/>
                <w:color w:val="000000"/>
                <w:sz w:val="20"/>
                <w:szCs w:val="20"/>
                <w:shd w:val="clear" w:color="auto" w:fill="FFFFFF"/>
                <w:lang w:val="en-US"/>
              </w:rPr>
              <w:t xml:space="preserve"> (2012)</w:t>
            </w:r>
          </w:p>
          <w:p w14:paraId="02F7D445" w14:textId="77777777" w:rsidR="00E06DFC" w:rsidRPr="00E06DFC" w:rsidRDefault="00000000" w:rsidP="00E6447E">
            <w:pPr>
              <w:rPr>
                <w:rFonts w:ascii="Times New Roman" w:hAnsi="Times New Roman" w:cs="Times New Roman"/>
                <w:sz w:val="20"/>
                <w:szCs w:val="20"/>
                <w:lang w:val="en-US"/>
              </w:rPr>
            </w:pPr>
            <w:hyperlink r:id="rId4" w:tooltip="Current version of study NCT02053454 on ClinicalTrials.gov" w:history="1">
              <w:r w:rsidR="00E06DFC" w:rsidRPr="00E06DFC">
                <w:rPr>
                  <w:rStyle w:val="Hyperlink"/>
                  <w:rFonts w:ascii="Times New Roman" w:hAnsi="Times New Roman" w:cs="Times New Roman"/>
                  <w:color w:val="1A3D85"/>
                  <w:sz w:val="20"/>
                  <w:szCs w:val="20"/>
                  <w:u w:val="none"/>
                  <w:shd w:val="clear" w:color="auto" w:fill="FFFFFF"/>
                </w:rPr>
                <w:t>NCT02053454</w:t>
              </w:r>
            </w:hyperlink>
            <w:r w:rsidR="00E06DFC" w:rsidRPr="00E06DFC">
              <w:rPr>
                <w:rFonts w:ascii="Times New Roman" w:hAnsi="Times New Roman" w:cs="Times New Roman"/>
                <w:sz w:val="20"/>
                <w:szCs w:val="20"/>
                <w:lang w:val="en-US"/>
              </w:rPr>
              <w:t xml:space="preserve"> (2014)</w:t>
            </w:r>
          </w:p>
          <w:p w14:paraId="789710F0"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2:</w:t>
            </w:r>
          </w:p>
          <w:p w14:paraId="5671B808" w14:textId="77777777" w:rsidR="00E06DFC" w:rsidRPr="00E06DFC" w:rsidRDefault="00E06DFC" w:rsidP="00E6447E">
            <w:pPr>
              <w:rPr>
                <w:rFonts w:ascii="Times New Roman" w:hAnsi="Times New Roman" w:cs="Times New Roman"/>
                <w:color w:val="000000"/>
                <w:sz w:val="20"/>
                <w:szCs w:val="20"/>
                <w:lang w:val="en-US"/>
              </w:rPr>
            </w:pPr>
            <w:r w:rsidRPr="00E06DFC">
              <w:rPr>
                <w:rFonts w:ascii="Times New Roman" w:hAnsi="Times New Roman" w:cs="Times New Roman"/>
                <w:color w:val="000000"/>
                <w:sz w:val="20"/>
                <w:szCs w:val="20"/>
              </w:rPr>
              <w:t>NCT01617967</w:t>
            </w:r>
            <w:r w:rsidRPr="00E06DFC">
              <w:rPr>
                <w:rFonts w:ascii="Times New Roman" w:hAnsi="Times New Roman" w:cs="Times New Roman"/>
                <w:color w:val="000000"/>
                <w:sz w:val="20"/>
                <w:szCs w:val="20"/>
                <w:lang w:val="en-US"/>
              </w:rPr>
              <w:t>(2012)</w:t>
            </w:r>
          </w:p>
          <w:p w14:paraId="63ADEA96" w14:textId="77777777" w:rsidR="00E06DFC" w:rsidRPr="00E06DFC" w:rsidRDefault="00E06DFC" w:rsidP="00E6447E">
            <w:pPr>
              <w:rPr>
                <w:rFonts w:ascii="Times New Roman" w:hAnsi="Times New Roman" w:cs="Times New Roman"/>
                <w:color w:val="000000"/>
                <w:sz w:val="20"/>
                <w:szCs w:val="20"/>
                <w:lang w:val="en-US"/>
              </w:rPr>
            </w:pPr>
            <w:r w:rsidRPr="00E06DFC">
              <w:rPr>
                <w:rFonts w:ascii="Times New Roman" w:hAnsi="Times New Roman" w:cs="Times New Roman"/>
                <w:color w:val="000000"/>
                <w:sz w:val="20"/>
                <w:szCs w:val="20"/>
                <w:shd w:val="clear" w:color="auto" w:fill="FFFFFF"/>
              </w:rPr>
              <w:t>NCT01961921</w:t>
            </w:r>
            <w:r w:rsidRPr="00E06DFC">
              <w:rPr>
                <w:rFonts w:ascii="Times New Roman" w:hAnsi="Times New Roman" w:cs="Times New Roman"/>
                <w:color w:val="000000"/>
                <w:sz w:val="20"/>
                <w:szCs w:val="20"/>
                <w:shd w:val="clear" w:color="auto" w:fill="FFFFFF"/>
                <w:lang w:val="en-US"/>
              </w:rPr>
              <w:t xml:space="preserve"> (2013)</w:t>
            </w:r>
          </w:p>
          <w:p w14:paraId="220D7AF9"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3:</w:t>
            </w:r>
          </w:p>
          <w:p w14:paraId="7A336D4F" w14:textId="4DE4E8B4"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rPr>
              <w:t>NCT01960348</w:t>
            </w:r>
            <w:r w:rsidRPr="00E06DFC">
              <w:rPr>
                <w:rFonts w:ascii="Times New Roman" w:hAnsi="Times New Roman" w:cs="Times New Roman"/>
                <w:color w:val="000000"/>
                <w:sz w:val="20"/>
                <w:szCs w:val="20"/>
                <w:shd w:val="clear" w:color="auto" w:fill="FFFFFF"/>
                <w:lang w:val="en-US"/>
              </w:rPr>
              <w:t xml:space="preserve"> (2013-2017)</w:t>
            </w:r>
          </w:p>
          <w:p w14:paraId="21F55B26" w14:textId="69D58C2D" w:rsidR="00E06DFC" w:rsidRPr="00E06DFC" w:rsidRDefault="00E06DFC" w:rsidP="00E6447E">
            <w:pPr>
              <w:rPr>
                <w:rFonts w:ascii="Times New Roman" w:hAnsi="Times New Roman" w:cs="Times New Roman"/>
                <w:color w:val="000000"/>
                <w:sz w:val="20"/>
                <w:szCs w:val="20"/>
                <w:shd w:val="clear" w:color="auto" w:fill="F9F9F9"/>
                <w:lang w:val="en-US"/>
              </w:rPr>
            </w:pPr>
            <w:r w:rsidRPr="00E06DFC">
              <w:rPr>
                <w:rFonts w:ascii="Times New Roman" w:hAnsi="Times New Roman" w:cs="Times New Roman"/>
                <w:color w:val="000000"/>
                <w:sz w:val="20"/>
                <w:szCs w:val="20"/>
                <w:shd w:val="clear" w:color="auto" w:fill="F9F9F9"/>
              </w:rPr>
              <w:t>NCT02510261</w:t>
            </w:r>
            <w:r w:rsidRPr="00E06DFC">
              <w:rPr>
                <w:rFonts w:ascii="Times New Roman" w:hAnsi="Times New Roman" w:cs="Times New Roman"/>
                <w:color w:val="000000"/>
                <w:sz w:val="20"/>
                <w:szCs w:val="20"/>
                <w:shd w:val="clear" w:color="auto" w:fill="F9F9F9"/>
                <w:lang w:val="en-US"/>
              </w:rPr>
              <w:t xml:space="preserve"> (2015)</w:t>
            </w:r>
          </w:p>
          <w:p w14:paraId="5CB68690" w14:textId="406F7E3A" w:rsidR="00E06DFC" w:rsidRPr="00E06DFC" w:rsidRDefault="00E06DFC" w:rsidP="00E6447E">
            <w:pPr>
              <w:rPr>
                <w:rFonts w:ascii="Times New Roman" w:hAnsi="Times New Roman" w:cs="Times New Roman"/>
                <w:color w:val="000000"/>
                <w:sz w:val="20"/>
                <w:szCs w:val="20"/>
                <w:shd w:val="clear" w:color="auto" w:fill="F9F9F9"/>
                <w:lang w:val="en-US"/>
              </w:rPr>
            </w:pPr>
            <w:r w:rsidRPr="00E06DFC">
              <w:rPr>
                <w:rFonts w:ascii="Times New Roman" w:hAnsi="Times New Roman" w:cs="Times New Roman"/>
                <w:color w:val="000000"/>
                <w:sz w:val="20"/>
                <w:szCs w:val="20"/>
                <w:shd w:val="clear" w:color="auto" w:fill="F9F9F9"/>
              </w:rPr>
              <w:t>NCT03759379</w:t>
            </w:r>
            <w:r w:rsidRPr="00E06DFC">
              <w:rPr>
                <w:rFonts w:ascii="Times New Roman" w:hAnsi="Times New Roman" w:cs="Times New Roman"/>
                <w:color w:val="000000"/>
                <w:sz w:val="20"/>
                <w:szCs w:val="20"/>
                <w:shd w:val="clear" w:color="auto" w:fill="F9F9F9"/>
                <w:lang w:val="en-US"/>
              </w:rPr>
              <w:t xml:space="preserve"> (2019)</w:t>
            </w:r>
          </w:p>
          <w:p w14:paraId="61552045" w14:textId="104A55C8" w:rsidR="00E06DFC" w:rsidRPr="00E06DFC" w:rsidRDefault="00E06DFC" w:rsidP="00E6447E">
            <w:pPr>
              <w:rPr>
                <w:rFonts w:ascii="Times New Roman" w:hAnsi="Times New Roman" w:cs="Times New Roman"/>
                <w:color w:val="000000"/>
                <w:sz w:val="20"/>
                <w:szCs w:val="20"/>
                <w:lang w:val="en-US"/>
              </w:rPr>
            </w:pPr>
            <w:r w:rsidRPr="00E06DFC">
              <w:rPr>
                <w:rFonts w:ascii="Times New Roman" w:hAnsi="Times New Roman" w:cs="Times New Roman"/>
                <w:color w:val="000000"/>
                <w:sz w:val="20"/>
                <w:szCs w:val="20"/>
              </w:rPr>
              <w:t>NCT03862807</w:t>
            </w:r>
            <w:r w:rsidRPr="00E06DFC">
              <w:rPr>
                <w:rFonts w:ascii="Times New Roman" w:hAnsi="Times New Roman" w:cs="Times New Roman"/>
                <w:color w:val="000000"/>
                <w:sz w:val="20"/>
                <w:szCs w:val="20"/>
                <w:lang w:val="en-US"/>
              </w:rPr>
              <w:t xml:space="preserve"> (2019)</w:t>
            </w:r>
          </w:p>
          <w:p w14:paraId="19C3EEBB" w14:textId="0EC9A3EA" w:rsidR="00E06DFC" w:rsidRPr="00E06DFC" w:rsidRDefault="00E06DFC" w:rsidP="00E6447E">
            <w:pPr>
              <w:rPr>
                <w:rFonts w:ascii="Times New Roman" w:hAnsi="Times New Roman" w:cs="Times New Roman"/>
                <w:color w:val="000000"/>
                <w:sz w:val="20"/>
                <w:szCs w:val="20"/>
                <w:lang w:val="en-US"/>
              </w:rPr>
            </w:pPr>
            <w:r w:rsidRPr="00E06DFC">
              <w:rPr>
                <w:rFonts w:ascii="Times New Roman" w:hAnsi="Times New Roman" w:cs="Times New Roman"/>
                <w:color w:val="000000"/>
                <w:sz w:val="20"/>
                <w:szCs w:val="20"/>
                <w:shd w:val="clear" w:color="auto" w:fill="FFFFFF"/>
              </w:rPr>
              <w:t>NCT03997383</w:t>
            </w:r>
            <w:r w:rsidRPr="00E06DFC">
              <w:rPr>
                <w:rFonts w:ascii="Times New Roman" w:hAnsi="Times New Roman" w:cs="Times New Roman"/>
                <w:color w:val="000000"/>
                <w:sz w:val="20"/>
                <w:szCs w:val="20"/>
                <w:shd w:val="clear" w:color="auto" w:fill="FFFFFF"/>
                <w:lang w:val="en-US"/>
              </w:rPr>
              <w:t xml:space="preserve"> (2019)</w:t>
            </w:r>
          </w:p>
        </w:tc>
        <w:tc>
          <w:tcPr>
            <w:tcW w:w="1559" w:type="dxa"/>
          </w:tcPr>
          <w:p w14:paraId="4C1BC1B2" w14:textId="17E2C37F"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(3/29, 10%)</w:t>
            </w:r>
          </w:p>
          <w:p w14:paraId="0CAA327C" w14:textId="732B08F8"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[2/29, 6%]</w:t>
            </w:r>
          </w:p>
        </w:tc>
        <w:tc>
          <w:tcPr>
            <w:tcW w:w="1418" w:type="dxa"/>
          </w:tcPr>
          <w:p w14:paraId="02525C72" w14:textId="77777777" w:rsidR="00E06DFC" w:rsidRPr="00E06DFC" w:rsidRDefault="00E06DFC" w:rsidP="00E6447E">
            <w:pPr>
              <w:rPr>
                <w:rFonts w:ascii="Times New Roman" w:hAnsi="Times New Roman" w:cs="Times New Roman"/>
                <w:color w:val="212121"/>
                <w:sz w:val="20"/>
                <w:szCs w:val="20"/>
                <w:shd w:val="clear" w:color="auto" w:fill="FFFFFF"/>
                <w:lang w:val="en-US"/>
              </w:rPr>
            </w:pPr>
            <w:r w:rsidRPr="00E06DFC">
              <w:rPr>
                <w:rFonts w:ascii="Times New Roman" w:hAnsi="Times New Roman" w:cs="Times New Roman"/>
                <w:color w:val="212121"/>
                <w:sz w:val="20"/>
                <w:szCs w:val="20"/>
                <w:shd w:val="clear" w:color="auto" w:fill="FFFFFF"/>
              </w:rPr>
              <w:t>urinary tract infection, sepsis, nausea, vomiting</w:t>
            </w:r>
            <w:r w:rsidRPr="00E06DFC">
              <w:rPr>
                <w:rFonts w:ascii="Times New Roman" w:hAnsi="Times New Roman" w:cs="Times New Roman"/>
                <w:color w:val="212121"/>
                <w:sz w:val="20"/>
                <w:szCs w:val="20"/>
                <w:shd w:val="clear" w:color="auto" w:fill="FFFFFF"/>
                <w:lang w:val="en-US"/>
              </w:rPr>
              <w:t>,</w:t>
            </w:r>
          </w:p>
          <w:p w14:paraId="785F7B83" w14:textId="4901BF9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212121"/>
                <w:sz w:val="20"/>
                <w:szCs w:val="20"/>
                <w:shd w:val="clear" w:color="auto" w:fill="FFFFFF"/>
              </w:rPr>
              <w:t>extravasation-related cellulitis</w:t>
            </w:r>
          </w:p>
        </w:tc>
        <w:tc>
          <w:tcPr>
            <w:tcW w:w="1134" w:type="dxa"/>
          </w:tcPr>
          <w:p w14:paraId="021240D6" w14:textId="66C05975"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en-GB"/>
              </w:rPr>
              <w:instrText xml:space="preserve"> ADDIN ZOTERO_ITEM CSL_CITATION {"citationID":"vJNou3Oz","properties":{"formattedCitation":"[1]","plainCitation":"[1]","noteIndex":0},"citationItems":[{"id":5690,"uris":["http://zotero.org/users/7565624/items/7VGS3CXE"],"itemData":{"id":5690,"type":"article-journal","abstract":"BACKGROUND: Transthyretin-mediated amyloidosis is an inherited, progressively debilitating disease caused by mutations in the transthyretin gene. This study evaluated the safety, tolerability, pharmacokinetics, and pharmacodynamics of multiple doses of patisiran (ALN-TTR02), a small interfering RNA encapsulated within lipid nanoparticles, in patients with transthyretin-mediated familial amyloid polyneuropathy (FAP).\nMETHODS: In this phase II study, patients with FAP were administered 2 intravenous infusions of patisiran at one of the following doses: 0.01 (n = 4), 0.05 (n = 3), 0.15 (n = 3), or 0.3 (n = 7) mg/kg every 4 weeks (Q4W), or 0.3 mg/kg (n = 12) every 3 weeks (Q3W).\nRESULTS: Of 29 patients in the intent-to-treat population, 26 completed the study. Administration of patisiran led to rapid, dose-dependent, and durable knockdown of transthyretin, with the maximum effect seen with patisiran 0.3 mg/kg; levels of mutant and wild-type transthyretin were reduced to a similar extent in Val30Met patients. A mean level of knockdown exceeding 85 % after the second dose, with maximum knockdown of 96 %, was observed for the Q3W dose. The most common treatment-related adverse event (AE) was mild-to-moderate infusion-related reactions in 10.3 % of patients. Four serious AEs (SAEs) were reported in 1 patient administered 0.3 mg/kg Q3W (urinary tract infection, sepsis, nausea, vomiting), and 1 patient administered 0.3 mg/kg Q4W had 1 SAE (extravasation-related cellulitis).\nCONCLUSIONS: Patisiran was generally well tolerated and resulted in significant dose-dependent knockdown of transthyretin protein in patients with FAP. Patisiran 0.3 mg/kg Q3W is currently in phase III development.\nTRIAL REGISTRATION NUMBER: NCT01617967 .","container-title":"Orphanet Journal of Rare Diseases","DOI":"10.1186/s13023-015-0326-6","ISSN":"1750-1172","journalAbbreviation":"Orphanet J Rare Dis","language":"eng","note":"PMID: 26338094\nPMCID: PMC4559363","page":"109","source":"PubMed","title":"Efficacy and safety of patisiran for familial amyloidotic polyneuropathy: a phase II multi-dose study","title-short":"Efficacy and safety of patisiran for familial amyloidotic polyneuropathy","volume":"10","author":[{"family":"Suhr","given":"Ole B."},{"family":"Coelho","given":"Teresa"},{"family":"Buades","given":"Juan"},{"family":"Pouget","given":"Jean"},{"family":"Conceicao","given":"Isabel"},{"family":"Berk","given":"John"},{"family":"Schmidt","given":"Hartmut"},{"family":"Waddington-Cruz","given":"Márcia"},{"family":"Campistol","given":"Josep M."},{"family":"Bettencourt","given":"Brian R."},{"family":"Vaishnaw","given":"Akshay"},{"family":"Gollob","given":"Jared"},{"family":"Adams","given":"David"}],"issued":{"date-parts":[["2015",9,4]]}}}],"schema":"https://github.com/citation-style-language/schema/raw/master/csl-citation.json"}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[1]</w:t>
            </w:r>
            <w:r w:rsidRPr="00E06DFC">
              <w:rPr>
                <w:rFonts w:ascii="Times New Roman" w:hAnsi="Times New Roman" w:cs="Times New Roman"/>
                <w:sz w:val="20"/>
                <w:szCs w:val="20"/>
                <w:lang w:val="en-GB"/>
              </w:rPr>
              <w:fldChar w:fldCharType="end"/>
            </w:r>
          </w:p>
        </w:tc>
      </w:tr>
      <w:tr w:rsidR="00E06DFC" w:rsidRPr="00E06DFC" w14:paraId="2EE233EE" w14:textId="77777777" w:rsidTr="00E06DFC">
        <w:tc>
          <w:tcPr>
            <w:tcW w:w="1277" w:type="dxa"/>
          </w:tcPr>
          <w:p w14:paraId="740E5378" w14:textId="77777777" w:rsidR="00E06DFC" w:rsidRPr="00E06DFC" w:rsidRDefault="00E06DFC" w:rsidP="00E6447E">
            <w:pPr>
              <w:rPr>
                <w:rFonts w:ascii="Times New Roman" w:hAnsi="Times New Roman" w:cs="Times New Roman"/>
                <w:sz w:val="20"/>
                <w:szCs w:val="20"/>
                <w:lang w:val="en-GB"/>
              </w:rPr>
            </w:pPr>
          </w:p>
        </w:tc>
        <w:tc>
          <w:tcPr>
            <w:tcW w:w="1134" w:type="dxa"/>
          </w:tcPr>
          <w:p w14:paraId="64A515E8" w14:textId="77777777" w:rsidR="00E06DFC" w:rsidRPr="00E06DFC" w:rsidRDefault="00E06DFC" w:rsidP="00E6447E">
            <w:pPr>
              <w:rPr>
                <w:rFonts w:ascii="Times New Roman" w:hAnsi="Times New Roman" w:cs="Times New Roman"/>
                <w:sz w:val="20"/>
                <w:szCs w:val="20"/>
                <w:lang w:val="en-GB"/>
              </w:rPr>
            </w:pPr>
          </w:p>
        </w:tc>
        <w:tc>
          <w:tcPr>
            <w:tcW w:w="1276" w:type="dxa"/>
          </w:tcPr>
          <w:p w14:paraId="2C46541A" w14:textId="77777777" w:rsidR="00E06DFC" w:rsidRPr="00E06DFC" w:rsidRDefault="00E06DFC" w:rsidP="00E6447E">
            <w:pPr>
              <w:rPr>
                <w:rFonts w:ascii="Times New Roman" w:hAnsi="Times New Roman" w:cs="Times New Roman"/>
                <w:sz w:val="20"/>
                <w:szCs w:val="20"/>
                <w:lang w:val="en-GB"/>
              </w:rPr>
            </w:pPr>
          </w:p>
        </w:tc>
        <w:tc>
          <w:tcPr>
            <w:tcW w:w="1559" w:type="dxa"/>
          </w:tcPr>
          <w:p w14:paraId="211535B9" w14:textId="77777777" w:rsidR="00E06DFC" w:rsidRPr="00E06DFC" w:rsidRDefault="00E06DFC" w:rsidP="00E6447E">
            <w:pPr>
              <w:rPr>
                <w:rFonts w:ascii="Times New Roman" w:hAnsi="Times New Roman" w:cs="Times New Roman"/>
                <w:sz w:val="20"/>
                <w:szCs w:val="20"/>
                <w:lang w:val="en-GB"/>
              </w:rPr>
            </w:pPr>
          </w:p>
        </w:tc>
        <w:tc>
          <w:tcPr>
            <w:tcW w:w="1559" w:type="dxa"/>
          </w:tcPr>
          <w:p w14:paraId="45BAD099" w14:textId="52712D13" w:rsidR="00E06DFC" w:rsidRPr="00E06DFC" w:rsidRDefault="00E06DFC" w:rsidP="00E6447E">
            <w:pPr>
              <w:rPr>
                <w:rFonts w:ascii="Times New Roman" w:hAnsi="Times New Roman" w:cs="Times New Roman"/>
                <w:sz w:val="20"/>
                <w:szCs w:val="20"/>
                <w:lang w:val="en-GB"/>
              </w:rPr>
            </w:pPr>
            <w:proofErr w:type="spellStart"/>
            <w:r w:rsidRPr="00E06DFC">
              <w:rPr>
                <w:rFonts w:ascii="Times New Roman" w:hAnsi="Times New Roman" w:cs="Times New Roman"/>
                <w:sz w:val="20"/>
                <w:szCs w:val="20"/>
                <w:lang w:val="en-GB"/>
              </w:rPr>
              <w:t>Givosiran</w:t>
            </w:r>
            <w:proofErr w:type="spellEnd"/>
          </w:p>
        </w:tc>
        <w:tc>
          <w:tcPr>
            <w:tcW w:w="2126" w:type="dxa"/>
          </w:tcPr>
          <w:p w14:paraId="66AA5681" w14:textId="77777777" w:rsidR="00E06DFC" w:rsidRPr="00E06DFC" w:rsidRDefault="00E06DFC" w:rsidP="00E6447E">
            <w:pPr>
              <w:rPr>
                <w:rFonts w:ascii="Times New Roman" w:hAnsi="Times New Roman" w:cs="Times New Roman"/>
                <w:sz w:val="20"/>
                <w:szCs w:val="20"/>
                <w:lang w:val="en-GB"/>
              </w:rPr>
            </w:pPr>
          </w:p>
        </w:tc>
        <w:tc>
          <w:tcPr>
            <w:tcW w:w="1559" w:type="dxa"/>
          </w:tcPr>
          <w:p w14:paraId="2FC58D86" w14:textId="300D1B4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[6/40, 15%]</w:t>
            </w:r>
          </w:p>
        </w:tc>
        <w:tc>
          <w:tcPr>
            <w:tcW w:w="1418" w:type="dxa"/>
          </w:tcPr>
          <w:p w14:paraId="48D30E6B" w14:textId="77777777" w:rsidR="00E06DFC" w:rsidRPr="00E06DFC" w:rsidRDefault="00E06DFC" w:rsidP="00E6447E">
            <w:pPr>
              <w:rPr>
                <w:rFonts w:ascii="Times New Roman" w:hAnsi="Times New Roman" w:cs="Times New Roman"/>
                <w:sz w:val="20"/>
                <w:szCs w:val="20"/>
                <w:lang w:val="en-GB"/>
              </w:rPr>
            </w:pPr>
          </w:p>
        </w:tc>
        <w:tc>
          <w:tcPr>
            <w:tcW w:w="1134" w:type="dxa"/>
          </w:tcPr>
          <w:p w14:paraId="63DCF650" w14:textId="6744D136"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en-GB"/>
              </w:rPr>
              <w:instrText xml:space="preserve"> ADDIN ZOTERO_ITEM CSL_CITATION {"citationID":"QVduwcpu","properties":{"formattedCitation":"[2]","plainCitation":"[2]","noteIndex":0},"citationItems":[{"id":5693,"uris":["http://zotero.org/users/7565624/items/UXHBGVNG"],"itemData":{"id":5693,"type":"article-journal","abstract":"BACKGROUND: Up-regulation of hepatic delta-aminolevulinic acid synthase 1 (ALAS1), with resultant accumulation of delta-aminolevulinic acid (ALA) and porphobilinogen, is central to the pathogenesis of acute attacks and chronic symptoms in acute hepatic porphyria. Givosiran, an RNA interference therapy, inhibits ALAS1 expression.\nMETHODS: In this double-blind, placebo-controlled, phase 3 trial, we randomly assigned symptomatic patients with acute hepatic porphyria to receive either subcutaneous givosiran (2.5 mg per kilogram of body weight) or placebo monthly for 6 months. The primary end point was the annualized rate of composite porphyria attacks among patients with acute intermittent porphyria, the most common subtype of acute hepatic porphyria. (Composite porphyria attacks resulted in hospitalization, an urgent health care visit, or intravenous administration of hemin at home.) Key secondary end points were levels of ALA and porphobilinogen and the annualized attack rate among patients with acute hepatic porphyria, along with hemin use and daily worst pain scores in patients with acute intermittent porphyria.\nRESULTS: A total of 94 patients underwent randomization (48 in the givosiran group and 46 in the placebo group). Among the 89 patients with acute intermittent porphyria, the mean annualized attack rate was 3.2 in the givosiran group and 12.5 in the placebo group, representing a 74% lower rate in the givosiran group (P&lt;0.001); the results were similar among the 94 patients with acute hepatic porphyria. Among the patients with acute intermittent porphyria, givosiran led to lower levels of urinary ALA and porphobilinogen, fewer days of hemin use, and better daily scores for pain than placebo. Key adverse events that were observed more frequently in the givosiran group were elevations in serum aminotransferase levels, changes in serum creatinine levels and the estimated glomerular filtration rate, and injection-site reactions.\nCONCLUSIONS: Among patients with acute intermittent porphyria, those who received givosiran had a significantly lower rate of porphyria attacks and better results for multiple other disease manifestations than those who received placebo. The increased efficacy was accompanied by a higher frequency of hepatic and renal adverse events. (Funded by Alnylam Pharmaceuticals; ENVISION ClinicalTrials.gov number, NCT03338816.).","container-title":"The New England Journal of Medicine","DOI":"10.1056/NEJMoa1913147","ISSN":"1533-4406","issue":"24","journalAbbreviation":"N Engl J Med","language":"eng","note":"PMID: 32521132","page":"2289-2301","source":"PubMed","title":"Phase 3 Trial of RNAi Therapeutic Givosiran for Acute Intermittent Porphyria","volume":"382","author":[{"family":"Balwani","given":"Manisha"},{"family":"Sardh","given":"Eliane"},{"family":"Ventura","given":"Paolo"},{"family":"Peiró","given":"Paula Aguilera"},{"family":"Rees","given":"David C."},{"family":"Stölzel","given":"Ulrich"},{"family":"Bissell","given":"D. Montgomery"},{"family":"Bonkovsky","given":"Herbert L."},{"family":"Windyga","given":"Jerzy"},{"family":"Anderson","given":"Karl E."},{"family":"Parker","given":"Charles"},{"family":"Silver","given":"Samuel M."},{"family":"Keel","given":"Siobán B."},{"family":"Wang","given":"Jiaan-Der"},{"family":"Stein","given":"Penelope E."},{"family":"Harper","given":"Pauline"},{"family":"Vassiliou","given":"Daphne"},{"family":"Wang","given":"Bruce"},{"family":"Phillips","given":"John"},{"family":"Ivanova","given":"Aneta"},{"family":"Langendonk","given":"Janneke G."},{"family":"Kauppinen","given":"Raili"},{"family":"Minder","given":"Elisabeth"},{"family":"Horie","given":"Yutaka"},{"family":"Penz","given":"Craig"},{"family":"Chen","given":"Jihong"},{"family":"Liu","given":"Shangbin"},{"family":"Ko","given":"John J."},{"family":"Sweetser","given":"Marianne T."},{"family":"Garg","given":"Pushkal"},{"family":"Vaishnaw","given":"Akshay"},{"family":"Kim","given":"Jae B."},{"family":"Simon","given":"Amy R."},{"family":"Gouya","given":"Laurent"},{"literal":"ENVISION Investigators"}],"issued":{"date-parts":[["2020",6,11]]}}}],"schema":"https://github.com/citation-style-language/schema/raw/master/csl-citation.json"}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[2]</w:t>
            </w:r>
            <w:r w:rsidRPr="00E06DFC">
              <w:rPr>
                <w:rFonts w:ascii="Times New Roman" w:hAnsi="Times New Roman" w:cs="Times New Roman"/>
                <w:sz w:val="20"/>
                <w:szCs w:val="20"/>
                <w:lang w:val="en-GB"/>
              </w:rPr>
              <w:fldChar w:fldCharType="end"/>
            </w:r>
          </w:p>
        </w:tc>
      </w:tr>
      <w:tr w:rsidR="00E06DFC" w:rsidRPr="00E06DFC" w14:paraId="25A8FB01" w14:textId="77777777" w:rsidTr="00E06DFC">
        <w:tc>
          <w:tcPr>
            <w:tcW w:w="1277" w:type="dxa"/>
          </w:tcPr>
          <w:p w14:paraId="69069728" w14:textId="77777777" w:rsidR="00E06DFC" w:rsidRPr="00E06DFC" w:rsidRDefault="00E06DFC" w:rsidP="00E6447E">
            <w:pPr>
              <w:rPr>
                <w:rFonts w:ascii="Times New Roman" w:hAnsi="Times New Roman" w:cs="Times New Roman"/>
                <w:sz w:val="20"/>
                <w:szCs w:val="20"/>
                <w:lang w:val="en-GB"/>
              </w:rPr>
            </w:pPr>
            <w:bookmarkStart w:id="0" w:name="_Hlk119504918"/>
            <w:r w:rsidRPr="00E06DFC">
              <w:rPr>
                <w:rFonts w:ascii="Times New Roman" w:hAnsi="Times New Roman" w:cs="Times New Roman"/>
                <w:sz w:val="20"/>
                <w:szCs w:val="20"/>
                <w:lang w:val="en-GB"/>
              </w:rPr>
              <w:t>LNP delivery of RNA expressing foreign antigen</w:t>
            </w:r>
          </w:p>
        </w:tc>
        <w:tc>
          <w:tcPr>
            <w:tcW w:w="1134" w:type="dxa"/>
          </w:tcPr>
          <w:p w14:paraId="3CE1D889" w14:textId="5093538A"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Rabies</w:t>
            </w:r>
          </w:p>
        </w:tc>
        <w:tc>
          <w:tcPr>
            <w:tcW w:w="1276" w:type="dxa"/>
          </w:tcPr>
          <w:p w14:paraId="3F3CD50A" w14:textId="53226A8F"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color w:val="000000"/>
                <w:sz w:val="20"/>
                <w:szCs w:val="20"/>
                <w:shd w:val="clear" w:color="auto" w:fill="FFFFFF"/>
              </w:rPr>
              <w:t>rabies virus glycoprotein</w:t>
            </w:r>
          </w:p>
        </w:tc>
        <w:tc>
          <w:tcPr>
            <w:tcW w:w="1559" w:type="dxa"/>
          </w:tcPr>
          <w:p w14:paraId="1BC5AF3C" w14:textId="04F913F6"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color w:val="000000"/>
                <w:sz w:val="20"/>
                <w:szCs w:val="20"/>
                <w:shd w:val="clear" w:color="auto" w:fill="FFFFFF"/>
              </w:rPr>
              <w:t>CureVac AG</w:t>
            </w:r>
          </w:p>
        </w:tc>
        <w:tc>
          <w:tcPr>
            <w:tcW w:w="1559" w:type="dxa"/>
          </w:tcPr>
          <w:p w14:paraId="7EC43F46" w14:textId="3A1EDD82"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CV7201</w:t>
            </w:r>
          </w:p>
        </w:tc>
        <w:tc>
          <w:tcPr>
            <w:tcW w:w="2126" w:type="dxa"/>
          </w:tcPr>
          <w:p w14:paraId="53B2FECC" w14:textId="2EA72BE0"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NCT02241135 (2013-2018)</w:t>
            </w:r>
          </w:p>
        </w:tc>
        <w:tc>
          <w:tcPr>
            <w:tcW w:w="1559" w:type="dxa"/>
          </w:tcPr>
          <w:p w14:paraId="189B8942"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(79/101, 78%)</w:t>
            </w:r>
          </w:p>
          <w:p w14:paraId="14E5CAAD" w14:textId="028A4088"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[10/101, 10%]</w:t>
            </w:r>
          </w:p>
        </w:tc>
        <w:tc>
          <w:tcPr>
            <w:tcW w:w="1418" w:type="dxa"/>
          </w:tcPr>
          <w:p w14:paraId="2D98838E"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Bell’s Palsy</w:t>
            </w:r>
          </w:p>
          <w:p w14:paraId="4E9D1E45" w14:textId="18D61125"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(1/101, 1%)</w:t>
            </w:r>
          </w:p>
        </w:tc>
        <w:tc>
          <w:tcPr>
            <w:tcW w:w="1134" w:type="dxa"/>
          </w:tcPr>
          <w:p w14:paraId="7C9F2B95" w14:textId="339F35E2"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en-GB"/>
              </w:rPr>
              <w:instrText xml:space="preserve"> ADDIN ZOTERO_ITEM CSL_CITATION {"citationID":"2Y51Jgoi","properties":{"formattedCitation":"[3]","plainCitation":"[3]","noteIndex":0},"citationItems":[{"id":5595,"uris":["http://zotero.org/users/7565624/items/QV7R46JN"],"itemData":{"id":5595,"type":"article-journal","abstract":"BACKGROUND: Vaccines based on mRNA coding for antigens have been shown to be safe and immunogenic in preclinical models. We aimed to report results of the first-in-human proof-of-concept clinical trial in healthy adults of a prophylactic mRNA-based vaccine encoding rabies virus glycoprotein (CV7201).\nMETHODS: We did an open-label, uncontrolled, prospective, phase 1 clinical trial at one centre in Munich, Germany. Healthy male and female volunteers (aged 18-40 years) with no history of rabies vaccination were sequentially enrolled. They received three doses of CV7201 intradermally or intramuscularly by needle-syringe or one of three needle-free devices. Escalating doses were given to subsequent cohorts, and one cohort received a booster dose after 1 year. The primary endpoint was safety and tolerability. The secondary endpoint was to determine the lowest dose of CV7201 to elicit rabies virus neutralising titres equal to or greater than the WHO-specified protective antibody titre of 0·5 IU/mL. The study is continuing for long-term safety and immunogenicity follow-up. This trial is registered with ClinicalTrials.gov, number NCT02241135.\nFINDINGS: Between Oct 21, 2013, and Jan 11, 2016, we enrolled and vaccinated 101 participants with 306 doses of mRNA (80-640 μg) by needle-syringe (18 intradermally and 24 intramuscularly) or needle-free devices (46 intradermally and 13 intramuscularly). In the 7 days post vaccination, 60 (94%) of 64 intradermally vaccinated participants and 36 (97%) of 37 intramuscularly vaccinated participants reported solicited injection site reactions, and 50 (78%) of 64 intradermally vaccinated participants and 29 (78%) of 37 intramuscularly vaccinated participants reported solicited systemic adverse events, including ten grade 3 events. One unexpected, possibly related, serious adverse reaction that occurred 7 days after a 640 μg intramuscular dose resolved without sequelae. mRNA vaccination by needle-free intradermal or intramuscular device injection induced virus neutralising antibody titres of 0·5 IU/mL or more across dose levels and schedules in 32 (71%) of 45 participants given 80 μg or 160 μg CV7201 doses intradermally and six (46%) of 13 participants given 200 μg or 400 μg CV7201 doses intramuscularly. 1 year later, eight (57%) of 14 participants boosted with an 80 μg needle-free intradermal dose of CV7201 achieved titres of 0·5 IU/mL or more. Conversely, intradermal or intramuscular needle-syringe injection was ineffective, with only one participant (who received 320 μg intradermally) showing a detectable immune response.\nINTERPRETATION: This first-ever demonstration in human beings shows that a prophylactic mRNA-based candidate vaccine can induce boostable functional antibodies against a viral antigen when administered with a needle-free device, although not when injected by a needle-syringe. The vaccine was generally safe with a reasonable tolerability profile.\nFUNDING: CureVac AG.","container-title":"Lancet (London, England)","DOI":"10.1016/S0140-6736(17)31665-3","ISSN":"1474-547X","issue":"10101","journalAbbreviation":"Lancet","language":"eng","note":"PMID: 28754494","page":"1511-1520","source":"PubMed","title":"Safety and immunogenicity of a mRNA rabies vaccine in healthy adults: an open-label, non-randomised, prospective, first-in-human phase 1 clinical trial","title-short":"Safety and immunogenicity of a mRNA rabies vaccine in healthy adults","volume":"390","author":[{"family":"Alberer","given":"Martin"},{"family":"Gnad-Vogt","given":"Ulrike"},{"family":"Hong","given":"Henoch Sangjoon"},{"family":"Mehr","given":"Keyvan Tadjalli"},{"family":"Backert","given":"Linus"},{"family":"Finak","given":"Greg"},{"family":"Gottardo","given":"Raphael"},{"family":"Bica","given":"Mihai Alexandru"},{"family":"Garofano","given":"Aurelio"},{"family":"Koch","given":"Sven Dominik"},{"family":"Fotin-Mleczek","given":"Mariola"},{"family":"Hoerr","given":"Ingmar"},{"family":"Clemens","given":"Ralf"},{"family":"Sonnenburg","given":"Frank","non-dropping-particle":"von"}],"issued":{"date-parts":[["2017",9,23]]}}}],"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[3]</w:t>
            </w:r>
            <w:r w:rsidRPr="00E06DFC">
              <w:rPr>
                <w:rFonts w:ascii="Times New Roman" w:hAnsi="Times New Roman" w:cs="Times New Roman"/>
                <w:sz w:val="20"/>
                <w:szCs w:val="20"/>
                <w:lang w:val="en-GB"/>
              </w:rPr>
              <w:fldChar w:fldCharType="end"/>
            </w:r>
          </w:p>
        </w:tc>
      </w:tr>
      <w:tr w:rsidR="00E06DFC" w:rsidRPr="00E06DFC" w14:paraId="56D0F148" w14:textId="77777777" w:rsidTr="00E06DFC">
        <w:tc>
          <w:tcPr>
            <w:tcW w:w="1277" w:type="dxa"/>
          </w:tcPr>
          <w:p w14:paraId="5EB225D6" w14:textId="77777777" w:rsidR="00E06DFC" w:rsidRPr="00E06DFC" w:rsidRDefault="00E06DFC" w:rsidP="00E6447E">
            <w:pPr>
              <w:rPr>
                <w:rFonts w:ascii="Times New Roman" w:hAnsi="Times New Roman" w:cs="Times New Roman"/>
                <w:sz w:val="20"/>
                <w:szCs w:val="20"/>
                <w:lang w:val="en-GB"/>
              </w:rPr>
            </w:pPr>
          </w:p>
        </w:tc>
        <w:tc>
          <w:tcPr>
            <w:tcW w:w="1134" w:type="dxa"/>
          </w:tcPr>
          <w:p w14:paraId="73626B3A" w14:textId="604BD786"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Rabies</w:t>
            </w:r>
          </w:p>
        </w:tc>
        <w:tc>
          <w:tcPr>
            <w:tcW w:w="1276" w:type="dxa"/>
          </w:tcPr>
          <w:p w14:paraId="21B8888F" w14:textId="58981AE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color w:val="000000"/>
                <w:sz w:val="20"/>
                <w:szCs w:val="20"/>
                <w:shd w:val="clear" w:color="auto" w:fill="FFFFFF"/>
              </w:rPr>
              <w:t>rabies virus glycoprotein</w:t>
            </w:r>
          </w:p>
        </w:tc>
        <w:tc>
          <w:tcPr>
            <w:tcW w:w="1559" w:type="dxa"/>
          </w:tcPr>
          <w:p w14:paraId="3F5B8C6C" w14:textId="5E4CE6FC"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color w:val="000000"/>
                <w:sz w:val="20"/>
                <w:szCs w:val="20"/>
                <w:shd w:val="clear" w:color="auto" w:fill="FFFFFF"/>
              </w:rPr>
              <w:t>CureVac AG</w:t>
            </w:r>
          </w:p>
        </w:tc>
        <w:tc>
          <w:tcPr>
            <w:tcW w:w="1559" w:type="dxa"/>
          </w:tcPr>
          <w:p w14:paraId="3626E719" w14:textId="48C87363"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CV7202</w:t>
            </w:r>
          </w:p>
        </w:tc>
        <w:tc>
          <w:tcPr>
            <w:tcW w:w="2126" w:type="dxa"/>
          </w:tcPr>
          <w:p w14:paraId="539C0272" w14:textId="1F3497E3"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lang w:val="en-US"/>
              </w:rPr>
              <w:t xml:space="preserve">Phase 1: </w:t>
            </w:r>
            <w:r w:rsidRPr="00E06DFC">
              <w:rPr>
                <w:rFonts w:ascii="Times New Roman" w:hAnsi="Times New Roman" w:cs="Times New Roman"/>
                <w:color w:val="000000"/>
                <w:sz w:val="20"/>
                <w:szCs w:val="20"/>
                <w:shd w:val="clear" w:color="auto" w:fill="FFFFFF"/>
              </w:rPr>
              <w:t>NCT03713086</w:t>
            </w:r>
            <w:r w:rsidRPr="00E06DFC">
              <w:rPr>
                <w:rFonts w:ascii="Times New Roman" w:hAnsi="Times New Roman" w:cs="Times New Roman"/>
                <w:color w:val="000000"/>
                <w:sz w:val="20"/>
                <w:szCs w:val="20"/>
                <w:shd w:val="clear" w:color="auto" w:fill="FFFFFF"/>
                <w:lang w:val="en-US"/>
              </w:rPr>
              <w:t xml:space="preserve"> (2018-2021)</w:t>
            </w:r>
          </w:p>
        </w:tc>
        <w:tc>
          <w:tcPr>
            <w:tcW w:w="1559" w:type="dxa"/>
          </w:tcPr>
          <w:p w14:paraId="2CF24F73"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(9/10, 90%)</w:t>
            </w:r>
          </w:p>
          <w:p w14:paraId="2316AF40" w14:textId="3C719B88"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[5/10, 50%]</w:t>
            </w:r>
          </w:p>
        </w:tc>
        <w:tc>
          <w:tcPr>
            <w:tcW w:w="1418" w:type="dxa"/>
          </w:tcPr>
          <w:p w14:paraId="583DAE87" w14:textId="76DABEAB"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Lack of appetite (3/10)</w:t>
            </w:r>
          </w:p>
          <w:p w14:paraId="11AE5387"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Night sweats (2/10)</w:t>
            </w:r>
          </w:p>
          <w:p w14:paraId="65152289"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Dizziness (1/10)</w:t>
            </w:r>
          </w:p>
          <w:p w14:paraId="384DE9F1" w14:textId="5D83BF86"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Tachycardia (1/10)</w:t>
            </w:r>
          </w:p>
        </w:tc>
        <w:tc>
          <w:tcPr>
            <w:tcW w:w="1134" w:type="dxa"/>
          </w:tcPr>
          <w:p w14:paraId="2014852A" w14:textId="4233F8C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en-GB"/>
              </w:rPr>
              <w:instrText xml:space="preserve"> ADDIN ZOTERO_ITEM CSL_CITATION {"citationID":"YhZD4k9f","properties":{"formattedCitation":"[4]","plainCitation":"[4]","noteIndex":0},"citationItems":[{"id":5592,"uris":["http://zotero.org/users/7565624/items/NEVG9IMC"],"itemData":{"id":5592,"type":"article-journal","abstract":"INTRODUCTION: In a first-in-human study immune responses to rabies virus glycoprotein (RABV-G)-mRNA vaccine were dependent on the route of administration, necessitating specialized devices. Following successful preclinical studies with mRNA encapsulated in lipid nanoparticles (LNP), we tested an mRNA-LNP formulation (CV7202).\nMETHODS: In this phase 1, multi-center, controlled study in Belgium and Germany we enrolled 55 healthy 18-40-year-olds to receive intramuscular injections of 5 μg (n = 10), 1 μg (n = 16), or 2 μg (n = 16) CV7202 on Day 1; subsets (n = 8) of 1 μg and 2 μg groups received second doses on Day 29. Controls (n = 10) received rabies vaccine, Rabipur, on Days 1, 8 and 29. Safety and reactogenicity were assessed up to 28 days post-vaccination using diary cards; immunogenicity was measured as RABV-G-specific neutralizing titers (VNT) by RFFIT and IgG by ELISA.\nRESULTS: As initially tested doses of 5 μg CV7202 elicited unacceptably high reactogenicity we subsequently tested 1 and 2 μg doses which were better tolerated. No vaccine-related serious adverse events or withdrawals occurred. Low, dose-dependent VNT responses were detectable from Day 15 and by Day 29%, 31% and 22% of 1, 2 and 5 μg groups, respectively, had VNTs ≥ 0·5 IU/mL, considered an adequate response by the WHO. After two 1 or 2 μg doses all recipients had titers ≥ 0.5 IU/mL by Day 43. Day 57 GMTs were not significantly lower than those with Rabipur, which elicited adequate responses in all vaccinees after two doses. CV7202-elicited VNT were significantly correlated with RABV-G-specific IgG antibodies (r2 = 0.8319, p &lt; 0.0001).\nCONCLUSIONS: Two 1 μg or 2 μg doses of CV7202 were well tolerated and elicited rabies neutralizing antibody responses that met WHO criteria in all recipients, but 5 μg had unacceptable reactogenicity for a prophylactic vaccine. ClinicalTrials.gov Identifier: NCT03713086.","container-title":"Vaccine","DOI":"10.1016/j.vaccine.2020.12.070","ISSN":"1873-2518","issue":"8","journalAbbreviation":"Vaccine","language":"eng","note":"PMID: 33487468\nPMCID: PMC7825876","page":"1310-1318","source":"PubMed","title":"Proof-of-concept of a low-dose unmodified mRNA-based rabies vaccine formulated with lipid nanoparticles in human volunteers: A phase 1 trial","title-short":"Proof-of-concept of a low-dose unmodified mRNA-based rabies vaccine formulated with lipid nanoparticles in human volunteers","volume":"39","author":[{"family":"Aldrich","given":"Cassandra"},{"family":"Leroux-Roels","given":"Isabel"},{"family":"Huang","given":"Katell Bidet"},{"family":"Bica","given":"Mihai Alexandru"},{"family":"Loeliger","given":"Edde"},{"family":"Schoenborn-Kellenberger","given":"Oliver"},{"family":"Walz","given":"Lisa"},{"family":"Leroux-Roels","given":"Geert"},{"family":"Sonnenburg","given":"Frank","non-dropping-particle":"von"},{"family":"Oostvogels","given":"Lidia"}],"issued":{"date-parts":[["2021",2,22]]}}}],"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[4]</w:t>
            </w:r>
            <w:r w:rsidRPr="00E06DFC">
              <w:rPr>
                <w:rFonts w:ascii="Times New Roman" w:hAnsi="Times New Roman" w:cs="Times New Roman"/>
                <w:sz w:val="20"/>
                <w:szCs w:val="20"/>
                <w:lang w:val="en-GB"/>
              </w:rPr>
              <w:fldChar w:fldCharType="end"/>
            </w:r>
          </w:p>
        </w:tc>
      </w:tr>
      <w:tr w:rsidR="00E06DFC" w:rsidRPr="00E06DFC" w14:paraId="3EDCFD34" w14:textId="77777777" w:rsidTr="00E06DFC">
        <w:tc>
          <w:tcPr>
            <w:tcW w:w="1277" w:type="dxa"/>
          </w:tcPr>
          <w:p w14:paraId="28C54AB3" w14:textId="77777777" w:rsidR="00E06DFC" w:rsidRPr="00E06DFC" w:rsidRDefault="00E06DFC" w:rsidP="00E6447E">
            <w:pPr>
              <w:rPr>
                <w:rFonts w:ascii="Times New Roman" w:hAnsi="Times New Roman" w:cs="Times New Roman"/>
                <w:sz w:val="20"/>
                <w:szCs w:val="20"/>
                <w:lang w:val="en-GB"/>
              </w:rPr>
            </w:pPr>
          </w:p>
        </w:tc>
        <w:tc>
          <w:tcPr>
            <w:tcW w:w="1134" w:type="dxa"/>
          </w:tcPr>
          <w:p w14:paraId="33CF6BF3"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rPr>
              <w:t>Chikungunya</w:t>
            </w:r>
            <w:r w:rsidRPr="00E06DFC">
              <w:rPr>
                <w:rFonts w:ascii="Times New Roman" w:hAnsi="Times New Roman" w:cs="Times New Roman"/>
                <w:color w:val="000000"/>
                <w:sz w:val="20"/>
                <w:szCs w:val="20"/>
                <w:shd w:val="clear" w:color="auto" w:fill="FFFFFF"/>
                <w:lang w:val="en-US"/>
              </w:rPr>
              <w:t xml:space="preserve"> virus</w:t>
            </w:r>
          </w:p>
        </w:tc>
        <w:tc>
          <w:tcPr>
            <w:tcW w:w="1276" w:type="dxa"/>
          </w:tcPr>
          <w:p w14:paraId="376D2896" w14:textId="1F0DB67A"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222222"/>
                <w:sz w:val="20"/>
                <w:szCs w:val="20"/>
                <w:shd w:val="clear" w:color="auto" w:fill="FFFFFF"/>
              </w:rPr>
              <w:t>Chikungunya virus antigens</w:t>
            </w:r>
          </w:p>
        </w:tc>
        <w:tc>
          <w:tcPr>
            <w:tcW w:w="1559" w:type="dxa"/>
          </w:tcPr>
          <w:p w14:paraId="71BADE20" w14:textId="07067044"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Moderna</w:t>
            </w:r>
          </w:p>
        </w:tc>
        <w:tc>
          <w:tcPr>
            <w:tcW w:w="1559" w:type="dxa"/>
          </w:tcPr>
          <w:p w14:paraId="28E87773" w14:textId="2B87AB11"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rPr>
              <w:t>VAL-181388</w:t>
            </w:r>
            <w:r w:rsidRPr="00E06DFC">
              <w:rPr>
                <w:rFonts w:ascii="Times New Roman" w:hAnsi="Times New Roman" w:cs="Times New Roman"/>
                <w:color w:val="000000"/>
                <w:sz w:val="20"/>
                <w:szCs w:val="20"/>
                <w:shd w:val="clear" w:color="auto" w:fill="FFFFFF"/>
                <w:lang w:val="en-US"/>
              </w:rPr>
              <w:t xml:space="preserve"> /</w:t>
            </w:r>
            <w:r w:rsidRPr="00E06DFC">
              <w:rPr>
                <w:rFonts w:ascii="Times New Roman" w:hAnsi="Times New Roman" w:cs="Times New Roman"/>
                <w:color w:val="222222"/>
                <w:sz w:val="20"/>
                <w:szCs w:val="20"/>
                <w:shd w:val="clear" w:color="auto" w:fill="FFFFFF"/>
              </w:rPr>
              <w:t xml:space="preserve"> mRNA-1388</w:t>
            </w:r>
          </w:p>
        </w:tc>
        <w:tc>
          <w:tcPr>
            <w:tcW w:w="2126" w:type="dxa"/>
          </w:tcPr>
          <w:p w14:paraId="514967E1"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 xml:space="preserve">Phase 1: </w:t>
            </w:r>
          </w:p>
          <w:p w14:paraId="082301AD" w14:textId="77777777" w:rsidR="00E06DFC" w:rsidRPr="00E06DFC" w:rsidRDefault="00E06DFC" w:rsidP="00E6447E">
            <w:pPr>
              <w:rPr>
                <w:rFonts w:ascii="Times New Roman" w:hAnsi="Times New Roman" w:cs="Times New Roman"/>
                <w:color w:val="000000"/>
                <w:sz w:val="20"/>
                <w:szCs w:val="20"/>
                <w:shd w:val="clear" w:color="auto" w:fill="FFFFFF"/>
              </w:rPr>
            </w:pPr>
            <w:bookmarkStart w:id="1" w:name="_Hlk116042292"/>
            <w:r w:rsidRPr="00E06DFC">
              <w:rPr>
                <w:rFonts w:ascii="Times New Roman" w:hAnsi="Times New Roman" w:cs="Times New Roman"/>
                <w:color w:val="000000"/>
                <w:sz w:val="20"/>
                <w:szCs w:val="20"/>
                <w:shd w:val="clear" w:color="auto" w:fill="FFFFFF"/>
              </w:rPr>
              <w:t>NCT03325075</w:t>
            </w:r>
          </w:p>
          <w:bookmarkEnd w:id="1"/>
          <w:p w14:paraId="420402A5" w14:textId="25060DF2"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lang w:val="en-US"/>
              </w:rPr>
              <w:t>(2017-2020)</w:t>
            </w:r>
          </w:p>
        </w:tc>
        <w:tc>
          <w:tcPr>
            <w:tcW w:w="1559" w:type="dxa"/>
          </w:tcPr>
          <w:p w14:paraId="2EE641A5" w14:textId="77777777" w:rsidR="00E06DFC" w:rsidRPr="00E06DFC" w:rsidRDefault="00E06DFC" w:rsidP="00E6447E">
            <w:pPr>
              <w:rPr>
                <w:rFonts w:ascii="Times New Roman" w:hAnsi="Times New Roman" w:cs="Times New Roman"/>
                <w:sz w:val="20"/>
                <w:szCs w:val="20"/>
                <w:lang w:val="en-GB"/>
              </w:rPr>
            </w:pPr>
          </w:p>
        </w:tc>
        <w:tc>
          <w:tcPr>
            <w:tcW w:w="1418" w:type="dxa"/>
          </w:tcPr>
          <w:p w14:paraId="52711847" w14:textId="7451CE0F"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No data available</w:t>
            </w:r>
          </w:p>
        </w:tc>
        <w:tc>
          <w:tcPr>
            <w:tcW w:w="1134" w:type="dxa"/>
          </w:tcPr>
          <w:p w14:paraId="57BD449E" w14:textId="77777777" w:rsidR="00E06DFC" w:rsidRPr="00E06DFC" w:rsidRDefault="00E06DFC" w:rsidP="00E6447E">
            <w:pPr>
              <w:rPr>
                <w:rFonts w:ascii="Times New Roman" w:hAnsi="Times New Roman" w:cs="Times New Roman"/>
                <w:sz w:val="20"/>
                <w:szCs w:val="20"/>
                <w:lang w:val="en-GB"/>
              </w:rPr>
            </w:pPr>
          </w:p>
        </w:tc>
      </w:tr>
      <w:tr w:rsidR="00E06DFC" w:rsidRPr="00E06DFC" w14:paraId="11D943A9" w14:textId="77777777" w:rsidTr="00E06DFC">
        <w:tc>
          <w:tcPr>
            <w:tcW w:w="1277" w:type="dxa"/>
          </w:tcPr>
          <w:p w14:paraId="3EEA8051" w14:textId="77777777" w:rsidR="00E06DFC" w:rsidRPr="00E06DFC" w:rsidRDefault="00E06DFC" w:rsidP="00E6447E">
            <w:pPr>
              <w:rPr>
                <w:rFonts w:ascii="Times New Roman" w:hAnsi="Times New Roman" w:cs="Times New Roman"/>
                <w:sz w:val="20"/>
                <w:szCs w:val="20"/>
                <w:lang w:val="en-GB"/>
              </w:rPr>
            </w:pPr>
          </w:p>
        </w:tc>
        <w:tc>
          <w:tcPr>
            <w:tcW w:w="1134" w:type="dxa"/>
          </w:tcPr>
          <w:p w14:paraId="454987C1"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Cytomegalovirus</w:t>
            </w:r>
          </w:p>
        </w:tc>
        <w:tc>
          <w:tcPr>
            <w:tcW w:w="1276" w:type="dxa"/>
          </w:tcPr>
          <w:p w14:paraId="30E9D945" w14:textId="64D46A85"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 xml:space="preserve">Pentameric complex and </w:t>
            </w:r>
            <w:r w:rsidRPr="00E06DFC">
              <w:rPr>
                <w:rFonts w:ascii="Times New Roman" w:hAnsi="Times New Roman" w:cs="Times New Roman"/>
                <w:color w:val="222222"/>
                <w:sz w:val="20"/>
                <w:szCs w:val="20"/>
                <w:shd w:val="clear" w:color="auto" w:fill="FFFFFF"/>
              </w:rPr>
              <w:lastRenderedPageBreak/>
              <w:t>B glycoprotein</w:t>
            </w:r>
          </w:p>
        </w:tc>
        <w:tc>
          <w:tcPr>
            <w:tcW w:w="1559" w:type="dxa"/>
          </w:tcPr>
          <w:p w14:paraId="164103F6" w14:textId="2A531CCD"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lastRenderedPageBreak/>
              <w:t>Moderna</w:t>
            </w:r>
          </w:p>
        </w:tc>
        <w:tc>
          <w:tcPr>
            <w:tcW w:w="1559" w:type="dxa"/>
          </w:tcPr>
          <w:p w14:paraId="5741AA51" w14:textId="0A85FBB0"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222222"/>
                <w:sz w:val="20"/>
                <w:szCs w:val="20"/>
                <w:shd w:val="clear" w:color="auto" w:fill="FFFFFF"/>
              </w:rPr>
              <w:t>mRNA-1647</w:t>
            </w:r>
            <w:r w:rsidRPr="00E06DFC">
              <w:rPr>
                <w:rFonts w:ascii="Times New Roman" w:hAnsi="Times New Roman" w:cs="Times New Roman"/>
                <w:color w:val="222222"/>
                <w:sz w:val="20"/>
                <w:szCs w:val="20"/>
                <w:shd w:val="clear" w:color="auto" w:fill="FFFFFF"/>
                <w:lang w:val="en-US"/>
              </w:rPr>
              <w:t xml:space="preserve"> </w:t>
            </w:r>
          </w:p>
        </w:tc>
        <w:tc>
          <w:tcPr>
            <w:tcW w:w="2126" w:type="dxa"/>
          </w:tcPr>
          <w:p w14:paraId="39749983"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Phase 1:</w:t>
            </w:r>
          </w:p>
          <w:p w14:paraId="4932014B" w14:textId="37609C22" w:rsidR="00E06DFC" w:rsidRPr="00E06DFC" w:rsidRDefault="00E06DFC" w:rsidP="00E6447E">
            <w:pPr>
              <w:rPr>
                <w:rFonts w:ascii="Times New Roman" w:hAnsi="Times New Roman" w:cs="Times New Roman"/>
                <w:sz w:val="20"/>
                <w:szCs w:val="20"/>
                <w:lang w:val="en-US"/>
              </w:rPr>
            </w:pPr>
            <w:bookmarkStart w:id="2" w:name="_Hlk116042266"/>
            <w:r w:rsidRPr="00E06DFC">
              <w:rPr>
                <w:rFonts w:ascii="Times New Roman" w:hAnsi="Times New Roman" w:cs="Times New Roman"/>
                <w:color w:val="000000"/>
                <w:sz w:val="20"/>
                <w:szCs w:val="20"/>
                <w:shd w:val="clear" w:color="auto" w:fill="FFFFFF"/>
              </w:rPr>
              <w:lastRenderedPageBreak/>
              <w:t>NCT03382405</w:t>
            </w:r>
            <w:bookmarkEnd w:id="2"/>
            <w:r w:rsidRPr="00E06DFC">
              <w:rPr>
                <w:rFonts w:ascii="Times New Roman" w:hAnsi="Times New Roman" w:cs="Times New Roman"/>
                <w:color w:val="000000"/>
                <w:sz w:val="20"/>
                <w:szCs w:val="20"/>
                <w:shd w:val="clear" w:color="auto" w:fill="FFFFFF"/>
                <w:lang w:val="en-US"/>
              </w:rPr>
              <w:t xml:space="preserve"> (2017-2021)</w:t>
            </w:r>
          </w:p>
          <w:p w14:paraId="1E6877C2" w14:textId="51ACBDDB"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GB"/>
              </w:rPr>
              <w:t>Phase 2:</w:t>
            </w:r>
            <w:r w:rsidRPr="00E06DFC">
              <w:rPr>
                <w:rFonts w:ascii="Times New Roman" w:hAnsi="Times New Roman" w:cs="Times New Roman"/>
                <w:color w:val="222222"/>
                <w:sz w:val="20"/>
                <w:szCs w:val="20"/>
                <w:shd w:val="clear" w:color="auto" w:fill="FFFFFF"/>
              </w:rPr>
              <w:t xml:space="preserve"> </w:t>
            </w:r>
            <w:bookmarkStart w:id="3" w:name="_Hlk116042259"/>
            <w:r w:rsidRPr="00E06DFC">
              <w:rPr>
                <w:rFonts w:ascii="Times New Roman" w:hAnsi="Times New Roman" w:cs="Times New Roman"/>
                <w:color w:val="222222"/>
                <w:sz w:val="20"/>
                <w:szCs w:val="20"/>
                <w:shd w:val="clear" w:color="auto" w:fill="FFFFFF"/>
              </w:rPr>
              <w:t>NCT04232280</w:t>
            </w:r>
            <w:r w:rsidRPr="00E06DFC">
              <w:rPr>
                <w:rFonts w:ascii="Times New Roman" w:hAnsi="Times New Roman" w:cs="Times New Roman"/>
                <w:color w:val="222222"/>
                <w:sz w:val="20"/>
                <w:szCs w:val="20"/>
                <w:shd w:val="clear" w:color="auto" w:fill="FFFFFF"/>
                <w:lang w:val="en-US"/>
              </w:rPr>
              <w:t xml:space="preserve"> </w:t>
            </w:r>
            <w:bookmarkEnd w:id="3"/>
            <w:r w:rsidRPr="00E06DFC">
              <w:rPr>
                <w:rFonts w:ascii="Times New Roman" w:hAnsi="Times New Roman" w:cs="Times New Roman"/>
                <w:color w:val="222222"/>
                <w:sz w:val="20"/>
                <w:szCs w:val="20"/>
                <w:shd w:val="clear" w:color="auto" w:fill="FFFFFF"/>
                <w:lang w:val="en-US"/>
              </w:rPr>
              <w:t>(2020-2022*)</w:t>
            </w:r>
          </w:p>
        </w:tc>
        <w:tc>
          <w:tcPr>
            <w:tcW w:w="1559" w:type="dxa"/>
          </w:tcPr>
          <w:p w14:paraId="28C71B54" w14:textId="77777777" w:rsidR="00E06DFC" w:rsidRPr="00E06DFC" w:rsidRDefault="00E06DFC" w:rsidP="00E6447E">
            <w:pPr>
              <w:rPr>
                <w:rFonts w:ascii="Times New Roman" w:hAnsi="Times New Roman" w:cs="Times New Roman"/>
                <w:sz w:val="20"/>
                <w:szCs w:val="20"/>
                <w:lang w:val="en-GB"/>
              </w:rPr>
            </w:pPr>
          </w:p>
        </w:tc>
        <w:tc>
          <w:tcPr>
            <w:tcW w:w="1418" w:type="dxa"/>
          </w:tcPr>
          <w:p w14:paraId="797034C9" w14:textId="015B0ACB"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No data available</w:t>
            </w:r>
          </w:p>
        </w:tc>
        <w:tc>
          <w:tcPr>
            <w:tcW w:w="1134" w:type="dxa"/>
          </w:tcPr>
          <w:p w14:paraId="60A609F7" w14:textId="77777777" w:rsidR="00E06DFC" w:rsidRPr="00E06DFC" w:rsidRDefault="00E06DFC" w:rsidP="00E6447E">
            <w:pPr>
              <w:rPr>
                <w:rFonts w:ascii="Times New Roman" w:hAnsi="Times New Roman" w:cs="Times New Roman"/>
                <w:sz w:val="20"/>
                <w:szCs w:val="20"/>
                <w:lang w:val="en-GB"/>
              </w:rPr>
            </w:pPr>
          </w:p>
        </w:tc>
      </w:tr>
      <w:tr w:rsidR="00E06DFC" w:rsidRPr="00E06DFC" w14:paraId="6049D884" w14:textId="77777777" w:rsidTr="00E06DFC">
        <w:tc>
          <w:tcPr>
            <w:tcW w:w="1277" w:type="dxa"/>
          </w:tcPr>
          <w:p w14:paraId="57056FDA" w14:textId="77777777" w:rsidR="00E06DFC" w:rsidRPr="00E06DFC" w:rsidRDefault="00E06DFC" w:rsidP="00E6447E">
            <w:pPr>
              <w:rPr>
                <w:rFonts w:ascii="Times New Roman" w:hAnsi="Times New Roman" w:cs="Times New Roman"/>
                <w:sz w:val="20"/>
                <w:szCs w:val="20"/>
                <w:lang w:val="en-GB"/>
              </w:rPr>
            </w:pPr>
          </w:p>
        </w:tc>
        <w:tc>
          <w:tcPr>
            <w:tcW w:w="1134" w:type="dxa"/>
          </w:tcPr>
          <w:p w14:paraId="06A0E6A6"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Metapneumovirus and parainfluenza virus type 3 (MPV/PIV3)</w:t>
            </w:r>
          </w:p>
        </w:tc>
        <w:tc>
          <w:tcPr>
            <w:tcW w:w="1276" w:type="dxa"/>
          </w:tcPr>
          <w:p w14:paraId="65BD29B9" w14:textId="5FC77079"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222222"/>
                <w:sz w:val="20"/>
                <w:szCs w:val="20"/>
                <w:shd w:val="clear" w:color="auto" w:fill="FFFFFF"/>
              </w:rPr>
              <w:t>MPV and PIV3 F glycoproteins</w:t>
            </w:r>
          </w:p>
        </w:tc>
        <w:tc>
          <w:tcPr>
            <w:tcW w:w="1559" w:type="dxa"/>
          </w:tcPr>
          <w:p w14:paraId="24F6799F" w14:textId="0C5CBE66"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Moderna</w:t>
            </w:r>
          </w:p>
        </w:tc>
        <w:tc>
          <w:tcPr>
            <w:tcW w:w="1559" w:type="dxa"/>
          </w:tcPr>
          <w:p w14:paraId="1EA49351" w14:textId="5D0100BB"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000000"/>
                <w:sz w:val="20"/>
                <w:szCs w:val="20"/>
                <w:shd w:val="clear" w:color="auto" w:fill="FFFFFF"/>
              </w:rPr>
              <w:t>mRNA-1653</w:t>
            </w:r>
            <w:r w:rsidRPr="00E06DFC">
              <w:rPr>
                <w:rFonts w:ascii="Times New Roman" w:hAnsi="Times New Roman" w:cs="Times New Roman"/>
                <w:color w:val="000000"/>
                <w:sz w:val="20"/>
                <w:szCs w:val="20"/>
                <w:shd w:val="clear" w:color="auto" w:fill="FFFFFF"/>
                <w:lang w:val="en-US"/>
              </w:rPr>
              <w:t xml:space="preserve"> </w:t>
            </w:r>
          </w:p>
        </w:tc>
        <w:tc>
          <w:tcPr>
            <w:tcW w:w="2126" w:type="dxa"/>
          </w:tcPr>
          <w:p w14:paraId="6A7E9447" w14:textId="77777777"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sz w:val="20"/>
                <w:szCs w:val="20"/>
                <w:lang w:val="en-GB"/>
              </w:rPr>
              <w:t>Phase I:</w:t>
            </w:r>
            <w:r w:rsidRPr="00E06DFC">
              <w:rPr>
                <w:rFonts w:ascii="Times New Roman" w:hAnsi="Times New Roman" w:cs="Times New Roman"/>
                <w:color w:val="222222"/>
                <w:sz w:val="20"/>
                <w:szCs w:val="20"/>
                <w:shd w:val="clear" w:color="auto" w:fill="FFFFFF"/>
              </w:rPr>
              <w:t xml:space="preserve"> </w:t>
            </w:r>
            <w:bookmarkStart w:id="4" w:name="_Hlk116042248"/>
            <w:r w:rsidRPr="00E06DFC">
              <w:rPr>
                <w:rFonts w:ascii="Times New Roman" w:hAnsi="Times New Roman" w:cs="Times New Roman"/>
                <w:color w:val="222222"/>
                <w:sz w:val="20"/>
                <w:szCs w:val="20"/>
                <w:shd w:val="clear" w:color="auto" w:fill="FFFFFF"/>
              </w:rPr>
              <w:t>NCT03392389</w:t>
            </w:r>
            <w:bookmarkEnd w:id="4"/>
            <w:r w:rsidRPr="00E06DFC">
              <w:rPr>
                <w:rFonts w:ascii="Times New Roman" w:hAnsi="Times New Roman" w:cs="Times New Roman"/>
                <w:color w:val="222222"/>
                <w:sz w:val="20"/>
                <w:szCs w:val="20"/>
                <w:shd w:val="clear" w:color="auto" w:fill="FFFFFF"/>
                <w:lang w:val="en-US"/>
              </w:rPr>
              <w:t xml:space="preserve"> (2017-2019)</w:t>
            </w:r>
          </w:p>
          <w:p w14:paraId="2A8ACF3F" w14:textId="25F6B4A6" w:rsidR="00E06DFC" w:rsidRPr="00E06DFC" w:rsidRDefault="00E06DFC" w:rsidP="00E6447E">
            <w:pPr>
              <w:rPr>
                <w:rFonts w:ascii="Times New Roman" w:hAnsi="Times New Roman" w:cs="Times New Roman"/>
                <w:sz w:val="20"/>
                <w:szCs w:val="20"/>
                <w:lang w:val="en-US"/>
              </w:rPr>
            </w:pPr>
          </w:p>
        </w:tc>
        <w:tc>
          <w:tcPr>
            <w:tcW w:w="1559" w:type="dxa"/>
          </w:tcPr>
          <w:p w14:paraId="2A3D6527" w14:textId="77777777" w:rsidR="00E06DFC" w:rsidRPr="00E06DFC" w:rsidRDefault="00E06DFC" w:rsidP="00E6447E">
            <w:pPr>
              <w:rPr>
                <w:rFonts w:ascii="Times New Roman" w:hAnsi="Times New Roman" w:cs="Times New Roman"/>
                <w:sz w:val="20"/>
                <w:szCs w:val="20"/>
                <w:lang w:val="en-GB"/>
              </w:rPr>
            </w:pPr>
          </w:p>
        </w:tc>
        <w:tc>
          <w:tcPr>
            <w:tcW w:w="1418" w:type="dxa"/>
          </w:tcPr>
          <w:p w14:paraId="105E44AA" w14:textId="3D5AF561"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No data available</w:t>
            </w:r>
          </w:p>
        </w:tc>
        <w:tc>
          <w:tcPr>
            <w:tcW w:w="1134" w:type="dxa"/>
          </w:tcPr>
          <w:p w14:paraId="0B7CE9C7" w14:textId="77777777" w:rsidR="00E06DFC" w:rsidRPr="00E06DFC" w:rsidRDefault="00E06DFC" w:rsidP="00E6447E">
            <w:pPr>
              <w:rPr>
                <w:rFonts w:ascii="Times New Roman" w:hAnsi="Times New Roman" w:cs="Times New Roman"/>
                <w:sz w:val="20"/>
                <w:szCs w:val="20"/>
                <w:lang w:val="en-GB"/>
              </w:rPr>
            </w:pPr>
          </w:p>
        </w:tc>
      </w:tr>
      <w:tr w:rsidR="00E06DFC" w:rsidRPr="00E06DFC" w14:paraId="6D94D4DC" w14:textId="77777777" w:rsidTr="00E06DFC">
        <w:tc>
          <w:tcPr>
            <w:tcW w:w="1277" w:type="dxa"/>
          </w:tcPr>
          <w:p w14:paraId="0C0438E4" w14:textId="77777777" w:rsidR="00E06DFC" w:rsidRPr="00E06DFC" w:rsidRDefault="00E06DFC" w:rsidP="00E6447E">
            <w:pPr>
              <w:rPr>
                <w:rFonts w:ascii="Times New Roman" w:hAnsi="Times New Roman" w:cs="Times New Roman"/>
                <w:sz w:val="20"/>
                <w:szCs w:val="20"/>
                <w:lang w:val="en-GB"/>
              </w:rPr>
            </w:pPr>
          </w:p>
        </w:tc>
        <w:tc>
          <w:tcPr>
            <w:tcW w:w="1134" w:type="dxa"/>
          </w:tcPr>
          <w:p w14:paraId="19073CC0"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Respiratory Syncytial Virus (RSV)</w:t>
            </w:r>
          </w:p>
        </w:tc>
        <w:tc>
          <w:tcPr>
            <w:tcW w:w="1276" w:type="dxa"/>
          </w:tcPr>
          <w:p w14:paraId="45B254E3" w14:textId="3CDF231E"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F glycoprotein</w:t>
            </w:r>
          </w:p>
        </w:tc>
        <w:tc>
          <w:tcPr>
            <w:tcW w:w="1559" w:type="dxa"/>
          </w:tcPr>
          <w:p w14:paraId="656F58B6" w14:textId="04E0B79A"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Moderna</w:t>
            </w:r>
          </w:p>
        </w:tc>
        <w:tc>
          <w:tcPr>
            <w:tcW w:w="1559" w:type="dxa"/>
          </w:tcPr>
          <w:p w14:paraId="7BAB2C8F" w14:textId="0C3C4EE2"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rPr>
              <w:t>mRNA-1345</w:t>
            </w:r>
          </w:p>
        </w:tc>
        <w:tc>
          <w:tcPr>
            <w:tcW w:w="2126" w:type="dxa"/>
          </w:tcPr>
          <w:p w14:paraId="31282318" w14:textId="3940D496"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GB"/>
              </w:rPr>
              <w:t xml:space="preserve">Phase 1: </w:t>
            </w:r>
            <w:r w:rsidRPr="00E06DFC">
              <w:rPr>
                <w:rFonts w:ascii="Times New Roman" w:hAnsi="Times New Roman" w:cs="Times New Roman"/>
                <w:color w:val="000000"/>
                <w:sz w:val="20"/>
                <w:szCs w:val="20"/>
                <w:shd w:val="clear" w:color="auto" w:fill="FFFFFF"/>
              </w:rPr>
              <w:t>NCT04528719</w:t>
            </w:r>
            <w:r w:rsidRPr="00E06DFC">
              <w:rPr>
                <w:rFonts w:ascii="Times New Roman" w:hAnsi="Times New Roman" w:cs="Times New Roman"/>
                <w:color w:val="000000"/>
                <w:sz w:val="20"/>
                <w:szCs w:val="20"/>
                <w:shd w:val="clear" w:color="auto" w:fill="FFFFFF"/>
                <w:lang w:val="en-US"/>
              </w:rPr>
              <w:t>(2020-2023*)</w:t>
            </w:r>
          </w:p>
        </w:tc>
        <w:tc>
          <w:tcPr>
            <w:tcW w:w="1559" w:type="dxa"/>
          </w:tcPr>
          <w:p w14:paraId="6BD714F3" w14:textId="77777777" w:rsidR="00E06DFC" w:rsidRPr="00E06DFC" w:rsidRDefault="00E06DFC" w:rsidP="00E6447E">
            <w:pPr>
              <w:rPr>
                <w:rFonts w:ascii="Times New Roman" w:hAnsi="Times New Roman" w:cs="Times New Roman"/>
                <w:sz w:val="20"/>
                <w:szCs w:val="20"/>
                <w:lang w:val="en-GB"/>
              </w:rPr>
            </w:pPr>
          </w:p>
        </w:tc>
        <w:tc>
          <w:tcPr>
            <w:tcW w:w="1418" w:type="dxa"/>
          </w:tcPr>
          <w:p w14:paraId="354BA830"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Recruiting</w:t>
            </w:r>
          </w:p>
        </w:tc>
        <w:tc>
          <w:tcPr>
            <w:tcW w:w="1134" w:type="dxa"/>
          </w:tcPr>
          <w:p w14:paraId="3280014B" w14:textId="77777777" w:rsidR="00E06DFC" w:rsidRPr="00E06DFC" w:rsidRDefault="00E06DFC" w:rsidP="00E6447E">
            <w:pPr>
              <w:rPr>
                <w:rFonts w:ascii="Times New Roman" w:hAnsi="Times New Roman" w:cs="Times New Roman"/>
                <w:sz w:val="20"/>
                <w:szCs w:val="20"/>
                <w:lang w:val="en-GB"/>
              </w:rPr>
            </w:pPr>
          </w:p>
        </w:tc>
      </w:tr>
      <w:tr w:rsidR="00E06DFC" w:rsidRPr="00E06DFC" w14:paraId="18A2AFCE" w14:textId="77777777" w:rsidTr="00E06DFC">
        <w:tc>
          <w:tcPr>
            <w:tcW w:w="1277" w:type="dxa"/>
          </w:tcPr>
          <w:p w14:paraId="01B6E367" w14:textId="77777777" w:rsidR="00E06DFC" w:rsidRPr="00E06DFC" w:rsidRDefault="00E06DFC" w:rsidP="00E6447E">
            <w:pPr>
              <w:rPr>
                <w:rFonts w:ascii="Times New Roman" w:hAnsi="Times New Roman" w:cs="Times New Roman"/>
                <w:sz w:val="20"/>
                <w:szCs w:val="20"/>
                <w:lang w:val="en-GB"/>
              </w:rPr>
            </w:pPr>
          </w:p>
        </w:tc>
        <w:tc>
          <w:tcPr>
            <w:tcW w:w="1134" w:type="dxa"/>
          </w:tcPr>
          <w:p w14:paraId="603E940C"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Zika Virus (ZIKV)</w:t>
            </w:r>
          </w:p>
        </w:tc>
        <w:tc>
          <w:tcPr>
            <w:tcW w:w="1276" w:type="dxa"/>
          </w:tcPr>
          <w:p w14:paraId="5BC281F4" w14:textId="32A6EFA9"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Pre-membrane and envelope glycoproteins</w:t>
            </w:r>
          </w:p>
        </w:tc>
        <w:tc>
          <w:tcPr>
            <w:tcW w:w="1559" w:type="dxa"/>
          </w:tcPr>
          <w:p w14:paraId="50004635" w14:textId="069EDF60"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en-US"/>
              </w:rPr>
              <w:t>Moderna</w:t>
            </w:r>
          </w:p>
        </w:tc>
        <w:tc>
          <w:tcPr>
            <w:tcW w:w="1559" w:type="dxa"/>
          </w:tcPr>
          <w:p w14:paraId="35922D8E" w14:textId="37800A91"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rPr>
              <w:t>mRNA-1893</w:t>
            </w:r>
            <w:r w:rsidRPr="00E06DFC">
              <w:rPr>
                <w:rFonts w:ascii="Times New Roman" w:hAnsi="Times New Roman" w:cs="Times New Roman"/>
                <w:color w:val="222222"/>
                <w:sz w:val="20"/>
                <w:szCs w:val="20"/>
                <w:shd w:val="clear" w:color="auto" w:fill="FFFFFF"/>
                <w:lang w:val="en-US"/>
              </w:rPr>
              <w:t xml:space="preserve"> </w:t>
            </w:r>
          </w:p>
        </w:tc>
        <w:tc>
          <w:tcPr>
            <w:tcW w:w="2126" w:type="dxa"/>
          </w:tcPr>
          <w:p w14:paraId="5182D9D8" w14:textId="54CE5FFD"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GB"/>
              </w:rPr>
              <w:t xml:space="preserve">Phase I: </w:t>
            </w:r>
            <w:bookmarkStart w:id="5" w:name="_Hlk116042235"/>
            <w:r w:rsidRPr="00E06DFC">
              <w:rPr>
                <w:rFonts w:ascii="Times New Roman" w:hAnsi="Times New Roman" w:cs="Times New Roman"/>
                <w:color w:val="000000"/>
                <w:sz w:val="20"/>
                <w:szCs w:val="20"/>
                <w:shd w:val="clear" w:color="auto" w:fill="FFFFFF"/>
              </w:rPr>
              <w:t>NCT04064905</w:t>
            </w:r>
            <w:bookmarkEnd w:id="5"/>
            <w:r w:rsidRPr="00E06DFC">
              <w:rPr>
                <w:rFonts w:ascii="Times New Roman" w:hAnsi="Times New Roman" w:cs="Times New Roman"/>
                <w:color w:val="000000"/>
                <w:sz w:val="20"/>
                <w:szCs w:val="20"/>
                <w:shd w:val="clear" w:color="auto" w:fill="FFFFFF"/>
                <w:lang w:val="en-US"/>
              </w:rPr>
              <w:t xml:space="preserve"> (2019-2021)</w:t>
            </w:r>
          </w:p>
        </w:tc>
        <w:tc>
          <w:tcPr>
            <w:tcW w:w="1559" w:type="dxa"/>
          </w:tcPr>
          <w:p w14:paraId="23EC0478" w14:textId="77777777" w:rsidR="00E06DFC" w:rsidRPr="00E06DFC" w:rsidRDefault="00E06DFC" w:rsidP="00E6447E">
            <w:pPr>
              <w:rPr>
                <w:rFonts w:ascii="Times New Roman" w:hAnsi="Times New Roman" w:cs="Times New Roman"/>
                <w:sz w:val="20"/>
                <w:szCs w:val="20"/>
                <w:lang w:val="en-GB"/>
              </w:rPr>
            </w:pPr>
          </w:p>
        </w:tc>
        <w:tc>
          <w:tcPr>
            <w:tcW w:w="1418" w:type="dxa"/>
          </w:tcPr>
          <w:p w14:paraId="307430A2" w14:textId="1CD55531"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No data available</w:t>
            </w:r>
          </w:p>
        </w:tc>
        <w:tc>
          <w:tcPr>
            <w:tcW w:w="1134" w:type="dxa"/>
          </w:tcPr>
          <w:p w14:paraId="747A83CD" w14:textId="77777777" w:rsidR="00E06DFC" w:rsidRPr="00E06DFC" w:rsidRDefault="00E06DFC" w:rsidP="00E6447E">
            <w:pPr>
              <w:rPr>
                <w:rFonts w:ascii="Times New Roman" w:hAnsi="Times New Roman" w:cs="Times New Roman"/>
                <w:sz w:val="20"/>
                <w:szCs w:val="20"/>
                <w:lang w:val="en-GB"/>
              </w:rPr>
            </w:pPr>
          </w:p>
        </w:tc>
      </w:tr>
      <w:tr w:rsidR="00E06DFC" w:rsidRPr="00E06DFC" w14:paraId="38339E52" w14:textId="77777777" w:rsidTr="00E06DFC">
        <w:tc>
          <w:tcPr>
            <w:tcW w:w="1277" w:type="dxa"/>
          </w:tcPr>
          <w:p w14:paraId="343F33EC" w14:textId="77777777" w:rsidR="00E06DFC" w:rsidRPr="00E06DFC" w:rsidRDefault="00E06DFC" w:rsidP="00E6447E">
            <w:pPr>
              <w:rPr>
                <w:rFonts w:ascii="Times New Roman" w:hAnsi="Times New Roman" w:cs="Times New Roman"/>
                <w:sz w:val="20"/>
                <w:szCs w:val="20"/>
                <w:lang w:val="en-GB"/>
              </w:rPr>
            </w:pPr>
          </w:p>
        </w:tc>
        <w:tc>
          <w:tcPr>
            <w:tcW w:w="1134" w:type="dxa"/>
          </w:tcPr>
          <w:p w14:paraId="77B7C683" w14:textId="77777777"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color w:val="222222"/>
                <w:sz w:val="20"/>
                <w:szCs w:val="20"/>
                <w:shd w:val="clear" w:color="auto" w:fill="FFFFFF"/>
              </w:rPr>
              <w:t>Influenza H7N9</w:t>
            </w:r>
          </w:p>
        </w:tc>
        <w:tc>
          <w:tcPr>
            <w:tcW w:w="1276" w:type="dxa"/>
          </w:tcPr>
          <w:p w14:paraId="080193E1" w14:textId="65E3E483" w:rsidR="00E06DFC" w:rsidRPr="00E06DFC" w:rsidRDefault="00E06DFC" w:rsidP="00E6447E">
            <w:pPr>
              <w:rPr>
                <w:rFonts w:ascii="Times New Roman" w:hAnsi="Times New Roman" w:cs="Times New Roman"/>
                <w:color w:val="222222"/>
                <w:sz w:val="20"/>
                <w:szCs w:val="20"/>
              </w:rPr>
            </w:pPr>
            <w:r w:rsidRPr="00E06DFC">
              <w:rPr>
                <w:rFonts w:ascii="Times New Roman" w:hAnsi="Times New Roman" w:cs="Times New Roman"/>
                <w:color w:val="222222"/>
                <w:sz w:val="20"/>
                <w:szCs w:val="20"/>
              </w:rPr>
              <w:t>Haemagglutinin</w:t>
            </w:r>
          </w:p>
          <w:p w14:paraId="6047915D"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34A08DB4" w14:textId="5D98C2C4"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en-US"/>
              </w:rPr>
              <w:t>Moderna</w:t>
            </w:r>
          </w:p>
        </w:tc>
        <w:tc>
          <w:tcPr>
            <w:tcW w:w="1559" w:type="dxa"/>
          </w:tcPr>
          <w:p w14:paraId="0E6901F8" w14:textId="4E7CE314"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rPr>
              <w:t>mRNA-1851</w:t>
            </w:r>
            <w:r w:rsidRPr="00E06DFC">
              <w:rPr>
                <w:rFonts w:ascii="Times New Roman" w:hAnsi="Times New Roman" w:cs="Times New Roman"/>
                <w:color w:val="222222"/>
                <w:sz w:val="20"/>
                <w:szCs w:val="20"/>
                <w:shd w:val="clear" w:color="auto" w:fill="FFFFFF"/>
                <w:lang w:val="en-US"/>
              </w:rPr>
              <w:t xml:space="preserve"> </w:t>
            </w:r>
          </w:p>
        </w:tc>
        <w:tc>
          <w:tcPr>
            <w:tcW w:w="2126" w:type="dxa"/>
          </w:tcPr>
          <w:p w14:paraId="4492A4F9" w14:textId="5A1E6174"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GB"/>
              </w:rPr>
              <w:t xml:space="preserve">Phase 1: </w:t>
            </w:r>
            <w:bookmarkStart w:id="6" w:name="_Hlk116042228"/>
            <w:r w:rsidRPr="00E06DFC">
              <w:rPr>
                <w:rFonts w:ascii="Times New Roman" w:hAnsi="Times New Roman" w:cs="Times New Roman"/>
                <w:color w:val="222222"/>
                <w:sz w:val="20"/>
                <w:szCs w:val="20"/>
                <w:shd w:val="clear" w:color="auto" w:fill="FFFFFF"/>
              </w:rPr>
              <w:t>NCT03345043</w:t>
            </w:r>
            <w:bookmarkEnd w:id="6"/>
            <w:r w:rsidRPr="00E06DFC">
              <w:rPr>
                <w:rFonts w:ascii="Times New Roman" w:hAnsi="Times New Roman" w:cs="Times New Roman"/>
                <w:color w:val="222222"/>
                <w:sz w:val="20"/>
                <w:szCs w:val="20"/>
                <w:shd w:val="clear" w:color="auto" w:fill="FFFFFF"/>
                <w:lang w:val="en-US"/>
              </w:rPr>
              <w:t xml:space="preserve"> (2016-2018)</w:t>
            </w:r>
          </w:p>
        </w:tc>
        <w:tc>
          <w:tcPr>
            <w:tcW w:w="1559" w:type="dxa"/>
          </w:tcPr>
          <w:p w14:paraId="48CFC663" w14:textId="3EBDACC8" w:rsidR="00E06DFC" w:rsidRPr="00E06DFC" w:rsidRDefault="00E06DFC" w:rsidP="00E6447E">
            <w:pPr>
              <w:rPr>
                <w:rFonts w:ascii="Times New Roman" w:hAnsi="Times New Roman" w:cs="Times New Roman"/>
                <w:sz w:val="20"/>
                <w:szCs w:val="20"/>
                <w:lang w:val="en-GB"/>
              </w:rPr>
            </w:pPr>
            <w:r w:rsidRPr="00E06DFC">
              <w:rPr>
                <w:rFonts w:ascii="Times New Roman" w:hAnsi="Times New Roman" w:cs="Times New Roman"/>
                <w:sz w:val="20"/>
                <w:szCs w:val="20"/>
                <w:lang w:val="en-GB"/>
              </w:rPr>
              <w:t>(53.3-73.3%) 30/90, 20-30%]</w:t>
            </w:r>
          </w:p>
        </w:tc>
        <w:tc>
          <w:tcPr>
            <w:tcW w:w="1418" w:type="dxa"/>
          </w:tcPr>
          <w:p w14:paraId="5BBD28FB" w14:textId="5CBFC019" w:rsidR="00E06DFC" w:rsidRPr="00E06DFC" w:rsidRDefault="00E06DFC" w:rsidP="00E6447E">
            <w:pPr>
              <w:rPr>
                <w:rFonts w:ascii="Times New Roman" w:hAnsi="Times New Roman" w:cs="Times New Roman"/>
                <w:sz w:val="20"/>
                <w:szCs w:val="20"/>
                <w:lang w:val="en-GB"/>
              </w:rPr>
            </w:pPr>
          </w:p>
          <w:p w14:paraId="6CF76E59" w14:textId="5637A282" w:rsidR="00E06DFC" w:rsidRPr="00E06DFC" w:rsidRDefault="00E06DFC" w:rsidP="00E6447E">
            <w:pPr>
              <w:rPr>
                <w:rFonts w:ascii="Times New Roman" w:hAnsi="Times New Roman" w:cs="Times New Roman"/>
                <w:sz w:val="20"/>
                <w:szCs w:val="20"/>
                <w:lang w:val="en-GB"/>
              </w:rPr>
            </w:pPr>
          </w:p>
        </w:tc>
        <w:tc>
          <w:tcPr>
            <w:tcW w:w="1134" w:type="dxa"/>
          </w:tcPr>
          <w:p w14:paraId="6B514854" w14:textId="66348B5B" w:rsidR="00E06DFC" w:rsidRPr="00E06DFC" w:rsidRDefault="00E06DFC" w:rsidP="00E6447E">
            <w:pPr>
              <w:rPr>
                <w:rFonts w:ascii="Times New Roman" w:hAnsi="Times New Roman" w:cs="Times New Roman"/>
                <w:sz w:val="20"/>
                <w:szCs w:val="20"/>
                <w:lang w:val="pt-BR"/>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en-GB"/>
              </w:rPr>
              <w:instrText xml:space="preserve"> ADDIN ZOTERO_ITEM CSL_CITATION {"citationID":"4LPfbbYR","properties":{"formattedCitation":"[5,6]","plainCitation":"[5,6]","noteIndex":0},"citationItems":[{"id":5600,"uris":["http://zotero.org/users/7565624/items/JT254UQC"],"itemData":{"id":5600,"type":"article-journal","abstract":"BACKGROUND: We evaluated safety and immunogenicity of the first mRNA vaccines against potentially pandemic avian H10N8 and H7N9 influenza viruses.\nMETHODS: Two randomized, placebo-controlled, double-blind, phase 1 clinical trials enrolled participants between December 2015 and August 2017 at single centers in Germany (H10N8) and USA (H7N9). Healthy adults (ages 18-64 years for H10N8 study; 18-49 years for H7N9 study) participated. Participants received vaccine or placebo in a 2-dose vaccination series 3 weeks apart. H10N8 intramuscular (IM) dose levels of 25, 50, 75, 100, and 400 µg and intradermal dose levels of 25 and 50 µg were evaluated. H7N9 IM 10-, 25-, and 50-µg dose levels were evaluated; 2-dose series 6 months apart was also evaluated. Primary endpoints were safety (adverse events) and tolerability. Secondary immunogenicity outcomes included humoral (hemagglutination inhibition [HAI], microneutralization [MN] assays) and cell-mediated responses (ELISPOT assay).\nRESULTS: H10N8 and H7N9 mRNA IM vaccines demonstrated favorable safety and reactogenicity profiles. No vaccine-related serious adverse event was reported. For H10N8 (N = 201), 100-µg IM dose induced HAI titers ≥ 1:40 in 100% and MN titers ≥ 1:20 in 87.0% of participants. The 25-µg intradermal dose induced HAI titers &gt; 1:40 in 64.7% of participants compared to 34.5% of participants receiving the IM dose. For H7N9 (N = 156), IM doses of 10, 25, and 50 µg achieved HAI titers ≥ 1:40 in 36.0%, 96.3%, and 89.7% of participants, respectively. MN titers ≥ 1:20 were achieved by 100% in the 10- and 25-µg groups and 96.6% in the 50-µg group. Seroconversion rates were 78.3% (HAI) and 87.0% (MN) for H10N8 (100 µg IM) and 96.3% (HAI) and 100% (MN) in H7N9 (50 µg). Significant cell-mediated responses were not detected in either study.\nCONCLUSIONS: The first mRNA vaccines against H10N8 and H7N9 influenza viruses were well tolerated and elicited robust humoral immune responses. ClinicalTrials.gov NCT03076385 and NCT03345043.","container-title":"Vaccine","DOI":"10.1016/j.vaccine.2019.04.074","ISSN":"1873-2518","issue":"25","journalAbbreviation":"Vaccine","language":"eng","note":"PMID: 31079849","page":"3326-3334","source":"PubMed","title":"mRNA vaccines against H10N8 and H7N9 influenza viruses of pandemic potential are immunogenic and well tolerated in healthy adults in phase 1 randomized clinical trials","volume":"37","author":[{"family":"Feldman","given":"Robert A."},{"family":"Fuhr","given":"Rainard"},{"family":"Smolenov","given":"Igor"},{"family":"Mick Ribeiro","given":"Amilcar"},{"family":"Panther","given":"Lori"},{"family":"Watson","given":"Mike"},{"family":"Senn","given":"Joseph J."},{"family":"Smith","given":"Mike"},{"family":"Almarsson","given":"Ӧrn"},{"family":"Pujar","given":"Hari S."},{"family":"Laska","given":"Michael E."},{"family":"Thompson","given":"James"},{"family":"Zaks","given":"Tal"},{"family":"Ciaramella","given":"Giuseppe"}],"issued":{"date-parts":[["2019",5,31]]}},"locator":"8"},{"id":5371,"uris":["http://zotero.org/users/7565624/items/7V7ISTIN"],"itemData":{"id":5371,"type":"article-journal","container-title":"Molecular Therapy","DOI":"10.1016/j.ymthe.2017.03.035","ISSN":"1525-0016, 1525-0024","issue":"6","journalAbbreviation":"Molecular Therapy","language":"English","note":"publisher: Elsevier\nPMID: 28457665","page":"1316-1327","source":"www.cell.com","title":"Preclinical and Clinical Demonstration of Immunogenicity by mRNA Vaccines against H10N8 and H7N9 Influenza Viruses","volume":"25","author":[{"family":"Bahl","given":"Kapil"},{"family":"Senn","given":"Joe J."},{"family":"Yuzhakov","given":"Olga"},{"family":"Bulychev","given":"Alex"},{"family":"Brito","given":"Luis A."},{"family":"Hassett","given":"Kimberly J."},{"family":"Laska","given":"Michael E."},{"family":"Smith","given":"Mike"},{"family":"Almarsson","given":"Örn"},{"family":"Thompson","given":"James"},{"family":"Ribeiro","given":"Amilcar (Mick)"},{"family":"Watson","given":"Mike"},{"family":"Zaks","given":"Tal"},{"family":"Ciaramella","given":"Giuseppe"}],"issued":{"date-parts":[["2017",6,7]]}},"locator":"8"}],"schema":"https://github.com/citation-style-language/schema/raw/master/csl-citation.json"}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[5,6]</w:t>
            </w:r>
            <w:r w:rsidRPr="00E06DFC">
              <w:rPr>
                <w:rFonts w:ascii="Times New Roman" w:hAnsi="Times New Roman" w:cs="Times New Roman"/>
                <w:sz w:val="20"/>
                <w:szCs w:val="20"/>
                <w:lang w:val="en-GB"/>
              </w:rPr>
              <w:fldChar w:fldCharType="end"/>
            </w:r>
          </w:p>
        </w:tc>
      </w:tr>
      <w:tr w:rsidR="00E06DFC" w:rsidRPr="00E06DFC" w14:paraId="7947F778" w14:textId="77777777" w:rsidTr="00E06DFC">
        <w:tc>
          <w:tcPr>
            <w:tcW w:w="1277" w:type="dxa"/>
          </w:tcPr>
          <w:p w14:paraId="2F4D8EF3" w14:textId="77777777" w:rsidR="00E06DFC" w:rsidRPr="00E06DFC" w:rsidRDefault="00E06DFC" w:rsidP="00E6447E">
            <w:pPr>
              <w:rPr>
                <w:rFonts w:ascii="Times New Roman" w:hAnsi="Times New Roman" w:cs="Times New Roman"/>
                <w:sz w:val="20"/>
                <w:szCs w:val="20"/>
                <w:lang w:val="pt-BR"/>
              </w:rPr>
            </w:pPr>
          </w:p>
        </w:tc>
        <w:tc>
          <w:tcPr>
            <w:tcW w:w="1134" w:type="dxa"/>
          </w:tcPr>
          <w:p w14:paraId="4D71CDFA" w14:textId="77777777" w:rsidR="00E06DFC" w:rsidRPr="00E06DFC" w:rsidRDefault="00E06DFC" w:rsidP="00E6447E">
            <w:pPr>
              <w:rPr>
                <w:rFonts w:ascii="Times New Roman" w:hAnsi="Times New Roman" w:cs="Times New Roman"/>
                <w:color w:val="222222"/>
                <w:sz w:val="20"/>
                <w:szCs w:val="20"/>
                <w:shd w:val="clear" w:color="auto" w:fill="FFFFFF"/>
                <w:lang w:val="pt-BR"/>
              </w:rPr>
            </w:pPr>
            <w:r w:rsidRPr="00E06DFC">
              <w:rPr>
                <w:rFonts w:ascii="Times New Roman" w:hAnsi="Times New Roman" w:cs="Times New Roman"/>
                <w:color w:val="222222"/>
                <w:sz w:val="20"/>
                <w:szCs w:val="20"/>
                <w:shd w:val="clear" w:color="auto" w:fill="FFFFFF"/>
                <w:lang w:val="pt-BR"/>
              </w:rPr>
              <w:t>Influenza H10N8</w:t>
            </w:r>
          </w:p>
        </w:tc>
        <w:tc>
          <w:tcPr>
            <w:tcW w:w="1276" w:type="dxa"/>
          </w:tcPr>
          <w:p w14:paraId="7B89AB94" w14:textId="6B88459F" w:rsidR="00E06DFC" w:rsidRPr="00E06DFC" w:rsidRDefault="00E06DFC" w:rsidP="00E6447E">
            <w:pPr>
              <w:rPr>
                <w:rFonts w:ascii="Times New Roman" w:hAnsi="Times New Roman" w:cs="Times New Roman"/>
                <w:color w:val="222222"/>
                <w:sz w:val="20"/>
                <w:szCs w:val="20"/>
              </w:rPr>
            </w:pPr>
            <w:r w:rsidRPr="00E06DFC">
              <w:rPr>
                <w:rFonts w:ascii="Times New Roman" w:hAnsi="Times New Roman" w:cs="Times New Roman"/>
                <w:color w:val="222222"/>
                <w:sz w:val="20"/>
                <w:szCs w:val="20"/>
              </w:rPr>
              <w:t>Haemagglutinin</w:t>
            </w:r>
          </w:p>
          <w:p w14:paraId="21F7D786"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3C13F224" w14:textId="7759D658"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pt-BR"/>
              </w:rPr>
              <w:t>Moderna</w:t>
            </w:r>
          </w:p>
        </w:tc>
        <w:tc>
          <w:tcPr>
            <w:tcW w:w="1559" w:type="dxa"/>
          </w:tcPr>
          <w:p w14:paraId="643D2D56" w14:textId="493F32E2"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mRNA-1440</w:t>
            </w:r>
          </w:p>
        </w:tc>
        <w:tc>
          <w:tcPr>
            <w:tcW w:w="2126" w:type="dxa"/>
          </w:tcPr>
          <w:p w14:paraId="139E1C28" w14:textId="45F838BA" w:rsidR="00E06DFC" w:rsidRPr="00E06DFC" w:rsidRDefault="00E06DFC" w:rsidP="00E6447E">
            <w:pPr>
              <w:rPr>
                <w:rFonts w:ascii="Times New Roman" w:hAnsi="Times New Roman" w:cs="Times New Roman"/>
                <w:sz w:val="20"/>
                <w:szCs w:val="20"/>
                <w:lang w:val="pt-BR"/>
              </w:rPr>
            </w:pPr>
            <w:r w:rsidRPr="00E06DFC">
              <w:rPr>
                <w:rFonts w:ascii="Times New Roman" w:hAnsi="Times New Roman" w:cs="Times New Roman"/>
                <w:sz w:val="20"/>
                <w:szCs w:val="20"/>
                <w:lang w:val="pt-BR"/>
              </w:rPr>
              <w:t xml:space="preserve">Phase 1: </w:t>
            </w:r>
            <w:r w:rsidRPr="00E06DFC">
              <w:rPr>
                <w:rFonts w:ascii="Times New Roman" w:hAnsi="Times New Roman" w:cs="Times New Roman"/>
                <w:color w:val="222222"/>
                <w:sz w:val="20"/>
                <w:szCs w:val="20"/>
                <w:shd w:val="clear" w:color="auto" w:fill="FFFFFF"/>
              </w:rPr>
              <w:t>NCT03345043</w:t>
            </w:r>
            <w:r w:rsidRPr="00E06DFC">
              <w:rPr>
                <w:rFonts w:ascii="Times New Roman" w:hAnsi="Times New Roman" w:cs="Times New Roman"/>
                <w:color w:val="222222"/>
                <w:sz w:val="20"/>
                <w:szCs w:val="20"/>
                <w:shd w:val="clear" w:color="auto" w:fill="FFFFFF"/>
                <w:lang w:val="pt-BR"/>
              </w:rPr>
              <w:t xml:space="preserve"> (2016-2018)</w:t>
            </w:r>
          </w:p>
        </w:tc>
        <w:tc>
          <w:tcPr>
            <w:tcW w:w="1559" w:type="dxa"/>
          </w:tcPr>
          <w:p w14:paraId="17F56533" w14:textId="73BA9040" w:rsidR="00E06DFC" w:rsidRPr="00E06DFC" w:rsidRDefault="00E06DFC" w:rsidP="00E6447E">
            <w:pPr>
              <w:rPr>
                <w:rFonts w:ascii="Times New Roman" w:hAnsi="Times New Roman" w:cs="Times New Roman"/>
                <w:sz w:val="20"/>
                <w:szCs w:val="20"/>
                <w:lang w:val="pt-BR"/>
              </w:rPr>
            </w:pPr>
            <w:r w:rsidRPr="00E06DFC">
              <w:rPr>
                <w:rFonts w:ascii="Times New Roman" w:hAnsi="Times New Roman" w:cs="Times New Roman"/>
                <w:sz w:val="20"/>
                <w:szCs w:val="20"/>
                <w:lang w:val="pt-BR"/>
              </w:rPr>
              <w:t>(&gt;80%)</w:t>
            </w:r>
          </w:p>
          <w:p w14:paraId="33AAE653" w14:textId="737CDB49" w:rsidR="00E06DFC" w:rsidRPr="00E06DFC" w:rsidRDefault="00E06DFC" w:rsidP="00E6447E">
            <w:pPr>
              <w:rPr>
                <w:rFonts w:ascii="Times New Roman" w:hAnsi="Times New Roman" w:cs="Times New Roman"/>
                <w:sz w:val="20"/>
                <w:szCs w:val="20"/>
                <w:lang w:val="pt-BR"/>
              </w:rPr>
            </w:pPr>
            <w:r w:rsidRPr="00E06DFC">
              <w:rPr>
                <w:rFonts w:ascii="Times New Roman" w:hAnsi="Times New Roman" w:cs="Times New Roman"/>
                <w:sz w:val="20"/>
                <w:szCs w:val="20"/>
                <w:lang w:val="pt-BR"/>
              </w:rPr>
              <w:t>[5/84, 6%]</w:t>
            </w:r>
          </w:p>
        </w:tc>
        <w:tc>
          <w:tcPr>
            <w:tcW w:w="1418" w:type="dxa"/>
          </w:tcPr>
          <w:p w14:paraId="0AEA4050" w14:textId="573CE55A" w:rsidR="00E06DFC" w:rsidRPr="00E06DFC" w:rsidRDefault="00E06DFC" w:rsidP="00E6447E">
            <w:pPr>
              <w:rPr>
                <w:rFonts w:ascii="Times New Roman" w:hAnsi="Times New Roman" w:cs="Times New Roman"/>
                <w:sz w:val="20"/>
                <w:szCs w:val="20"/>
                <w:lang w:val="pt-BR"/>
              </w:rPr>
            </w:pPr>
          </w:p>
        </w:tc>
        <w:tc>
          <w:tcPr>
            <w:tcW w:w="1134" w:type="dxa"/>
          </w:tcPr>
          <w:p w14:paraId="57B1E825" w14:textId="2468589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pt-BR"/>
              </w:rPr>
              <w:instrText xml:space="preserve"> ADDIN ZOTERO_ITEM CSL_CITATION {"citationID":"M60Vhf0T","properties":{"formattedCitation":"[5,6]","plainCitation":"[5,6]","noteIndex":0},"citationItems":[{"id":5600,"uris":["http://zotero.org/users/7565624/items/JT254UQC"],"itemData":{"id":5600,"type":"article-journal","abstract":"BACKGROUND: We evaluated safety and immunogenicity of the first mRNA vaccines against potentially pandemic avian H10N8 and H7N9 influenza viruses.\nMETHODS: Two randomized, placebo-controlled, double-blind, phase 1 clinical trials enrolled participants between December 2015 and August 2017 at single centers in Germany (H10N8) and USA (H7N9). Healthy adults (ages 18-64 years for H10N8 study; 18-49 years for H7N9 study) participated. Participants received vaccine or placebo in a 2-dose vaccination series 3 weeks apart. H10N8 intramuscular (IM) dose levels of 25, 50, 75, 100, and 400 µg and intradermal dose levels of 25 and 50 µg were evaluated. H7N9 IM 10-, 25-, and 50-µg dose levels were evaluated; 2-dose series 6 months apart was also evaluated. Primary endpoints were safety (adverse events) and tolerability. Secondary immunogenicity outcomes included humoral (hemagglutination inhibition [HAI], microneutralization [MN] assays) and cell-mediated responses (ELISPOT assay).\nRESULTS: H10N8 and H7N9 mRNA IM vaccines demonstrated favorable safety and reactogenicity profiles. No vaccine-related serious adverse event was reported. For H10N8 (N = 201), 100-µg IM dose induced HAI titers ≥ 1:40 in 100% and MN titers ≥ 1:20 in 87.0% of participants. The 25-µg intradermal dose induced HAI titers &gt; 1:40 in 64.7% of participants compared to 34.5% of participants receiving the IM dose. For H7N9 (N = 156), IM doses of 10, 25, and 50 µg achieved HAI titers ≥ 1:40 in 36.0%, 96.3%, and 89.7% of participants, respectively. MN titers ≥ 1:20 were achieved by 100% in the 10- and 25-µg groups and 96.6% in the 50-µg group. Seroconversion rates were 78.3% (HAI) and 87.0% (MN) for H10N8 (100 µg IM) and 96.3% (HAI) and 100% (MN) in H7N9 (50 µg). Significant cell-mediated responses were not detected in either study.\nCONCLUSIONS: The first mRNA vaccines against H10N8 and H7N9 influenza viruses were well tolerated and elicited robust humoral immune responses. ClinicalTrials.gov NCT03076385 and NCT03345043.","container-title":"Vaccine","DOI":"10.1016/j.vaccine.2019.04.074","ISSN":"1873-2518","issue":"25","journalAbbreviation":"Vaccine","language":"eng","note":"PMID: 31079849","page":"3326-3334","source":"PubMed","title":"mRNA vaccines against H10N8 and H7N9 influenza viruses of pandemic potential are immunogenic and well tolerated in healthy adults in phase 1 randomized clinical trials","volume":"37","author":[{"family":"Feldman","given":"Robert A."},{"family":"Fuhr","given":"Rainard"},{"family":"Smolenov","given":"Igor"},{"family":"Mick Ribeiro","given":"Amilcar"},{"family":"Panther","given":"Lori"},{"family":"Watson","given":"Mike"},{"family":"Senn","given":"Joseph J."},{"family":"Smith","given":"</w:instrText>
            </w:r>
            <w:r w:rsidR="008B154A" w:rsidRPr="008B154A">
              <w:rPr>
                <w:rFonts w:ascii="Times New Roman" w:hAnsi="Times New Roman" w:cs="Times New Roman"/>
                <w:sz w:val="20"/>
                <w:szCs w:val="20"/>
                <w:lang w:val="en-US"/>
              </w:rPr>
              <w:instrText>Mike"},{"family":"Almarsson","given":"</w:instrText>
            </w:r>
            <w:r w:rsidR="008B154A">
              <w:rPr>
                <w:rFonts w:ascii="Times New Roman" w:hAnsi="Times New Roman" w:cs="Times New Roman"/>
                <w:sz w:val="20"/>
                <w:szCs w:val="20"/>
                <w:lang w:val="pt-BR"/>
              </w:rPr>
              <w:instrText>Ӧ</w:instrText>
            </w:r>
            <w:r w:rsidR="008B154A" w:rsidRPr="008B154A">
              <w:rPr>
                <w:rFonts w:ascii="Times New Roman" w:hAnsi="Times New Roman" w:cs="Times New Roman"/>
                <w:sz w:val="20"/>
                <w:szCs w:val="20"/>
                <w:lang w:val="en-US"/>
              </w:rPr>
              <w:instrText xml:space="preserve">rn"},{"family":"Pujar","given":"Hari S."},{"family":"Laska","given":"Michael E."},{"family":"Thompson","given":"James"},{"family":"Zaks","given":"Tal"},{"family":"Ciaramella","given":"Giuseppe"}],"issued":{"date-parts":[["2019",5,31]]}},"locator":"8"},{"id":5371,"uris":["http://zotero.org/users/7565624/items/7V7ISTIN"],"itemData":{"id":5371,"type":"article-journal","container-title":"Molecular Therapy","DOI":"10.1016/j.ymthe.2017.03.035","ISSN":"1525-0016, 1525-0024","issue":"6","journalAbbreviation":"Molecular Therapy","language":"English","note":"publisher: Elsevier\nPMID: 28457665","page":"1316-1327","source":"www.cell.com","title":"Preclinical and Clinical Demonstration of Immunogenicity by mRNA Vaccines against H10N8 and H7N9 Influenza Viruses","volume":"25","author":[{"family":"Bahl","given":"Kapil"},{"family":"Senn","given":"Joe J."},{"family":"Yuzhakov","given":"Olga"},{"family":"Bulychev","given":"Alex"},{"family":"Brito","given":"Luis A."},{"family":"Hassett","given":"Kimberly J."},{"family":"Laska","given":"Michael E."},{"family":"Smith","given":"Mike"},{"family":"Almarsson","given":"Örn"},{"family":"Thompson","given":"James"},{"family":"Ribeiro","given":"Amilcar (Mick)"},{"family":"Watson","given":"Mike"},{"family":"Zaks","given":"Tal"},{"family":"Ciaramella","given":"Giuseppe"}],"issued":{"date-parts":[["2017",6,7]]}},"locator":"8"}],"schema":"https://github.com/citation-style-language/schema/raw/master/csl-citation.json"}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[5,6]</w:t>
            </w:r>
            <w:r w:rsidRPr="00E06DFC">
              <w:rPr>
                <w:rFonts w:ascii="Times New Roman" w:hAnsi="Times New Roman" w:cs="Times New Roman"/>
                <w:sz w:val="20"/>
                <w:szCs w:val="20"/>
                <w:lang w:val="en-GB"/>
              </w:rPr>
              <w:fldChar w:fldCharType="end"/>
            </w:r>
          </w:p>
        </w:tc>
      </w:tr>
      <w:tr w:rsidR="00E06DFC" w:rsidRPr="00E06DFC" w14:paraId="3CBA8E5B" w14:textId="77777777" w:rsidTr="00E06DFC">
        <w:tc>
          <w:tcPr>
            <w:tcW w:w="1277" w:type="dxa"/>
          </w:tcPr>
          <w:p w14:paraId="09EDBACD" w14:textId="77777777" w:rsidR="00E06DFC" w:rsidRPr="00E06DFC" w:rsidRDefault="00E06DFC" w:rsidP="00E6447E">
            <w:pPr>
              <w:rPr>
                <w:rFonts w:ascii="Times New Roman" w:hAnsi="Times New Roman" w:cs="Times New Roman"/>
                <w:sz w:val="20"/>
                <w:szCs w:val="20"/>
                <w:lang w:val="en-US"/>
              </w:rPr>
            </w:pPr>
          </w:p>
        </w:tc>
        <w:tc>
          <w:tcPr>
            <w:tcW w:w="1134" w:type="dxa"/>
          </w:tcPr>
          <w:p w14:paraId="00240B37" w14:textId="46D10366"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HIV-1</w:t>
            </w:r>
          </w:p>
        </w:tc>
        <w:tc>
          <w:tcPr>
            <w:tcW w:w="1276" w:type="dxa"/>
          </w:tcPr>
          <w:p w14:paraId="01CEEE10" w14:textId="77777777" w:rsidR="00E06DFC" w:rsidRPr="00E06DFC" w:rsidRDefault="00E06DFC" w:rsidP="00E6447E">
            <w:pPr>
              <w:rPr>
                <w:rFonts w:ascii="Times New Roman" w:hAnsi="Times New Roman" w:cs="Times New Roman"/>
                <w:color w:val="222222"/>
                <w:sz w:val="20"/>
                <w:szCs w:val="20"/>
              </w:rPr>
            </w:pPr>
          </w:p>
        </w:tc>
        <w:tc>
          <w:tcPr>
            <w:tcW w:w="1559" w:type="dxa"/>
          </w:tcPr>
          <w:p w14:paraId="7A8F8E50" w14:textId="0CF0A63D"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Argos Therapeutics</w:t>
            </w:r>
          </w:p>
        </w:tc>
        <w:tc>
          <w:tcPr>
            <w:tcW w:w="1559" w:type="dxa"/>
          </w:tcPr>
          <w:p w14:paraId="70538B9C" w14:textId="2ED9E358"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AGS 004</w:t>
            </w:r>
          </w:p>
        </w:tc>
        <w:tc>
          <w:tcPr>
            <w:tcW w:w="2126" w:type="dxa"/>
          </w:tcPr>
          <w:p w14:paraId="37DB0CBB" w14:textId="18D92A7D"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000000"/>
                <w:sz w:val="20"/>
                <w:szCs w:val="20"/>
                <w:shd w:val="clear" w:color="auto" w:fill="FFFFFF"/>
              </w:rPr>
              <w:t>NCT00672191</w:t>
            </w:r>
            <w:r w:rsidRPr="00E06DFC">
              <w:rPr>
                <w:rFonts w:ascii="Times New Roman" w:hAnsi="Times New Roman" w:cs="Times New Roman"/>
                <w:color w:val="000000"/>
                <w:sz w:val="20"/>
                <w:szCs w:val="20"/>
                <w:shd w:val="clear" w:color="auto" w:fill="FFFFFF"/>
                <w:lang w:val="en-US"/>
              </w:rPr>
              <w:t xml:space="preserve"> (2008-2011)</w:t>
            </w:r>
          </w:p>
        </w:tc>
        <w:tc>
          <w:tcPr>
            <w:tcW w:w="1559" w:type="dxa"/>
          </w:tcPr>
          <w:p w14:paraId="0007E579"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(25/35, 72%) lower than placebo arm</w:t>
            </w:r>
          </w:p>
          <w:p w14:paraId="341D97B1"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[0/35, 0%]</w:t>
            </w:r>
          </w:p>
          <w:p w14:paraId="3CCCABF5" w14:textId="77777777" w:rsidR="00E06DFC" w:rsidRPr="00E06DFC" w:rsidRDefault="00E06DFC" w:rsidP="00E6447E">
            <w:pPr>
              <w:rPr>
                <w:rFonts w:ascii="Times New Roman" w:hAnsi="Times New Roman" w:cs="Times New Roman"/>
                <w:sz w:val="20"/>
                <w:szCs w:val="20"/>
                <w:lang w:val="en-US"/>
              </w:rPr>
            </w:pPr>
          </w:p>
          <w:p w14:paraId="698438C6" w14:textId="1B39B180"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No difference in viral load between arms.</w:t>
            </w:r>
          </w:p>
        </w:tc>
        <w:tc>
          <w:tcPr>
            <w:tcW w:w="1418" w:type="dxa"/>
          </w:tcPr>
          <w:p w14:paraId="1082F1C7" w14:textId="4703FA7D"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Local site reactions,</w:t>
            </w:r>
          </w:p>
        </w:tc>
        <w:tc>
          <w:tcPr>
            <w:tcW w:w="1134" w:type="dxa"/>
          </w:tcPr>
          <w:p w14:paraId="0A821DB6" w14:textId="43185C9E"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pt-BR"/>
              </w:rPr>
              <w:fldChar w:fldCharType="begin"/>
            </w:r>
            <w:r w:rsidR="008B154A">
              <w:rPr>
                <w:rFonts w:ascii="Times New Roman" w:hAnsi="Times New Roman" w:cs="Times New Roman"/>
                <w:sz w:val="20"/>
                <w:szCs w:val="20"/>
                <w:lang w:val="en-US"/>
              </w:rPr>
              <w:instrText xml:space="preserve"> ADDIN ZOTERO_ITEM CSL_CITATION {"citationID":"p3mu0HBE","properties":{"formattedCitation":"[7]","plainCitation":"[7]","noteIndex":0},"citationItems":[{"id":5702,"uris":["http://zotero.org/users/7565624/items/G2AVRZ6C"],"itemData":{"id":5702,"type":"article-journal","abstract":"Background: \n        The genomic heterogeneity of HIV-1 impedes the ability of consensus sequences in vaccines to elicit effective antiviral immune responses. AGS-004 amplifies translation-competent RNA molecules encoding for Gag, Rev, Vpr, and Nef from the patient's autologous virus and loads them into dendritic cells.\n        Methods: \n        This phase IIB, multicenter, 2:1 randomized, double-blind, placebo-controlled study enrolled 54 HIV-1–infected patients on antiretroviral therapy with viral loads (VLs) &lt;50 copies per milliliter, current CD4 T-cell counts &gt;450 cells per cubic millimeter, and nadir counts &gt;200 cells per cubic millimeter, to receive intradermal injections of study product into the axillary lymph node region every 4 weeks. At week 16, a 12-week analytical treatment interruption (ATI) was undertaken.\n        Results: \n        There was no difference in the end-of-ATI VL (average of values from weeks 11 and 12) between the 2 arms of the study [4.39 (4.17, 4.69) vs. 4.47 (3.76, 4.64) log10 HIV-1 RNA; P = 0.73]. Between arms, no change between pre–antiretroviral therapy VL and the end-of-ATI VL [−0.06 (0.24, −0.32) vs. −0.17 (0.17, −0.32) log10 HIV-1 RNA; P = 0.43] was observed. When interferon-γ, interleukin-2, tumor necrosis factor α, CD107a, and granzyme b expressions were measured by multicolor flow cytometry, a greater percentage of AGS-004 than of placebo recipients had multifunctional cytotoxic T-lymphocyte responses induced in the CD28+/CD45RA-CD8 effector/memory T-cell population to dendritic cells electroporated with autologous antigens. Adverse events consisted of transient, mild (grade 1) local injection site reactions.\n        Conclusions: \n        Despite the induction of HIV-specific effector/memory CD8 T-cell responses, no antiviral effect was seen after the administration of AGS-004 when compared with placebo.","container-title":"JAIDS Journal of Acquired Immune Deficiency Syndromes","DOI":"10.1097/QAI.0000000000000926","ISSN":"1525-4135","issue":"1","language":"en-US","page":"31–38","source":"journals.lww.com","title":"Dendritic Cell Immunotherapy for HIV-1 Infection Using Autologous HIV-1 RNA: A Randomized, Double-Blind, Placebo-Controlled Clinical Trial","title-short":"Dendritic Cell Immunotherapy for HIV-1 Infection Using Autologous HIV-1 RNA","volume":"72","author":[{"family":"Jacobson","given":"Jeffrey M."},{"family":"Routy","given":"Jean-Pierre"},{"family":"Welles","given":"Seth"},{"family":"DeBenedette","given":"Mark"},{"family":"Tcherepanova","given":"Irina"},{"family":"Angel","given":"Jonathan B."},{"family":"Asmuth","given":"David M."},{"family":"Stein","given":"David K."},{"family":"Baril","given":"Jean-Guy"},{"family":"McKellar","given":"Mehri"},{"family":"Margolis","given":"David M."},{"family":"Trottier","given":"Benoit"},{"family":"Wood","given":"Kenneth"},{"family":"Nicolette","given":"Charles"}],"issued":{"date-parts":[["2016",5,1]]}}}],"schema":"https://github.com/citation-style-language/schema/raw/master/csl-citation.json"} </w:instrText>
            </w:r>
            <w:r w:rsidRPr="00E06DFC">
              <w:rPr>
                <w:rFonts w:ascii="Times New Roman" w:hAnsi="Times New Roman" w:cs="Times New Roman"/>
                <w:sz w:val="20"/>
                <w:szCs w:val="20"/>
                <w:lang w:val="pt-BR"/>
              </w:rPr>
              <w:fldChar w:fldCharType="separate"/>
            </w:r>
            <w:r w:rsidR="008B154A" w:rsidRPr="008B154A">
              <w:rPr>
                <w:rFonts w:ascii="Times New Roman" w:hAnsi="Times New Roman" w:cs="Times New Roman"/>
                <w:sz w:val="20"/>
              </w:rPr>
              <w:t>[7]</w:t>
            </w:r>
            <w:r w:rsidRPr="00E06DFC">
              <w:rPr>
                <w:rFonts w:ascii="Times New Roman" w:hAnsi="Times New Roman" w:cs="Times New Roman"/>
                <w:sz w:val="20"/>
                <w:szCs w:val="20"/>
                <w:lang w:val="pt-BR"/>
              </w:rPr>
              <w:fldChar w:fldCharType="end"/>
            </w:r>
          </w:p>
        </w:tc>
      </w:tr>
      <w:tr w:rsidR="00E06DFC" w:rsidRPr="00E06DFC" w14:paraId="19DF4A34" w14:textId="77777777" w:rsidTr="00E06DFC">
        <w:tc>
          <w:tcPr>
            <w:tcW w:w="1277" w:type="dxa"/>
          </w:tcPr>
          <w:p w14:paraId="1F1AE543" w14:textId="77777777" w:rsidR="00E06DFC" w:rsidRPr="00E06DFC" w:rsidRDefault="00E06DFC" w:rsidP="00E6447E">
            <w:pPr>
              <w:rPr>
                <w:rFonts w:ascii="Times New Roman" w:hAnsi="Times New Roman" w:cs="Times New Roman"/>
                <w:sz w:val="20"/>
                <w:szCs w:val="20"/>
                <w:lang w:val="en-US"/>
              </w:rPr>
            </w:pPr>
          </w:p>
        </w:tc>
        <w:tc>
          <w:tcPr>
            <w:tcW w:w="1134" w:type="dxa"/>
          </w:tcPr>
          <w:p w14:paraId="65DA0C1C"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276" w:type="dxa"/>
          </w:tcPr>
          <w:p w14:paraId="790F8707" w14:textId="77777777" w:rsidR="00E06DFC" w:rsidRPr="00E06DFC" w:rsidRDefault="00E06DFC" w:rsidP="00E6447E">
            <w:pPr>
              <w:rPr>
                <w:rFonts w:ascii="Times New Roman" w:hAnsi="Times New Roman" w:cs="Times New Roman"/>
                <w:color w:val="222222"/>
                <w:sz w:val="20"/>
                <w:szCs w:val="20"/>
              </w:rPr>
            </w:pPr>
          </w:p>
        </w:tc>
        <w:tc>
          <w:tcPr>
            <w:tcW w:w="1559" w:type="dxa"/>
          </w:tcPr>
          <w:p w14:paraId="63BC1738"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559" w:type="dxa"/>
          </w:tcPr>
          <w:p w14:paraId="41D3ACF7"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2126" w:type="dxa"/>
          </w:tcPr>
          <w:p w14:paraId="4B6BA71F" w14:textId="624D1F4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000000"/>
                <w:sz w:val="20"/>
                <w:szCs w:val="20"/>
                <w:shd w:val="clear" w:color="auto" w:fill="FFFFFF"/>
              </w:rPr>
              <w:t>NCT02042248</w:t>
            </w:r>
            <w:r w:rsidRPr="00E06DFC">
              <w:rPr>
                <w:rFonts w:ascii="Times New Roman" w:hAnsi="Times New Roman" w:cs="Times New Roman"/>
                <w:color w:val="000000"/>
                <w:sz w:val="20"/>
                <w:szCs w:val="20"/>
                <w:shd w:val="clear" w:color="auto" w:fill="FFFFFF"/>
                <w:lang w:val="en-US"/>
              </w:rPr>
              <w:t xml:space="preserve"> (2014-2016)</w:t>
            </w:r>
          </w:p>
        </w:tc>
        <w:tc>
          <w:tcPr>
            <w:tcW w:w="1559" w:type="dxa"/>
            <w:shd w:val="clear" w:color="auto" w:fill="auto"/>
          </w:tcPr>
          <w:p w14:paraId="7BF7405A" w14:textId="5C90DAC8"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Data not available</w:t>
            </w:r>
          </w:p>
        </w:tc>
        <w:tc>
          <w:tcPr>
            <w:tcW w:w="1418" w:type="dxa"/>
          </w:tcPr>
          <w:p w14:paraId="576CB2B5" w14:textId="77777777" w:rsidR="00E06DFC" w:rsidRPr="00E06DFC" w:rsidRDefault="00E06DFC" w:rsidP="00E6447E">
            <w:pPr>
              <w:rPr>
                <w:rFonts w:ascii="Times New Roman" w:hAnsi="Times New Roman" w:cs="Times New Roman"/>
                <w:sz w:val="20"/>
                <w:szCs w:val="20"/>
                <w:lang w:val="en-US"/>
              </w:rPr>
            </w:pPr>
          </w:p>
        </w:tc>
        <w:tc>
          <w:tcPr>
            <w:tcW w:w="1134" w:type="dxa"/>
          </w:tcPr>
          <w:p w14:paraId="0010A6E5" w14:textId="77777777" w:rsidR="00E06DFC" w:rsidRPr="00E06DFC" w:rsidRDefault="00E06DFC" w:rsidP="00E6447E">
            <w:pPr>
              <w:rPr>
                <w:rFonts w:ascii="Times New Roman" w:hAnsi="Times New Roman" w:cs="Times New Roman"/>
                <w:sz w:val="20"/>
                <w:szCs w:val="20"/>
                <w:lang w:val="en-US"/>
              </w:rPr>
            </w:pPr>
          </w:p>
        </w:tc>
      </w:tr>
      <w:tr w:rsidR="00E06DFC" w:rsidRPr="00E06DFC" w14:paraId="5FFD15B3" w14:textId="77777777" w:rsidTr="00E06DFC">
        <w:tc>
          <w:tcPr>
            <w:tcW w:w="1277" w:type="dxa"/>
          </w:tcPr>
          <w:p w14:paraId="262E6A69" w14:textId="77777777" w:rsidR="00E06DFC" w:rsidRPr="00E06DFC" w:rsidRDefault="00E06DFC" w:rsidP="00E6447E">
            <w:pPr>
              <w:rPr>
                <w:rFonts w:ascii="Times New Roman" w:hAnsi="Times New Roman" w:cs="Times New Roman"/>
                <w:sz w:val="20"/>
                <w:szCs w:val="20"/>
                <w:lang w:val="en-US"/>
              </w:rPr>
            </w:pPr>
          </w:p>
        </w:tc>
        <w:tc>
          <w:tcPr>
            <w:tcW w:w="1134" w:type="dxa"/>
          </w:tcPr>
          <w:p w14:paraId="5DB50425"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276" w:type="dxa"/>
          </w:tcPr>
          <w:p w14:paraId="046CEA71" w14:textId="77777777" w:rsidR="00E06DFC" w:rsidRPr="00E06DFC" w:rsidRDefault="00E06DFC" w:rsidP="00E6447E">
            <w:pPr>
              <w:rPr>
                <w:rFonts w:ascii="Times New Roman" w:hAnsi="Times New Roman" w:cs="Times New Roman"/>
                <w:color w:val="222222"/>
                <w:sz w:val="20"/>
                <w:szCs w:val="20"/>
              </w:rPr>
            </w:pPr>
          </w:p>
        </w:tc>
        <w:tc>
          <w:tcPr>
            <w:tcW w:w="1559" w:type="dxa"/>
          </w:tcPr>
          <w:p w14:paraId="616AB336"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559" w:type="dxa"/>
          </w:tcPr>
          <w:p w14:paraId="556A075E"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2126" w:type="dxa"/>
          </w:tcPr>
          <w:p w14:paraId="201BD63D" w14:textId="48D94DE9"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 xml:space="preserve">Phase II: </w:t>
            </w:r>
            <w:r w:rsidRPr="00E06DFC">
              <w:rPr>
                <w:rFonts w:ascii="Times New Roman" w:hAnsi="Times New Roman" w:cs="Times New Roman"/>
                <w:color w:val="000000"/>
                <w:sz w:val="20"/>
                <w:szCs w:val="20"/>
                <w:shd w:val="clear" w:color="auto" w:fill="FFFFFF"/>
              </w:rPr>
              <w:t>NCT01069809</w:t>
            </w:r>
            <w:r w:rsidRPr="00E06DFC">
              <w:rPr>
                <w:rFonts w:ascii="Times New Roman" w:hAnsi="Times New Roman" w:cs="Times New Roman"/>
                <w:color w:val="000000"/>
                <w:sz w:val="20"/>
                <w:szCs w:val="20"/>
                <w:shd w:val="clear" w:color="auto" w:fill="FFFFFF"/>
                <w:lang w:val="en-US"/>
              </w:rPr>
              <w:t xml:space="preserve"> (2010-2015)</w:t>
            </w:r>
          </w:p>
        </w:tc>
        <w:tc>
          <w:tcPr>
            <w:tcW w:w="1559" w:type="dxa"/>
          </w:tcPr>
          <w:p w14:paraId="66F6A3A5" w14:textId="635EB9D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Data not available</w:t>
            </w:r>
          </w:p>
        </w:tc>
        <w:tc>
          <w:tcPr>
            <w:tcW w:w="1418" w:type="dxa"/>
          </w:tcPr>
          <w:p w14:paraId="1EF0E7B5" w14:textId="77777777" w:rsidR="00E06DFC" w:rsidRPr="00E06DFC" w:rsidRDefault="00E06DFC" w:rsidP="00E6447E">
            <w:pPr>
              <w:rPr>
                <w:rFonts w:ascii="Times New Roman" w:hAnsi="Times New Roman" w:cs="Times New Roman"/>
                <w:sz w:val="20"/>
                <w:szCs w:val="20"/>
                <w:lang w:val="en-US"/>
              </w:rPr>
            </w:pPr>
          </w:p>
        </w:tc>
        <w:tc>
          <w:tcPr>
            <w:tcW w:w="1134" w:type="dxa"/>
          </w:tcPr>
          <w:p w14:paraId="1AF5BA69" w14:textId="77777777" w:rsidR="00E06DFC" w:rsidRPr="00E06DFC" w:rsidRDefault="00E06DFC" w:rsidP="00E6447E">
            <w:pPr>
              <w:rPr>
                <w:rFonts w:ascii="Times New Roman" w:hAnsi="Times New Roman" w:cs="Times New Roman"/>
                <w:sz w:val="20"/>
                <w:szCs w:val="20"/>
                <w:lang w:val="en-US"/>
              </w:rPr>
            </w:pPr>
          </w:p>
        </w:tc>
      </w:tr>
      <w:tr w:rsidR="00E06DFC" w:rsidRPr="00E06DFC" w14:paraId="00F88784" w14:textId="77777777" w:rsidTr="00E06DFC">
        <w:tc>
          <w:tcPr>
            <w:tcW w:w="1277" w:type="dxa"/>
          </w:tcPr>
          <w:p w14:paraId="0B365FC7" w14:textId="77777777" w:rsidR="00E06DFC" w:rsidRPr="00E06DFC" w:rsidRDefault="00E06DFC" w:rsidP="00E6447E">
            <w:pPr>
              <w:rPr>
                <w:rFonts w:ascii="Times New Roman" w:hAnsi="Times New Roman" w:cs="Times New Roman"/>
                <w:sz w:val="20"/>
                <w:szCs w:val="20"/>
                <w:lang w:val="en-US"/>
              </w:rPr>
            </w:pPr>
          </w:p>
        </w:tc>
        <w:tc>
          <w:tcPr>
            <w:tcW w:w="1134" w:type="dxa"/>
          </w:tcPr>
          <w:p w14:paraId="40051069"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276" w:type="dxa"/>
          </w:tcPr>
          <w:p w14:paraId="1D53720D" w14:textId="77777777" w:rsidR="00E06DFC" w:rsidRPr="00E06DFC" w:rsidRDefault="00E06DFC" w:rsidP="00E6447E">
            <w:pPr>
              <w:rPr>
                <w:rFonts w:ascii="Times New Roman" w:hAnsi="Times New Roman" w:cs="Times New Roman"/>
                <w:color w:val="222222"/>
                <w:sz w:val="20"/>
                <w:szCs w:val="20"/>
              </w:rPr>
            </w:pPr>
          </w:p>
        </w:tc>
        <w:tc>
          <w:tcPr>
            <w:tcW w:w="1559" w:type="dxa"/>
          </w:tcPr>
          <w:p w14:paraId="254B1166"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559" w:type="dxa"/>
          </w:tcPr>
          <w:p w14:paraId="4BE74421"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2126" w:type="dxa"/>
          </w:tcPr>
          <w:p w14:paraId="6A5FE936"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 xml:space="preserve">Phase II: NCT02888756 </w:t>
            </w:r>
          </w:p>
          <w:p w14:paraId="180E833E" w14:textId="3564781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(2017-2018)</w:t>
            </w:r>
          </w:p>
        </w:tc>
        <w:tc>
          <w:tcPr>
            <w:tcW w:w="1559" w:type="dxa"/>
          </w:tcPr>
          <w:p w14:paraId="53DD4248" w14:textId="60EFDB7E"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(16/26, 100%)</w:t>
            </w:r>
          </w:p>
          <w:p w14:paraId="7FCDADB9" w14:textId="6571A53F"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[2/16, 12.5%] same as placebo arm</w:t>
            </w:r>
          </w:p>
        </w:tc>
        <w:tc>
          <w:tcPr>
            <w:tcW w:w="1418" w:type="dxa"/>
          </w:tcPr>
          <w:p w14:paraId="108E87FF" w14:textId="4A6441F4"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Gastrointestinal disorders</w:t>
            </w:r>
          </w:p>
        </w:tc>
        <w:tc>
          <w:tcPr>
            <w:tcW w:w="1134" w:type="dxa"/>
          </w:tcPr>
          <w:p w14:paraId="470409CB" w14:textId="2E5CC1A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{"citationID":"avwF6eSm","properties":{"formattedCitation":"[8]","plainCitation":"[8]","noteIndex":0},"citationItems":[{"id":5705,"uris":["http://zotero.org/users/7565624/items/Q4ZRU6H8"],"itemData":{"id":5705,"type":"article-journal","abstract":"BACKGROUND: HIV therapeutic vaccination aims to improve the immune responses against HIV in order to control viral replication without the need for combined antiretroviral therapy (cART). iHIVARNA-01 is a novel vaccine combining mRNA delivery and T-cell immunogen (HTI) based on conserved targets of effective antiviral T-cell responses. In addition, it holds adequate stimuli required for activating antigen presenting cells (APC)s and co-activating specific T-cells (TriMix), including human CD40L, constitutively active TLR4 (caTLR4) and CD70. We propose that in-vivo targeting of dendritic cells (DCs) by direct administration of a HIV mRNA encoding these immune modulating proteins might be an attractive alternative to target DCs in vitro.\nMETHODS/DESIGN: This is a phase-IIa, randomized, double-blinded, placebo-controlled, multicenter study in chronically HIV-1 infected patients under stable cART. One of the three study arms is randomly allocated to subjects. Three vaccinations with either HIVACAT T-cell immunogen (HTI)-TriMix (iHIVARNA-01), TriMix or water for injection (WFI) (weeks 0, 2 and 4) are administered by intranodal injection in the inguinal region. Two weeks after the last immunization (week 6) cART is stopped for 12 weeks. The two primary endpoints are: (1) safety and tolerability of intranodal iHIVARNA-01 vaccination compared with TriMix or WFI and (2) induced immunogenicity, i.e., increase in the frequency of HIV-specific T-cell responses between baseline, week 6 and 12 weeks after treatment interruption in iHIVARNA-01-treated patients as compared to the control groups, immunized with TriMix-mRNA or WFI measured by an IFNγ ELISPOT assay. Secondary endpoints include the evaluation of time to viral rebound, plasma viral load (pVL) at w18, the proportion of patients with control of viral load, induction of T-cell responses to new HIV epitopes, polyfunctionality of HIV-specific T-cells, CD8+ T-cell in-vitro HIV suppressive capacity, the effect on viral reservoir (measured by proviral DNA and cell-associated RNA), assessment of viral immune escape by mutation and mRNA expression profiles of host immune genes.\nDISCUSSION: This trial aims to direct target DC in situ with mRNA encoding HTI and TriMix for co-stimulation. Intranodal injection circumvents laborious DC isolation and handling in the laboratory. The trial extends on the safety results of a phase-I dose-escalating trial. This candidate vaccine could complement or even replace cART for chronic HIV infection and could be applicable to improve the care and cost of HIV infection.\nTRIAL REGISTRATION: EudraCT 2016-002724-83 (22 September 2016); ClinicalTrials.gov, ID: NCT02888756 . Registered on 23 August 2016.","container-title":"Trials","DOI":"10.1186/s13063-019-3409-1","ISSN":"1745-6215","issue":"1","journalAbbreviation":"Trials","language":"eng","note":"PMID: 31208472\nPMCID: PMC6580477","page":"361","source":"PubMed","title":"iHIVARNA phase IIa, a randomized, placebo-controlled, double-blinded trial to evaluate the safety and immunogenicity of iHIVARNA-01 in chronically HIV-infected patients under stable combined antiretroviral therapy","volume":"20","author":[{"family":"Jong","given":"Wesley","non-dropping-particle":"de"},{"family":"Aerts","given":"Joeri"},{"family":"Allard","given":"Sabine"},{"family":"Brander","given":"Christian"},{"family":"Buyze","given":"Jozefien"},{"family":"Florence","given":"Eric"},{"family":"Gorp","given":"Eric","non-dropping-particle":"van"},{"family":"Vanham","given":"Guido"},{"family":"Leal","given":"Lorna"},{"family":"Mothe","given":"Beatriz"},{"family":"Thielemans","given":"Kris"},{"family":"Plana","given":"Montse"},{"family":"Garcia","given":"Félipe"},{"family":"Gruters","given":"Rob"},{"literal":"iHIVARNA consortium"}],"issued":{"date-parts":[["2019",6,17]]}}}],"schema":"https://github.com/citation-style-language/schema/raw/master/csl-citation.json"}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[8]</w:t>
            </w:r>
            <w:r w:rsidRPr="00E06DFC">
              <w:rPr>
                <w:rFonts w:ascii="Times New Roman" w:hAnsi="Times New Roman" w:cs="Times New Roman"/>
                <w:sz w:val="20"/>
                <w:szCs w:val="20"/>
                <w:lang w:val="en-US"/>
              </w:rPr>
              <w:fldChar w:fldCharType="end"/>
            </w:r>
          </w:p>
        </w:tc>
      </w:tr>
      <w:tr w:rsidR="00E06DFC" w:rsidRPr="00E06DFC" w14:paraId="7DBF58F8" w14:textId="77777777" w:rsidTr="00E06DFC">
        <w:tc>
          <w:tcPr>
            <w:tcW w:w="1277" w:type="dxa"/>
          </w:tcPr>
          <w:p w14:paraId="59739377" w14:textId="77777777" w:rsidR="00E06DFC" w:rsidRPr="00E06DFC" w:rsidRDefault="00E06DFC" w:rsidP="00E6447E">
            <w:pPr>
              <w:rPr>
                <w:rFonts w:ascii="Times New Roman" w:hAnsi="Times New Roman" w:cs="Times New Roman"/>
                <w:sz w:val="20"/>
                <w:szCs w:val="20"/>
                <w:lang w:val="en-US"/>
              </w:rPr>
            </w:pPr>
          </w:p>
        </w:tc>
        <w:tc>
          <w:tcPr>
            <w:tcW w:w="1134" w:type="dxa"/>
          </w:tcPr>
          <w:p w14:paraId="41ED2522"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276" w:type="dxa"/>
          </w:tcPr>
          <w:p w14:paraId="41B653AE" w14:textId="77777777" w:rsidR="00E06DFC" w:rsidRPr="00E06DFC" w:rsidRDefault="00E06DFC" w:rsidP="00E6447E">
            <w:pPr>
              <w:rPr>
                <w:rFonts w:ascii="Times New Roman" w:hAnsi="Times New Roman" w:cs="Times New Roman"/>
                <w:color w:val="222222"/>
                <w:sz w:val="20"/>
                <w:szCs w:val="20"/>
              </w:rPr>
            </w:pPr>
          </w:p>
        </w:tc>
        <w:tc>
          <w:tcPr>
            <w:tcW w:w="1559" w:type="dxa"/>
          </w:tcPr>
          <w:p w14:paraId="0AB51B3F"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559" w:type="dxa"/>
          </w:tcPr>
          <w:p w14:paraId="60E2FBFA"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2126" w:type="dxa"/>
          </w:tcPr>
          <w:p w14:paraId="75ABABBB" w14:textId="000FD312"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Phase I: NCT02413645 (2015-2016)</w:t>
            </w:r>
          </w:p>
        </w:tc>
        <w:tc>
          <w:tcPr>
            <w:tcW w:w="1559" w:type="dxa"/>
          </w:tcPr>
          <w:p w14:paraId="23EA13C6" w14:textId="5369FA31" w:rsidR="00E06DFC" w:rsidRPr="00E06DFC" w:rsidRDefault="00E06DFC" w:rsidP="00E6447E">
            <w:pPr>
              <w:rPr>
                <w:rFonts w:ascii="Times New Roman" w:hAnsi="Times New Roman" w:cs="Times New Roman"/>
                <w:sz w:val="20"/>
                <w:szCs w:val="20"/>
                <w:lang w:val="en-US"/>
              </w:rPr>
            </w:pPr>
          </w:p>
          <w:p w14:paraId="55E8280F" w14:textId="429749FC"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[1/21, 5%]</w:t>
            </w:r>
          </w:p>
        </w:tc>
        <w:tc>
          <w:tcPr>
            <w:tcW w:w="1418" w:type="dxa"/>
          </w:tcPr>
          <w:p w14:paraId="46559C7E" w14:textId="77777777" w:rsidR="00E06DFC" w:rsidRPr="00E06DFC" w:rsidRDefault="00E06DFC" w:rsidP="00E6447E">
            <w:pPr>
              <w:rPr>
                <w:rFonts w:ascii="Times New Roman" w:hAnsi="Times New Roman" w:cs="Times New Roman"/>
                <w:sz w:val="20"/>
                <w:szCs w:val="20"/>
                <w:lang w:val="en-US"/>
              </w:rPr>
            </w:pPr>
          </w:p>
        </w:tc>
        <w:tc>
          <w:tcPr>
            <w:tcW w:w="1134" w:type="dxa"/>
          </w:tcPr>
          <w:p w14:paraId="5D616DD4" w14:textId="4AA6FDC2"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{"citationID":"EZCfuUyt","properties":{"formattedCitation":"[9]","plainCitation":"[9]","noteIndex":0},"citationItems":[{"id":5708,"uris":["http://zotero.org/users/7565624/items/33ZLPZII"],"itemData":{"id":5708,"type":"article-journal","abstract":"OBJECTIVE: The efficacy of therapeutic vaccines against HIV-1 infection has been modest. New inerts to redirect responses to vulnerable sites are urgently needed to improve these results.\nDESIGN: We performed the first-in-human clinical trial with naked mRNA (iHIVARNA) combining a dendritic cell activation strategy (TriMix:CD40L+CD70+caTLR4 RNA) with a novel HIV immunogen sequences (HTI immunogen).\nMETHODS: A dose escalation, phase I clinical trial was performed in 21 chronic HIV-1-infected patients under ART who received three intranodal doses of mRNA (weeks 0, 2 and 4) as follow: TriMix-100 g, TriMix-300 g, TriMix-300 g with HTI-300 g, TriMix-300 g with HTI-600 g, TriMix-300 g with HTI-900 g. Primary end-point was safety and secondary-exploratory end-points were immunogenicity, changes in viral reservoir and transcriptome.\nRESULTS: Overall, the vaccine was secure and well tolerated. There were 31 grade 1/2 and 1 grade 3 adverse events, mostly unrelated to the vaccination. Patients who received the highest dose showed a moderate increase in T-cell responses spanning HTI sequence at week 8. In addition, the proportion of responders receiving any dose of HTI increased from 31% at w0 to 80% postvaccination. The intervention had no impact on caHIV-DNA levels, however, caHIV-RNA expression and usVL were transiently increased at weeks 5 and 6 in the highest dose of iHIVARNA, and these changes were positively correlated with HIV-1-specific-induced immune responses.\nCONCLUSION: This phase I dose-escalating trial showed that iHIVARNA administration was safe and well tolerated, induced moderate HIV-specific T-cell responses and transiently increased different viral replication readouts. These data support further exploration of iHIVARNA in a phase II study. CLINICALTRIALS.\nGOV IDENTIFIER: NCT02413645.","container-title":"AIDS (London, England)","DOI":"10.1097/QAD.0000000000002026","ISSN":"1473-5571","issue":"17","journalAbbreviation":"AIDS","language":"eng","note":"PMID: 30289805\nPMCID: PMC6221380","page":"2533-2545","source":"PubMed","title":"Phase I clinical trial of an intranodally administered mRNA-based therapeutic vaccine against HIV-1 infection","volume":"32","author":[{"family":"Leal","given":"Lorna"},{"family":"Guardo","given":"Alberto C."},{"family":"Morón-López","given":"Sara"},{"family":"Salgado","given":"Maria"},{"family":"Mothe","given":"Beatriz"},{"family":"Heirman","given":"Carlo"},{"family":"Pannus","given":"Pieter"},{"family":"Vanham","given":"Guido"},{"family":"Ham","given":"Henk Jan","non-dropping-particle":"van den"},{"family":"Gruters","given":"Rob"},{"family":"Andeweg","given":"Arno"},{"family":"Van Meirvenne","given":"Sonja"},{"family":"Pich","given":"Judit"},{"family":"Arnaiz","given":"Joan Albert"},{"family":"Gatell","given":"Josep M."},{"family":"Brander","given":"Christian"},{"family":"Thielemans","given":"Kris"},{"family":"Martínez-Picado","given":"Javier"},{"family":"Plana","given":"Montserrat"},{"family":"García","given":"Felipe"},{"literal":"iHIVARNA consortium"}],"issued":{"date-parts":[["2018",11,13]]}}}],"schema":"https://github.com/citation-style-language/schema/raw/master/csl-citation.json"}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[9]</w:t>
            </w:r>
            <w:r w:rsidRPr="00E06DFC">
              <w:rPr>
                <w:rFonts w:ascii="Times New Roman" w:hAnsi="Times New Roman" w:cs="Times New Roman"/>
                <w:sz w:val="20"/>
                <w:szCs w:val="20"/>
                <w:lang w:val="en-US"/>
              </w:rPr>
              <w:fldChar w:fldCharType="end"/>
            </w:r>
          </w:p>
        </w:tc>
      </w:tr>
      <w:tr w:rsidR="00E06DFC" w:rsidRPr="00E06DFC" w14:paraId="04F08DD5" w14:textId="77777777" w:rsidTr="00E06DFC">
        <w:tc>
          <w:tcPr>
            <w:tcW w:w="1277" w:type="dxa"/>
          </w:tcPr>
          <w:p w14:paraId="5BF41E96" w14:textId="77777777" w:rsidR="00E06DFC" w:rsidRPr="00E06DFC" w:rsidRDefault="00E06DFC" w:rsidP="00E6447E">
            <w:pPr>
              <w:rPr>
                <w:rFonts w:ascii="Times New Roman" w:hAnsi="Times New Roman" w:cs="Times New Roman"/>
                <w:sz w:val="20"/>
                <w:szCs w:val="20"/>
                <w:lang w:val="en-US"/>
              </w:rPr>
            </w:pPr>
          </w:p>
        </w:tc>
        <w:tc>
          <w:tcPr>
            <w:tcW w:w="1134" w:type="dxa"/>
          </w:tcPr>
          <w:p w14:paraId="3F463F0D"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276" w:type="dxa"/>
          </w:tcPr>
          <w:p w14:paraId="04EDB868" w14:textId="77777777" w:rsidR="00E06DFC" w:rsidRPr="00E06DFC" w:rsidRDefault="00E06DFC" w:rsidP="00E6447E">
            <w:pPr>
              <w:rPr>
                <w:rFonts w:ascii="Times New Roman" w:hAnsi="Times New Roman" w:cs="Times New Roman"/>
                <w:color w:val="222222"/>
                <w:sz w:val="20"/>
                <w:szCs w:val="20"/>
              </w:rPr>
            </w:pPr>
          </w:p>
        </w:tc>
        <w:tc>
          <w:tcPr>
            <w:tcW w:w="1559" w:type="dxa"/>
          </w:tcPr>
          <w:p w14:paraId="2EC829BA"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559" w:type="dxa"/>
          </w:tcPr>
          <w:p w14:paraId="4FF58409"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2126" w:type="dxa"/>
          </w:tcPr>
          <w:p w14:paraId="3D581447" w14:textId="77417A7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Phase I/II:</w:t>
            </w:r>
            <w:r w:rsidRPr="00E06DFC">
              <w:rPr>
                <w:rFonts w:ascii="Times New Roman" w:hAnsi="Times New Roman" w:cs="Times New Roman"/>
                <w:color w:val="000000"/>
                <w:sz w:val="20"/>
                <w:szCs w:val="20"/>
                <w:shd w:val="clear" w:color="auto" w:fill="FFFFFF"/>
              </w:rPr>
              <w:t xml:space="preserve"> NCT00833781</w:t>
            </w:r>
            <w:r w:rsidRPr="00E06DFC">
              <w:rPr>
                <w:rFonts w:ascii="Times New Roman" w:hAnsi="Times New Roman" w:cs="Times New Roman"/>
                <w:color w:val="000000"/>
                <w:sz w:val="20"/>
                <w:szCs w:val="20"/>
                <w:shd w:val="clear" w:color="auto" w:fill="FFFFFF"/>
                <w:lang w:val="en-US"/>
              </w:rPr>
              <w:t xml:space="preserve"> (2009-2013)</w:t>
            </w:r>
          </w:p>
        </w:tc>
        <w:tc>
          <w:tcPr>
            <w:tcW w:w="1559" w:type="dxa"/>
          </w:tcPr>
          <w:p w14:paraId="770EBF88" w14:textId="6A602C1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[0/10,0%]</w:t>
            </w:r>
          </w:p>
        </w:tc>
        <w:tc>
          <w:tcPr>
            <w:tcW w:w="1418" w:type="dxa"/>
          </w:tcPr>
          <w:p w14:paraId="0BD6B926" w14:textId="77777777" w:rsidR="00E06DFC" w:rsidRPr="00E06DFC" w:rsidRDefault="00E06DFC" w:rsidP="00E6447E">
            <w:pPr>
              <w:rPr>
                <w:rFonts w:ascii="Times New Roman" w:hAnsi="Times New Roman" w:cs="Times New Roman"/>
                <w:sz w:val="20"/>
                <w:szCs w:val="20"/>
                <w:lang w:val="en-US"/>
              </w:rPr>
            </w:pPr>
          </w:p>
        </w:tc>
        <w:tc>
          <w:tcPr>
            <w:tcW w:w="1134" w:type="dxa"/>
          </w:tcPr>
          <w:p w14:paraId="47899A48" w14:textId="5EC3DB7F"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{"citationID":"HX4Ih7NJ","properties":{"formattedCitation":"[10]","plainCitation":"[10]","noteIndex":0},"citationItems":[{"id":5711,"uris":["http://zotero.org/users/7565624/items/GZ5FQJ6D"],"itemData":{"id":5711,"type":"article-journal","abstract":"Background: \n        HIV-1 eradication may require reactivation of latent virus along with stimulation of HIV-1-specific immune responses to clear infected cells. Immunization with autologous dendritic cells (DCs) transfected with viral mRNA is a promising strategy for eliciting HIV-1-specific immune responses. We performed a randomized controlled clinical trial to evaluate the immunogenicity of this approach in HIV-1-infected persons on antiretroviral therapy.\n        Methods: \n        Fifteen participants were randomized 2:1 to receive intradermal immunization with HIV-1 Gag- and Nef-transfected DCs (vaccine) or mock-transfected DCs (placebo) at weeks 0, 2, 6, and 10. All participants also received DCs pulsed with keyhole limpet hemocyanin (KLH) to assess whether responses to a neo-antigen could be induced.\n        Results: \n        After immunization, there were no differences in interferon-gamma enzyme-linked immunospot responses to HIV-1 Gag or Nef in the vaccine or placebo group. CD4 proliferative responses to KLH increased 2.4-fold (P = 0.026) and CD8 proliferative responses to KLH increased 2.5-fold (P = 0.053) after vaccination. There were increases in CD4 proliferative responses to HIV-1 Gag (2.5-fold vs. baseline, 3.4-fold vs. placebo, P = 0.054) and HIV-1 Nef (2.3-fold vs. baseline, 6.3-fold vs. placebo, P = 0.009) among vaccine recipients, but these responses were short-lived.\n        Conclusion: \n        Immunization with DCs transfected with mRNA encoding HIV-1 Gag and Nef did not induce significant interferon-gamma enzyme-linked immunospot responses. There were increases in proliferative responses to HIV-1 antigens and to a neo-antigen, KLH, but the effects were transient. Dendritic cell vaccination should be optimized to elicit stronger and long-lasting immune responses for this strategy to be effective as an HIV-1 therapeutic vaccine.","container-title":"JAIDS Journal of Acquired Immune Deficiency Syndromes","DOI":"10.1097/QAI.0000000000000852","ISSN":"1525-4135","issue":"3","language":"en-US","page":"246–253","source":"journals.lww.com","title":"Immunization of HIV-1-Infected Persons With Autologous Dendritic Cells Transfected With mRNA Encoding HIV-1 Gag and Nef: Results of a Randomized, Placebo-Controlled Clinical Trial","title-short":"Immunization of HIV-1-Infected Persons With Autologous Dendritic Cells Transfected With mRNA Encoding HIV-1 Gag and Nef","volume":"71","author":[{"family":"Gandhi","given":"Rajesh T."},{"family":"Kwon","given":"Douglas S."},{"family":"Macklin","given":"Eric A."},{"family":"Shopis","given":"Janet R."},{"family":"McLean","given":"Anna P."},{"family":"McBrine","given":"Nicole"},{"family":"Flynn","given":"Theresa"},{"family":"Peter","given":"Lauren"},{"family":"Sbrolla","given":"Amy"},{"family":"Kaufmann","given":"Daniel E."},{"family":"Porichis","given":"Filippos"},{"family":"Walker","given":"Bruce D."},{"family":"Bhardwaj","given":"Nina"},{"family":"Barouch","given":"Dan H."},{"family":"Kavanagh","given":"Daniel G."}],"issued":{"date-parts":[["2016",3,1]]}}}],"schema":"https://github.com/citation-style-language/schema/raw/master/csl-citation.json"}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[10]</w:t>
            </w:r>
            <w:r w:rsidRPr="00E06DFC">
              <w:rPr>
                <w:rFonts w:ascii="Times New Roman" w:hAnsi="Times New Roman" w:cs="Times New Roman"/>
                <w:sz w:val="20"/>
                <w:szCs w:val="20"/>
                <w:lang w:val="en-US"/>
              </w:rPr>
              <w:fldChar w:fldCharType="end"/>
            </w:r>
          </w:p>
        </w:tc>
      </w:tr>
      <w:tr w:rsidR="00E06DFC" w:rsidRPr="00E06DFC" w14:paraId="1E91CD63" w14:textId="77777777" w:rsidTr="00E06DFC">
        <w:tc>
          <w:tcPr>
            <w:tcW w:w="1277" w:type="dxa"/>
          </w:tcPr>
          <w:p w14:paraId="49C0F7B7" w14:textId="77777777" w:rsidR="00E06DFC" w:rsidRPr="00E06DFC" w:rsidRDefault="00E06DFC" w:rsidP="00E6447E">
            <w:pPr>
              <w:rPr>
                <w:rFonts w:ascii="Times New Roman" w:hAnsi="Times New Roman" w:cs="Times New Roman"/>
                <w:sz w:val="20"/>
                <w:szCs w:val="20"/>
                <w:lang w:val="en-US"/>
              </w:rPr>
            </w:pPr>
          </w:p>
        </w:tc>
        <w:tc>
          <w:tcPr>
            <w:tcW w:w="1134" w:type="dxa"/>
          </w:tcPr>
          <w:p w14:paraId="0AEC0046"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276" w:type="dxa"/>
          </w:tcPr>
          <w:p w14:paraId="1AD33A46" w14:textId="77777777" w:rsidR="00E06DFC" w:rsidRPr="00E06DFC" w:rsidRDefault="00E06DFC" w:rsidP="00E6447E">
            <w:pPr>
              <w:rPr>
                <w:rFonts w:ascii="Times New Roman" w:hAnsi="Times New Roman" w:cs="Times New Roman"/>
                <w:color w:val="222222"/>
                <w:sz w:val="20"/>
                <w:szCs w:val="20"/>
              </w:rPr>
            </w:pPr>
          </w:p>
        </w:tc>
        <w:tc>
          <w:tcPr>
            <w:tcW w:w="1559" w:type="dxa"/>
          </w:tcPr>
          <w:p w14:paraId="346F55CA" w14:textId="77777777" w:rsidR="00E06DFC" w:rsidRPr="00E06DFC" w:rsidRDefault="00E06DFC" w:rsidP="00E6447E">
            <w:pPr>
              <w:rPr>
                <w:rFonts w:ascii="Times New Roman" w:hAnsi="Times New Roman" w:cs="Times New Roman"/>
                <w:color w:val="222222"/>
                <w:sz w:val="20"/>
                <w:szCs w:val="20"/>
                <w:shd w:val="clear" w:color="auto" w:fill="FFFFFF"/>
                <w:lang w:val="en-US"/>
              </w:rPr>
            </w:pPr>
          </w:p>
        </w:tc>
        <w:tc>
          <w:tcPr>
            <w:tcW w:w="1559" w:type="dxa"/>
          </w:tcPr>
          <w:p w14:paraId="2E3AEF5D"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2126" w:type="dxa"/>
          </w:tcPr>
          <w:p w14:paraId="4A694717" w14:textId="7455D232"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222222"/>
                <w:sz w:val="20"/>
                <w:szCs w:val="20"/>
                <w:shd w:val="clear" w:color="auto" w:fill="FFFFFF"/>
                <w:lang w:val="en-US"/>
              </w:rPr>
              <w:t xml:space="preserve">Phase I/II: </w:t>
            </w:r>
            <w:r w:rsidRPr="00E06DFC">
              <w:rPr>
                <w:rFonts w:ascii="Times New Roman" w:hAnsi="Times New Roman" w:cs="Times New Roman"/>
                <w:color w:val="222222"/>
                <w:sz w:val="20"/>
                <w:szCs w:val="20"/>
                <w:shd w:val="clear" w:color="auto" w:fill="FFFFFF"/>
              </w:rPr>
              <w:t>NCT00381212</w:t>
            </w:r>
          </w:p>
        </w:tc>
        <w:tc>
          <w:tcPr>
            <w:tcW w:w="1559" w:type="dxa"/>
          </w:tcPr>
          <w:p w14:paraId="45A0B94B"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(7/10, 70%)</w:t>
            </w:r>
          </w:p>
          <w:p w14:paraId="43D92236" w14:textId="601DF109"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[2/10, 20%]</w:t>
            </w:r>
          </w:p>
        </w:tc>
        <w:tc>
          <w:tcPr>
            <w:tcW w:w="1418" w:type="dxa"/>
          </w:tcPr>
          <w:p w14:paraId="7C0237D2" w14:textId="77777777" w:rsidR="00E06DFC" w:rsidRPr="00E06DFC" w:rsidRDefault="00E06DFC" w:rsidP="00E6447E">
            <w:pPr>
              <w:rPr>
                <w:rFonts w:ascii="Times New Roman" w:hAnsi="Times New Roman" w:cs="Times New Roman"/>
                <w:sz w:val="20"/>
                <w:szCs w:val="20"/>
                <w:lang w:val="en-US"/>
              </w:rPr>
            </w:pPr>
          </w:p>
        </w:tc>
        <w:tc>
          <w:tcPr>
            <w:tcW w:w="1134" w:type="dxa"/>
          </w:tcPr>
          <w:p w14:paraId="7C247B0E" w14:textId="77777777" w:rsidR="00E06DFC" w:rsidRPr="00E06DFC" w:rsidRDefault="00E06DFC" w:rsidP="00E6447E">
            <w:pPr>
              <w:rPr>
                <w:rFonts w:ascii="Times New Roman" w:hAnsi="Times New Roman" w:cs="Times New Roman"/>
                <w:sz w:val="20"/>
                <w:szCs w:val="20"/>
                <w:lang w:val="en-US"/>
              </w:rPr>
            </w:pPr>
          </w:p>
        </w:tc>
      </w:tr>
      <w:bookmarkEnd w:id="0"/>
      <w:tr w:rsidR="00E06DFC" w:rsidRPr="00E06DFC" w14:paraId="3B832E92" w14:textId="77777777" w:rsidTr="00E06DFC">
        <w:tc>
          <w:tcPr>
            <w:tcW w:w="1277" w:type="dxa"/>
          </w:tcPr>
          <w:p w14:paraId="58EDA796"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Cancer vaccine</w:t>
            </w:r>
          </w:p>
        </w:tc>
        <w:tc>
          <w:tcPr>
            <w:tcW w:w="1134" w:type="dxa"/>
          </w:tcPr>
          <w:p w14:paraId="3042FC09" w14:textId="77777777"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Non-small-cell lung cancer, colorectal cancer, pancreatic adenocarcinoma</w:t>
            </w:r>
          </w:p>
        </w:tc>
        <w:tc>
          <w:tcPr>
            <w:tcW w:w="1276" w:type="dxa"/>
          </w:tcPr>
          <w:p w14:paraId="14CBB73E" w14:textId="3F2B79C2"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KRAS antigens</w:t>
            </w:r>
          </w:p>
        </w:tc>
        <w:tc>
          <w:tcPr>
            <w:tcW w:w="1559" w:type="dxa"/>
          </w:tcPr>
          <w:p w14:paraId="6641946C" w14:textId="007C0709"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National Cancer Institute</w:t>
            </w:r>
          </w:p>
        </w:tc>
        <w:tc>
          <w:tcPr>
            <w:tcW w:w="1559" w:type="dxa"/>
          </w:tcPr>
          <w:p w14:paraId="7CE7D756" w14:textId="439E4728"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(NCI)-4650</w:t>
            </w:r>
          </w:p>
        </w:tc>
        <w:tc>
          <w:tcPr>
            <w:tcW w:w="2126" w:type="dxa"/>
          </w:tcPr>
          <w:p w14:paraId="0D6DE0A0" w14:textId="40B93A03"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000000"/>
                <w:sz w:val="20"/>
                <w:szCs w:val="20"/>
                <w:shd w:val="clear" w:color="auto" w:fill="FFFFFF"/>
              </w:rPr>
              <w:t>NCT03480152</w:t>
            </w:r>
            <w:r w:rsidRPr="00E06DFC">
              <w:rPr>
                <w:rFonts w:ascii="Times New Roman" w:hAnsi="Times New Roman" w:cs="Times New Roman"/>
                <w:color w:val="000000"/>
                <w:sz w:val="20"/>
                <w:szCs w:val="20"/>
                <w:shd w:val="clear" w:color="auto" w:fill="FFFFFF"/>
                <w:lang w:val="en-US"/>
              </w:rPr>
              <w:t xml:space="preserve"> (2018-2020)</w:t>
            </w:r>
          </w:p>
        </w:tc>
        <w:tc>
          <w:tcPr>
            <w:tcW w:w="1559" w:type="dxa"/>
          </w:tcPr>
          <w:p w14:paraId="550B5707"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(4/4, 100%)</w:t>
            </w:r>
          </w:p>
          <w:p w14:paraId="4B4F0BCD" w14:textId="68DA690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[0/4, 0%]</w:t>
            </w:r>
          </w:p>
        </w:tc>
        <w:tc>
          <w:tcPr>
            <w:tcW w:w="1418" w:type="dxa"/>
          </w:tcPr>
          <w:p w14:paraId="3284A1B9" w14:textId="43396609" w:rsidR="00E06DFC" w:rsidRPr="00E06DFC" w:rsidRDefault="00E06DFC" w:rsidP="00E6447E">
            <w:pPr>
              <w:rPr>
                <w:rFonts w:ascii="Times New Roman" w:hAnsi="Times New Roman" w:cs="Times New Roman"/>
                <w:sz w:val="20"/>
                <w:szCs w:val="20"/>
                <w:lang w:val="en-US"/>
              </w:rPr>
            </w:pPr>
          </w:p>
        </w:tc>
        <w:tc>
          <w:tcPr>
            <w:tcW w:w="1134" w:type="dxa"/>
          </w:tcPr>
          <w:p w14:paraId="253CFF6A" w14:textId="77777777" w:rsidR="00E06DFC" w:rsidRPr="00E06DFC" w:rsidRDefault="00E06DFC" w:rsidP="00E6447E">
            <w:pPr>
              <w:rPr>
                <w:rFonts w:ascii="Times New Roman" w:hAnsi="Times New Roman" w:cs="Times New Roman"/>
                <w:sz w:val="20"/>
                <w:szCs w:val="20"/>
                <w:lang w:val="en-US"/>
              </w:rPr>
            </w:pPr>
          </w:p>
        </w:tc>
      </w:tr>
      <w:tr w:rsidR="00E06DFC" w:rsidRPr="00E06DFC" w14:paraId="577225DF" w14:textId="77777777" w:rsidTr="00E06DFC">
        <w:tc>
          <w:tcPr>
            <w:tcW w:w="1277" w:type="dxa"/>
          </w:tcPr>
          <w:p w14:paraId="329E5ED2" w14:textId="77777777" w:rsidR="00E06DFC" w:rsidRPr="00E06DFC" w:rsidRDefault="00E06DFC" w:rsidP="00E6447E">
            <w:pPr>
              <w:rPr>
                <w:rFonts w:ascii="Times New Roman" w:hAnsi="Times New Roman" w:cs="Times New Roman"/>
                <w:sz w:val="20"/>
                <w:szCs w:val="20"/>
                <w:lang w:val="en-US"/>
              </w:rPr>
            </w:pPr>
          </w:p>
        </w:tc>
        <w:tc>
          <w:tcPr>
            <w:tcW w:w="1134" w:type="dxa"/>
          </w:tcPr>
          <w:p w14:paraId="00A87895" w14:textId="627217CE"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Melanoma</w:t>
            </w:r>
          </w:p>
        </w:tc>
        <w:tc>
          <w:tcPr>
            <w:tcW w:w="1276" w:type="dxa"/>
          </w:tcPr>
          <w:p w14:paraId="5A269AE2" w14:textId="0B0B1C42"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Personalized neoantigens</w:t>
            </w:r>
          </w:p>
        </w:tc>
        <w:tc>
          <w:tcPr>
            <w:tcW w:w="1559" w:type="dxa"/>
          </w:tcPr>
          <w:p w14:paraId="1610B722" w14:textId="131A53C9"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Moderna</w:t>
            </w:r>
          </w:p>
        </w:tc>
        <w:tc>
          <w:tcPr>
            <w:tcW w:w="1559" w:type="dxa"/>
          </w:tcPr>
          <w:p w14:paraId="1A4E48EE" w14:textId="7578EC24"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mRNA-4157</w:t>
            </w:r>
          </w:p>
        </w:tc>
        <w:tc>
          <w:tcPr>
            <w:tcW w:w="2126" w:type="dxa"/>
          </w:tcPr>
          <w:p w14:paraId="2E1F036B" w14:textId="57FDFD0E"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000000"/>
                <w:sz w:val="20"/>
                <w:szCs w:val="20"/>
                <w:shd w:val="clear" w:color="auto" w:fill="FFFFFF"/>
              </w:rPr>
              <w:t>NCT03897881</w:t>
            </w:r>
            <w:r w:rsidRPr="00E06DFC">
              <w:rPr>
                <w:rFonts w:ascii="Times New Roman" w:hAnsi="Times New Roman" w:cs="Times New Roman"/>
                <w:color w:val="000000"/>
                <w:sz w:val="20"/>
                <w:szCs w:val="20"/>
                <w:shd w:val="clear" w:color="auto" w:fill="FFFFFF"/>
                <w:lang w:val="en-US"/>
              </w:rPr>
              <w:t xml:space="preserve"> (2019-2024*)</w:t>
            </w:r>
          </w:p>
        </w:tc>
        <w:tc>
          <w:tcPr>
            <w:tcW w:w="1559" w:type="dxa"/>
          </w:tcPr>
          <w:p w14:paraId="76D2FC1B" w14:textId="77777777" w:rsidR="00E06DFC" w:rsidRPr="00E06DFC" w:rsidRDefault="00E06DFC" w:rsidP="00E6447E">
            <w:pPr>
              <w:rPr>
                <w:rFonts w:ascii="Times New Roman" w:hAnsi="Times New Roman" w:cs="Times New Roman"/>
                <w:sz w:val="20"/>
                <w:szCs w:val="20"/>
                <w:lang w:val="en-US"/>
              </w:rPr>
            </w:pPr>
          </w:p>
        </w:tc>
        <w:tc>
          <w:tcPr>
            <w:tcW w:w="1418" w:type="dxa"/>
          </w:tcPr>
          <w:p w14:paraId="171E88A7" w14:textId="77777777" w:rsidR="00E06DFC" w:rsidRPr="00E06DFC" w:rsidRDefault="00E06DFC" w:rsidP="00E6447E">
            <w:pPr>
              <w:rPr>
                <w:rFonts w:ascii="Times New Roman" w:hAnsi="Times New Roman" w:cs="Times New Roman"/>
                <w:sz w:val="20"/>
                <w:szCs w:val="20"/>
                <w:lang w:val="en-US"/>
              </w:rPr>
            </w:pPr>
          </w:p>
        </w:tc>
        <w:tc>
          <w:tcPr>
            <w:tcW w:w="1134" w:type="dxa"/>
          </w:tcPr>
          <w:p w14:paraId="096D376D" w14:textId="77777777" w:rsidR="00E06DFC" w:rsidRPr="00E06DFC" w:rsidRDefault="00E06DFC" w:rsidP="00E6447E">
            <w:pPr>
              <w:rPr>
                <w:rFonts w:ascii="Times New Roman" w:hAnsi="Times New Roman" w:cs="Times New Roman"/>
                <w:sz w:val="20"/>
                <w:szCs w:val="20"/>
                <w:lang w:val="en-US"/>
              </w:rPr>
            </w:pPr>
          </w:p>
        </w:tc>
      </w:tr>
      <w:tr w:rsidR="00E06DFC" w:rsidRPr="00E06DFC" w14:paraId="23C16B98" w14:textId="77777777" w:rsidTr="00E06DFC">
        <w:tc>
          <w:tcPr>
            <w:tcW w:w="1277" w:type="dxa"/>
          </w:tcPr>
          <w:p w14:paraId="5123C7E8" w14:textId="77777777" w:rsidR="00E06DFC" w:rsidRPr="00E06DFC" w:rsidRDefault="00E06DFC" w:rsidP="00E6447E">
            <w:pPr>
              <w:rPr>
                <w:rFonts w:ascii="Times New Roman" w:hAnsi="Times New Roman" w:cs="Times New Roman"/>
                <w:sz w:val="20"/>
                <w:szCs w:val="20"/>
                <w:lang w:val="en-US"/>
              </w:rPr>
            </w:pPr>
          </w:p>
        </w:tc>
        <w:tc>
          <w:tcPr>
            <w:tcW w:w="1134" w:type="dxa"/>
          </w:tcPr>
          <w:p w14:paraId="64B8FEB3" w14:textId="2B9FD78A"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Gastrointestinal cancer</w:t>
            </w:r>
          </w:p>
        </w:tc>
        <w:tc>
          <w:tcPr>
            <w:tcW w:w="1276" w:type="dxa"/>
          </w:tcPr>
          <w:p w14:paraId="2370B62D" w14:textId="36099BAA" w:rsidR="00E06DFC" w:rsidRPr="00E06DFC" w:rsidRDefault="00E06DFC" w:rsidP="00E6447E">
            <w:pPr>
              <w:rPr>
                <w:rFonts w:ascii="Times New Roman" w:hAnsi="Times New Roman" w:cs="Times New Roman"/>
                <w:color w:val="222222"/>
                <w:sz w:val="20"/>
                <w:szCs w:val="20"/>
              </w:rPr>
            </w:pPr>
            <w:r w:rsidRPr="00E06DFC">
              <w:rPr>
                <w:rFonts w:ascii="Times New Roman" w:hAnsi="Times New Roman" w:cs="Times New Roman"/>
                <w:color w:val="222222"/>
                <w:sz w:val="20"/>
                <w:szCs w:val="20"/>
              </w:rPr>
              <w:t>Personalized neoantigens</w:t>
            </w:r>
          </w:p>
          <w:p w14:paraId="280FF6B1"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077799BA" w14:textId="6C74CE17"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en-US"/>
              </w:rPr>
              <w:t>Moderna</w:t>
            </w:r>
          </w:p>
        </w:tc>
        <w:tc>
          <w:tcPr>
            <w:tcW w:w="1559" w:type="dxa"/>
          </w:tcPr>
          <w:p w14:paraId="12513B9B" w14:textId="516D24ED"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mRNA-4650</w:t>
            </w:r>
          </w:p>
        </w:tc>
        <w:tc>
          <w:tcPr>
            <w:tcW w:w="2126" w:type="dxa"/>
          </w:tcPr>
          <w:p w14:paraId="07BE28C3" w14:textId="467C5B0C"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I/II:</w:t>
            </w:r>
            <w:r w:rsidRPr="00E06DFC">
              <w:rPr>
                <w:rFonts w:ascii="Times New Roman" w:hAnsi="Times New Roman" w:cs="Times New Roman"/>
                <w:color w:val="222222"/>
                <w:sz w:val="20"/>
                <w:szCs w:val="20"/>
                <w:shd w:val="clear" w:color="auto" w:fill="FFFFFF"/>
              </w:rPr>
              <w:t xml:space="preserve"> NCT03480152</w:t>
            </w:r>
            <w:r w:rsidRPr="00E06DFC">
              <w:rPr>
                <w:rFonts w:ascii="Times New Roman" w:hAnsi="Times New Roman" w:cs="Times New Roman"/>
                <w:color w:val="222222"/>
                <w:sz w:val="20"/>
                <w:szCs w:val="20"/>
                <w:shd w:val="clear" w:color="auto" w:fill="FFFFFF"/>
                <w:lang w:val="en-US"/>
              </w:rPr>
              <w:t xml:space="preserve"> (2018-2019)</w:t>
            </w:r>
          </w:p>
        </w:tc>
        <w:tc>
          <w:tcPr>
            <w:tcW w:w="1559" w:type="dxa"/>
          </w:tcPr>
          <w:p w14:paraId="63026768"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(4/4, 100%)</w:t>
            </w:r>
          </w:p>
          <w:p w14:paraId="252E67CE" w14:textId="3CDB4C50"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[0/4, 0%]</w:t>
            </w:r>
          </w:p>
        </w:tc>
        <w:tc>
          <w:tcPr>
            <w:tcW w:w="1418" w:type="dxa"/>
          </w:tcPr>
          <w:p w14:paraId="00510EB3" w14:textId="77777777" w:rsidR="00E06DFC" w:rsidRPr="00E06DFC" w:rsidRDefault="00E06DFC" w:rsidP="00E6447E">
            <w:pPr>
              <w:rPr>
                <w:rFonts w:ascii="Times New Roman" w:hAnsi="Times New Roman" w:cs="Times New Roman"/>
                <w:sz w:val="20"/>
                <w:szCs w:val="20"/>
                <w:lang w:val="en-US"/>
              </w:rPr>
            </w:pPr>
          </w:p>
        </w:tc>
        <w:tc>
          <w:tcPr>
            <w:tcW w:w="1134" w:type="dxa"/>
          </w:tcPr>
          <w:p w14:paraId="40AD99BB" w14:textId="77777777" w:rsidR="00E06DFC" w:rsidRPr="00E06DFC" w:rsidRDefault="00E06DFC" w:rsidP="00E6447E">
            <w:pPr>
              <w:rPr>
                <w:rFonts w:ascii="Times New Roman" w:hAnsi="Times New Roman" w:cs="Times New Roman"/>
                <w:sz w:val="20"/>
                <w:szCs w:val="20"/>
                <w:lang w:val="en-US"/>
              </w:rPr>
            </w:pPr>
          </w:p>
        </w:tc>
      </w:tr>
      <w:tr w:rsidR="00E06DFC" w:rsidRPr="00E06DFC" w14:paraId="4043576A" w14:textId="77777777" w:rsidTr="00E06DFC">
        <w:tc>
          <w:tcPr>
            <w:tcW w:w="1277" w:type="dxa"/>
          </w:tcPr>
          <w:p w14:paraId="63567BDE" w14:textId="77777777" w:rsidR="00E06DFC" w:rsidRPr="00E06DFC" w:rsidRDefault="00E06DFC" w:rsidP="00E6447E">
            <w:pPr>
              <w:rPr>
                <w:rFonts w:ascii="Times New Roman" w:hAnsi="Times New Roman" w:cs="Times New Roman"/>
                <w:sz w:val="20"/>
                <w:szCs w:val="20"/>
                <w:lang w:val="en-US"/>
              </w:rPr>
            </w:pPr>
          </w:p>
        </w:tc>
        <w:tc>
          <w:tcPr>
            <w:tcW w:w="1134" w:type="dxa"/>
          </w:tcPr>
          <w:p w14:paraId="07DACD14" w14:textId="61602BBF"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Melanoma</w:t>
            </w:r>
          </w:p>
        </w:tc>
        <w:tc>
          <w:tcPr>
            <w:tcW w:w="1276" w:type="dxa"/>
          </w:tcPr>
          <w:p w14:paraId="6FFA36C1" w14:textId="16BE4D6D"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NY-ESO-1, tyrosinase, MAGE-A3, TPTE</w:t>
            </w:r>
          </w:p>
        </w:tc>
        <w:tc>
          <w:tcPr>
            <w:tcW w:w="1559" w:type="dxa"/>
          </w:tcPr>
          <w:p w14:paraId="6D1376AF" w14:textId="4890B9A0"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1EBCF90F" w14:textId="6505E8F7" w:rsidR="00E06DFC" w:rsidRPr="00E06DFC" w:rsidRDefault="00E06DFC" w:rsidP="00E6447E">
            <w:pPr>
              <w:rPr>
                <w:rFonts w:ascii="Times New Roman" w:hAnsi="Times New Roman" w:cs="Times New Roman"/>
                <w:color w:val="222222"/>
                <w:sz w:val="20"/>
                <w:szCs w:val="20"/>
                <w:shd w:val="clear" w:color="auto" w:fill="FFFFFF"/>
              </w:rPr>
            </w:pPr>
            <w:proofErr w:type="spellStart"/>
            <w:r w:rsidRPr="00E06DFC">
              <w:rPr>
                <w:rFonts w:ascii="Times New Roman" w:hAnsi="Times New Roman" w:cs="Times New Roman"/>
                <w:color w:val="222222"/>
                <w:sz w:val="20"/>
                <w:szCs w:val="20"/>
                <w:shd w:val="clear" w:color="auto" w:fill="FFFFFF"/>
              </w:rPr>
              <w:t>FixVac</w:t>
            </w:r>
            <w:proofErr w:type="spellEnd"/>
          </w:p>
        </w:tc>
        <w:tc>
          <w:tcPr>
            <w:tcW w:w="2126" w:type="dxa"/>
          </w:tcPr>
          <w:p w14:paraId="3D85213E" w14:textId="3396E200"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w:t>
            </w:r>
            <w:r w:rsidRPr="00E06DFC">
              <w:rPr>
                <w:rFonts w:ascii="Times New Roman" w:hAnsi="Times New Roman" w:cs="Times New Roman"/>
                <w:color w:val="222222"/>
                <w:sz w:val="20"/>
                <w:szCs w:val="20"/>
                <w:shd w:val="clear" w:color="auto" w:fill="FFFFFF"/>
              </w:rPr>
              <w:t xml:space="preserve"> NCT02410733</w:t>
            </w:r>
            <w:r w:rsidRPr="00E06DFC">
              <w:rPr>
                <w:rFonts w:ascii="Times New Roman" w:hAnsi="Times New Roman" w:cs="Times New Roman"/>
                <w:color w:val="222222"/>
                <w:sz w:val="20"/>
                <w:szCs w:val="20"/>
                <w:shd w:val="clear" w:color="auto" w:fill="FFFFFF"/>
                <w:lang w:val="en-US"/>
              </w:rPr>
              <w:t xml:space="preserve"> (2015-2023*)</w:t>
            </w:r>
          </w:p>
        </w:tc>
        <w:tc>
          <w:tcPr>
            <w:tcW w:w="1559" w:type="dxa"/>
          </w:tcPr>
          <w:p w14:paraId="37592C14" w14:textId="166AEDA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[23/92, 25%]</w:t>
            </w:r>
          </w:p>
        </w:tc>
        <w:tc>
          <w:tcPr>
            <w:tcW w:w="1418" w:type="dxa"/>
          </w:tcPr>
          <w:p w14:paraId="72FCCBF6" w14:textId="1CE88EFC"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 xml:space="preserve">Lymphocyte count decreased, </w:t>
            </w:r>
            <w:proofErr w:type="spellStart"/>
            <w:r w:rsidRPr="00E06DFC">
              <w:rPr>
                <w:rFonts w:ascii="Times New Roman" w:hAnsi="Times New Roman" w:cs="Times New Roman"/>
                <w:sz w:val="20"/>
                <w:szCs w:val="20"/>
                <w:lang w:val="en-US"/>
              </w:rPr>
              <w:t>lymphophenia</w:t>
            </w:r>
            <w:proofErr w:type="spellEnd"/>
            <w:r w:rsidRPr="00E06DFC">
              <w:rPr>
                <w:rFonts w:ascii="Times New Roman" w:hAnsi="Times New Roman" w:cs="Times New Roman"/>
                <w:sz w:val="20"/>
                <w:szCs w:val="20"/>
                <w:lang w:val="en-US"/>
              </w:rPr>
              <w:t>, hypertension</w:t>
            </w:r>
          </w:p>
        </w:tc>
        <w:tc>
          <w:tcPr>
            <w:tcW w:w="1134" w:type="dxa"/>
          </w:tcPr>
          <w:p w14:paraId="67298E42" w14:textId="41DF776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GB"/>
              </w:rPr>
              <w:fldChar w:fldCharType="begin"/>
            </w:r>
            <w:r w:rsidR="008B154A">
              <w:rPr>
                <w:rFonts w:ascii="Times New Roman" w:hAnsi="Times New Roman" w:cs="Times New Roman"/>
                <w:sz w:val="20"/>
                <w:szCs w:val="20"/>
                <w:lang w:val="en-US"/>
              </w:rPr>
              <w:instrText xml:space="preserve"> ADDIN ZOTERO_ITEM CSL_CITATION {"citationID":"y1FbK4cS","properties":{"formattedCitation":"[11]","plainCitation":"[11]","noteIndex":0},"citationItems":[{"id":5615,"uris":["http://zotero.org/users/7565624/items/6X265FAT"],"itemData":{"id":5615,"type":"article-journal","abstract":"Treating patients who have cancer with vaccines that stimulate a targeted immune response is conceptually appealing, but cancer vaccine trials have not been successful in late-stage patients with treatment-refractory tumours1,2. We are testing melanoma FixVac (BNT111)—an intravenously administered liposomal RNA (RNA-LPX) vaccine, which targets four non-mutated, tumour-associated antigens that are prevalent in melanoma—in an ongoing, first-in-human, dose-escalation phase I trial in patients with advanced melanoma (Lipo-MERIT trial, ClinicalTrials.gov identifier NCT02410733). We report here data from an exploratory interim analysis that show that melanoma FixVac, alone or in combination with blockade of the checkpoint inhibitor PD1, mediates durable objective responses in checkpoint-inhibitor (CPI)-experienced patients with unresectable melanoma. Clinical responses are accompanied by the induction of strong CD4+ and CD8+ T cell immunity against the vaccine antigens. The antigen-specific cytotoxic T-cell responses in some responders reach magnitudes typically reported for adoptive T-cell therapy, and are durable. Our findings indicate that RNA-LPX vaccination is a potent immunotherapy in patients with CPI-experienced melanoma, and suggest the general utility of non-mutant shared tumour antigens as targets for cancer vaccination.","container-title":"Nature","DOI":"10.1038/s41586-020-2537-9","ISSN":"1476-4687","issue":"7823","language":"en","license":"2020 The Author(s), under exclusive licence to Springer Nature Limited","note":"number: 7823\npublisher: Nature Publishing Group","page":"107-112","source":"www.nature.com","title":"An RNA vaccine drives immunity in checkpoint-inhibitor-treated melanoma","volume":"585","author":[{"family":"Sahin","given":"Ugur"},{"family":"Oehm","given":"Petra"},{"family":"Derhovanessian","given":"Evelyna"},{"family":"Jabulowsky","given":"Robert A."},{"family":"Vormehr","given":"Mathias"},{"family":"Gold","given":"Maike"},{"family":"Maurus","given":"Daniel"},{"family":"Schwarck-Kokarakis","given":"Doreen"},{"family":"Kuhn","given":"Andreas N."},{"family":"Omokoko","given":"Tana"},{"family":"Kranz","given":"Lena M."},{"family":"Diken","given":"Mustafa"},{"family":"Kreiter","given":"Sebastian"},{"family":"Haas","given":"Heinrich"},{"family":"Attig","given":"Sebastian"},{"family":"Rae","given":"Richard"},{"family":"Cuk","given":"Katarina"},{"family":"Kemmer-Brück","given":"Alexandra"},{"family":"Breitkreuz","given":"Andrea"},{"family":"Tolliver","given":"Claudia"},{"family":"Caspar","given":"Janina"},{"family":"Quinkhardt","given":"Juliane"},{"family":"Hebich","given":"Lisa"},{"family":"Stein","given":"Malte"},{"family":"Hohberger","given":"Alexander"},{"family":"Vogler","given":"Isabel"},{"family":"Liebig","given":"Inga"},{"family":"Renken","given":"Stephanie"},{"family":"Sikorski","given":"Julian"},{"family":"Leierer","given":"Melanie"},{"family":"Müller","given":"Verena"},{"family":"Mitzel-Rink","given":"Heidrun"},{"family":"Miederer","given":"Matthias"},{"family":"Huber","given":"Christoph"},{"family":"Grabbe","given":"Stephan"},{"family":"Utikal","given":"Jochen"},{"family":"Pinter","given":"Andreas"},{"family":"Kaufmann","given":"Roland"},{"family":"Hassel","given":"Jessica C."},{"family":"Loquai","given":"Carmen"},{"family":"Türeci","given":"Özlem"}],"issued":{"date-parts":[["2020",9]]}}}],"schema":"https://github.com/citation-style-language/schema/raw/master/csl-citation.json"} </w:instrText>
            </w:r>
            <w:r w:rsidRPr="00E06DFC">
              <w:rPr>
                <w:rFonts w:ascii="Times New Roman" w:hAnsi="Times New Roman" w:cs="Times New Roman"/>
                <w:sz w:val="20"/>
                <w:szCs w:val="20"/>
                <w:lang w:val="en-GB"/>
              </w:rPr>
              <w:fldChar w:fldCharType="separate"/>
            </w:r>
            <w:r w:rsidR="008B154A" w:rsidRPr="008B154A">
              <w:rPr>
                <w:rFonts w:ascii="Times New Roman" w:hAnsi="Times New Roman" w:cs="Times New Roman"/>
                <w:sz w:val="20"/>
              </w:rPr>
              <w:t>[11]</w:t>
            </w:r>
            <w:r w:rsidRPr="00E06DFC">
              <w:rPr>
                <w:rFonts w:ascii="Times New Roman" w:hAnsi="Times New Roman" w:cs="Times New Roman"/>
                <w:sz w:val="20"/>
                <w:szCs w:val="20"/>
                <w:lang w:val="en-GB"/>
              </w:rPr>
              <w:fldChar w:fldCharType="end"/>
            </w:r>
          </w:p>
        </w:tc>
      </w:tr>
      <w:tr w:rsidR="00E06DFC" w:rsidRPr="00E06DFC" w14:paraId="00AA1777" w14:textId="77777777" w:rsidTr="00E06DFC">
        <w:tc>
          <w:tcPr>
            <w:tcW w:w="1277" w:type="dxa"/>
          </w:tcPr>
          <w:p w14:paraId="727D4463" w14:textId="77777777" w:rsidR="00E06DFC" w:rsidRPr="00E06DFC" w:rsidRDefault="00E06DFC" w:rsidP="00E6447E">
            <w:pPr>
              <w:rPr>
                <w:rFonts w:ascii="Times New Roman" w:hAnsi="Times New Roman" w:cs="Times New Roman"/>
                <w:sz w:val="20"/>
                <w:szCs w:val="20"/>
                <w:lang w:val="en-US"/>
              </w:rPr>
            </w:pPr>
          </w:p>
        </w:tc>
        <w:tc>
          <w:tcPr>
            <w:tcW w:w="1134" w:type="dxa"/>
          </w:tcPr>
          <w:p w14:paraId="4AB583B9" w14:textId="39C73F5E"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 xml:space="preserve">Triple-negative </w:t>
            </w:r>
            <w:r w:rsidRPr="00E06DFC">
              <w:rPr>
                <w:rFonts w:ascii="Times New Roman" w:hAnsi="Times New Roman" w:cs="Times New Roman"/>
                <w:color w:val="222222"/>
                <w:sz w:val="20"/>
                <w:szCs w:val="20"/>
                <w:shd w:val="clear" w:color="auto" w:fill="FFFFFF"/>
              </w:rPr>
              <w:lastRenderedPageBreak/>
              <w:t>breast cancer</w:t>
            </w:r>
          </w:p>
        </w:tc>
        <w:tc>
          <w:tcPr>
            <w:tcW w:w="1276" w:type="dxa"/>
          </w:tcPr>
          <w:p w14:paraId="308B307E" w14:textId="0EACE9AB"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lastRenderedPageBreak/>
              <w:t>Personalized neoantigens</w:t>
            </w:r>
          </w:p>
        </w:tc>
        <w:tc>
          <w:tcPr>
            <w:tcW w:w="1559" w:type="dxa"/>
          </w:tcPr>
          <w:p w14:paraId="66D014E8" w14:textId="2EDCCFA7"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57BEFEE4" w14:textId="4B8CFA24"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TNBC-MERIT</w:t>
            </w:r>
          </w:p>
        </w:tc>
        <w:tc>
          <w:tcPr>
            <w:tcW w:w="2126" w:type="dxa"/>
          </w:tcPr>
          <w:p w14:paraId="73952C11" w14:textId="0EB770E6"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Phase I: </w:t>
            </w:r>
            <w:r w:rsidRPr="00E06DFC">
              <w:rPr>
                <w:rFonts w:ascii="Times New Roman" w:hAnsi="Times New Roman" w:cs="Times New Roman"/>
                <w:color w:val="222222"/>
                <w:sz w:val="20"/>
                <w:szCs w:val="20"/>
                <w:shd w:val="clear" w:color="auto" w:fill="FFFFFF"/>
              </w:rPr>
              <w:t>NCT02316457</w:t>
            </w:r>
            <w:r w:rsidRPr="00E06DFC">
              <w:rPr>
                <w:rFonts w:ascii="Times New Roman" w:hAnsi="Times New Roman" w:cs="Times New Roman"/>
                <w:color w:val="222222"/>
                <w:sz w:val="20"/>
                <w:szCs w:val="20"/>
                <w:shd w:val="clear" w:color="auto" w:fill="FFFFFF"/>
                <w:lang w:val="en-US"/>
              </w:rPr>
              <w:t xml:space="preserve"> (2016-2023*)</w:t>
            </w:r>
          </w:p>
        </w:tc>
        <w:tc>
          <w:tcPr>
            <w:tcW w:w="1559" w:type="dxa"/>
          </w:tcPr>
          <w:p w14:paraId="3CC870B4" w14:textId="77777777" w:rsidR="00E06DFC" w:rsidRPr="00E06DFC" w:rsidRDefault="00E06DFC" w:rsidP="00E6447E">
            <w:pPr>
              <w:rPr>
                <w:rFonts w:ascii="Times New Roman" w:hAnsi="Times New Roman" w:cs="Times New Roman"/>
                <w:sz w:val="20"/>
                <w:szCs w:val="20"/>
                <w:lang w:val="en-US"/>
              </w:rPr>
            </w:pPr>
          </w:p>
        </w:tc>
        <w:tc>
          <w:tcPr>
            <w:tcW w:w="1418" w:type="dxa"/>
          </w:tcPr>
          <w:p w14:paraId="70986BD9" w14:textId="77777777" w:rsidR="00E06DFC" w:rsidRPr="00E06DFC" w:rsidRDefault="00E06DFC" w:rsidP="00E6447E">
            <w:pPr>
              <w:rPr>
                <w:rFonts w:ascii="Times New Roman" w:hAnsi="Times New Roman" w:cs="Times New Roman"/>
                <w:sz w:val="20"/>
                <w:szCs w:val="20"/>
                <w:lang w:val="en-US"/>
              </w:rPr>
            </w:pPr>
          </w:p>
        </w:tc>
        <w:tc>
          <w:tcPr>
            <w:tcW w:w="1134" w:type="dxa"/>
          </w:tcPr>
          <w:p w14:paraId="226E6875" w14:textId="77777777" w:rsidR="00E06DFC" w:rsidRPr="00E06DFC" w:rsidRDefault="00E06DFC" w:rsidP="00E6447E">
            <w:pPr>
              <w:rPr>
                <w:rFonts w:ascii="Times New Roman" w:hAnsi="Times New Roman" w:cs="Times New Roman"/>
                <w:sz w:val="20"/>
                <w:szCs w:val="20"/>
                <w:lang w:val="en-US"/>
              </w:rPr>
            </w:pPr>
          </w:p>
        </w:tc>
      </w:tr>
      <w:tr w:rsidR="00E06DFC" w:rsidRPr="00E06DFC" w14:paraId="7138509C" w14:textId="77777777" w:rsidTr="00E06DFC">
        <w:tc>
          <w:tcPr>
            <w:tcW w:w="1277" w:type="dxa"/>
          </w:tcPr>
          <w:p w14:paraId="1852E43C" w14:textId="77777777" w:rsidR="00E06DFC" w:rsidRPr="00E06DFC" w:rsidRDefault="00E06DFC" w:rsidP="00E6447E">
            <w:pPr>
              <w:rPr>
                <w:rFonts w:ascii="Times New Roman" w:hAnsi="Times New Roman" w:cs="Times New Roman"/>
                <w:sz w:val="20"/>
                <w:szCs w:val="20"/>
                <w:lang w:val="en-US"/>
              </w:rPr>
            </w:pPr>
          </w:p>
        </w:tc>
        <w:tc>
          <w:tcPr>
            <w:tcW w:w="1134" w:type="dxa"/>
          </w:tcPr>
          <w:p w14:paraId="3F0A8786" w14:textId="78C0CDBC"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HPV-positive cancers</w:t>
            </w:r>
          </w:p>
        </w:tc>
        <w:tc>
          <w:tcPr>
            <w:tcW w:w="1276" w:type="dxa"/>
          </w:tcPr>
          <w:p w14:paraId="11FDE7BA" w14:textId="77C2F212"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HPV oncoproteins E6 and E7</w:t>
            </w:r>
          </w:p>
        </w:tc>
        <w:tc>
          <w:tcPr>
            <w:tcW w:w="1559" w:type="dxa"/>
          </w:tcPr>
          <w:p w14:paraId="54AF83AA" w14:textId="49864766"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2E8ADA5B" w14:textId="62564D9C"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rPr>
              <w:t>HARE-40</w:t>
            </w:r>
            <w:r w:rsidRPr="00E06DFC">
              <w:rPr>
                <w:rFonts w:ascii="Times New Roman" w:hAnsi="Times New Roman" w:cs="Times New Roman"/>
                <w:color w:val="222222"/>
                <w:sz w:val="20"/>
                <w:szCs w:val="20"/>
                <w:shd w:val="clear" w:color="auto" w:fill="FFFFFF"/>
                <w:lang w:val="en-US"/>
              </w:rPr>
              <w:t>/</w:t>
            </w:r>
            <w:r w:rsidRPr="00E06DFC">
              <w:rPr>
                <w:rFonts w:ascii="Times New Roman" w:hAnsi="Times New Roman" w:cs="Times New Roman"/>
                <w:color w:val="000000"/>
                <w:sz w:val="20"/>
                <w:szCs w:val="20"/>
                <w:shd w:val="clear" w:color="auto" w:fill="FFFFFF"/>
              </w:rPr>
              <w:t xml:space="preserve"> BNT113</w:t>
            </w:r>
          </w:p>
          <w:p w14:paraId="6C5AFA54" w14:textId="17A1A02F" w:rsidR="00E06DFC" w:rsidRPr="00E06DFC" w:rsidRDefault="00E06DFC" w:rsidP="00E6447E">
            <w:pPr>
              <w:jc w:val="center"/>
              <w:rPr>
                <w:rFonts w:ascii="Times New Roman" w:hAnsi="Times New Roman" w:cs="Times New Roman"/>
                <w:sz w:val="20"/>
                <w:szCs w:val="20"/>
              </w:rPr>
            </w:pPr>
          </w:p>
        </w:tc>
        <w:tc>
          <w:tcPr>
            <w:tcW w:w="2126" w:type="dxa"/>
          </w:tcPr>
          <w:p w14:paraId="44280272"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I/II:</w:t>
            </w:r>
          </w:p>
          <w:p w14:paraId="2CFB3FA8" w14:textId="77777777"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000000"/>
                <w:sz w:val="20"/>
                <w:szCs w:val="20"/>
                <w:shd w:val="clear" w:color="auto" w:fill="FFFFFF"/>
              </w:rPr>
              <w:t>NCT03418480</w:t>
            </w:r>
          </w:p>
          <w:p w14:paraId="37F0233F" w14:textId="4A5B55E6"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(2017-2024*)</w:t>
            </w:r>
          </w:p>
        </w:tc>
        <w:tc>
          <w:tcPr>
            <w:tcW w:w="1559" w:type="dxa"/>
          </w:tcPr>
          <w:p w14:paraId="1284EFF9" w14:textId="77777777" w:rsidR="00E06DFC" w:rsidRPr="00E06DFC" w:rsidRDefault="00E06DFC" w:rsidP="00E6447E">
            <w:pPr>
              <w:rPr>
                <w:rFonts w:ascii="Times New Roman" w:hAnsi="Times New Roman" w:cs="Times New Roman"/>
                <w:sz w:val="20"/>
                <w:szCs w:val="20"/>
                <w:lang w:val="en-US"/>
              </w:rPr>
            </w:pPr>
          </w:p>
        </w:tc>
        <w:tc>
          <w:tcPr>
            <w:tcW w:w="1418" w:type="dxa"/>
          </w:tcPr>
          <w:p w14:paraId="10F6E3E6" w14:textId="77777777" w:rsidR="00E06DFC" w:rsidRPr="00E06DFC" w:rsidRDefault="00E06DFC" w:rsidP="00E6447E">
            <w:pPr>
              <w:rPr>
                <w:rFonts w:ascii="Times New Roman" w:hAnsi="Times New Roman" w:cs="Times New Roman"/>
                <w:sz w:val="20"/>
                <w:szCs w:val="20"/>
                <w:lang w:val="en-US"/>
              </w:rPr>
            </w:pPr>
          </w:p>
        </w:tc>
        <w:tc>
          <w:tcPr>
            <w:tcW w:w="1134" w:type="dxa"/>
          </w:tcPr>
          <w:p w14:paraId="6A91AA1F" w14:textId="77777777" w:rsidR="00E06DFC" w:rsidRPr="00E06DFC" w:rsidRDefault="00E06DFC" w:rsidP="00E6447E">
            <w:pPr>
              <w:rPr>
                <w:rFonts w:ascii="Times New Roman" w:hAnsi="Times New Roman" w:cs="Times New Roman"/>
                <w:sz w:val="20"/>
                <w:szCs w:val="20"/>
                <w:lang w:val="en-US"/>
              </w:rPr>
            </w:pPr>
          </w:p>
        </w:tc>
      </w:tr>
      <w:tr w:rsidR="00E06DFC" w:rsidRPr="00E06DFC" w14:paraId="6626065A" w14:textId="77777777" w:rsidTr="00E06DFC">
        <w:tc>
          <w:tcPr>
            <w:tcW w:w="1277" w:type="dxa"/>
          </w:tcPr>
          <w:p w14:paraId="0BF6A002" w14:textId="77777777" w:rsidR="00E06DFC" w:rsidRPr="00E06DFC" w:rsidRDefault="00E06DFC" w:rsidP="00E6447E">
            <w:pPr>
              <w:rPr>
                <w:rFonts w:ascii="Times New Roman" w:hAnsi="Times New Roman" w:cs="Times New Roman"/>
                <w:sz w:val="20"/>
                <w:szCs w:val="20"/>
                <w:lang w:val="en-US"/>
              </w:rPr>
            </w:pPr>
          </w:p>
        </w:tc>
        <w:tc>
          <w:tcPr>
            <w:tcW w:w="1134" w:type="dxa"/>
          </w:tcPr>
          <w:p w14:paraId="0F651471" w14:textId="47A7AA5F"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Melanoma</w:t>
            </w:r>
          </w:p>
        </w:tc>
        <w:tc>
          <w:tcPr>
            <w:tcW w:w="1276" w:type="dxa"/>
          </w:tcPr>
          <w:p w14:paraId="33CDF0DE" w14:textId="26745F4F"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Personalized neoantigens</w:t>
            </w:r>
          </w:p>
        </w:tc>
        <w:tc>
          <w:tcPr>
            <w:tcW w:w="1559" w:type="dxa"/>
          </w:tcPr>
          <w:p w14:paraId="7E9E48DD" w14:textId="0940FEB4"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195E4CC9" w14:textId="470DBED9"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RO7198457</w:t>
            </w:r>
          </w:p>
        </w:tc>
        <w:tc>
          <w:tcPr>
            <w:tcW w:w="2126" w:type="dxa"/>
          </w:tcPr>
          <w:p w14:paraId="746DFEF6" w14:textId="4EB01218"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222222"/>
                <w:sz w:val="20"/>
                <w:szCs w:val="20"/>
                <w:shd w:val="clear" w:color="auto" w:fill="FFFFFF"/>
              </w:rPr>
              <w:t>NCT03815058</w:t>
            </w:r>
            <w:r w:rsidRPr="00E06DFC">
              <w:rPr>
                <w:rFonts w:ascii="Times New Roman" w:hAnsi="Times New Roman" w:cs="Times New Roman"/>
                <w:color w:val="222222"/>
                <w:sz w:val="20"/>
                <w:szCs w:val="20"/>
                <w:shd w:val="clear" w:color="auto" w:fill="FFFFFF"/>
                <w:lang w:val="en-US"/>
              </w:rPr>
              <w:t xml:space="preserve"> (2019-2024*)</w:t>
            </w:r>
          </w:p>
        </w:tc>
        <w:tc>
          <w:tcPr>
            <w:tcW w:w="1559" w:type="dxa"/>
          </w:tcPr>
          <w:p w14:paraId="3ADB20F3" w14:textId="77777777" w:rsidR="00E06DFC" w:rsidRPr="00E06DFC" w:rsidRDefault="00E06DFC" w:rsidP="00E6447E">
            <w:pPr>
              <w:rPr>
                <w:rFonts w:ascii="Times New Roman" w:hAnsi="Times New Roman" w:cs="Times New Roman"/>
                <w:sz w:val="20"/>
                <w:szCs w:val="20"/>
                <w:lang w:val="en-US"/>
              </w:rPr>
            </w:pPr>
          </w:p>
        </w:tc>
        <w:tc>
          <w:tcPr>
            <w:tcW w:w="1418" w:type="dxa"/>
          </w:tcPr>
          <w:p w14:paraId="038BCE3E" w14:textId="77777777" w:rsidR="00E06DFC" w:rsidRPr="00E06DFC" w:rsidRDefault="00E06DFC" w:rsidP="00E6447E">
            <w:pPr>
              <w:rPr>
                <w:rFonts w:ascii="Times New Roman" w:hAnsi="Times New Roman" w:cs="Times New Roman"/>
                <w:sz w:val="20"/>
                <w:szCs w:val="20"/>
                <w:lang w:val="en-US"/>
              </w:rPr>
            </w:pPr>
          </w:p>
        </w:tc>
        <w:tc>
          <w:tcPr>
            <w:tcW w:w="1134" w:type="dxa"/>
          </w:tcPr>
          <w:p w14:paraId="2573CA56" w14:textId="77777777" w:rsidR="00E06DFC" w:rsidRPr="00E06DFC" w:rsidRDefault="00E06DFC" w:rsidP="00E6447E">
            <w:pPr>
              <w:rPr>
                <w:rFonts w:ascii="Times New Roman" w:hAnsi="Times New Roman" w:cs="Times New Roman"/>
                <w:sz w:val="20"/>
                <w:szCs w:val="20"/>
                <w:lang w:val="en-US"/>
              </w:rPr>
            </w:pPr>
          </w:p>
        </w:tc>
      </w:tr>
      <w:tr w:rsidR="00E06DFC" w:rsidRPr="00E06DFC" w14:paraId="4AF60D74" w14:textId="77777777" w:rsidTr="00E06DFC">
        <w:tc>
          <w:tcPr>
            <w:tcW w:w="1277" w:type="dxa"/>
          </w:tcPr>
          <w:p w14:paraId="5BCEA4FA" w14:textId="77777777" w:rsidR="00E06DFC" w:rsidRPr="00E06DFC" w:rsidRDefault="00E06DFC" w:rsidP="00E6447E">
            <w:pPr>
              <w:rPr>
                <w:rFonts w:ascii="Times New Roman" w:hAnsi="Times New Roman" w:cs="Times New Roman"/>
                <w:sz w:val="20"/>
                <w:szCs w:val="20"/>
                <w:lang w:val="en-US"/>
              </w:rPr>
            </w:pPr>
          </w:p>
        </w:tc>
        <w:tc>
          <w:tcPr>
            <w:tcW w:w="1134" w:type="dxa"/>
          </w:tcPr>
          <w:p w14:paraId="219BF572" w14:textId="6535C668"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Ovarian cancer</w:t>
            </w:r>
          </w:p>
        </w:tc>
        <w:tc>
          <w:tcPr>
            <w:tcW w:w="1276" w:type="dxa"/>
          </w:tcPr>
          <w:p w14:paraId="7723DC18" w14:textId="4C9A44C8"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rPr>
              <w:t>Ovarian cancer</w:t>
            </w:r>
            <w:r w:rsidRPr="00E06DFC">
              <w:rPr>
                <w:rFonts w:ascii="Times New Roman" w:hAnsi="Times New Roman" w:cs="Times New Roman"/>
                <w:color w:val="222222"/>
                <w:sz w:val="20"/>
                <w:szCs w:val="20"/>
                <w:shd w:val="clear" w:color="auto" w:fill="FFFFFF"/>
                <w:lang w:val="en-US"/>
              </w:rPr>
              <w:t xml:space="preserve"> antigens</w:t>
            </w:r>
          </w:p>
        </w:tc>
        <w:tc>
          <w:tcPr>
            <w:tcW w:w="1559" w:type="dxa"/>
          </w:tcPr>
          <w:p w14:paraId="35BF8213" w14:textId="288E1B88"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0EEDE866" w14:textId="5D0FC9D9"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000000"/>
                <w:sz w:val="20"/>
                <w:szCs w:val="20"/>
                <w:shd w:val="clear" w:color="auto" w:fill="FFFFFF"/>
              </w:rPr>
              <w:t>W_ova1</w:t>
            </w:r>
          </w:p>
        </w:tc>
        <w:tc>
          <w:tcPr>
            <w:tcW w:w="2126" w:type="dxa"/>
          </w:tcPr>
          <w:p w14:paraId="4B171F8D" w14:textId="49E5F626"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w:t>
            </w:r>
            <w:r w:rsidRPr="00E06DFC">
              <w:rPr>
                <w:rFonts w:ascii="Times New Roman" w:hAnsi="Times New Roman" w:cs="Times New Roman"/>
                <w:color w:val="222222"/>
                <w:sz w:val="20"/>
                <w:szCs w:val="20"/>
                <w:shd w:val="clear" w:color="auto" w:fill="FFFFFF"/>
              </w:rPr>
              <w:t xml:space="preserve"> NCT04163094</w:t>
            </w:r>
            <w:r w:rsidRPr="00E06DFC">
              <w:rPr>
                <w:rFonts w:ascii="Times New Roman" w:hAnsi="Times New Roman" w:cs="Times New Roman"/>
                <w:color w:val="222222"/>
                <w:sz w:val="20"/>
                <w:szCs w:val="20"/>
                <w:shd w:val="clear" w:color="auto" w:fill="FFFFFF"/>
                <w:lang w:val="en-US"/>
              </w:rPr>
              <w:t xml:space="preserve"> (2019-2023*)</w:t>
            </w:r>
          </w:p>
        </w:tc>
        <w:tc>
          <w:tcPr>
            <w:tcW w:w="1559" w:type="dxa"/>
          </w:tcPr>
          <w:p w14:paraId="51223C6A" w14:textId="77777777" w:rsidR="00E06DFC" w:rsidRPr="00E06DFC" w:rsidRDefault="00E06DFC" w:rsidP="00E6447E">
            <w:pPr>
              <w:rPr>
                <w:rFonts w:ascii="Times New Roman" w:hAnsi="Times New Roman" w:cs="Times New Roman"/>
                <w:sz w:val="20"/>
                <w:szCs w:val="20"/>
                <w:lang w:val="en-US"/>
              </w:rPr>
            </w:pPr>
          </w:p>
        </w:tc>
        <w:tc>
          <w:tcPr>
            <w:tcW w:w="1418" w:type="dxa"/>
          </w:tcPr>
          <w:p w14:paraId="29748055" w14:textId="77777777" w:rsidR="00E06DFC" w:rsidRPr="00E06DFC" w:rsidRDefault="00E06DFC" w:rsidP="00E6447E">
            <w:pPr>
              <w:rPr>
                <w:rFonts w:ascii="Times New Roman" w:hAnsi="Times New Roman" w:cs="Times New Roman"/>
                <w:sz w:val="20"/>
                <w:szCs w:val="20"/>
                <w:lang w:val="en-US"/>
              </w:rPr>
            </w:pPr>
          </w:p>
        </w:tc>
        <w:tc>
          <w:tcPr>
            <w:tcW w:w="1134" w:type="dxa"/>
          </w:tcPr>
          <w:p w14:paraId="756BFDD7" w14:textId="77777777" w:rsidR="00E06DFC" w:rsidRPr="00E06DFC" w:rsidRDefault="00E06DFC" w:rsidP="00E6447E">
            <w:pPr>
              <w:rPr>
                <w:rFonts w:ascii="Times New Roman" w:hAnsi="Times New Roman" w:cs="Times New Roman"/>
                <w:sz w:val="20"/>
                <w:szCs w:val="20"/>
                <w:lang w:val="en-US"/>
              </w:rPr>
            </w:pPr>
          </w:p>
        </w:tc>
      </w:tr>
      <w:tr w:rsidR="00E06DFC" w:rsidRPr="00E06DFC" w14:paraId="0CC3066F" w14:textId="77777777" w:rsidTr="00E06DFC">
        <w:tc>
          <w:tcPr>
            <w:tcW w:w="1277" w:type="dxa"/>
          </w:tcPr>
          <w:p w14:paraId="246E3970" w14:textId="77777777" w:rsidR="00E06DFC" w:rsidRPr="00E06DFC" w:rsidRDefault="00E06DFC" w:rsidP="00E6447E">
            <w:pPr>
              <w:rPr>
                <w:rFonts w:ascii="Times New Roman" w:hAnsi="Times New Roman" w:cs="Times New Roman"/>
                <w:sz w:val="20"/>
                <w:szCs w:val="20"/>
                <w:lang w:val="en-US"/>
              </w:rPr>
            </w:pPr>
          </w:p>
        </w:tc>
        <w:tc>
          <w:tcPr>
            <w:tcW w:w="1134" w:type="dxa"/>
          </w:tcPr>
          <w:p w14:paraId="339E5667" w14:textId="6A138A9A"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Solid </w:t>
            </w:r>
            <w:proofErr w:type="spellStart"/>
            <w:r w:rsidRPr="00E06DFC">
              <w:rPr>
                <w:rFonts w:ascii="Times New Roman" w:hAnsi="Times New Roman" w:cs="Times New Roman"/>
                <w:color w:val="222222"/>
                <w:sz w:val="20"/>
                <w:szCs w:val="20"/>
                <w:shd w:val="clear" w:color="auto" w:fill="FFFFFF"/>
                <w:lang w:val="en-US"/>
              </w:rPr>
              <w:t>tumours</w:t>
            </w:r>
            <w:proofErr w:type="spellEnd"/>
          </w:p>
        </w:tc>
        <w:tc>
          <w:tcPr>
            <w:tcW w:w="1276" w:type="dxa"/>
          </w:tcPr>
          <w:p w14:paraId="3093804E" w14:textId="25AE0D2D" w:rsidR="00E06DFC" w:rsidRPr="00E06DFC" w:rsidRDefault="00E06DFC" w:rsidP="00E6447E">
            <w:pPr>
              <w:rPr>
                <w:rFonts w:ascii="Times New Roman" w:hAnsi="Times New Roman" w:cs="Times New Roman"/>
                <w:color w:val="222222"/>
                <w:sz w:val="20"/>
                <w:szCs w:val="20"/>
              </w:rPr>
            </w:pPr>
            <w:r w:rsidRPr="00E06DFC">
              <w:rPr>
                <w:rFonts w:ascii="Times New Roman" w:hAnsi="Times New Roman" w:cs="Times New Roman"/>
                <w:color w:val="222222"/>
                <w:sz w:val="20"/>
                <w:szCs w:val="20"/>
              </w:rPr>
              <w:t>OX40L</w:t>
            </w:r>
          </w:p>
          <w:p w14:paraId="5C6589A7"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3E5EBC83" w14:textId="2C4DEB06"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Moderna</w:t>
            </w:r>
          </w:p>
        </w:tc>
        <w:tc>
          <w:tcPr>
            <w:tcW w:w="1559" w:type="dxa"/>
          </w:tcPr>
          <w:p w14:paraId="5372B632" w14:textId="17654229"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222222"/>
                <w:sz w:val="20"/>
                <w:szCs w:val="20"/>
                <w:shd w:val="clear" w:color="auto" w:fill="FFFFFF"/>
              </w:rPr>
              <w:t>mRNA 2416</w:t>
            </w:r>
          </w:p>
        </w:tc>
        <w:tc>
          <w:tcPr>
            <w:tcW w:w="2126" w:type="dxa"/>
          </w:tcPr>
          <w:p w14:paraId="34530230" w14:textId="6CDD7118"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II:</w:t>
            </w:r>
            <w:r w:rsidRPr="00E06DFC">
              <w:rPr>
                <w:rFonts w:ascii="Times New Roman" w:hAnsi="Times New Roman" w:cs="Times New Roman"/>
                <w:color w:val="222222"/>
                <w:sz w:val="20"/>
                <w:szCs w:val="20"/>
                <w:shd w:val="clear" w:color="auto" w:fill="FFFFFF"/>
              </w:rPr>
              <w:t xml:space="preserve"> NCT03323398</w:t>
            </w:r>
            <w:r w:rsidRPr="00E06DFC">
              <w:rPr>
                <w:rFonts w:ascii="Times New Roman" w:hAnsi="Times New Roman" w:cs="Times New Roman"/>
                <w:color w:val="222222"/>
                <w:sz w:val="20"/>
                <w:szCs w:val="20"/>
                <w:shd w:val="clear" w:color="auto" w:fill="FFFFFF"/>
                <w:lang w:val="en-US"/>
              </w:rPr>
              <w:t xml:space="preserve"> (2017-2021)</w:t>
            </w:r>
          </w:p>
        </w:tc>
        <w:tc>
          <w:tcPr>
            <w:tcW w:w="1559" w:type="dxa"/>
          </w:tcPr>
          <w:p w14:paraId="6F87C294" w14:textId="77777777" w:rsidR="00E06DFC" w:rsidRPr="00E06DFC" w:rsidRDefault="00E06DFC" w:rsidP="00E6447E">
            <w:pPr>
              <w:rPr>
                <w:rFonts w:ascii="Times New Roman" w:hAnsi="Times New Roman" w:cs="Times New Roman"/>
                <w:sz w:val="20"/>
                <w:szCs w:val="20"/>
                <w:lang w:val="en-US"/>
              </w:rPr>
            </w:pPr>
          </w:p>
        </w:tc>
        <w:tc>
          <w:tcPr>
            <w:tcW w:w="1418" w:type="dxa"/>
          </w:tcPr>
          <w:p w14:paraId="46408B1F" w14:textId="3E156ACC"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Terminated, efficacy endpoints not met</w:t>
            </w:r>
          </w:p>
        </w:tc>
        <w:tc>
          <w:tcPr>
            <w:tcW w:w="1134" w:type="dxa"/>
          </w:tcPr>
          <w:p w14:paraId="3525F8B5" w14:textId="77777777" w:rsidR="00E06DFC" w:rsidRPr="00E06DFC" w:rsidRDefault="00E06DFC" w:rsidP="00E6447E">
            <w:pPr>
              <w:rPr>
                <w:rFonts w:ascii="Times New Roman" w:hAnsi="Times New Roman" w:cs="Times New Roman"/>
                <w:sz w:val="20"/>
                <w:szCs w:val="20"/>
                <w:lang w:val="en-US"/>
              </w:rPr>
            </w:pPr>
          </w:p>
        </w:tc>
      </w:tr>
      <w:tr w:rsidR="00E06DFC" w:rsidRPr="00E06DFC" w14:paraId="69536C14" w14:textId="77777777" w:rsidTr="00E06DFC">
        <w:tc>
          <w:tcPr>
            <w:tcW w:w="1277" w:type="dxa"/>
          </w:tcPr>
          <w:p w14:paraId="30DA7929" w14:textId="77777777" w:rsidR="00E06DFC" w:rsidRPr="00E06DFC" w:rsidRDefault="00E06DFC" w:rsidP="00E6447E">
            <w:pPr>
              <w:rPr>
                <w:rFonts w:ascii="Times New Roman" w:hAnsi="Times New Roman" w:cs="Times New Roman"/>
                <w:sz w:val="20"/>
                <w:szCs w:val="20"/>
                <w:lang w:val="en-US"/>
              </w:rPr>
            </w:pPr>
          </w:p>
        </w:tc>
        <w:tc>
          <w:tcPr>
            <w:tcW w:w="1134" w:type="dxa"/>
          </w:tcPr>
          <w:p w14:paraId="4866F382" w14:textId="7515E6D0"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en-US"/>
              </w:rPr>
              <w:t xml:space="preserve">Solid </w:t>
            </w:r>
            <w:proofErr w:type="spellStart"/>
            <w:r w:rsidRPr="00E06DFC">
              <w:rPr>
                <w:rFonts w:ascii="Times New Roman" w:hAnsi="Times New Roman" w:cs="Times New Roman"/>
                <w:color w:val="222222"/>
                <w:sz w:val="20"/>
                <w:szCs w:val="20"/>
                <w:shd w:val="clear" w:color="auto" w:fill="FFFFFF"/>
                <w:lang w:val="en-US"/>
              </w:rPr>
              <w:t>tumours</w:t>
            </w:r>
            <w:proofErr w:type="spellEnd"/>
          </w:p>
        </w:tc>
        <w:tc>
          <w:tcPr>
            <w:tcW w:w="1276" w:type="dxa"/>
          </w:tcPr>
          <w:p w14:paraId="3098A55C" w14:textId="6F78E6BD"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OX40L, IL-23 and IL-36γ</w:t>
            </w:r>
          </w:p>
        </w:tc>
        <w:tc>
          <w:tcPr>
            <w:tcW w:w="1559" w:type="dxa"/>
          </w:tcPr>
          <w:p w14:paraId="6B0C79CF" w14:textId="2FF9010F"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Moderna</w:t>
            </w:r>
          </w:p>
        </w:tc>
        <w:tc>
          <w:tcPr>
            <w:tcW w:w="1559" w:type="dxa"/>
          </w:tcPr>
          <w:p w14:paraId="58A9EDAA" w14:textId="0EE76FAF"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222222"/>
                <w:sz w:val="20"/>
                <w:szCs w:val="20"/>
                <w:shd w:val="clear" w:color="auto" w:fill="FFFFFF"/>
              </w:rPr>
              <w:t>mRNA-2752</w:t>
            </w:r>
          </w:p>
        </w:tc>
        <w:tc>
          <w:tcPr>
            <w:tcW w:w="2126" w:type="dxa"/>
          </w:tcPr>
          <w:p w14:paraId="519DBF08" w14:textId="5131ED83"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222222"/>
                <w:sz w:val="20"/>
                <w:szCs w:val="20"/>
                <w:shd w:val="clear" w:color="auto" w:fill="FFFFFF"/>
              </w:rPr>
              <w:t>NCT03739931</w:t>
            </w:r>
            <w:r w:rsidRPr="00E06DFC">
              <w:rPr>
                <w:rFonts w:ascii="Times New Roman" w:hAnsi="Times New Roman" w:cs="Times New Roman"/>
                <w:color w:val="222222"/>
                <w:sz w:val="20"/>
                <w:szCs w:val="20"/>
                <w:shd w:val="clear" w:color="auto" w:fill="FFFFFF"/>
                <w:lang w:val="en-US"/>
              </w:rPr>
              <w:t xml:space="preserve"> (2018-2023*)</w:t>
            </w:r>
          </w:p>
        </w:tc>
        <w:tc>
          <w:tcPr>
            <w:tcW w:w="1559" w:type="dxa"/>
          </w:tcPr>
          <w:p w14:paraId="2BB67943" w14:textId="77777777" w:rsidR="00E06DFC" w:rsidRPr="00E06DFC" w:rsidRDefault="00E06DFC" w:rsidP="00E6447E">
            <w:pPr>
              <w:rPr>
                <w:rFonts w:ascii="Times New Roman" w:hAnsi="Times New Roman" w:cs="Times New Roman"/>
                <w:sz w:val="20"/>
                <w:szCs w:val="20"/>
                <w:lang w:val="en-US"/>
              </w:rPr>
            </w:pPr>
          </w:p>
        </w:tc>
        <w:tc>
          <w:tcPr>
            <w:tcW w:w="1418" w:type="dxa"/>
          </w:tcPr>
          <w:p w14:paraId="1256D3A3" w14:textId="77777777" w:rsidR="00E06DFC" w:rsidRPr="00E06DFC" w:rsidRDefault="00E06DFC" w:rsidP="00E6447E">
            <w:pPr>
              <w:rPr>
                <w:rFonts w:ascii="Times New Roman" w:hAnsi="Times New Roman" w:cs="Times New Roman"/>
                <w:sz w:val="20"/>
                <w:szCs w:val="20"/>
                <w:lang w:val="en-US"/>
              </w:rPr>
            </w:pPr>
          </w:p>
        </w:tc>
        <w:tc>
          <w:tcPr>
            <w:tcW w:w="1134" w:type="dxa"/>
          </w:tcPr>
          <w:p w14:paraId="2801D4F4" w14:textId="77777777" w:rsidR="00E06DFC" w:rsidRPr="00E06DFC" w:rsidRDefault="00E06DFC" w:rsidP="00E6447E">
            <w:pPr>
              <w:rPr>
                <w:rFonts w:ascii="Times New Roman" w:hAnsi="Times New Roman" w:cs="Times New Roman"/>
                <w:sz w:val="20"/>
                <w:szCs w:val="20"/>
                <w:lang w:val="en-US"/>
              </w:rPr>
            </w:pPr>
          </w:p>
        </w:tc>
      </w:tr>
      <w:tr w:rsidR="00E06DFC" w:rsidRPr="00E06DFC" w14:paraId="3947DFA6" w14:textId="77777777" w:rsidTr="00E06DFC">
        <w:tc>
          <w:tcPr>
            <w:tcW w:w="1277" w:type="dxa"/>
          </w:tcPr>
          <w:p w14:paraId="40663A7F" w14:textId="77777777" w:rsidR="00E06DFC" w:rsidRPr="00E06DFC" w:rsidRDefault="00E06DFC" w:rsidP="00E6447E">
            <w:pPr>
              <w:rPr>
                <w:rFonts w:ascii="Times New Roman" w:hAnsi="Times New Roman" w:cs="Times New Roman"/>
                <w:sz w:val="20"/>
                <w:szCs w:val="20"/>
                <w:lang w:val="en-US"/>
              </w:rPr>
            </w:pPr>
          </w:p>
        </w:tc>
        <w:tc>
          <w:tcPr>
            <w:tcW w:w="1134" w:type="dxa"/>
          </w:tcPr>
          <w:p w14:paraId="2CDEDDF3" w14:textId="6444BEDC"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en-US"/>
              </w:rPr>
              <w:t xml:space="preserve">Solid </w:t>
            </w:r>
            <w:proofErr w:type="spellStart"/>
            <w:r w:rsidRPr="00E06DFC">
              <w:rPr>
                <w:rFonts w:ascii="Times New Roman" w:hAnsi="Times New Roman" w:cs="Times New Roman"/>
                <w:color w:val="222222"/>
                <w:sz w:val="20"/>
                <w:szCs w:val="20"/>
                <w:shd w:val="clear" w:color="auto" w:fill="FFFFFF"/>
                <w:lang w:val="en-US"/>
              </w:rPr>
              <w:t>tumours</w:t>
            </w:r>
            <w:proofErr w:type="spellEnd"/>
          </w:p>
        </w:tc>
        <w:tc>
          <w:tcPr>
            <w:tcW w:w="1276" w:type="dxa"/>
          </w:tcPr>
          <w:p w14:paraId="7CF57583" w14:textId="0DDAC579"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rPr>
              <w:t>IL-12</w:t>
            </w:r>
          </w:p>
        </w:tc>
        <w:tc>
          <w:tcPr>
            <w:tcW w:w="1559" w:type="dxa"/>
          </w:tcPr>
          <w:p w14:paraId="6FAA124E" w14:textId="7D85F9B3" w:rsidR="00E06DFC" w:rsidRPr="00E06DFC" w:rsidRDefault="00E06DFC" w:rsidP="00E6447E">
            <w:pPr>
              <w:rPr>
                <w:rFonts w:ascii="Times New Roman" w:hAnsi="Times New Roman" w:cs="Times New Roman"/>
                <w:color w:val="222222"/>
                <w:sz w:val="20"/>
                <w:szCs w:val="20"/>
                <w:shd w:val="clear" w:color="auto" w:fill="FFFFFF"/>
                <w:lang w:val="en-US"/>
              </w:rPr>
            </w:pPr>
            <w:proofErr w:type="spellStart"/>
            <w:r w:rsidRPr="00E06DFC">
              <w:rPr>
                <w:rFonts w:ascii="Times New Roman" w:hAnsi="Times New Roman" w:cs="Times New Roman"/>
                <w:color w:val="000000"/>
                <w:sz w:val="20"/>
                <w:szCs w:val="20"/>
                <w:shd w:val="clear" w:color="auto" w:fill="FFFFFF"/>
              </w:rPr>
              <w:t>MedImmune</w:t>
            </w:r>
            <w:proofErr w:type="spellEnd"/>
            <w:r w:rsidRPr="00E06DFC">
              <w:rPr>
                <w:rFonts w:ascii="Times New Roman" w:hAnsi="Times New Roman" w:cs="Times New Roman"/>
                <w:color w:val="000000"/>
                <w:sz w:val="20"/>
                <w:szCs w:val="20"/>
                <w:shd w:val="clear" w:color="auto" w:fill="FFFFFF"/>
              </w:rPr>
              <w:t xml:space="preserve"> </w:t>
            </w:r>
          </w:p>
        </w:tc>
        <w:tc>
          <w:tcPr>
            <w:tcW w:w="1559" w:type="dxa"/>
          </w:tcPr>
          <w:p w14:paraId="6A8D33F1" w14:textId="589790F3"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000000"/>
                <w:sz w:val="20"/>
                <w:szCs w:val="20"/>
                <w:shd w:val="clear" w:color="auto" w:fill="FFFFFF"/>
              </w:rPr>
              <w:t>MEDI1191</w:t>
            </w:r>
          </w:p>
        </w:tc>
        <w:tc>
          <w:tcPr>
            <w:tcW w:w="2126" w:type="dxa"/>
          </w:tcPr>
          <w:p w14:paraId="44740858" w14:textId="0EC9E01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Phase I: </w:t>
            </w:r>
            <w:r w:rsidRPr="00E06DFC">
              <w:rPr>
                <w:rFonts w:ascii="Times New Roman" w:hAnsi="Times New Roman" w:cs="Times New Roman"/>
                <w:color w:val="222222"/>
                <w:sz w:val="20"/>
                <w:szCs w:val="20"/>
                <w:shd w:val="clear" w:color="auto" w:fill="FFFFFF"/>
              </w:rPr>
              <w:t>NCT03946800</w:t>
            </w:r>
            <w:r w:rsidRPr="00E06DFC">
              <w:rPr>
                <w:rFonts w:ascii="Times New Roman" w:hAnsi="Times New Roman" w:cs="Times New Roman"/>
                <w:color w:val="222222"/>
                <w:sz w:val="20"/>
                <w:szCs w:val="20"/>
                <w:shd w:val="clear" w:color="auto" w:fill="FFFFFF"/>
                <w:lang w:val="en-US"/>
              </w:rPr>
              <w:t xml:space="preserve"> (2019-2027*)</w:t>
            </w:r>
          </w:p>
        </w:tc>
        <w:tc>
          <w:tcPr>
            <w:tcW w:w="1559" w:type="dxa"/>
          </w:tcPr>
          <w:p w14:paraId="3270E718" w14:textId="77777777" w:rsidR="00E06DFC" w:rsidRPr="00E06DFC" w:rsidRDefault="00E06DFC" w:rsidP="00E6447E">
            <w:pPr>
              <w:rPr>
                <w:rFonts w:ascii="Times New Roman" w:hAnsi="Times New Roman" w:cs="Times New Roman"/>
                <w:sz w:val="20"/>
                <w:szCs w:val="20"/>
                <w:lang w:val="en-US"/>
              </w:rPr>
            </w:pPr>
          </w:p>
        </w:tc>
        <w:tc>
          <w:tcPr>
            <w:tcW w:w="1418" w:type="dxa"/>
          </w:tcPr>
          <w:p w14:paraId="305E565E" w14:textId="77777777" w:rsidR="00E06DFC" w:rsidRPr="00E06DFC" w:rsidRDefault="00E06DFC" w:rsidP="00E6447E">
            <w:pPr>
              <w:rPr>
                <w:rFonts w:ascii="Times New Roman" w:hAnsi="Times New Roman" w:cs="Times New Roman"/>
                <w:sz w:val="20"/>
                <w:szCs w:val="20"/>
                <w:lang w:val="en-US"/>
              </w:rPr>
            </w:pPr>
          </w:p>
        </w:tc>
        <w:tc>
          <w:tcPr>
            <w:tcW w:w="1134" w:type="dxa"/>
          </w:tcPr>
          <w:p w14:paraId="2E24150A" w14:textId="77777777" w:rsidR="00E06DFC" w:rsidRPr="00E06DFC" w:rsidRDefault="00E06DFC" w:rsidP="00E6447E">
            <w:pPr>
              <w:rPr>
                <w:rFonts w:ascii="Times New Roman" w:hAnsi="Times New Roman" w:cs="Times New Roman"/>
                <w:sz w:val="20"/>
                <w:szCs w:val="20"/>
                <w:lang w:val="en-US"/>
              </w:rPr>
            </w:pPr>
          </w:p>
        </w:tc>
      </w:tr>
      <w:tr w:rsidR="00E06DFC" w:rsidRPr="00E06DFC" w14:paraId="421BF5E4" w14:textId="77777777" w:rsidTr="00E06DFC">
        <w:tc>
          <w:tcPr>
            <w:tcW w:w="1277" w:type="dxa"/>
          </w:tcPr>
          <w:p w14:paraId="155BB3EE" w14:textId="77777777" w:rsidR="00E06DFC" w:rsidRPr="00E06DFC" w:rsidRDefault="00E06DFC" w:rsidP="00E6447E">
            <w:pPr>
              <w:rPr>
                <w:rFonts w:ascii="Times New Roman" w:hAnsi="Times New Roman" w:cs="Times New Roman"/>
                <w:sz w:val="20"/>
                <w:szCs w:val="20"/>
                <w:lang w:val="en-US"/>
              </w:rPr>
            </w:pPr>
          </w:p>
        </w:tc>
        <w:tc>
          <w:tcPr>
            <w:tcW w:w="1134" w:type="dxa"/>
          </w:tcPr>
          <w:p w14:paraId="7A127604" w14:textId="3C5ADD28"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22222"/>
                <w:sz w:val="20"/>
                <w:szCs w:val="20"/>
                <w:shd w:val="clear" w:color="auto" w:fill="FFFFFF"/>
                <w:lang w:val="en-US"/>
              </w:rPr>
              <w:t xml:space="preserve">Solid </w:t>
            </w:r>
            <w:proofErr w:type="spellStart"/>
            <w:r w:rsidRPr="00E06DFC">
              <w:rPr>
                <w:rFonts w:ascii="Times New Roman" w:hAnsi="Times New Roman" w:cs="Times New Roman"/>
                <w:color w:val="222222"/>
                <w:sz w:val="20"/>
                <w:szCs w:val="20"/>
                <w:shd w:val="clear" w:color="auto" w:fill="FFFFFF"/>
                <w:lang w:val="en-US"/>
              </w:rPr>
              <w:t>tumours</w:t>
            </w:r>
            <w:proofErr w:type="spellEnd"/>
          </w:p>
        </w:tc>
        <w:tc>
          <w:tcPr>
            <w:tcW w:w="1276" w:type="dxa"/>
          </w:tcPr>
          <w:p w14:paraId="748622D4" w14:textId="1CD66157" w:rsidR="00E06DFC" w:rsidRPr="00E06DFC" w:rsidRDefault="00E06DFC" w:rsidP="00E6447E">
            <w:pPr>
              <w:rPr>
                <w:rFonts w:ascii="Times New Roman" w:hAnsi="Times New Roman" w:cs="Times New Roman"/>
                <w:color w:val="222222"/>
                <w:sz w:val="20"/>
                <w:szCs w:val="20"/>
              </w:rPr>
            </w:pPr>
            <w:r w:rsidRPr="00E06DFC">
              <w:rPr>
                <w:rFonts w:ascii="Times New Roman" w:hAnsi="Times New Roman" w:cs="Times New Roman"/>
                <w:color w:val="222222"/>
                <w:sz w:val="20"/>
                <w:szCs w:val="20"/>
              </w:rPr>
              <w:t>IL-12sc, IL-15sushi, IFNα and GM-CSF</w:t>
            </w:r>
          </w:p>
          <w:p w14:paraId="31467F60"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78914C87" w14:textId="30C15E5E"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7931E242" w14:textId="7FBA9AAA"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222222"/>
                <w:sz w:val="20"/>
                <w:szCs w:val="20"/>
                <w:shd w:val="clear" w:color="auto" w:fill="FFFFFF"/>
              </w:rPr>
              <w:t>SAR441000</w:t>
            </w:r>
            <w:r w:rsidRPr="00E06DFC">
              <w:rPr>
                <w:rFonts w:ascii="Times New Roman" w:hAnsi="Times New Roman" w:cs="Times New Roman"/>
                <w:color w:val="222222"/>
                <w:sz w:val="20"/>
                <w:szCs w:val="20"/>
                <w:shd w:val="clear" w:color="auto" w:fill="FFFFFF"/>
                <w:lang w:val="en-US"/>
              </w:rPr>
              <w:t>/BNT131</w:t>
            </w:r>
          </w:p>
        </w:tc>
        <w:tc>
          <w:tcPr>
            <w:tcW w:w="2126" w:type="dxa"/>
          </w:tcPr>
          <w:p w14:paraId="429E694A" w14:textId="1334B86A"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222222"/>
                <w:sz w:val="20"/>
                <w:szCs w:val="20"/>
                <w:shd w:val="clear" w:color="auto" w:fill="FFFFFF"/>
              </w:rPr>
              <w:t>NCT03871348</w:t>
            </w:r>
            <w:r w:rsidRPr="00E06DFC">
              <w:rPr>
                <w:rFonts w:ascii="Times New Roman" w:hAnsi="Times New Roman" w:cs="Times New Roman"/>
                <w:color w:val="222222"/>
                <w:sz w:val="20"/>
                <w:szCs w:val="20"/>
                <w:shd w:val="clear" w:color="auto" w:fill="FFFFFF"/>
                <w:lang w:val="en-US"/>
              </w:rPr>
              <w:t xml:space="preserve"> (2019-2024*)</w:t>
            </w:r>
          </w:p>
        </w:tc>
        <w:tc>
          <w:tcPr>
            <w:tcW w:w="1559" w:type="dxa"/>
          </w:tcPr>
          <w:p w14:paraId="523A17D2" w14:textId="77777777" w:rsidR="00E06DFC" w:rsidRPr="00E06DFC" w:rsidRDefault="00E06DFC" w:rsidP="00E6447E">
            <w:pPr>
              <w:rPr>
                <w:rFonts w:ascii="Times New Roman" w:hAnsi="Times New Roman" w:cs="Times New Roman"/>
                <w:sz w:val="20"/>
                <w:szCs w:val="20"/>
                <w:lang w:val="en-US"/>
              </w:rPr>
            </w:pPr>
          </w:p>
        </w:tc>
        <w:tc>
          <w:tcPr>
            <w:tcW w:w="1418" w:type="dxa"/>
          </w:tcPr>
          <w:p w14:paraId="19B0A843" w14:textId="77777777" w:rsidR="00E06DFC" w:rsidRPr="00E06DFC" w:rsidRDefault="00E06DFC" w:rsidP="00E6447E">
            <w:pPr>
              <w:rPr>
                <w:rFonts w:ascii="Times New Roman" w:hAnsi="Times New Roman" w:cs="Times New Roman"/>
                <w:sz w:val="20"/>
                <w:szCs w:val="20"/>
                <w:lang w:val="en-US"/>
              </w:rPr>
            </w:pPr>
          </w:p>
        </w:tc>
        <w:tc>
          <w:tcPr>
            <w:tcW w:w="1134" w:type="dxa"/>
          </w:tcPr>
          <w:p w14:paraId="2933C511" w14:textId="77777777" w:rsidR="00E06DFC" w:rsidRPr="00E06DFC" w:rsidRDefault="00E06DFC" w:rsidP="00E6447E">
            <w:pPr>
              <w:rPr>
                <w:rFonts w:ascii="Times New Roman" w:hAnsi="Times New Roman" w:cs="Times New Roman"/>
                <w:sz w:val="20"/>
                <w:szCs w:val="20"/>
                <w:lang w:val="en-US"/>
              </w:rPr>
            </w:pPr>
          </w:p>
        </w:tc>
      </w:tr>
      <w:tr w:rsidR="00E06DFC" w:rsidRPr="00E06DFC" w14:paraId="604DD037" w14:textId="77777777" w:rsidTr="00E06DFC">
        <w:tc>
          <w:tcPr>
            <w:tcW w:w="1277" w:type="dxa"/>
          </w:tcPr>
          <w:p w14:paraId="45B50811" w14:textId="77777777" w:rsidR="00E06DFC" w:rsidRPr="00E06DFC" w:rsidRDefault="00E06DFC" w:rsidP="00E6447E">
            <w:pPr>
              <w:rPr>
                <w:rFonts w:ascii="Times New Roman" w:hAnsi="Times New Roman" w:cs="Times New Roman"/>
                <w:sz w:val="20"/>
                <w:szCs w:val="20"/>
                <w:lang w:val="en-US"/>
              </w:rPr>
            </w:pPr>
          </w:p>
        </w:tc>
        <w:tc>
          <w:tcPr>
            <w:tcW w:w="1134" w:type="dxa"/>
          </w:tcPr>
          <w:p w14:paraId="4D033EA7" w14:textId="000AFC63"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CF0"/>
              </w:rPr>
              <w:t>Advanced Melanoma</w:t>
            </w:r>
          </w:p>
        </w:tc>
        <w:tc>
          <w:tcPr>
            <w:tcW w:w="1276" w:type="dxa"/>
          </w:tcPr>
          <w:p w14:paraId="10877BA4"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389EF66E" w14:textId="047B095C"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12121"/>
                <w:sz w:val="20"/>
                <w:szCs w:val="20"/>
                <w:shd w:val="clear" w:color="auto" w:fill="FFFCF0"/>
              </w:rPr>
              <w:t>BioNTech</w:t>
            </w:r>
          </w:p>
        </w:tc>
        <w:tc>
          <w:tcPr>
            <w:tcW w:w="1559" w:type="dxa"/>
          </w:tcPr>
          <w:p w14:paraId="4560A81C" w14:textId="488297F7" w:rsidR="00E06DFC" w:rsidRPr="00E06DFC" w:rsidRDefault="00E06DFC" w:rsidP="00E6447E">
            <w:pPr>
              <w:rPr>
                <w:rFonts w:ascii="Times New Roman" w:hAnsi="Times New Roman" w:cs="Times New Roman"/>
                <w:color w:val="000000"/>
                <w:sz w:val="20"/>
                <w:szCs w:val="20"/>
                <w:shd w:val="clear" w:color="auto" w:fill="FFFFFF"/>
              </w:rPr>
            </w:pPr>
            <w:r w:rsidRPr="00E06DFC">
              <w:rPr>
                <w:rFonts w:ascii="Times New Roman" w:hAnsi="Times New Roman" w:cs="Times New Roman"/>
                <w:color w:val="212121"/>
                <w:sz w:val="20"/>
                <w:szCs w:val="20"/>
                <w:shd w:val="clear" w:color="auto" w:fill="FFFCF0"/>
              </w:rPr>
              <w:t>BNT111</w:t>
            </w:r>
          </w:p>
        </w:tc>
        <w:tc>
          <w:tcPr>
            <w:tcW w:w="2126" w:type="dxa"/>
          </w:tcPr>
          <w:p w14:paraId="08FF06FA" w14:textId="105B878B"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sz w:val="20"/>
                <w:szCs w:val="20"/>
                <w:lang w:val="en-US"/>
              </w:rPr>
              <w:t xml:space="preserve">Phase II: </w:t>
            </w:r>
            <w:r w:rsidRPr="00E06DFC">
              <w:rPr>
                <w:rFonts w:ascii="Times New Roman" w:hAnsi="Times New Roman" w:cs="Times New Roman"/>
                <w:color w:val="000000"/>
                <w:sz w:val="20"/>
                <w:szCs w:val="20"/>
                <w:shd w:val="clear" w:color="auto" w:fill="FFFFFF"/>
              </w:rPr>
              <w:t>NCT04526899</w:t>
            </w:r>
            <w:r w:rsidRPr="00E06DFC">
              <w:rPr>
                <w:rFonts w:ascii="Times New Roman" w:hAnsi="Times New Roman" w:cs="Times New Roman"/>
                <w:color w:val="000000"/>
                <w:sz w:val="20"/>
                <w:szCs w:val="20"/>
                <w:shd w:val="clear" w:color="auto" w:fill="FFFFFF"/>
                <w:lang w:val="en-US"/>
              </w:rPr>
              <w:t>(</w:t>
            </w:r>
            <w:r w:rsidRPr="00E06DFC">
              <w:rPr>
                <w:rFonts w:ascii="Times New Roman" w:hAnsi="Times New Roman" w:cs="Times New Roman"/>
                <w:sz w:val="20"/>
                <w:szCs w:val="20"/>
                <w:lang w:val="en-US"/>
              </w:rPr>
              <w:t>2021-2024*)</w:t>
            </w:r>
          </w:p>
        </w:tc>
        <w:tc>
          <w:tcPr>
            <w:tcW w:w="1559" w:type="dxa"/>
          </w:tcPr>
          <w:p w14:paraId="3ABB5680" w14:textId="45FD3E66"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[23 grade 3 or above events out of 89 participants]</w:t>
            </w:r>
          </w:p>
        </w:tc>
        <w:tc>
          <w:tcPr>
            <w:tcW w:w="1418" w:type="dxa"/>
          </w:tcPr>
          <w:p w14:paraId="3FF23063" w14:textId="10493FE8"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Pyrexia, chills, lymphocyte count decreased, lymphopenia, hypertension, dizziness</w:t>
            </w:r>
          </w:p>
        </w:tc>
        <w:tc>
          <w:tcPr>
            <w:tcW w:w="1134" w:type="dxa"/>
          </w:tcPr>
          <w:p w14:paraId="49370F2B" w14:textId="0E5134CD"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{"citationID":"MQRe2g0C","properties":{"formattedCitation":"[11]","plainCitation":"[11]","noteIndex":0},"citationItems":[{"id":5615,"uris":["http://zotero.org/users/7565624/items/6X265FAT"],"itemData":{"id":5615,"type":"article-journal","abstract":"Treating patients who have cancer with vaccines that stimulate a targeted immune response is conceptually appealing, but cancer vaccine trials have not been successful in late-stage patients with treatment-refractory tumours1,2. We are testing melanoma FixVac (BNT111)—an intravenously administered liposomal RNA (RNA-LPX) vaccine, which targets four non-mutated, tumour-associated antigens that are prevalent in melanoma—in an ongoing, first-in-human, dose-escalation phase I trial in patients with advanced melanoma (Lipo-MERIT trial, ClinicalTrials.gov identifier NCT02410733). We report here data from an exploratory interim analysis that show that melanoma FixVac, alone or in combination with blockade of the checkpoint inhibitor PD1, mediates durable objective responses in checkpoint-inhibitor (CPI)-experienced patients with unresectable melanoma. Clinical responses are accompanied by the induction of strong CD4+ and CD8+ T cell immunity against the vaccine antigens. The antigen-specific cytotoxic T-cell responses in some responders reach magnitudes typically reported for adoptive T-cell therapy, and are durable. Our findings indicate that RNA-LPX vaccination is a potent immunotherapy in patients with CPI-experienced melanoma, and suggest the general utility of non-mutant shared tumour antigens as targets for cancer vaccination.","container-title":"Nature","DOI":"10.1038/s41586-020-2537-9","ISSN":"1476-4687","issue":"7823","language":"en","license":"2020 The Author(s), under exclusive licence to Springer Nature Limited","note":"number: 7823\npublisher: Nature Publishing Group","page":"107-112","source":"www.nature.com","title":"An RNA vaccine drives immunity in checkpoint-inhibitor-treated melanoma","volume":"585","author":[{"family":"Sahin","given":"Ugur"},{"family":"Oehm","given":"Petra"},{"family":"Derhovanessian","given":"Evelyna"},{"family":"Jabulowsky","given":"Robert A."},{"family":"Vormehr","given":"Mathias"},{"family":"Gold","given":"Maike"},{"family":"Maurus","given":"Daniel"},{"family":"Schwarck-Kokarakis","given":"Doreen"},{"family":"Kuhn","given":"Andreas N."},{"family":"Omokoko","given":"Tana"},{"family":"Kranz","given":"Lena M."},{"family":"Diken","given":"Mustafa"},{"family":"Kreiter","given":"Sebastian"},{"family":"Haas","given":"Heinrich"},{"family":"Attig","given":"Sebastian"},{"family":"Rae","given":"Richard"},{"family":"Cuk","given":"Katarina"},{"family":"Kemmer-Brück","given":"Alexandra"},{"family":"Breitkreuz","given":"Andrea"},{"family":"Tolliver","given":"Claudia"},{"family":"Caspar","given":"Janina"},{"family":"Quinkhardt","given":"Juliane"},{"family":"Hebich","given":"Lisa"},{"family":"Stein","given":"Malte"},{"family":"Hohberger","given":"Alexander"},{"family":"Vogler","given":"Isabel"},{"family":"Liebig","given":"Inga"},{"family":"Renken","given":"Stephanie"},{"family":"Sikorski","given":"Julian"},{"family":"Leierer","given":"Melanie"},{"family":"Müller","given":"Verena"},{"family":"Mitzel-Rink","given":"Heidrun"},{"family":"Miederer","given":"Matthias"},{"family":"Huber","given":"Christoph"},{"family":"Grabbe","given":"Stephan"},{"family":"Utikal","given":"Jochen"},{"family":"Pinter","given":"Andreas"},{"family":"Kaufmann","given":"Roland"},{"family":"Hassel","given":"Jessica C."},{"family":"Loquai","given":"Carmen"},{"family":"Türeci","given":"Özlem"}],"issued":{"date-parts":[["2020",9]]}}}],"schema":"https://github.com/citation-style-language/schema/raw/master/csl-citation.json"}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[11]</w:t>
            </w:r>
            <w:r w:rsidRPr="00E06DFC">
              <w:rPr>
                <w:rFonts w:ascii="Times New Roman" w:hAnsi="Times New Roman" w:cs="Times New Roman"/>
                <w:sz w:val="20"/>
                <w:szCs w:val="20"/>
                <w:lang w:val="en-US"/>
              </w:rPr>
              <w:fldChar w:fldCharType="end"/>
            </w:r>
          </w:p>
        </w:tc>
      </w:tr>
      <w:tr w:rsidR="00E06DFC" w:rsidRPr="00E06DFC" w14:paraId="289B0488" w14:textId="77777777" w:rsidTr="00E06DFC">
        <w:tc>
          <w:tcPr>
            <w:tcW w:w="1277" w:type="dxa"/>
          </w:tcPr>
          <w:p w14:paraId="5C6EE7CA" w14:textId="77777777" w:rsidR="00E06DFC" w:rsidRPr="00E06DFC" w:rsidRDefault="00E06DFC" w:rsidP="00E6447E">
            <w:pPr>
              <w:rPr>
                <w:rFonts w:ascii="Times New Roman" w:hAnsi="Times New Roman" w:cs="Times New Roman"/>
                <w:sz w:val="20"/>
                <w:szCs w:val="20"/>
                <w:lang w:val="en-US"/>
              </w:rPr>
            </w:pPr>
          </w:p>
        </w:tc>
        <w:tc>
          <w:tcPr>
            <w:tcW w:w="1134" w:type="dxa"/>
          </w:tcPr>
          <w:p w14:paraId="25BF299E" w14:textId="467E9E4F"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Cancer</w:t>
            </w:r>
          </w:p>
        </w:tc>
        <w:tc>
          <w:tcPr>
            <w:tcW w:w="1276" w:type="dxa"/>
          </w:tcPr>
          <w:p w14:paraId="31AC6831" w14:textId="4E9BC633"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KRAS </w:t>
            </w:r>
          </w:p>
        </w:tc>
        <w:tc>
          <w:tcPr>
            <w:tcW w:w="1559" w:type="dxa"/>
          </w:tcPr>
          <w:p w14:paraId="3E25F8D1" w14:textId="53B855A6"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Moderna</w:t>
            </w:r>
          </w:p>
        </w:tc>
        <w:tc>
          <w:tcPr>
            <w:tcW w:w="1559" w:type="dxa"/>
          </w:tcPr>
          <w:p w14:paraId="51C73BAC" w14:textId="28ED4FE2"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12121"/>
                <w:sz w:val="20"/>
                <w:szCs w:val="20"/>
                <w:shd w:val="clear" w:color="auto" w:fill="FFFCF0"/>
              </w:rPr>
              <w:t>mRNA-5671</w:t>
            </w:r>
            <w:r w:rsidRPr="00E06DFC">
              <w:rPr>
                <w:rFonts w:ascii="Times New Roman" w:hAnsi="Times New Roman" w:cs="Times New Roman"/>
                <w:color w:val="212121"/>
                <w:sz w:val="20"/>
                <w:szCs w:val="20"/>
                <w:shd w:val="clear" w:color="auto" w:fill="FFFCF0"/>
                <w:lang w:val="en-US"/>
              </w:rPr>
              <w:t>/V941</w:t>
            </w:r>
          </w:p>
        </w:tc>
        <w:tc>
          <w:tcPr>
            <w:tcW w:w="2126" w:type="dxa"/>
          </w:tcPr>
          <w:p w14:paraId="425CD888" w14:textId="22F69DD8"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000000"/>
                <w:sz w:val="20"/>
                <w:szCs w:val="20"/>
                <w:shd w:val="clear" w:color="auto" w:fill="FFFFFF"/>
              </w:rPr>
              <w:t>NCT03948763</w:t>
            </w:r>
            <w:r w:rsidRPr="00E06DFC">
              <w:rPr>
                <w:rFonts w:ascii="Times New Roman" w:hAnsi="Times New Roman" w:cs="Times New Roman"/>
                <w:color w:val="000000"/>
                <w:sz w:val="20"/>
                <w:szCs w:val="20"/>
                <w:shd w:val="clear" w:color="auto" w:fill="FFFFFF"/>
                <w:lang w:val="en-US"/>
              </w:rPr>
              <w:t xml:space="preserve"> (2019-2022)</w:t>
            </w:r>
          </w:p>
        </w:tc>
        <w:tc>
          <w:tcPr>
            <w:tcW w:w="1559" w:type="dxa"/>
          </w:tcPr>
          <w:p w14:paraId="0D751C87" w14:textId="77777777"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Data not available</w:t>
            </w:r>
          </w:p>
          <w:p w14:paraId="7EEBA1DC" w14:textId="2C38788A" w:rsidR="00E06DFC" w:rsidRPr="00E06DFC" w:rsidRDefault="00E06DFC" w:rsidP="00E6447E">
            <w:pPr>
              <w:rPr>
                <w:rFonts w:ascii="Times New Roman" w:hAnsi="Times New Roman" w:cs="Times New Roman"/>
                <w:sz w:val="20"/>
                <w:szCs w:val="20"/>
                <w:lang w:val="en-US"/>
              </w:rPr>
            </w:pPr>
          </w:p>
        </w:tc>
        <w:tc>
          <w:tcPr>
            <w:tcW w:w="1418" w:type="dxa"/>
          </w:tcPr>
          <w:p w14:paraId="30AD6790" w14:textId="77777777" w:rsidR="00E06DFC" w:rsidRPr="00E06DFC" w:rsidRDefault="00E06DFC" w:rsidP="00E6447E">
            <w:pPr>
              <w:rPr>
                <w:rFonts w:ascii="Times New Roman" w:hAnsi="Times New Roman" w:cs="Times New Roman"/>
                <w:sz w:val="20"/>
                <w:szCs w:val="20"/>
                <w:lang w:val="en-US"/>
              </w:rPr>
            </w:pPr>
          </w:p>
        </w:tc>
        <w:tc>
          <w:tcPr>
            <w:tcW w:w="1134" w:type="dxa"/>
          </w:tcPr>
          <w:p w14:paraId="076AD5DC" w14:textId="77777777" w:rsidR="00E06DFC" w:rsidRPr="00E06DFC" w:rsidRDefault="00E06DFC" w:rsidP="00E6447E">
            <w:pPr>
              <w:rPr>
                <w:rFonts w:ascii="Times New Roman" w:hAnsi="Times New Roman" w:cs="Times New Roman"/>
                <w:sz w:val="20"/>
                <w:szCs w:val="20"/>
                <w:lang w:val="en-US"/>
              </w:rPr>
            </w:pPr>
          </w:p>
        </w:tc>
      </w:tr>
      <w:tr w:rsidR="00E06DFC" w:rsidRPr="00E06DFC" w14:paraId="2F7F6FF6" w14:textId="77777777" w:rsidTr="00E06DFC">
        <w:tc>
          <w:tcPr>
            <w:tcW w:w="1277" w:type="dxa"/>
          </w:tcPr>
          <w:p w14:paraId="47C55790" w14:textId="77777777" w:rsidR="00E06DFC" w:rsidRPr="00E06DFC" w:rsidRDefault="00E06DFC" w:rsidP="00E6447E">
            <w:pPr>
              <w:rPr>
                <w:rFonts w:ascii="Times New Roman" w:hAnsi="Times New Roman" w:cs="Times New Roman"/>
                <w:sz w:val="20"/>
                <w:szCs w:val="20"/>
                <w:lang w:val="en-US"/>
              </w:rPr>
            </w:pPr>
          </w:p>
        </w:tc>
        <w:tc>
          <w:tcPr>
            <w:tcW w:w="1134" w:type="dxa"/>
          </w:tcPr>
          <w:p w14:paraId="05DAE147" w14:textId="0E050D70" w:rsidR="00E06DFC" w:rsidRPr="00E06DFC" w:rsidRDefault="00E06DFC" w:rsidP="009F2732">
            <w:pPr>
              <w:rPr>
                <w:rFonts w:ascii="Times New Roman" w:hAnsi="Times New Roman" w:cs="Times New Roman"/>
                <w:color w:val="212121"/>
                <w:sz w:val="20"/>
                <w:szCs w:val="20"/>
              </w:rPr>
            </w:pPr>
            <w:r w:rsidRPr="00E06DFC">
              <w:rPr>
                <w:rFonts w:ascii="Times New Roman" w:hAnsi="Times New Roman" w:cs="Times New Roman"/>
                <w:color w:val="212121"/>
                <w:sz w:val="20"/>
                <w:szCs w:val="20"/>
              </w:rPr>
              <w:t>Non-small cell lung cancer</w:t>
            </w:r>
          </w:p>
          <w:p w14:paraId="78BD0374"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276" w:type="dxa"/>
          </w:tcPr>
          <w:p w14:paraId="063A78AC"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0C3417F5" w14:textId="2CEFE18B"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CureVac</w:t>
            </w:r>
          </w:p>
        </w:tc>
        <w:tc>
          <w:tcPr>
            <w:tcW w:w="1559" w:type="dxa"/>
          </w:tcPr>
          <w:p w14:paraId="4587D1B1" w14:textId="1C313CC5"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CF0"/>
              </w:rPr>
              <w:t>CV9202</w:t>
            </w:r>
          </w:p>
        </w:tc>
        <w:tc>
          <w:tcPr>
            <w:tcW w:w="2126" w:type="dxa"/>
          </w:tcPr>
          <w:p w14:paraId="6614400D" w14:textId="4264B31F"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w:t>
            </w:r>
            <w:proofErr w:type="spellStart"/>
            <w:r w:rsidRPr="00E06DFC">
              <w:rPr>
                <w:rFonts w:ascii="Times New Roman" w:hAnsi="Times New Roman" w:cs="Times New Roman"/>
                <w:color w:val="000000"/>
                <w:sz w:val="20"/>
                <w:szCs w:val="20"/>
                <w:shd w:val="clear" w:color="auto" w:fill="FFFFFF"/>
                <w:lang w:val="en-US"/>
              </w:rPr>
              <w:t>Ib</w:t>
            </w:r>
            <w:proofErr w:type="spellEnd"/>
            <w:r w:rsidRPr="00E06DFC">
              <w:rPr>
                <w:rFonts w:ascii="Times New Roman" w:hAnsi="Times New Roman" w:cs="Times New Roman"/>
                <w:color w:val="000000"/>
                <w:sz w:val="20"/>
                <w:szCs w:val="20"/>
                <w:shd w:val="clear" w:color="auto" w:fill="FFFFFF"/>
                <w:lang w:val="en-US"/>
              </w:rPr>
              <w:t>: NCT01915524</w:t>
            </w:r>
          </w:p>
        </w:tc>
        <w:tc>
          <w:tcPr>
            <w:tcW w:w="1559" w:type="dxa"/>
          </w:tcPr>
          <w:p w14:paraId="3F61A1F9" w14:textId="77777777" w:rsidR="00E06DFC" w:rsidRPr="00E06DFC" w:rsidRDefault="00E06DFC" w:rsidP="00E6447E">
            <w:pPr>
              <w:rPr>
                <w:rFonts w:ascii="Times New Roman" w:hAnsi="Times New Roman" w:cs="Times New Roman"/>
                <w:sz w:val="20"/>
                <w:szCs w:val="20"/>
                <w:lang w:val="en-US"/>
              </w:rPr>
            </w:pPr>
          </w:p>
          <w:p w14:paraId="31EA2643" w14:textId="1DFE49CB"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[4/26, 15.4%]</w:t>
            </w:r>
          </w:p>
        </w:tc>
        <w:tc>
          <w:tcPr>
            <w:tcW w:w="1418" w:type="dxa"/>
          </w:tcPr>
          <w:p w14:paraId="7ECAB59F" w14:textId="37C84979"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Dysphagia, fatigue, pyrexia</w:t>
            </w:r>
          </w:p>
        </w:tc>
        <w:tc>
          <w:tcPr>
            <w:tcW w:w="1134" w:type="dxa"/>
          </w:tcPr>
          <w:p w14:paraId="41A69A6F" w14:textId="2A1A18D4"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{"citationID":"p8wVPXCi","properties":{"formattedCitation":"[12]","plainCitation":"[12]","noteIndex":0},"citationItems":[{"id":5747,"uris":["http://zotero.org/users/7565624/items/SZNBUICU"],"itemData":{"id":5747,"type":"article-journal","abstract":"BACKGROUND: Preclinical studies demonstrate synergism between cancer immunotherapy and local radiation, enhancing anti-tumor effects and promoting immune responses. BI1361849 (CV9202) is an active cancer immunotherapeutic comprising protamine-formulated, sequence-optimized mRNA encoding six non-small cell lung cancer (NSCLC)-associated antigens (NY-ESO-1, MAGE-C1, MAGE-C2, survivin, 5T4, and MUC-1), intended to induce targeted immune responses.\nMETHODS: We describe a phase Ib clinical trial evaluating treatment with BI1361849 combined with local radiation in 26 stage IV NSCLC patients with partial response (PR)/stable disease (SD) after standard first-line therapy. Patients were stratified into three strata (1: non-squamous NSCLC, no epidermal growth factor receptor (EGFR) mutation, PR/SD after ≥4 cycles of platinum- and pemetrexed-based treatment [n = 16]; 2: squamous NSCLC, PR/SD after ≥4 cycles of platinum-based and non-platinum compound treatment [n = 8]; 3: non-squamous NSCLC, EGFR mutation, PR/SD after ≥3 and ≤ 6 months EGFR-tyrosine kinase inhibitor (TKI) treatment [n = 2]). Patients received intradermal BI1361849, local radiation (4 × 5 Gy), then BI1361849 until disease progression. Strata 1 and 3 also had maintenance pemetrexed or continued EGFR-TKI therapy, respectively. The primary endpoint was evaluation of safety; secondary objectives included assessment of clinical efficacy (every 6 weeks during treatment) and of immune response (on Days 1 [baseline], 19 and 61).\nRESULTS: Study treatment was well tolerated; injection site reactions and flu-like symptoms were the most common BI1361849-related adverse events. Three patients had grade 3 BI1361849-related adverse events (fatigue, pyrexia); there was one grade 3 radiation-related event (dysphagia). In comparison to baseline, immunomonitoring revealed increased BI1361849 antigen-specific immune responses in the majority of patients (84%), whereby antigen-specific antibody levels were increased in 80% and functional T cells in 40% of patients, and involvement of multiple antigen specificities was evident in 52% of patients. One patient had a partial response in combination with pemetrexed maintenance, and 46.2% achieved stable disease as best overall response. Best overall response was SD in 57.7% for target lesions.\nCONCLUSION: The results support further investigation of mRNA-based immunotherapy in NSCLC including combinations with immune checkpoint inhibitors.\nTRIAL REGISTRATION: ClinicalTrials.gov identifier: NCT01915524 .","container-title":"Journal for Immunotherapy of Cancer","DOI":"10.1186/s40425-019-0520-5","ISSN":"2051-1426","issue":"1","journalAbbreviation":"J Immunother Cancer","language":"eng","note":"PMID: 30736848\nPMCID: PMC6368815","page":"38","source":"PubMed","title":"Phase Ib evaluation of a self-adjuvanted protamine formulated mRNA-based active cancer immunotherapy, BI1361849 (CV9202), combined with local radiation treatment in patients with stage IV non-small cell lung cancer","volume":"7","author":[{"family":"Papachristofilou","given":"Alexandros"},{"family":"Hipp","given":"Madeleine M."},{"family":"Klinkhardt","given":"Ute"},{"family":"Früh","given":"Martin"},{"family":"Sebastian","given":"Martin"},{"family":"Weiss","given":"Christian"},{"family":"Pless","given":"Miklos"},{"family":"Cathomas","given":"Richard"},{"family":"Hilbe","given":"Wolfgang"},{"family":"Pall","given":"Georg"},{"family":"Wehler","given":"Thomas"},{"family":"Alt","given":"Jürgen"},{"family":"Bischoff","given":"Helge"},{"family":"Geißler","given":"Michael"},{"family":"Griesinger","given":"Frank"},{"family":"Kallen","given":"Karl-Josef"},{"family":"Fotin-Mleczek","given":"Mariola"},{"family":"Schröder","given":"Andreas"},{"family":"Scheel","given":"Birgit"},{"family":"Muth","given":"Anke"},{"family":"Seibel","given":"Tobias"},{"family":"Stosnach","given":"Claudia"},{"family":"Doener","given":"Fatma"},{"family":"Hong","given":"Henoch S."},{"family":"Koch","given":"Sven D."},{"family":"Gnad-Vogt","given":"Ulrike"},{"family":"Zippelius","given":"Alfred"}],"issued":{"date-parts":[["2019",2,8]]}}}],"schema":"https://github.com/citation-style-language/schema/raw/master/csl-citation.json"}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[12]</w:t>
            </w:r>
            <w:r w:rsidRPr="00E06DFC">
              <w:rPr>
                <w:rFonts w:ascii="Times New Roman" w:hAnsi="Times New Roman" w:cs="Times New Roman"/>
                <w:sz w:val="20"/>
                <w:szCs w:val="20"/>
                <w:lang w:val="en-US"/>
              </w:rPr>
              <w:fldChar w:fldCharType="end"/>
            </w:r>
          </w:p>
        </w:tc>
      </w:tr>
      <w:tr w:rsidR="00E06DFC" w:rsidRPr="00E06DFC" w14:paraId="03A438E7" w14:textId="77777777" w:rsidTr="00E06DFC">
        <w:tc>
          <w:tcPr>
            <w:tcW w:w="1277" w:type="dxa"/>
          </w:tcPr>
          <w:p w14:paraId="46F70FD3" w14:textId="77777777" w:rsidR="00E06DFC" w:rsidRPr="00E06DFC" w:rsidRDefault="00E06DFC" w:rsidP="00E6447E">
            <w:pPr>
              <w:rPr>
                <w:rFonts w:ascii="Times New Roman" w:hAnsi="Times New Roman" w:cs="Times New Roman"/>
                <w:sz w:val="20"/>
                <w:szCs w:val="20"/>
                <w:lang w:val="en-US"/>
              </w:rPr>
            </w:pPr>
          </w:p>
        </w:tc>
        <w:tc>
          <w:tcPr>
            <w:tcW w:w="1134" w:type="dxa"/>
          </w:tcPr>
          <w:p w14:paraId="0F26FB3B" w14:textId="4335593D"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Urea Disorder</w:t>
            </w:r>
          </w:p>
        </w:tc>
        <w:tc>
          <w:tcPr>
            <w:tcW w:w="1276" w:type="dxa"/>
          </w:tcPr>
          <w:p w14:paraId="6580B749" w14:textId="1DDDC3FE"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Ornithine carboxylase</w:t>
            </w:r>
          </w:p>
        </w:tc>
        <w:tc>
          <w:tcPr>
            <w:tcW w:w="1559" w:type="dxa"/>
          </w:tcPr>
          <w:p w14:paraId="160455D8" w14:textId="1EB64EB0"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Arcturus</w:t>
            </w:r>
          </w:p>
        </w:tc>
        <w:tc>
          <w:tcPr>
            <w:tcW w:w="1559" w:type="dxa"/>
          </w:tcPr>
          <w:p w14:paraId="3F5E0FA4" w14:textId="0471BD75"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CF0"/>
              </w:rPr>
              <w:t>ARCT-810</w:t>
            </w:r>
          </w:p>
        </w:tc>
        <w:tc>
          <w:tcPr>
            <w:tcW w:w="2126" w:type="dxa"/>
          </w:tcPr>
          <w:p w14:paraId="41628984"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w:t>
            </w:r>
            <w:r w:rsidRPr="00E06DFC">
              <w:rPr>
                <w:rFonts w:ascii="Times New Roman" w:hAnsi="Times New Roman" w:cs="Times New Roman"/>
                <w:color w:val="000000"/>
                <w:sz w:val="20"/>
                <w:szCs w:val="20"/>
                <w:shd w:val="clear" w:color="auto" w:fill="FFFFFF"/>
              </w:rPr>
              <w:t xml:space="preserve"> NCT04416126</w:t>
            </w:r>
            <w:r w:rsidRPr="00E06DFC">
              <w:rPr>
                <w:rFonts w:ascii="Times New Roman" w:hAnsi="Times New Roman" w:cs="Times New Roman"/>
                <w:color w:val="000000"/>
                <w:sz w:val="20"/>
                <w:szCs w:val="20"/>
                <w:shd w:val="clear" w:color="auto" w:fill="FFFFFF"/>
                <w:lang w:val="en-US"/>
              </w:rPr>
              <w:t xml:space="preserve"> (2020-2020)</w:t>
            </w:r>
          </w:p>
          <w:p w14:paraId="170720ED" w14:textId="44A66F22"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w:t>
            </w:r>
          </w:p>
          <w:p w14:paraId="7D7207FC" w14:textId="40A7D14D"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rPr>
              <w:t>NCT04442347</w:t>
            </w:r>
            <w:r w:rsidRPr="00E06DFC">
              <w:rPr>
                <w:rFonts w:ascii="Times New Roman" w:hAnsi="Times New Roman" w:cs="Times New Roman"/>
                <w:color w:val="000000"/>
                <w:sz w:val="20"/>
                <w:szCs w:val="20"/>
                <w:shd w:val="clear" w:color="auto" w:fill="FFFFFF"/>
                <w:lang w:val="en-US"/>
              </w:rPr>
              <w:t xml:space="preserve"> (2020-2022*)</w:t>
            </w:r>
          </w:p>
        </w:tc>
        <w:tc>
          <w:tcPr>
            <w:tcW w:w="1559" w:type="dxa"/>
          </w:tcPr>
          <w:p w14:paraId="1AA93AAC" w14:textId="226B34D0"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Data not available</w:t>
            </w:r>
          </w:p>
        </w:tc>
        <w:tc>
          <w:tcPr>
            <w:tcW w:w="1418" w:type="dxa"/>
          </w:tcPr>
          <w:p w14:paraId="693C9027" w14:textId="77777777" w:rsidR="00E06DFC" w:rsidRPr="00E06DFC" w:rsidRDefault="00E06DFC" w:rsidP="00E6447E">
            <w:pPr>
              <w:rPr>
                <w:rFonts w:ascii="Times New Roman" w:hAnsi="Times New Roman" w:cs="Times New Roman"/>
                <w:sz w:val="20"/>
                <w:szCs w:val="20"/>
                <w:lang w:val="en-US"/>
              </w:rPr>
            </w:pPr>
          </w:p>
        </w:tc>
        <w:tc>
          <w:tcPr>
            <w:tcW w:w="1134" w:type="dxa"/>
          </w:tcPr>
          <w:p w14:paraId="537326CC" w14:textId="77777777" w:rsidR="00E06DFC" w:rsidRPr="00E06DFC" w:rsidRDefault="00E06DFC" w:rsidP="00E6447E">
            <w:pPr>
              <w:rPr>
                <w:rFonts w:ascii="Times New Roman" w:hAnsi="Times New Roman" w:cs="Times New Roman"/>
                <w:sz w:val="20"/>
                <w:szCs w:val="20"/>
                <w:lang w:val="en-US"/>
              </w:rPr>
            </w:pPr>
          </w:p>
        </w:tc>
      </w:tr>
      <w:tr w:rsidR="00E06DFC" w:rsidRPr="00E06DFC" w14:paraId="6FA66CC0" w14:textId="77777777" w:rsidTr="00E06DFC">
        <w:tc>
          <w:tcPr>
            <w:tcW w:w="1277" w:type="dxa"/>
          </w:tcPr>
          <w:p w14:paraId="4E27B2C2" w14:textId="77777777" w:rsidR="00E06DFC" w:rsidRPr="00E06DFC" w:rsidRDefault="00E06DFC" w:rsidP="00E6447E">
            <w:pPr>
              <w:rPr>
                <w:rFonts w:ascii="Times New Roman" w:hAnsi="Times New Roman" w:cs="Times New Roman"/>
                <w:sz w:val="20"/>
                <w:szCs w:val="20"/>
                <w:lang w:val="en-US"/>
              </w:rPr>
            </w:pPr>
          </w:p>
        </w:tc>
        <w:tc>
          <w:tcPr>
            <w:tcW w:w="1134" w:type="dxa"/>
          </w:tcPr>
          <w:p w14:paraId="6401A932" w14:textId="54D2E31B"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Solid </w:t>
            </w:r>
            <w:proofErr w:type="spellStart"/>
            <w:r w:rsidRPr="00E06DFC">
              <w:rPr>
                <w:rFonts w:ascii="Times New Roman" w:hAnsi="Times New Roman" w:cs="Times New Roman"/>
                <w:color w:val="222222"/>
                <w:sz w:val="20"/>
                <w:szCs w:val="20"/>
                <w:shd w:val="clear" w:color="auto" w:fill="FFFFFF"/>
                <w:lang w:val="en-US"/>
              </w:rPr>
              <w:t>tumours</w:t>
            </w:r>
            <w:proofErr w:type="spellEnd"/>
          </w:p>
        </w:tc>
        <w:tc>
          <w:tcPr>
            <w:tcW w:w="1276" w:type="dxa"/>
          </w:tcPr>
          <w:p w14:paraId="2EC4D282"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4FCC9BEB" w14:textId="2109EECB"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CureVac</w:t>
            </w:r>
          </w:p>
        </w:tc>
        <w:tc>
          <w:tcPr>
            <w:tcW w:w="1559" w:type="dxa"/>
          </w:tcPr>
          <w:p w14:paraId="77866647" w14:textId="52163960"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CF0"/>
              </w:rPr>
              <w:t>CV8102</w:t>
            </w:r>
          </w:p>
        </w:tc>
        <w:tc>
          <w:tcPr>
            <w:tcW w:w="2126" w:type="dxa"/>
          </w:tcPr>
          <w:p w14:paraId="06A18D07" w14:textId="5D2485E6"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 NCT03291002 (2017-2023*)</w:t>
            </w:r>
          </w:p>
        </w:tc>
        <w:tc>
          <w:tcPr>
            <w:tcW w:w="1559" w:type="dxa"/>
          </w:tcPr>
          <w:p w14:paraId="7EAC036E" w14:textId="20F81B19"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[2/14]</w:t>
            </w:r>
          </w:p>
        </w:tc>
        <w:tc>
          <w:tcPr>
            <w:tcW w:w="1418" w:type="dxa"/>
          </w:tcPr>
          <w:p w14:paraId="280C9484" w14:textId="77777777" w:rsidR="00E06DFC" w:rsidRPr="00E06DFC" w:rsidRDefault="00E06DFC" w:rsidP="00E6447E">
            <w:pPr>
              <w:rPr>
                <w:rFonts w:ascii="Times New Roman" w:hAnsi="Times New Roman" w:cs="Times New Roman"/>
                <w:sz w:val="20"/>
                <w:szCs w:val="20"/>
                <w:lang w:val="en-US"/>
              </w:rPr>
            </w:pPr>
          </w:p>
        </w:tc>
        <w:tc>
          <w:tcPr>
            <w:tcW w:w="1134" w:type="dxa"/>
          </w:tcPr>
          <w:p w14:paraId="05AA41AE" w14:textId="7799B93E"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{"citationID":"Zcwdw0L8","properties":{"formattedCitation":"[13]","plainCitation":"[13]","noteIndex":0},"citationItems":[{"id":5801,"uris":["http://zotero.org/users/7565624/items/YPC5NISS"],"itemData":{"id":5801,"type":"article-journal","abstract":"3096\n\nBackground: CV8102 is a non-coding, non-capped RNA that activates the innate (via TLR7/8, RIG-I) and adaptive immunity dose-dependently. CV8102 injected intratumorally (i.t.), as a single agent or combined with systemic anti-PD-1 antibody (Ab) led to tumor growth inhibition in animal models and showed synergism with PD-1 blockade. Methods: An open-label, cohort-based, dose escalation and expansion study in patients with advanced cutaneous melanoma (cMEL), cutaneous squamous cell carcinoma (cSCC), head and neck squamous cell carcinoma (hnSCC) or adenoid cystic carcinoma (ACC) is ongoing investigating i.t. CV8102 as single agent and in combination with anti-PD-1 antibodies. [NCT03291002]. Results: As of December 2019, 23 patients in the cohort A (single agent) and 13 patients in cohort C (combination with anti-PD-1 Ab) were exposed to at least one dose of CV8102 at dose levels of 25-600 µg (single agent) and 25-450 µg (combination). No dose limiting toxicities (DLTs) were observed within the first two weeks of study drug treatment. Most frequent TEAEs were G1/2 fatigue, fever, chills and headache. 4 (17%) patients (pts) in cohort A and 3 (23%) pts in cohort C experienced related G3 TEAEs that were manageable with supportive treatment (liver enzyme increases (3), abscess at injection site (1), hypertension (1), asymptomatic elevation of pancreatic enzymes (2)). In cohort A, 2 cMEL patients experienced an objective response according to RECIST 1.1 (1 CR in a PD-1 naïve pt and 1 PR in a PD-1 refractory pt) and 2 further pts (cMEL, hnSCC) showed SD with shrinkage of tumor lesions. Conclusions: CV8102 i.t. was well tolerated without dose limiting toxicities to date and showed evidence of single agent activity. Updated results on safety, efficacy and serum biomarkers will be presented. Clinical trial information: NCT03291002.","container-title":"Journal of Clinical Oncology","DOI":"10.1200/JCO.2020.38.15_suppl.3096","ISSN":"0732-183X","issue":"15_suppl","journalAbbreviation":"JCO","note":"publisher: Wolters Kluwer","page":"3096-3096","source":"ascopubs.org (Atypon)","title":"A phase I dose-escalation and expansion study of intratumoral CV8102 as single-agent or in combination with anti-PD-1 antibodies in patients with advanced solid tumors.","volume":"38","author":[{"family":"Eigentler","given":"Thomas"},{"family":"Bauernfeind","given":"Franz G"},{"family":"Becker","given":"Jürgen C."},{"family":"Brossart","given":"Peter"},{"family":"Fluck","given":"Michael"},{"family":"Heinzerling","given":"Lucie"},{"family":"Krauss","given":"Jürgen"},{"family":"Mohr","given":"Peter"},{"family":"Ochsenreither","given":"Sebastian"},{"family":"Schreiber","given":"Jutta Sylvina"},{"family":"Terheyden","given":"Patrick"},{"family":"Weide","given":"Benjamin"},{"family":"Weishaupt","given":"Carsten"},{"family":"Funkner","given":"Fatma"},{"family":"Muth","given":"Anke"},{"family":"Kays","given":"Sarah-Katharina"},{"family":"Stosnach","given":"Claudia"},{"family":"Daehling","given":"Angelika"},{"family":"Quintini","given":"Gianluca"},{"family":"Gnad-Vogt","given":"Senta Ulrike"}],"issued":{"date-parts":[["2020",5,20]]}}}],"schema":"https://github.com/citation-style-language/schema/raw/master/csl-citation.json"}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[13]</w:t>
            </w:r>
            <w:r w:rsidRPr="00E06DFC">
              <w:rPr>
                <w:rFonts w:ascii="Times New Roman" w:hAnsi="Times New Roman" w:cs="Times New Roman"/>
                <w:sz w:val="20"/>
                <w:szCs w:val="20"/>
                <w:lang w:val="en-US"/>
              </w:rPr>
              <w:fldChar w:fldCharType="end"/>
            </w:r>
          </w:p>
        </w:tc>
      </w:tr>
      <w:tr w:rsidR="00E06DFC" w:rsidRPr="00E06DFC" w14:paraId="1A12E2E3" w14:textId="77777777" w:rsidTr="00E06DFC">
        <w:tc>
          <w:tcPr>
            <w:tcW w:w="1277" w:type="dxa"/>
          </w:tcPr>
          <w:p w14:paraId="6E216FFA" w14:textId="77777777" w:rsidR="00E06DFC" w:rsidRPr="00E06DFC" w:rsidRDefault="00E06DFC" w:rsidP="00E6447E">
            <w:pPr>
              <w:rPr>
                <w:rFonts w:ascii="Times New Roman" w:hAnsi="Times New Roman" w:cs="Times New Roman"/>
                <w:sz w:val="20"/>
                <w:szCs w:val="20"/>
                <w:lang w:val="en-US"/>
              </w:rPr>
            </w:pPr>
          </w:p>
        </w:tc>
        <w:tc>
          <w:tcPr>
            <w:tcW w:w="1134" w:type="dxa"/>
          </w:tcPr>
          <w:p w14:paraId="13D1C6E1" w14:textId="037D5170"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Rabies vaccine adjuvant</w:t>
            </w:r>
          </w:p>
        </w:tc>
        <w:tc>
          <w:tcPr>
            <w:tcW w:w="1276" w:type="dxa"/>
          </w:tcPr>
          <w:p w14:paraId="71C75F5B"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08A21A0D" w14:textId="5DC98839"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CureVac</w:t>
            </w:r>
          </w:p>
        </w:tc>
        <w:tc>
          <w:tcPr>
            <w:tcW w:w="1559" w:type="dxa"/>
          </w:tcPr>
          <w:p w14:paraId="180B36DC" w14:textId="77777777"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CV8102</w:t>
            </w:r>
          </w:p>
          <w:p w14:paraId="4DCE1F17" w14:textId="51D75D79"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(co-administered with Rabipur)</w:t>
            </w:r>
          </w:p>
        </w:tc>
        <w:tc>
          <w:tcPr>
            <w:tcW w:w="2126" w:type="dxa"/>
          </w:tcPr>
          <w:p w14:paraId="63915F53" w14:textId="67712434"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000000"/>
                <w:sz w:val="20"/>
                <w:szCs w:val="20"/>
                <w:shd w:val="clear" w:color="auto" w:fill="FFFFFF"/>
              </w:rPr>
              <w:t>NCT02238756</w:t>
            </w:r>
            <w:r w:rsidRPr="00E06DFC">
              <w:rPr>
                <w:rFonts w:ascii="Times New Roman" w:hAnsi="Times New Roman" w:cs="Times New Roman"/>
                <w:color w:val="000000"/>
                <w:sz w:val="20"/>
                <w:szCs w:val="20"/>
                <w:shd w:val="clear" w:color="auto" w:fill="FFFFFF"/>
                <w:lang w:val="en-US"/>
              </w:rPr>
              <w:t xml:space="preserve"> (2014-2016)</w:t>
            </w:r>
          </w:p>
        </w:tc>
        <w:tc>
          <w:tcPr>
            <w:tcW w:w="1559" w:type="dxa"/>
          </w:tcPr>
          <w:p w14:paraId="5B02DB27" w14:textId="329F1EAE"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[11 events out of 37 participants]</w:t>
            </w:r>
          </w:p>
        </w:tc>
        <w:tc>
          <w:tcPr>
            <w:tcW w:w="1418" w:type="dxa"/>
          </w:tcPr>
          <w:p w14:paraId="179E4581" w14:textId="39E2FB5B"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Pain, headache, myalgia/arthralgia, fatigue</w:t>
            </w:r>
            <w:r w:rsidRPr="00E06DFC">
              <w:rPr>
                <w:rFonts w:ascii="Times New Roman" w:hAnsi="Times New Roman" w:cs="Times New Roman"/>
                <w:sz w:val="20"/>
                <w:szCs w:val="20"/>
                <w:lang w:val="en-US"/>
              </w:rPr>
              <w:tab/>
            </w:r>
          </w:p>
        </w:tc>
        <w:tc>
          <w:tcPr>
            <w:tcW w:w="1134" w:type="dxa"/>
          </w:tcPr>
          <w:p w14:paraId="2DDD33A4" w14:textId="7093DF88"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{"citationID":"G1Zs6tvh","properties":{"formattedCitation":"[14]","plainCitation":"[14]","noteIndex":0},"citationItems":[{"id":5802,"uris":["http://zotero.org/users/7565624/items/LBEFERYU"],"itemData":{"id":5802,"type":"article-journal","abstract":"Background\nWe report the first-in-concept human trial of the safety, tolerability and immunogenicity when a novel TLR 7/8/RIG I agonist RNA-based adjuvant, CV8102, was administered alone or mixed with fractional doses of a licensed rabies vaccine (Rabipur®) as model antigen.\nMethods\nThe primary objective was to assess the safety and reactogenicity of various dose levels of CV8102 alone or mixed with Rabipur® in healthy 18–40 year-old male volunteers. A secondary objective was to assess the immune-enhancing potential of bedside-mixes of CV8102 with fractional doses of Rabipur® by measuring induction of rabies virus neutralising titres (VNTs).\nResults\nFifty-six volunteers received 50–100 μg CV8102 alone (n = 11), bedside-mixed CV8102 and Rabipur® (n = 20), or Rabipur® alone (n = 25; control). When given alone or mixed with Rabipur® CV8102 caused mostly Grade 1 or 2 local or systemic reactogenicity, but no related SAEs. As 100 µg CV8102 was associated with marked CRP increases further dose escalation was stopped. Combining 25–50 µg of CV8102 with fractional doses of Rabipur® significantly improved the kinetics of VNT responses; 50 µg CV8102 also improved the magnitude of VNT responses to 1/10 Rabipur® but caused severe but self-limiting influenza-like symptoms in 2 of 14 subjects.\nConclusions\nDoses of 25 and 50 µg CV8102 appeared safe and with an acceptable reactogenicity profile while significantly enhancing the immunogenicity of fractional doses of rabies vaccine. EudraCT No. 2013-004514-18.","container-title":"Vaccine","DOI":"10.1016/j.vaccine.2019.02.024","ISSN":"0264-410X","issue":"13","journalAbbreviation":"Vaccine","language":"en","page":"1819-1826","source":"ScienceDirect","title":"RNA-based adjuvant CV8102 enhances the immunogenicity of a licensed rabies vaccine in a first-in-human trial","volume":"37","author":[{"family":"Doener","given":"Fatma"},{"family":"Hong","given":"Henoch S."},{"family":"Meyer","given":"Ingo"},{"family":"Tadjalli-Mehr","given":"Keyvan"},{"family":"Daehling","given":"Angelika"},{"family":"Heidenreich","given":"Regina"},{"family":"Koch","given":"Sven D."},{"family":"Fotin-Mleczek","given":"Mariola"},{"family":"Gnad-Vogt","given":"Ulrike"}],"issued":{"date-parts":[["2019",3,22]]}}}],"schema":"https://github.com/citation-style-language/schema/raw/master/csl-citation.json"}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[14]</w:t>
            </w:r>
            <w:r w:rsidRPr="00E06DFC">
              <w:rPr>
                <w:rFonts w:ascii="Times New Roman" w:hAnsi="Times New Roman" w:cs="Times New Roman"/>
                <w:sz w:val="20"/>
                <w:szCs w:val="20"/>
                <w:lang w:val="en-US"/>
              </w:rPr>
              <w:fldChar w:fldCharType="end"/>
            </w:r>
          </w:p>
        </w:tc>
      </w:tr>
      <w:tr w:rsidR="00E06DFC" w:rsidRPr="00E06DFC" w14:paraId="1539ED99" w14:textId="77777777" w:rsidTr="00E06DFC">
        <w:tc>
          <w:tcPr>
            <w:tcW w:w="1277" w:type="dxa"/>
          </w:tcPr>
          <w:p w14:paraId="5EA6F8F6" w14:textId="77777777" w:rsidR="00E06DFC" w:rsidRPr="00E06DFC" w:rsidRDefault="00E06DFC" w:rsidP="00E6447E">
            <w:pPr>
              <w:rPr>
                <w:rFonts w:ascii="Times New Roman" w:hAnsi="Times New Roman" w:cs="Times New Roman"/>
                <w:sz w:val="20"/>
                <w:szCs w:val="20"/>
                <w:lang w:val="en-US"/>
              </w:rPr>
            </w:pPr>
          </w:p>
        </w:tc>
        <w:tc>
          <w:tcPr>
            <w:tcW w:w="1134" w:type="dxa"/>
          </w:tcPr>
          <w:p w14:paraId="46A9CEE8" w14:textId="09BC73AF"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Solid </w:t>
            </w:r>
            <w:proofErr w:type="spellStart"/>
            <w:r w:rsidRPr="00E06DFC">
              <w:rPr>
                <w:rFonts w:ascii="Times New Roman" w:hAnsi="Times New Roman" w:cs="Times New Roman"/>
                <w:color w:val="222222"/>
                <w:sz w:val="20"/>
                <w:szCs w:val="20"/>
                <w:shd w:val="clear" w:color="auto" w:fill="FFFFFF"/>
                <w:lang w:val="en-US"/>
              </w:rPr>
              <w:t>tumours</w:t>
            </w:r>
            <w:proofErr w:type="spellEnd"/>
          </w:p>
        </w:tc>
        <w:tc>
          <w:tcPr>
            <w:tcW w:w="1276" w:type="dxa"/>
          </w:tcPr>
          <w:p w14:paraId="7B737671"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1793B6ED" w14:textId="4E864FE4"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BioNTech</w:t>
            </w:r>
          </w:p>
        </w:tc>
        <w:tc>
          <w:tcPr>
            <w:tcW w:w="1559" w:type="dxa"/>
          </w:tcPr>
          <w:p w14:paraId="18DD6EE7" w14:textId="6E76CF6A"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22222"/>
                <w:sz w:val="20"/>
                <w:szCs w:val="20"/>
                <w:shd w:val="clear" w:color="auto" w:fill="FFFFFF"/>
                <w:lang w:val="en-US"/>
              </w:rPr>
              <w:t xml:space="preserve">BNT122 </w:t>
            </w:r>
            <w:proofErr w:type="gramStart"/>
            <w:r w:rsidRPr="00E06DFC">
              <w:rPr>
                <w:rFonts w:ascii="Times New Roman" w:hAnsi="Times New Roman" w:cs="Times New Roman"/>
                <w:color w:val="222222"/>
                <w:sz w:val="20"/>
                <w:szCs w:val="20"/>
                <w:shd w:val="clear" w:color="auto" w:fill="FFFFFF"/>
                <w:lang w:val="en-US"/>
              </w:rPr>
              <w:t>(</w:t>
            </w:r>
            <w:r w:rsidRPr="00E06DFC">
              <w:rPr>
                <w:rFonts w:ascii="Times New Roman" w:hAnsi="Times New Roman" w:cs="Times New Roman"/>
                <w:color w:val="000000"/>
                <w:sz w:val="20"/>
                <w:szCs w:val="20"/>
                <w:shd w:val="clear" w:color="auto" w:fill="FFFFFF"/>
              </w:rPr>
              <w:t> RO</w:t>
            </w:r>
            <w:proofErr w:type="gramEnd"/>
            <w:r w:rsidRPr="00E06DFC">
              <w:rPr>
                <w:rFonts w:ascii="Times New Roman" w:hAnsi="Times New Roman" w:cs="Times New Roman"/>
                <w:color w:val="000000"/>
                <w:sz w:val="20"/>
                <w:szCs w:val="20"/>
                <w:shd w:val="clear" w:color="auto" w:fill="FFFFFF"/>
              </w:rPr>
              <w:t>7198457</w:t>
            </w:r>
            <w:r w:rsidRPr="00E06DFC">
              <w:rPr>
                <w:rFonts w:ascii="Times New Roman" w:hAnsi="Times New Roman" w:cs="Times New Roman"/>
                <w:color w:val="000000"/>
                <w:sz w:val="20"/>
                <w:szCs w:val="20"/>
                <w:shd w:val="clear" w:color="auto" w:fill="FFFFFF"/>
                <w:lang w:val="en-US"/>
              </w:rPr>
              <w:t>)</w:t>
            </w:r>
          </w:p>
        </w:tc>
        <w:tc>
          <w:tcPr>
            <w:tcW w:w="2126" w:type="dxa"/>
          </w:tcPr>
          <w:p w14:paraId="0445A403" w14:textId="45FBC864"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000000"/>
                <w:sz w:val="20"/>
                <w:szCs w:val="20"/>
                <w:shd w:val="clear" w:color="auto" w:fill="FFFFFF"/>
              </w:rPr>
              <w:t>NCT04486378</w:t>
            </w:r>
            <w:r w:rsidRPr="00E06DFC">
              <w:rPr>
                <w:rFonts w:ascii="Times New Roman" w:hAnsi="Times New Roman" w:cs="Times New Roman"/>
                <w:color w:val="000000"/>
                <w:sz w:val="20"/>
                <w:szCs w:val="20"/>
                <w:shd w:val="clear" w:color="auto" w:fill="FFFFFF"/>
                <w:lang w:val="en-US"/>
              </w:rPr>
              <w:t xml:space="preserve"> (2021-2027*)</w:t>
            </w:r>
          </w:p>
        </w:tc>
        <w:tc>
          <w:tcPr>
            <w:tcW w:w="1559" w:type="dxa"/>
          </w:tcPr>
          <w:p w14:paraId="7EB1C26E" w14:textId="77777777" w:rsidR="00E06DFC" w:rsidRPr="00E06DFC" w:rsidRDefault="00E06DFC" w:rsidP="00E6447E">
            <w:pPr>
              <w:rPr>
                <w:rFonts w:ascii="Times New Roman" w:hAnsi="Times New Roman" w:cs="Times New Roman"/>
                <w:sz w:val="20"/>
                <w:szCs w:val="20"/>
                <w:lang w:val="en-US"/>
              </w:rPr>
            </w:pPr>
          </w:p>
        </w:tc>
        <w:tc>
          <w:tcPr>
            <w:tcW w:w="1418" w:type="dxa"/>
          </w:tcPr>
          <w:p w14:paraId="047CF0C6" w14:textId="77777777" w:rsidR="00E06DFC" w:rsidRPr="00E06DFC" w:rsidRDefault="00E06DFC" w:rsidP="00E6447E">
            <w:pPr>
              <w:rPr>
                <w:rFonts w:ascii="Times New Roman" w:hAnsi="Times New Roman" w:cs="Times New Roman"/>
                <w:sz w:val="20"/>
                <w:szCs w:val="20"/>
                <w:lang w:val="en-US"/>
              </w:rPr>
            </w:pPr>
          </w:p>
        </w:tc>
        <w:tc>
          <w:tcPr>
            <w:tcW w:w="1134" w:type="dxa"/>
          </w:tcPr>
          <w:p w14:paraId="482D8451" w14:textId="77777777" w:rsidR="00E06DFC" w:rsidRPr="00E06DFC" w:rsidRDefault="00E06DFC" w:rsidP="00E6447E">
            <w:pPr>
              <w:rPr>
                <w:rFonts w:ascii="Times New Roman" w:hAnsi="Times New Roman" w:cs="Times New Roman"/>
                <w:sz w:val="20"/>
                <w:szCs w:val="20"/>
                <w:lang w:val="en-US"/>
              </w:rPr>
            </w:pPr>
          </w:p>
        </w:tc>
      </w:tr>
      <w:tr w:rsidR="00E06DFC" w:rsidRPr="00E06DFC" w14:paraId="12270470" w14:textId="77777777" w:rsidTr="00E06DFC">
        <w:tc>
          <w:tcPr>
            <w:tcW w:w="1277" w:type="dxa"/>
          </w:tcPr>
          <w:p w14:paraId="6A5CB5B6" w14:textId="77777777" w:rsidR="00E06DFC" w:rsidRPr="00E06DFC" w:rsidRDefault="00E06DFC" w:rsidP="00E6447E">
            <w:pPr>
              <w:rPr>
                <w:rFonts w:ascii="Times New Roman" w:hAnsi="Times New Roman" w:cs="Times New Roman"/>
                <w:sz w:val="20"/>
                <w:szCs w:val="20"/>
                <w:lang w:val="en-US"/>
              </w:rPr>
            </w:pPr>
          </w:p>
        </w:tc>
        <w:tc>
          <w:tcPr>
            <w:tcW w:w="1134" w:type="dxa"/>
          </w:tcPr>
          <w:p w14:paraId="01B3EAA0" w14:textId="24A62F6A"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CF0"/>
              </w:rPr>
              <w:t>Generalized myasthenia gravis</w:t>
            </w:r>
          </w:p>
        </w:tc>
        <w:tc>
          <w:tcPr>
            <w:tcW w:w="1276" w:type="dxa"/>
          </w:tcPr>
          <w:p w14:paraId="6E3CB7FD"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2A6B6A23" w14:textId="60E25E7A" w:rsidR="00E06DFC" w:rsidRPr="00E06DFC" w:rsidRDefault="00E06DFC" w:rsidP="00E6447E">
            <w:pPr>
              <w:rPr>
                <w:rFonts w:ascii="Times New Roman" w:hAnsi="Times New Roman" w:cs="Times New Roman"/>
                <w:color w:val="222222"/>
                <w:sz w:val="20"/>
                <w:szCs w:val="20"/>
                <w:shd w:val="clear" w:color="auto" w:fill="FFFFFF"/>
                <w:lang w:val="en-US"/>
              </w:rPr>
            </w:pPr>
            <w:r w:rsidRPr="00E06DFC">
              <w:rPr>
                <w:rFonts w:ascii="Times New Roman" w:hAnsi="Times New Roman" w:cs="Times New Roman"/>
                <w:color w:val="212121"/>
                <w:sz w:val="20"/>
                <w:szCs w:val="20"/>
                <w:shd w:val="clear" w:color="auto" w:fill="FFFCF0"/>
              </w:rPr>
              <w:t>Cartesian</w:t>
            </w:r>
          </w:p>
        </w:tc>
        <w:tc>
          <w:tcPr>
            <w:tcW w:w="1559" w:type="dxa"/>
          </w:tcPr>
          <w:p w14:paraId="75D3899E" w14:textId="64EC6455"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CF0"/>
              </w:rPr>
              <w:t>Descartes-08</w:t>
            </w:r>
          </w:p>
        </w:tc>
        <w:tc>
          <w:tcPr>
            <w:tcW w:w="2126" w:type="dxa"/>
          </w:tcPr>
          <w:p w14:paraId="15B9628D" w14:textId="509EDD0D"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000000"/>
                <w:sz w:val="20"/>
                <w:szCs w:val="20"/>
                <w:shd w:val="clear" w:color="auto" w:fill="FFFFFF"/>
              </w:rPr>
              <w:t>NCT04816526</w:t>
            </w:r>
            <w:r w:rsidRPr="00E06DFC">
              <w:rPr>
                <w:rFonts w:ascii="Times New Roman" w:hAnsi="Times New Roman" w:cs="Times New Roman"/>
                <w:color w:val="000000"/>
                <w:sz w:val="20"/>
                <w:szCs w:val="20"/>
                <w:shd w:val="clear" w:color="auto" w:fill="FFFFFF"/>
                <w:lang w:val="en-US"/>
              </w:rPr>
              <w:t xml:space="preserve"> (2021-2025*)</w:t>
            </w:r>
          </w:p>
        </w:tc>
        <w:tc>
          <w:tcPr>
            <w:tcW w:w="1559" w:type="dxa"/>
          </w:tcPr>
          <w:p w14:paraId="04067D3D" w14:textId="77777777" w:rsidR="00E06DFC" w:rsidRPr="00E06DFC" w:rsidRDefault="00E06DFC" w:rsidP="00E6447E">
            <w:pPr>
              <w:rPr>
                <w:rFonts w:ascii="Times New Roman" w:hAnsi="Times New Roman" w:cs="Times New Roman"/>
                <w:sz w:val="20"/>
                <w:szCs w:val="20"/>
                <w:lang w:val="en-US"/>
              </w:rPr>
            </w:pPr>
          </w:p>
        </w:tc>
        <w:tc>
          <w:tcPr>
            <w:tcW w:w="1418" w:type="dxa"/>
          </w:tcPr>
          <w:p w14:paraId="07FF419D" w14:textId="77777777" w:rsidR="00E06DFC" w:rsidRPr="00E06DFC" w:rsidRDefault="00E06DFC" w:rsidP="00E6447E">
            <w:pPr>
              <w:rPr>
                <w:rFonts w:ascii="Times New Roman" w:hAnsi="Times New Roman" w:cs="Times New Roman"/>
                <w:sz w:val="20"/>
                <w:szCs w:val="20"/>
                <w:lang w:val="en-US"/>
              </w:rPr>
            </w:pPr>
          </w:p>
        </w:tc>
        <w:tc>
          <w:tcPr>
            <w:tcW w:w="1134" w:type="dxa"/>
          </w:tcPr>
          <w:p w14:paraId="6684DD34" w14:textId="77777777" w:rsidR="00E06DFC" w:rsidRPr="00E06DFC" w:rsidRDefault="00E06DFC" w:rsidP="00E6447E">
            <w:pPr>
              <w:rPr>
                <w:rFonts w:ascii="Times New Roman" w:hAnsi="Times New Roman" w:cs="Times New Roman"/>
                <w:sz w:val="20"/>
                <w:szCs w:val="20"/>
                <w:lang w:val="en-US"/>
              </w:rPr>
            </w:pPr>
          </w:p>
        </w:tc>
      </w:tr>
      <w:tr w:rsidR="00E06DFC" w:rsidRPr="00E06DFC" w14:paraId="15C0D141" w14:textId="77777777" w:rsidTr="00E06DFC">
        <w:tc>
          <w:tcPr>
            <w:tcW w:w="1277" w:type="dxa"/>
          </w:tcPr>
          <w:p w14:paraId="4E373960" w14:textId="77777777" w:rsidR="00E06DFC" w:rsidRPr="00E06DFC" w:rsidRDefault="00E06DFC" w:rsidP="00E6447E">
            <w:pPr>
              <w:rPr>
                <w:rFonts w:ascii="Times New Roman" w:hAnsi="Times New Roman" w:cs="Times New Roman"/>
                <w:sz w:val="20"/>
                <w:szCs w:val="20"/>
                <w:lang w:val="en-US"/>
              </w:rPr>
            </w:pPr>
          </w:p>
        </w:tc>
        <w:tc>
          <w:tcPr>
            <w:tcW w:w="1134" w:type="dxa"/>
          </w:tcPr>
          <w:p w14:paraId="37A0FFCD" w14:textId="03087D5F"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Cystic Fibrosis</w:t>
            </w:r>
          </w:p>
        </w:tc>
        <w:tc>
          <w:tcPr>
            <w:tcW w:w="1276" w:type="dxa"/>
          </w:tcPr>
          <w:p w14:paraId="368232D7"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3BE53401" w14:textId="0D8D2C95"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Translate Bio</w:t>
            </w:r>
          </w:p>
        </w:tc>
        <w:tc>
          <w:tcPr>
            <w:tcW w:w="1559" w:type="dxa"/>
          </w:tcPr>
          <w:p w14:paraId="6308D24B" w14:textId="5D6693A9"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MRT5005</w:t>
            </w:r>
          </w:p>
        </w:tc>
        <w:tc>
          <w:tcPr>
            <w:tcW w:w="2126" w:type="dxa"/>
          </w:tcPr>
          <w:p w14:paraId="2A3F7028" w14:textId="1A0D0878"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I/II: </w:t>
            </w:r>
            <w:r w:rsidRPr="00E06DFC">
              <w:rPr>
                <w:rFonts w:ascii="Times New Roman" w:hAnsi="Times New Roman" w:cs="Times New Roman"/>
                <w:color w:val="000000"/>
                <w:sz w:val="20"/>
                <w:szCs w:val="20"/>
                <w:shd w:val="clear" w:color="auto" w:fill="FFFFFF"/>
              </w:rPr>
              <w:t>NCT03375047</w:t>
            </w:r>
            <w:r w:rsidRPr="00E06DFC">
              <w:rPr>
                <w:rFonts w:ascii="Times New Roman" w:hAnsi="Times New Roman" w:cs="Times New Roman"/>
                <w:color w:val="000000"/>
                <w:sz w:val="20"/>
                <w:szCs w:val="20"/>
                <w:shd w:val="clear" w:color="auto" w:fill="FFFFFF"/>
                <w:lang w:val="en-US"/>
              </w:rPr>
              <w:t xml:space="preserve"> (2018-2021)</w:t>
            </w:r>
          </w:p>
        </w:tc>
        <w:tc>
          <w:tcPr>
            <w:tcW w:w="1559" w:type="dxa"/>
          </w:tcPr>
          <w:p w14:paraId="5EBE7809" w14:textId="3985D02E"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[1/16, 6%]</w:t>
            </w:r>
          </w:p>
        </w:tc>
        <w:tc>
          <w:tcPr>
            <w:tcW w:w="1418" w:type="dxa"/>
          </w:tcPr>
          <w:p w14:paraId="4C0FD260" w14:textId="6DD6B988"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Pulmonary exacerbation</w:t>
            </w:r>
          </w:p>
        </w:tc>
        <w:tc>
          <w:tcPr>
            <w:tcW w:w="1134" w:type="dxa"/>
          </w:tcPr>
          <w:p w14:paraId="1606964D" w14:textId="2C9568D2"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{"citationID":"AEOHoPeB","properties":{"formattedCitation":"[15]","plainCitation":"[15]","noteIndex":0},"citationItems":[{"id":5805,"uris":["http://zotero.org/users/7565624/items/43C9BVJV"],"itemData":{"id":5805,"type":"webpage","abstract":"Translate Bio Announces Results from Second Interim Data Analysis from Ongoing Phase 1/2 Clinical Trial of MRT5005 in Patients with Cystic Fibrosis (CF) - read this article along with other careers information, tips and advice on BioSpace","container-title":"BioSpace","language":"en-US","note":"section: Topic","title":"Translate Bio Announces Results from Second Interim Data Analysis from Ongoing Phase 1/2 Clinical Trial of MRT5005 in Patients with Cystic Fibrosis (CF)","URL":"https://www.biospace.com/article/translate-bio-announces-results-from-second-interim-data-analysis-from-ongoing-phase-1-2-clinical-trial-of-mrt5005-in-patients-with-cystic-fibrosis-cf-/","accessed":{"date-parts":[["2022",10,13]]}}}],"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[15]</w:t>
            </w:r>
            <w:r w:rsidRPr="00E06DFC">
              <w:rPr>
                <w:rFonts w:ascii="Times New Roman" w:hAnsi="Times New Roman" w:cs="Times New Roman"/>
                <w:sz w:val="20"/>
                <w:szCs w:val="20"/>
                <w:lang w:val="en-US"/>
              </w:rPr>
              <w:fldChar w:fldCharType="end"/>
            </w:r>
          </w:p>
        </w:tc>
      </w:tr>
      <w:tr w:rsidR="00E06DFC" w:rsidRPr="00E06DFC" w14:paraId="3C8A8470" w14:textId="77777777" w:rsidTr="00E06DFC">
        <w:tc>
          <w:tcPr>
            <w:tcW w:w="1277" w:type="dxa"/>
          </w:tcPr>
          <w:p w14:paraId="212876D1" w14:textId="77777777" w:rsidR="00E06DFC" w:rsidRPr="00E06DFC" w:rsidRDefault="00E06DFC" w:rsidP="00E6447E">
            <w:pPr>
              <w:rPr>
                <w:rFonts w:ascii="Times New Roman" w:hAnsi="Times New Roman" w:cs="Times New Roman"/>
                <w:sz w:val="20"/>
                <w:szCs w:val="20"/>
                <w:lang w:val="en-US"/>
              </w:rPr>
            </w:pPr>
          </w:p>
        </w:tc>
        <w:tc>
          <w:tcPr>
            <w:tcW w:w="1134" w:type="dxa"/>
          </w:tcPr>
          <w:p w14:paraId="2862FF5A" w14:textId="0967E8CE"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Methylmalonic aciduria</w:t>
            </w:r>
          </w:p>
        </w:tc>
        <w:tc>
          <w:tcPr>
            <w:tcW w:w="1276" w:type="dxa"/>
          </w:tcPr>
          <w:p w14:paraId="78EAE7D9"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66CD6CF6" w14:textId="03CB6719"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Moderna</w:t>
            </w:r>
          </w:p>
        </w:tc>
        <w:tc>
          <w:tcPr>
            <w:tcW w:w="1559" w:type="dxa"/>
          </w:tcPr>
          <w:p w14:paraId="71DA0064" w14:textId="4CACF541"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mRNA-3704</w:t>
            </w:r>
          </w:p>
        </w:tc>
        <w:tc>
          <w:tcPr>
            <w:tcW w:w="2126" w:type="dxa"/>
          </w:tcPr>
          <w:p w14:paraId="00ED9D44"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I/II:</w:t>
            </w:r>
          </w:p>
          <w:p w14:paraId="3C7673E2" w14:textId="77777777"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rPr>
              <w:t>NCT03810690</w:t>
            </w:r>
            <w:r w:rsidRPr="00E06DFC">
              <w:rPr>
                <w:rFonts w:ascii="Times New Roman" w:hAnsi="Times New Roman" w:cs="Times New Roman"/>
                <w:color w:val="000000"/>
                <w:sz w:val="20"/>
                <w:szCs w:val="20"/>
                <w:shd w:val="clear" w:color="auto" w:fill="FFFFFF"/>
                <w:lang w:val="en-US"/>
              </w:rPr>
              <w:t xml:space="preserve"> (2019-2020)</w:t>
            </w:r>
          </w:p>
          <w:p w14:paraId="0A9C4711" w14:textId="7CD17D7E"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Terminated due to a business decision</w:t>
            </w:r>
          </w:p>
        </w:tc>
        <w:tc>
          <w:tcPr>
            <w:tcW w:w="1559" w:type="dxa"/>
          </w:tcPr>
          <w:p w14:paraId="285F14D8" w14:textId="77777777" w:rsidR="00E06DFC" w:rsidRPr="00E06DFC" w:rsidRDefault="00E06DFC" w:rsidP="00E6447E">
            <w:pPr>
              <w:rPr>
                <w:rFonts w:ascii="Times New Roman" w:hAnsi="Times New Roman" w:cs="Times New Roman"/>
                <w:sz w:val="20"/>
                <w:szCs w:val="20"/>
                <w:lang w:val="en-US"/>
              </w:rPr>
            </w:pPr>
          </w:p>
        </w:tc>
        <w:tc>
          <w:tcPr>
            <w:tcW w:w="1418" w:type="dxa"/>
          </w:tcPr>
          <w:p w14:paraId="62AF68C0" w14:textId="77777777" w:rsidR="00E06DFC" w:rsidRPr="00E06DFC" w:rsidRDefault="00E06DFC" w:rsidP="00E6447E">
            <w:pPr>
              <w:rPr>
                <w:rFonts w:ascii="Times New Roman" w:hAnsi="Times New Roman" w:cs="Times New Roman"/>
                <w:sz w:val="20"/>
                <w:szCs w:val="20"/>
                <w:lang w:val="en-US"/>
              </w:rPr>
            </w:pPr>
          </w:p>
        </w:tc>
        <w:tc>
          <w:tcPr>
            <w:tcW w:w="1134" w:type="dxa"/>
          </w:tcPr>
          <w:p w14:paraId="7E52761F" w14:textId="77777777" w:rsidR="00E06DFC" w:rsidRPr="00E06DFC" w:rsidRDefault="00E06DFC" w:rsidP="00E6447E">
            <w:pPr>
              <w:rPr>
                <w:rFonts w:ascii="Times New Roman" w:hAnsi="Times New Roman" w:cs="Times New Roman"/>
                <w:sz w:val="20"/>
                <w:szCs w:val="20"/>
                <w:lang w:val="en-US"/>
              </w:rPr>
            </w:pPr>
          </w:p>
        </w:tc>
      </w:tr>
      <w:tr w:rsidR="00E06DFC" w:rsidRPr="00E06DFC" w14:paraId="3F532538" w14:textId="77777777" w:rsidTr="00E06DFC">
        <w:tc>
          <w:tcPr>
            <w:tcW w:w="1277" w:type="dxa"/>
          </w:tcPr>
          <w:p w14:paraId="29079C39" w14:textId="77777777" w:rsidR="00E06DFC" w:rsidRPr="00E06DFC" w:rsidRDefault="00E06DFC" w:rsidP="00E6447E">
            <w:pPr>
              <w:rPr>
                <w:rFonts w:ascii="Times New Roman" w:hAnsi="Times New Roman" w:cs="Times New Roman"/>
                <w:sz w:val="20"/>
                <w:szCs w:val="20"/>
                <w:lang w:val="en-US"/>
              </w:rPr>
            </w:pPr>
          </w:p>
        </w:tc>
        <w:tc>
          <w:tcPr>
            <w:tcW w:w="1134" w:type="dxa"/>
          </w:tcPr>
          <w:p w14:paraId="0783AD4C" w14:textId="619BF029" w:rsidR="00E06DFC" w:rsidRPr="00E06DFC" w:rsidRDefault="00E06DFC" w:rsidP="009F2732">
            <w:pPr>
              <w:rPr>
                <w:rFonts w:ascii="Times New Roman" w:hAnsi="Times New Roman" w:cs="Times New Roman"/>
                <w:color w:val="212121"/>
                <w:sz w:val="20"/>
                <w:szCs w:val="20"/>
              </w:rPr>
            </w:pPr>
            <w:r w:rsidRPr="00E06DFC">
              <w:rPr>
                <w:rFonts w:ascii="Times New Roman" w:hAnsi="Times New Roman" w:cs="Times New Roman"/>
                <w:color w:val="212121"/>
                <w:sz w:val="20"/>
                <w:szCs w:val="20"/>
              </w:rPr>
              <w:t>Cancer</w:t>
            </w:r>
          </w:p>
          <w:p w14:paraId="240100E3" w14:textId="77777777" w:rsidR="00E06DFC" w:rsidRPr="00E06DFC" w:rsidRDefault="00E06DFC" w:rsidP="00E6447E">
            <w:pPr>
              <w:rPr>
                <w:rFonts w:ascii="Times New Roman" w:hAnsi="Times New Roman" w:cs="Times New Roman"/>
                <w:color w:val="212121"/>
                <w:sz w:val="20"/>
                <w:szCs w:val="20"/>
                <w:shd w:val="clear" w:color="auto" w:fill="FFFCF0"/>
              </w:rPr>
            </w:pPr>
          </w:p>
        </w:tc>
        <w:tc>
          <w:tcPr>
            <w:tcW w:w="1276" w:type="dxa"/>
          </w:tcPr>
          <w:p w14:paraId="558BD78F"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70D973A5" w14:textId="56E15622"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Moderna</w:t>
            </w:r>
          </w:p>
        </w:tc>
        <w:tc>
          <w:tcPr>
            <w:tcW w:w="1559" w:type="dxa"/>
          </w:tcPr>
          <w:p w14:paraId="613673F4" w14:textId="1559EA6F"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mRNA-4157</w:t>
            </w:r>
          </w:p>
        </w:tc>
        <w:tc>
          <w:tcPr>
            <w:tcW w:w="2126" w:type="dxa"/>
          </w:tcPr>
          <w:p w14:paraId="2870EF88" w14:textId="5B91449A"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000000"/>
                <w:sz w:val="20"/>
                <w:szCs w:val="20"/>
                <w:shd w:val="clear" w:color="auto" w:fill="FFFFFF"/>
              </w:rPr>
              <w:t>NCT03313778</w:t>
            </w:r>
            <w:r w:rsidRPr="00E06DFC">
              <w:rPr>
                <w:rFonts w:ascii="Times New Roman" w:hAnsi="Times New Roman" w:cs="Times New Roman"/>
                <w:color w:val="000000"/>
                <w:sz w:val="20"/>
                <w:szCs w:val="20"/>
                <w:shd w:val="clear" w:color="auto" w:fill="FFFFFF"/>
                <w:lang w:val="en-US"/>
              </w:rPr>
              <w:t xml:space="preserve"> (2017-2025*)</w:t>
            </w:r>
          </w:p>
        </w:tc>
        <w:tc>
          <w:tcPr>
            <w:tcW w:w="1559" w:type="dxa"/>
          </w:tcPr>
          <w:p w14:paraId="0FA1EBAB" w14:textId="617AF4B3"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[no drug related SAEs in 33 patients]</w:t>
            </w:r>
          </w:p>
        </w:tc>
        <w:tc>
          <w:tcPr>
            <w:tcW w:w="1418" w:type="dxa"/>
          </w:tcPr>
          <w:p w14:paraId="51DAC43E" w14:textId="77777777" w:rsidR="00E06DFC" w:rsidRPr="00E06DFC" w:rsidRDefault="00E06DFC" w:rsidP="00E6447E">
            <w:pPr>
              <w:rPr>
                <w:rFonts w:ascii="Times New Roman" w:hAnsi="Times New Roman" w:cs="Times New Roman"/>
                <w:sz w:val="20"/>
                <w:szCs w:val="20"/>
                <w:lang w:val="en-US"/>
              </w:rPr>
            </w:pPr>
          </w:p>
        </w:tc>
        <w:tc>
          <w:tcPr>
            <w:tcW w:w="1134" w:type="dxa"/>
          </w:tcPr>
          <w:p w14:paraId="50A75ACC" w14:textId="08DA29A1"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{"citationID":"eOxayVRB","properties":{"formattedCitation":"[16]","plainCitation":"[16]","noteIndex":0},"citationItems":[{"id":5807,"uris":["http://zotero.org/users/7565624/items/97NQSCMI"],"itemData":{"id":5807,"type":"article-journal","abstract":"2523\n\nBackground: T-cell targeting of mutation-derived epitopes (neoantigens) has been demonstrated to drive anti-tumor responses. Immunizing patients against such neoantigens in combination with a checkpoint inhibitor (CPI) may elicit greater anti-tumor responses than CPI alone. Mutations are rarely shared between patients, thus requiring a personalized approach to vaccine design. Methods: A phase I dose escalation study of mRNA-4157 as adjuvant monotherapy in patients with resected solid tumors (melanoma, bladder carcinoma, HPV negative HNSCC, NSCLC, SCLC, MSI-High, or TMB High cancers) and in combination with pembrolizumab in patients with advanced or metastatic cancer is being conducted to evaluate safety. mRNA-4157 is a lipid encapsulated personalized vaccine encoding multiple neoantigens selected using a proprietary algorithm designed to induce neoantigen specific T cells and associated anti-tumor responses. Patients may receive up to 9 cycles (Q3W) of mRNA-4157 by intramuscular injection (0.04 – 1 mg). In the combination arm, pembrolizumab (200 mg) is administered for two cycles prior to combination with mRNA-4157; patients may continue pembrolizumab after completion of 9 cycles of combination therapy. Primary end points include safety, tolerability, and recommended phase 2 dose. Results: 33 patients received mRNA-4157; 13 as monotherapy and 20 in combination with pembrolizumab. No DLTs were reported, and treatment related AEs have generally been of low grade and reversible, and no drug related SAEs or AEs ≥ grade 3 have been observed. Of the 13 patients on adjuvant monotherapy (3 melanoma, 8 NSCLC, 2 MSI-High), 12 patients remain disease free on study, median follow-up of 8 months. 20 patients have been treated in combination (1 TMB-high, 4 bladder, 2 HNSCC, 1 melanoma, 7 NSCLC, 2 SCLC, 3 MSI-high), 12 had progressed on prior CPI, 16 have been restaged and there are 1 CR (on pembrolizumab prior to vaccination), 2 PR, 5 SD for at least 5 combination cycles, 5 PD, 2 iuPD, and 1 patient is non-evaluable for response but remains on study. Neoantigen specific T cell responses have been detected by IFN-γ ELISpot from PBMCs. Conclusions: mRNA-4157 is safe and well tolerated at all dose levels tested. Clinical responses have been observed in combination with pembrolizumab and neoantigen-specific T cells have been induced, supporting the advancement of mRNA-4157 to phase 2. Clinical trial information: NCT03313778.","container-title":"Journal of Clinical Oncology","DOI":"10.1200/JCO.2019.37.15_suppl.2523","ISSN":"0732-183X","issue":"15_suppl","journalAbbreviation":"JCO","note":"publisher: Wolters Kluwer","page":"2523-2523","source":"ascopubs.org (Atypon)","title":"A phase I multicenter study to assess the safety, tolerability, and immunogenicity of mRNA-4157 alone in patients with resected solid tumors and in combination with pembrolizumab in patients with unresectable solid tumors.","volume":"37","author":[{"family":"Burris","given":"Howard A."},{"family":"Patel","given":"Manish R."},{"family":"Cho","given":"Daniel C."},{"family":"Clarke","given":"Jeffrey Melson"},{"family":"Gutierrez","given":"Martin"},{"family":"Zaks","given":"Tal Z."},{"family":"Frederick","given":"Joshua"},{"family":"Hopson","given":"Kristen"},{"family":"Mody","given":"Kinjal"},{"family":"Binanti-Berube","given":"Alverina"},{"family":"Robert-Tissot","given":"Celine"},{"family":"Goldstein","given":"Bree"},{"family":"Breton","given":"Ben"},{"family":"Sun","given":"Jing"},{"family":"Zhong","given":"Shan"},{"family":"Pruitt","given":"Scott K."},{"family":"Keating","given":"Karen"},{"family":"Meehan","given":"Robert S."},{"family":"Gainor","given":"Justin F."}],"issued":{"date-parts":[["2019",5,20]]}}}],"schema":"https://github.com/citation-style-language/schema/raw/master/csl-citation.json"}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[16]</w:t>
            </w:r>
            <w:r w:rsidRPr="00E06DFC">
              <w:rPr>
                <w:rFonts w:ascii="Times New Roman" w:hAnsi="Times New Roman" w:cs="Times New Roman"/>
                <w:sz w:val="20"/>
                <w:szCs w:val="20"/>
                <w:lang w:val="en-US"/>
              </w:rPr>
              <w:fldChar w:fldCharType="end"/>
            </w:r>
          </w:p>
        </w:tc>
      </w:tr>
      <w:tr w:rsidR="00E06DFC" w:rsidRPr="00E06DFC" w14:paraId="1BADBAA6" w14:textId="77777777" w:rsidTr="00E06DFC">
        <w:tc>
          <w:tcPr>
            <w:tcW w:w="1277" w:type="dxa"/>
          </w:tcPr>
          <w:p w14:paraId="73C79867" w14:textId="77777777" w:rsidR="00E06DFC" w:rsidRPr="00E06DFC" w:rsidRDefault="00E06DFC" w:rsidP="00E6447E">
            <w:pPr>
              <w:rPr>
                <w:rFonts w:ascii="Times New Roman" w:hAnsi="Times New Roman" w:cs="Times New Roman"/>
                <w:sz w:val="20"/>
                <w:szCs w:val="20"/>
                <w:lang w:val="en-US"/>
              </w:rPr>
            </w:pPr>
          </w:p>
        </w:tc>
        <w:tc>
          <w:tcPr>
            <w:tcW w:w="1134" w:type="dxa"/>
          </w:tcPr>
          <w:p w14:paraId="4B2E9710" w14:textId="26C88BF9"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Multiple myeloma</w:t>
            </w:r>
          </w:p>
        </w:tc>
        <w:tc>
          <w:tcPr>
            <w:tcW w:w="1276" w:type="dxa"/>
          </w:tcPr>
          <w:p w14:paraId="55660D2A" w14:textId="77777777" w:rsidR="00E06DFC" w:rsidRPr="00E06DFC" w:rsidRDefault="00E06DFC" w:rsidP="00E6447E">
            <w:pPr>
              <w:rPr>
                <w:rFonts w:ascii="Times New Roman" w:hAnsi="Times New Roman" w:cs="Times New Roman"/>
                <w:color w:val="222222"/>
                <w:sz w:val="20"/>
                <w:szCs w:val="20"/>
                <w:shd w:val="clear" w:color="auto" w:fill="FFFFFF"/>
              </w:rPr>
            </w:pPr>
          </w:p>
        </w:tc>
        <w:tc>
          <w:tcPr>
            <w:tcW w:w="1559" w:type="dxa"/>
          </w:tcPr>
          <w:p w14:paraId="4713E19E" w14:textId="03CE23B0" w:rsidR="00E06DFC" w:rsidRPr="00E06DFC" w:rsidRDefault="00E06DFC" w:rsidP="00E6447E">
            <w:pPr>
              <w:rPr>
                <w:rFonts w:ascii="Times New Roman" w:hAnsi="Times New Roman" w:cs="Times New Roman"/>
                <w:color w:val="212121"/>
                <w:sz w:val="20"/>
                <w:szCs w:val="20"/>
                <w:shd w:val="clear" w:color="auto" w:fill="FFFCF0"/>
                <w:lang w:val="en-US"/>
              </w:rPr>
            </w:pPr>
            <w:proofErr w:type="spellStart"/>
            <w:r w:rsidRPr="00E06DFC">
              <w:rPr>
                <w:rFonts w:ascii="Times New Roman" w:hAnsi="Times New Roman" w:cs="Times New Roman"/>
                <w:color w:val="212121"/>
                <w:sz w:val="20"/>
                <w:szCs w:val="20"/>
                <w:shd w:val="clear" w:color="auto" w:fill="FFFCF0"/>
                <w:lang w:val="en-US"/>
              </w:rPr>
              <w:t>Poseida</w:t>
            </w:r>
            <w:proofErr w:type="spellEnd"/>
          </w:p>
        </w:tc>
        <w:tc>
          <w:tcPr>
            <w:tcW w:w="1559" w:type="dxa"/>
          </w:tcPr>
          <w:p w14:paraId="60C350AD" w14:textId="25E18014"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P-BCMA-101</w:t>
            </w:r>
          </w:p>
        </w:tc>
        <w:tc>
          <w:tcPr>
            <w:tcW w:w="2126" w:type="dxa"/>
          </w:tcPr>
          <w:p w14:paraId="77090759" w14:textId="77777777" w:rsidR="00E06DFC" w:rsidRPr="00E06DFC" w:rsidRDefault="00E06DFC" w:rsidP="00E6447E">
            <w:pPr>
              <w:rPr>
                <w:rFonts w:ascii="Times New Roman" w:hAnsi="Times New Roman" w:cs="Times New Roman"/>
                <w:color w:val="1A1A1A"/>
                <w:sz w:val="20"/>
                <w:szCs w:val="20"/>
                <w:shd w:val="clear" w:color="auto" w:fill="FFFFFF"/>
              </w:rPr>
            </w:pPr>
            <w:r w:rsidRPr="00E06DFC">
              <w:rPr>
                <w:rFonts w:ascii="Times New Roman" w:hAnsi="Times New Roman" w:cs="Times New Roman"/>
                <w:color w:val="000000"/>
                <w:sz w:val="20"/>
                <w:szCs w:val="20"/>
                <w:shd w:val="clear" w:color="auto" w:fill="FFFFFF"/>
                <w:lang w:val="en-US"/>
              </w:rPr>
              <w:t xml:space="preserve">Phase II: </w:t>
            </w:r>
            <w:r w:rsidRPr="00E06DFC">
              <w:rPr>
                <w:rFonts w:ascii="Times New Roman" w:hAnsi="Times New Roman" w:cs="Times New Roman"/>
                <w:color w:val="1A1A1A"/>
                <w:sz w:val="20"/>
                <w:szCs w:val="20"/>
                <w:shd w:val="clear" w:color="auto" w:fill="FFFFFF"/>
              </w:rPr>
              <w:t>NCT03288493</w:t>
            </w:r>
          </w:p>
          <w:p w14:paraId="05103A74" w14:textId="1F9D77C8" w:rsidR="00E06DFC" w:rsidRPr="00E06DFC" w:rsidRDefault="00E06DFC" w:rsidP="00E6447E">
            <w:pPr>
              <w:rPr>
                <w:rFonts w:ascii="Times New Roman" w:hAnsi="Times New Roman" w:cs="Times New Roman"/>
                <w:color w:val="000000"/>
                <w:sz w:val="20"/>
                <w:szCs w:val="20"/>
                <w:shd w:val="clear" w:color="auto" w:fill="FFFFFF"/>
                <w:lang w:val="en-US"/>
              </w:rPr>
            </w:pPr>
          </w:p>
        </w:tc>
        <w:tc>
          <w:tcPr>
            <w:tcW w:w="1559" w:type="dxa"/>
          </w:tcPr>
          <w:p w14:paraId="5A9F36C0" w14:textId="3EEEBE46"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Unknown, though several SAEs in 12 patients</w:t>
            </w:r>
          </w:p>
        </w:tc>
        <w:tc>
          <w:tcPr>
            <w:tcW w:w="1418" w:type="dxa"/>
          </w:tcPr>
          <w:p w14:paraId="29044FF3" w14:textId="1C3C02C2" w:rsidR="00E06DFC" w:rsidRPr="00E06DFC" w:rsidRDefault="00E06DFC" w:rsidP="00E6447E">
            <w:pPr>
              <w:rPr>
                <w:rFonts w:ascii="Times New Roman" w:hAnsi="Times New Roman" w:cs="Times New Roman"/>
                <w:sz w:val="20"/>
                <w:szCs w:val="20"/>
                <w:lang w:val="en-US"/>
              </w:rPr>
            </w:pPr>
            <w:proofErr w:type="spellStart"/>
            <w:r w:rsidRPr="00E06DFC">
              <w:rPr>
                <w:rFonts w:ascii="Times New Roman" w:hAnsi="Times New Roman" w:cs="Times New Roman"/>
                <w:color w:val="1A1A1A"/>
                <w:sz w:val="20"/>
                <w:szCs w:val="20"/>
                <w:shd w:val="clear" w:color="auto" w:fill="FFFFFF"/>
              </w:rPr>
              <w:t>cytopenias</w:t>
            </w:r>
            <w:proofErr w:type="spellEnd"/>
            <w:r w:rsidRPr="00E06DFC">
              <w:rPr>
                <w:rFonts w:ascii="Times New Roman" w:hAnsi="Times New Roman" w:cs="Times New Roman"/>
                <w:color w:val="1A1A1A"/>
                <w:sz w:val="20"/>
                <w:szCs w:val="20"/>
                <w:shd w:val="clear" w:color="auto" w:fill="FFFFFF"/>
              </w:rPr>
              <w:t xml:space="preserve"> and febrile neutropenia</w:t>
            </w:r>
          </w:p>
        </w:tc>
        <w:tc>
          <w:tcPr>
            <w:tcW w:w="1134" w:type="dxa"/>
          </w:tcPr>
          <w:p w14:paraId="257BDBD8" w14:textId="72F34009"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{"citationID":"AaellY4Y","properties":{"formattedCitation":"[17,18]","plainCitation":"[17,18]","noteIndex":0},"citationItems":[{"id":5808,"uris":["http://zotero.org/users/7565624/items/NIL7VYZV"],"itemData":{"id":5808,"type":"article-journal","abstract":"P-BCMA-101 is a novel chimeric antigen receptor (CAR)-T cell product targeting B Cell Maturation Antigen (BCMA). P-BCMA-101 is produced using the piggyBac® (PB) DNA Modification System instead of the viral vector that is used with most CAR-T cells, requiring only plasmid DNA and mRNA. This makes it less costly and produces cells with a high percentage of the favorable T stem cell memory phenotype (TSCM). The higher cargo capacity of PB permits the incorporation of multiple genes in addition to CAR(s), including a safety switch allowing for rapid CAR-T cell elimination with a small molecule drug infusion in patients if desired, and a selection gene allowing for enrichment of CAR+ cells. Rather than using a traditional antibody-based binder, P-BCMA-101 has a Centyrin™ fused to a CD3ζ/4-1BB signaling domain. Centyrins are fully human proteins with high specificity and a large range of binding affinities, but are smaller, more stable and potentially less immunogenic than traditional scFv. Cumulatively, these features are predicted to result in a greater therapeutic index. A Phase 1, 3+3 dose escalation from 0.75 to 15 x 106 P-BCMA-101 CAR-T cells/kg (RP2D 6-15 x 106 cells/kg) was conducted in patients with r/r MM (Blood 2018 132:1012) demonstrating excellent efficacy and safety of P-BCMA-101, including notably low rates and grades of CRS and neurotoxicity (maximum Grade 2 without necessitating ICU admission, safety switch activation or other aggressive measures). These results supported FDA RMAT designation and initiation of a pivotal Phase 2 study.A Phase 2 pivotal portion of this study has recently been designed and initiated (PRIME; NCT03288493) in r/r MM patients who have received at least 3 prior lines of therapy. Their therapy must have contained a proteasome inhibitor, an IMiD, and CD38 targeted therapy with at least 2 of the prior lines in the form of triplet combinations. They must also have undergone ≥2 cycles of each line unless PD was the best response, refractory to the most recent line of therapy, and undergone autologous stem cell transplant or not be a candidate. Patients are required to be &amp;gt;=18 years old, have measurable disease by International Myeloma Working Group criteria (IMWG; Kumar 2016), adequate vital organ function and lack significant autoimmune, CNS and infectious diseases. No pre-specified level of BCMA expression is required, as this has not been demonstrated to correlate with clinical outcomes for P-BCMA-101 and other BCMA-targeted CAR-T products. Interestingly, unlike most CAR-T products patients may receive P-BCMA-101 after prior CAR-T cells or BCMA targeted agents, and may be multiply infused with P-BCMA-101. Patients are apheresed to harvest T cells, P-BCMA-101 is then manufactured and administered to patients as a single intravenous (IV) dose (6-15 x 106 P-BCMA-101 CAR-T cells/kg) after a standard 3-day cyclophosphamide (300 mg/m2/day) / fludarabine (30 mg/m2/day) conditioning regimen. One hundred patients are planned to be treated with P-BCMA-101. Uniquely, given the safety profile demonstrated during Phase 1, no hospital admission is required and patients may be administered P-BCMA-101 in an outpatient setting. The primary endpoints are safety and response rate by IMWG criteria. With a 100-subject sample, the Phase 2 part of the trial will have 90% power to detect a 15-percentage point improvement over a 30% response rate (based on that of the recently approved anti-CD38 antibody daratumumab), using an exact test for a binomial proportion with a 1-sided 0.05 significance level. Multiple biomarkers are being assessed including BCMA and cytokine levels, CAR-T cell kinetics, immunogenicity, T cell receptor diversity, CAR-T cell and patient gene expression (e.g. Nanostring) and others. Overall, the PRIME study is the first pivotal study of the unique P-BCMA-101 CAR-T product, and utilizes a number of novel design features. Studies are being initiated in combination with approved therapeutics and earlier lines of therapy with the intent of conducting Phase 3 trials.Funding by Poseida Therapeutics and the California Institute for Regenerative Medicine (CIRM).Costello:Takeda: Honoraria, Research Funding; Janssen: Research Funding; Celgene: Consultancy, Honoraria, Research Funding. Gregory:Poseida: Research Funding; Celgene: Speakers Bureau; Takeda: Speakers Bureau; Amgen: Speakers Bureau. Ali:Celgene: Research Funding; Poseida: Research Funding. Berdeja:Amgen Inc, BioClinica, Celgene Corporation, CRISPR Therapeutics, Bristol-Myers Squibb Company, Janssen Biotech Inc, Karyopharm Therapeutics, Kite Pharma Inc, Prothena, Servier, Takeda Oncology: Consultancy; AbbVie Inc, Amgen Inc, Acetylon Pharmaceuticals Inc, Bluebird Bio, Bristol-Myers Squibb Company, Celgene Corporation, Constellation Pharma, Curis Inc, Genentech, Glenmark Pharmaceuticals, Janssen Biotech Inc, Kesios Therapeutics, Lilly, Novartis, Poseida: Research Funding; Poseida: Research Funding. Patel:Oncopeptides, Nektar, Precision Biosciences, BMS: Consultancy; Takeda, Celgene, Janssen: Consultancy, Research Funding; Poseida Therapeutics, Cellectis, Abbvie: Research Funding. Shah:University of California, San Francisco: Employment; Genentech, Seattle Genetics, Oncopeptides, Karoypharm, Surface Oncology, Precision biosciences GSK, Nektar, Amgen, Indapta Therapeutics, Sanofi: Membership on an entity's Board of Directors or advisory committees; Indapta Therapeutics: Equity Ownership; Celgene, Janssen, Bluebird Bio, Sutro Biopharma: Research Funding; Poseida: Research Funding; Bristol-Myers Squibb: Consultancy, Honoraria, Membership on an entity's Board of Directors or advisory committees; Amgen: Consultancy, Honoraria, Membership on an entity's Board of Directors or advisory committees; Nkarta: Consultancy, Membership on an entity's Board of Directors or advisory committees; Kite: Consultancy, Membership on an entity's Board of Directors or advisory committees; Teneobio: Consultancy, Membership on an entity's Board of Directors or advisory committees. Ostertag:Poseida Therapeutics, Inc.: Employment, Equity Ownership. Martin:Poseida Therapeutics, Inc.: Employment, Equity Ownership. Ghoddusi:Poseida Therapeutics, Inc.: Employment, Equity Ownership. Shedlock:Poseida Therapeutics, Inc.: Employment, Equity Ownership. Spear:Poseida Therapeutics, Inc.: Employment, Equity Ownership. Orlowski:Poseida Therapeutics, Inc.: Research Funding. Cohen:Poseida Therapeutics, Inc.: Research Funding.","container-title":"Blood","DOI":"10.1182/blood-2019-129562","ISSN":"0006-4971","issue":"Supplement_1","journalAbbreviation":"Blood","page":"3184-3184","title":"Phase 2 Study of the Response and Safety of P-Bcma-101 CAR-T Cells in Patients with Relapsed/Refractory (r/r) Multiple Myeloma (MM) (PRIME)","volume":"134","author":[{"family":"Costello","given":"Caitlin L."},{"family":"Gregory","given":"Tara K."},{"family":"Ali","given":"Syed Abbas"},{"family":"Berdeja","given":"Jesus G."},{"family":"Patel","given":"Krina K."},{"family":"Shah","given":"Nina D."},{"family":"Ostertag","given":"Eric"},{"family":"Martin","given":"Chris"},{"family":"Ghoddusi","given":"Majid"},{"family":"Shedlock","given":"Devon J"},{"family":"Spear","given":"Matthew A."},{"family":"Orlowski","given":"Robert Z."},{"family":"Cohen","given":"Adam D."}],"issued":{"date-parts":[["2019",11,13]]}}},{"id":5809,"uris":["http://zotero.org/users/7565624/items/4PJINNM8"],"itemData":{"id":5809,"type":"article-journal","abstract":"P-BCMA-101 is a novel chimeric antigen receptor (CAR)-T cell therapeutic targeting BCMA, which is highly expressed on MM cells. It is designed to increase efficacy while minimizing toxicity through reduced immunogenicity, lack of tonic signaling, a safety switch, and a product comprised predominantly of early memory T cells that are effectively all CAR-positive. Rather than using a traditional antibody-based binder, P-BCMA-101 utilizes an anti-BCMA Centyrin™ fused to a CD3ζ/4-1BB signaling domain. Centyrins are fully human and have high binding affinities, but are smaller, more stable and potentially less immunogenic. P-BCMA-101 is produced using the piggyBac™ (PB) DNA Modification System instead of a viral vector, and requires only plasmid DNA and mRNA. This eliminates the need for virus, is less costly, and produces a purified population of CAR+ cells with a preponderance of the favorable stem cell memory T phenotype (TSCM). The higher cargo capacity permits the incorporation of other genes, a safety switch that allows for rapid depletion of product in vivo if indicated by adverse events, and a selection gene that allows for enrichment of CAR+ cells. These features are predicted to result in a greater therapeutic index. Efficacy of P-BCMA-101 in NSG mice bearing aggressive human MM.1S and p53 -/- MM.1S MM was reported (Hermanson, AACR 2016). Whereas control animals died early, tumor burden was reduced to the limit of detection after P-BCMA-101 treatment, and recurrences were spontaneously re-controlled without re-administration of product.A Phase 1, 3+3 dose escalation trial is being conducted in patients with r/r MM (≥ 3 prior lines, including a proteasome inhibitor and an IMiD, or double refractory) to assess the safety and efficacy of P-BCMA-101 (NCT03288493). No pre-specified level of BCMA expression was required. Patients are apheresed to harvest T cells, P-BCMA-101 is then manufactured and administered to patients as a single intravenous (IV) dose after a standard 3-day cyclophosphamide (300 mg/m2/day) / fludarabine (30 mg/m2/day) conditioning regimen.As of 31Jul18, 12 patients have been treated with 48, 50, 55, 118, 122, 124, 143, 155, 164, 238, 324 and 430 x 106 P-BCMA-101 CAR-T cells in 3 weight-based cohorts. Patients were heavily pre-treated (3-9 prior therapies), 100% had failed IMiDs, proteasome inhibitors and daratumumab, and 64% had high-risk cytogenetics. Nine patients have yet reached their first 2-week response assessment. All patients have shown some improvement in myeloma assessments on study, yet only 1 patient (8%) has developed any cytokine release syndrome (CRS) (limited Grade 2). Of 3 patients in the first cohort 1 attained a PR and 1 with non-secretory disease near CR of her plasmacytomas on PET/CT. Of the subsequent 6 patients, 3 patients have thus far reached a PR, 1 a VGPR, and 1 a sCR. Thus of the yet evaluable patients treated above Cohort 1, the overall response rate (ORR) is 83% (5/6), in spite of only one experiencing CRS. This CRS was scored as Grade 2, based on short-lived fever and hypotension managed with IV fluids and antibiotics, with minimal CRS marker elevations. Likewise, CRS markers were minimally elevated in other patients. The maximal IL-6 level in any patient was 86 pg/mL, which is orders of magnitude lower than levels generally reported in patients experiencing meaningful CRS after treatment with CAR-T products. No patients required treatment with tocilizumab or safety switch activation. There have been no patient deaths, and no neurotoxicity, DLTs or unexpected/off-target toxicities related to treatment. Generally, infusions were well-tolerated, with cytopenias, including transfusion requiring cytopenias and febrile neutropenia, being the most common Grade 3+ adverse events. Consistent with the hypothesis of the early memory phenotype conveying durability, circulating P-BCMA-101 cells were detected in the blood by flow and PCR, peaking at 2-3 weeks, and remaining detectable at the last timepoint tested in all patients (3 patients thus far assessed at 3 months).In conclusion, current clinical trial data in patients with r/r MM support preclinical findings that the novel design of P-BCMA-101 can produce significant efficacy, comparing favorably with other anti-BCMA CAR-T products at similar doses, with notably less CRS and no neurotoxicity, consistent with the hypothesis of an improved therapeutic index.Funding by Poseida Therapeutics and CIRM.Gregory:Poseida Therapeutics, Inc.: Research Funding. Cohen:Seattle Genetics: Consultancy; Kite Pharma: Consultancy; Oncopeptides: Consultancy; Poseida Therapeutics, Inc.: Research Funding; GlaxoSmithKline: Consultancy, Research Funding; Bristol Meyers Squibb: Consultancy, Research Funding; Celgene: Consultancy; Janssen: Consultancy; Novartis: Research Funding. Costello:Celgene: Consultancy; Poseida Therapeutics, Inc.: Research Funding; Takeda: Consultancy. Ali:Celgene Inc: Research Funding; Aduro Biotech: Consultancy, Research Funding; Amgen Inc: Consultancy; Juno: Consultancy; Takeda Oncology: Consultancy; Poseida Therapeutics: Research Funding. Berdeja:Genentech: Research Funding; Bluebird: Research Funding; Glenmark: Research Funding; Celgene: Research Funding; Takeda: Research Funding; Teva: Research Funding; Janssen: Research Funding; Sanofi: Research Funding; Novartis: Research Funding; Poseida Therapeutics, Inc.: Research Funding; Bristol-Myers Squibb: Research Funding; Amgen: Research Funding. Ostertag:Poseida Therapeutics, Inc.: Employment, Equity Ownership. Martin:Poseida Therapeutics, Inc.: Employment, Equity Ownership. Shedlock:Poseida Therapeutics, Inc.: Employment, Equity Ownership. Resler:Poseida Therapeutics, Inc.: Employment, Equity Ownership. Spear:Poseida Therapeutics, Inc.: Employment, Equity Ownership. Orlowski:Millenium Pharmaceuticals: Consultancy, Research Funding; Poseida: Research Funding; BioTheryX, Inc: Consultancy, Membership on an entity's Board of Directors or advisory committees; Bristol Myers Squibb: Consultancy; Genentech: Consultancy; Janssen Pharmaceuticals: Consultancy, Membership on an entity's Board of Directors or advisory committees; Celgene: Consultancy, Membership on an entity's Board of Directors or advisory committees; Amgen: Consultancy, Membership on an entity's Board of Directors or advisory committees, Research Funding. Patel:Poseida Therapeutics, Inc.: Research Funding; Takeda: Research Funding; Abbvie: Research Funding; Celgene: Research Funding.","container-title":"Blood","DOI":"10.1182/blood-2018-99-111419","ISSN":"0006-4971","issue":"Supplement 1","journalAbbreviation":"Blood","page":"1012","source":"Silverchair","title":"Efficacy and Safety of P-Bcma-101 CAR-T Cells in Patients with Relapsed/Refractory (r/r) Multiple Myeloma (MM)","volume":"132","author":[{"family":"Gregory","given":"Tara"},{"family":"Cohen","given":"Adam D."},{"family":"Costello","given":"Caitlin L."},{"family":"Ali","given":"Syed Abbas"},{"family":"Berdeja","given":"Jesus G."},{"family":"Ostertag","given":"Eric M"},{"family":"Martin","given":"Christopher"},{"family":"Shedlock","given":"Devon J"},{"family":"Resler","given":"Michelle Lynn"},{"family":"Spear","given":"Matthew A."},{"family":"Orlowski","given":"Robert Z."},{"family":"Patel","given":"Krina K."}],"issued":{"date-parts":[["2018",11,29]]}}}],"schema":"https://github.com/citation-style-language/schema/raw/master/csl-citation.json"}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[17,18]</w:t>
            </w:r>
            <w:r w:rsidRPr="00E06DFC">
              <w:rPr>
                <w:rFonts w:ascii="Times New Roman" w:hAnsi="Times New Roman" w:cs="Times New Roman"/>
                <w:sz w:val="20"/>
                <w:szCs w:val="20"/>
                <w:lang w:val="en-US"/>
              </w:rPr>
              <w:fldChar w:fldCharType="end"/>
            </w:r>
          </w:p>
        </w:tc>
      </w:tr>
      <w:tr w:rsidR="00E06DFC" w:rsidRPr="00E06DFC" w14:paraId="28F8AB92" w14:textId="77777777" w:rsidTr="00E06DFC">
        <w:tc>
          <w:tcPr>
            <w:tcW w:w="1277" w:type="dxa"/>
          </w:tcPr>
          <w:p w14:paraId="3E407B23" w14:textId="77777777" w:rsidR="00E06DFC" w:rsidRPr="00E06DFC" w:rsidRDefault="00E06DFC" w:rsidP="00E6447E">
            <w:pPr>
              <w:rPr>
                <w:rFonts w:ascii="Times New Roman" w:hAnsi="Times New Roman" w:cs="Times New Roman"/>
                <w:sz w:val="20"/>
                <w:szCs w:val="20"/>
                <w:lang w:val="en-US"/>
              </w:rPr>
            </w:pPr>
          </w:p>
        </w:tc>
        <w:tc>
          <w:tcPr>
            <w:tcW w:w="1134" w:type="dxa"/>
          </w:tcPr>
          <w:p w14:paraId="4AC0BF9C" w14:textId="2CF87312" w:rsidR="00E06DFC" w:rsidRPr="00E06DFC" w:rsidRDefault="00E06DFC" w:rsidP="00E6447E">
            <w:pPr>
              <w:rPr>
                <w:rFonts w:ascii="Times New Roman" w:hAnsi="Times New Roman" w:cs="Times New Roman"/>
                <w:color w:val="212121"/>
                <w:sz w:val="20"/>
                <w:szCs w:val="20"/>
              </w:rPr>
            </w:pPr>
            <w:r w:rsidRPr="00E06DFC">
              <w:rPr>
                <w:rFonts w:ascii="Times New Roman" w:hAnsi="Times New Roman" w:cs="Times New Roman"/>
                <w:color w:val="212121"/>
                <w:sz w:val="20"/>
                <w:szCs w:val="20"/>
              </w:rPr>
              <w:t>Ischemic heart disease</w:t>
            </w:r>
          </w:p>
        </w:tc>
        <w:tc>
          <w:tcPr>
            <w:tcW w:w="1276" w:type="dxa"/>
          </w:tcPr>
          <w:p w14:paraId="5F83B1F7" w14:textId="36B7F183" w:rsidR="00E06DFC" w:rsidRPr="00E06DFC" w:rsidRDefault="00E06DFC" w:rsidP="00E6447E">
            <w:pPr>
              <w:rPr>
                <w:rFonts w:ascii="Times New Roman" w:hAnsi="Times New Roman" w:cs="Times New Roman"/>
                <w:color w:val="222222"/>
                <w:sz w:val="20"/>
                <w:szCs w:val="20"/>
                <w:shd w:val="clear" w:color="auto" w:fill="FFFFFF"/>
              </w:rPr>
            </w:pPr>
            <w:r w:rsidRPr="00E06DFC">
              <w:rPr>
                <w:rFonts w:ascii="Times New Roman" w:hAnsi="Times New Roman" w:cs="Times New Roman"/>
                <w:color w:val="212121"/>
                <w:sz w:val="20"/>
                <w:szCs w:val="20"/>
                <w:shd w:val="clear" w:color="auto" w:fill="FFFFFF"/>
              </w:rPr>
              <w:t xml:space="preserve">vascular endothelial </w:t>
            </w:r>
            <w:r w:rsidRPr="00E06DFC">
              <w:rPr>
                <w:rFonts w:ascii="Times New Roman" w:hAnsi="Times New Roman" w:cs="Times New Roman"/>
                <w:color w:val="212121"/>
                <w:sz w:val="20"/>
                <w:szCs w:val="20"/>
                <w:shd w:val="clear" w:color="auto" w:fill="FFFFFF"/>
              </w:rPr>
              <w:lastRenderedPageBreak/>
              <w:t>growth factor A</w:t>
            </w:r>
          </w:p>
        </w:tc>
        <w:tc>
          <w:tcPr>
            <w:tcW w:w="1559" w:type="dxa"/>
          </w:tcPr>
          <w:p w14:paraId="5A4F38F4" w14:textId="63F60598"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lastRenderedPageBreak/>
              <w:t>Moderna/AstraZeneca</w:t>
            </w:r>
          </w:p>
        </w:tc>
        <w:tc>
          <w:tcPr>
            <w:tcW w:w="1559" w:type="dxa"/>
          </w:tcPr>
          <w:p w14:paraId="2C48DBE2" w14:textId="3AD9E90E" w:rsidR="00E06DFC" w:rsidRPr="00E06DFC" w:rsidRDefault="00E06DFC" w:rsidP="00E6447E">
            <w:pPr>
              <w:rPr>
                <w:rFonts w:ascii="Times New Roman" w:hAnsi="Times New Roman" w:cs="Times New Roman"/>
                <w:color w:val="212121"/>
                <w:sz w:val="20"/>
                <w:szCs w:val="20"/>
                <w:shd w:val="clear" w:color="auto" w:fill="FFFCF0"/>
              </w:rPr>
            </w:pPr>
            <w:r w:rsidRPr="00E06DFC">
              <w:rPr>
                <w:rFonts w:ascii="Times New Roman" w:hAnsi="Times New Roman" w:cs="Times New Roman"/>
                <w:color w:val="212121"/>
                <w:sz w:val="20"/>
                <w:szCs w:val="20"/>
                <w:shd w:val="clear" w:color="auto" w:fill="FFFCF0"/>
              </w:rPr>
              <w:t>AZD8601</w:t>
            </w:r>
          </w:p>
        </w:tc>
        <w:tc>
          <w:tcPr>
            <w:tcW w:w="2126" w:type="dxa"/>
          </w:tcPr>
          <w:p w14:paraId="78F854BD" w14:textId="219714DD"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Phase II:</w:t>
            </w:r>
            <w:r w:rsidRPr="00E06DFC">
              <w:rPr>
                <w:rFonts w:ascii="Times New Roman" w:hAnsi="Times New Roman" w:cs="Times New Roman"/>
                <w:color w:val="000000"/>
                <w:sz w:val="20"/>
                <w:szCs w:val="20"/>
                <w:shd w:val="clear" w:color="auto" w:fill="FFFFFF"/>
              </w:rPr>
              <w:t xml:space="preserve"> NCT03370887</w:t>
            </w:r>
            <w:r w:rsidRPr="00E06DFC">
              <w:rPr>
                <w:rFonts w:ascii="Times New Roman" w:hAnsi="Times New Roman" w:cs="Times New Roman"/>
                <w:color w:val="000000"/>
                <w:sz w:val="20"/>
                <w:szCs w:val="20"/>
                <w:shd w:val="clear" w:color="auto" w:fill="FFFFFF"/>
                <w:lang w:val="en-US"/>
              </w:rPr>
              <w:t xml:space="preserve"> (2018-2021)</w:t>
            </w:r>
          </w:p>
        </w:tc>
        <w:tc>
          <w:tcPr>
            <w:tcW w:w="1559" w:type="dxa"/>
          </w:tcPr>
          <w:p w14:paraId="69D7DB35" w14:textId="0DC5347A" w:rsidR="00E06DFC" w:rsidRPr="00E06DFC" w:rsidRDefault="00E06DFC" w:rsidP="00E6447E">
            <w:pPr>
              <w:rPr>
                <w:rFonts w:ascii="Times New Roman" w:hAnsi="Times New Roman" w:cs="Times New Roman"/>
                <w:sz w:val="20"/>
                <w:szCs w:val="20"/>
                <w:lang w:val="en-US"/>
              </w:rPr>
            </w:pPr>
          </w:p>
        </w:tc>
        <w:tc>
          <w:tcPr>
            <w:tcW w:w="1418" w:type="dxa"/>
          </w:tcPr>
          <w:p w14:paraId="19016689" w14:textId="77777777" w:rsidR="00E06DFC" w:rsidRPr="00E06DFC" w:rsidRDefault="00E06DFC" w:rsidP="00E6447E">
            <w:pPr>
              <w:rPr>
                <w:rFonts w:ascii="Times New Roman" w:hAnsi="Times New Roman" w:cs="Times New Roman"/>
                <w:sz w:val="20"/>
                <w:szCs w:val="20"/>
                <w:lang w:val="en-US"/>
              </w:rPr>
            </w:pPr>
          </w:p>
        </w:tc>
        <w:tc>
          <w:tcPr>
            <w:tcW w:w="1134" w:type="dxa"/>
          </w:tcPr>
          <w:p w14:paraId="65C746EC" w14:textId="3E36BE58"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{"citationID":"lr2ab39d","properties":{"formattedCitation":"[19,20]","plainCitation":"[19,20]","noteIndex":0},"citationItems":[{"id":5721,"uris":["http://zotero.org/users/7565624/items/FFZJGFRV"],"itemData":{"id":5721,"type":"article-journal","abstract":"Therapeutic angiogenesis may improve outcomes in patients with coronary artery disease undergoing surgical revascularization. Angiogenic factors may promote blood vessel growth and regenerate regions of ischemic but viable myocardium. Previous clinical trials of vascular endothelial growth factor A (VEGF-A) gene therapy with DNA or viral vectors demonstrated safety but not efficacy. AZD8601 is VEGF-A165 mRNA formulated in biocompatible citrate-buffered saline and optimized for high-efficiency VEGF-A expression with minimal innate immune response. EPICCURE is an ongoing randomized, double-blind, placebo-controlled study of the safety of AZD8601 in patients with moderately decreased left ventricular function (ejection fraction 30%-50%) undergoing elective coronary artery bypass surgery. AZD8601 3 mg, 30 mg, or placebo is administered as 30 epicardial injections in a 10-min extension of cardioplegia. Injections are targeted to ischemic but viable myocardial regions in each patient using quantitative 15O-water positron emission tomography (PET) imaging (stress myocardial blood flow &lt; 2.3 mL/g/min; resting myocardial blood flow &gt; 0.6 mL/g/min). Improvement in regional and global myocardial blood flow quantified with 15O-water PET is an exploratory efficacy outcome, together with echocardiographic, clinical, functional, and biomarker measures. EPICCURE combines high-efficiency delivery with quantitative targeting and follow-up for robust assessment of the safety and exploratory efficacy of VEGF-A mRNA angiogenesis (ClinicalTrials.gov: NCT03370887).","container-title":"Molecular Therapy. Methods &amp; Clinical Development","DOI":"10.1016/j.omtm.2020.05.030","ISSN":"2329-0501","journalAbbreviation":"Mol Ther Methods Clin Dev","language":"eng","note":"PMID: 32728595\nPMCID: PMC7369517","page":"464-472","source":"PubMed","title":"Synthetic mRNA Encoding VEGF-A in Patients Undergoing Coronary Artery Bypass Grafting: Design of a Phase 2a Clinical Trial","title-short":"Synthetic mRNA Encoding VEGF-A in Patients Undergoing Coronary Artery Bypass Grafting","volume":"18","author":[{"family":"Anttila","given":"Vesa"},{"family":"Saraste","given":"Antti"},{"family":"Knuuti","given":"Juhani"},{"family":"Jaakkola","given":"Pekka"},{"family":"Hedman","given":"Marja"},{"family":"Svedlund","given":"Sara"},{"family":"Lagerström-Fermér","given":"Maria"},{"family":"Kjaer","given":"Magnus"},{"family":"Jeppsson","given":"Anders"},{"family":"Gan","given":"Li-Ming"}],"issued":{"date-parts":[["2020",9,11]]}}},{"id":5729,"uris":["http://zotero.org/users/7565624/items/NIZNDCDI"],"itemData":{"id":5729,"type":"article-journal","container-title":"Circulation","DOI":"10.1161/CIR.0000000000001041","issue":"25","note":"publisher: American Heart Association","page":"e564-e593","source":"ahajournals.org (Atypon)","title":"Late-Breaking Science Abstracts and Featured Science Abstracts From the American Heart Association's Scientific Sessions 2021 and Late-Breaking Abstracts in Resuscitation Science From the Resuscitation Science Symposium 2021","volume":"144","issued":{"date-parts":[["2021",12,21]]}}}],"schema":"https://github.com/citation-style-language/schema/raw/master/csl-citation.json"}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[19,20]</w:t>
            </w:r>
            <w:r w:rsidRPr="00E06DFC">
              <w:rPr>
                <w:rFonts w:ascii="Times New Roman" w:hAnsi="Times New Roman" w:cs="Times New Roman"/>
                <w:sz w:val="20"/>
                <w:szCs w:val="20"/>
                <w:lang w:val="en-US"/>
              </w:rPr>
              <w:fldChar w:fldCharType="end"/>
            </w:r>
          </w:p>
        </w:tc>
      </w:tr>
      <w:tr w:rsidR="00E06DFC" w:rsidRPr="00E06DFC" w14:paraId="02706592" w14:textId="77777777" w:rsidTr="00E06DFC">
        <w:tc>
          <w:tcPr>
            <w:tcW w:w="1277" w:type="dxa"/>
          </w:tcPr>
          <w:p w14:paraId="6BDA4DA4" w14:textId="77777777" w:rsidR="00E06DFC" w:rsidRPr="00E06DFC" w:rsidRDefault="00E06DFC" w:rsidP="00E6447E">
            <w:pPr>
              <w:rPr>
                <w:rFonts w:ascii="Times New Roman" w:hAnsi="Times New Roman" w:cs="Times New Roman"/>
                <w:sz w:val="20"/>
                <w:szCs w:val="20"/>
                <w:lang w:val="en-US"/>
              </w:rPr>
            </w:pPr>
          </w:p>
        </w:tc>
        <w:tc>
          <w:tcPr>
            <w:tcW w:w="1134" w:type="dxa"/>
          </w:tcPr>
          <w:p w14:paraId="30E1806B" w14:textId="60C610F9" w:rsidR="00E06DFC" w:rsidRPr="00E06DFC" w:rsidRDefault="00E06DFC" w:rsidP="00E6447E">
            <w:pPr>
              <w:rPr>
                <w:rFonts w:ascii="Times New Roman" w:hAnsi="Times New Roman" w:cs="Times New Roman"/>
                <w:color w:val="212121"/>
                <w:sz w:val="20"/>
                <w:szCs w:val="20"/>
                <w:lang w:val="en-US"/>
              </w:rPr>
            </w:pPr>
            <w:r w:rsidRPr="00E06DFC">
              <w:rPr>
                <w:rFonts w:ascii="Times New Roman" w:hAnsi="Times New Roman" w:cs="Times New Roman"/>
                <w:color w:val="212121"/>
                <w:sz w:val="20"/>
                <w:szCs w:val="20"/>
                <w:lang w:val="en-US"/>
              </w:rPr>
              <w:t>Type II diabetes</w:t>
            </w:r>
          </w:p>
        </w:tc>
        <w:tc>
          <w:tcPr>
            <w:tcW w:w="1276" w:type="dxa"/>
          </w:tcPr>
          <w:p w14:paraId="56085BD1" w14:textId="77777777" w:rsidR="00E06DFC" w:rsidRPr="00E06DFC" w:rsidRDefault="00E06DFC" w:rsidP="00E6447E">
            <w:pPr>
              <w:rPr>
                <w:rFonts w:ascii="Times New Roman" w:hAnsi="Times New Roman" w:cs="Times New Roman"/>
                <w:color w:val="212121"/>
                <w:sz w:val="20"/>
                <w:szCs w:val="20"/>
                <w:shd w:val="clear" w:color="auto" w:fill="FFFFFF"/>
              </w:rPr>
            </w:pPr>
          </w:p>
        </w:tc>
        <w:tc>
          <w:tcPr>
            <w:tcW w:w="1559" w:type="dxa"/>
          </w:tcPr>
          <w:p w14:paraId="19B73DB1" w14:textId="77777777" w:rsidR="00E06DFC" w:rsidRPr="00E06DFC" w:rsidRDefault="00E06DFC" w:rsidP="00E6447E">
            <w:pPr>
              <w:rPr>
                <w:rFonts w:ascii="Times New Roman" w:hAnsi="Times New Roman" w:cs="Times New Roman"/>
                <w:color w:val="212121"/>
                <w:sz w:val="20"/>
                <w:szCs w:val="20"/>
                <w:shd w:val="clear" w:color="auto" w:fill="FFFCF0"/>
                <w:lang w:val="en-US"/>
              </w:rPr>
            </w:pPr>
          </w:p>
        </w:tc>
        <w:tc>
          <w:tcPr>
            <w:tcW w:w="1559" w:type="dxa"/>
          </w:tcPr>
          <w:p w14:paraId="25C65DD5" w14:textId="526C8D39" w:rsidR="00E06DFC" w:rsidRPr="00E06DFC" w:rsidRDefault="00E06DFC" w:rsidP="00E6447E">
            <w:pPr>
              <w:rPr>
                <w:rFonts w:ascii="Times New Roman" w:hAnsi="Times New Roman" w:cs="Times New Roman"/>
                <w:color w:val="212121"/>
                <w:sz w:val="20"/>
                <w:szCs w:val="20"/>
                <w:shd w:val="clear" w:color="auto" w:fill="FFFCF0"/>
                <w:lang w:val="en-US"/>
              </w:rPr>
            </w:pPr>
            <w:r w:rsidRPr="00E06DFC">
              <w:rPr>
                <w:rFonts w:ascii="Times New Roman" w:hAnsi="Times New Roman" w:cs="Times New Roman"/>
                <w:color w:val="212121"/>
                <w:sz w:val="20"/>
                <w:szCs w:val="20"/>
                <w:shd w:val="clear" w:color="auto" w:fill="FFFCF0"/>
                <w:lang w:val="en-US"/>
              </w:rPr>
              <w:t>AZD8601</w:t>
            </w:r>
          </w:p>
        </w:tc>
        <w:tc>
          <w:tcPr>
            <w:tcW w:w="2126" w:type="dxa"/>
          </w:tcPr>
          <w:p w14:paraId="7490F41A" w14:textId="3323B126" w:rsidR="00E06DFC" w:rsidRPr="00E06DFC" w:rsidRDefault="00E06DFC" w:rsidP="00E6447E">
            <w:pPr>
              <w:rPr>
                <w:rFonts w:ascii="Times New Roman" w:hAnsi="Times New Roman" w:cs="Times New Roman"/>
                <w:color w:val="000000"/>
                <w:sz w:val="20"/>
                <w:szCs w:val="20"/>
                <w:shd w:val="clear" w:color="auto" w:fill="FFFFFF"/>
                <w:lang w:val="en-US"/>
              </w:rPr>
            </w:pPr>
            <w:r w:rsidRPr="00E06DFC">
              <w:rPr>
                <w:rFonts w:ascii="Times New Roman" w:hAnsi="Times New Roman" w:cs="Times New Roman"/>
                <w:color w:val="000000"/>
                <w:sz w:val="20"/>
                <w:szCs w:val="20"/>
                <w:shd w:val="clear" w:color="auto" w:fill="FFFFFF"/>
                <w:lang w:val="en-US"/>
              </w:rPr>
              <w:t xml:space="preserve">Phase I: </w:t>
            </w:r>
            <w:r w:rsidRPr="00E06DFC">
              <w:rPr>
                <w:rFonts w:ascii="Times New Roman" w:hAnsi="Times New Roman" w:cs="Times New Roman"/>
                <w:color w:val="000000"/>
                <w:sz w:val="20"/>
                <w:szCs w:val="20"/>
                <w:shd w:val="clear" w:color="auto" w:fill="FFFFFF"/>
              </w:rPr>
              <w:t>NCT02935712</w:t>
            </w:r>
            <w:r w:rsidRPr="00E06DFC">
              <w:rPr>
                <w:rFonts w:ascii="Times New Roman" w:hAnsi="Times New Roman" w:cs="Times New Roman"/>
                <w:color w:val="000000"/>
                <w:sz w:val="20"/>
                <w:szCs w:val="20"/>
                <w:shd w:val="clear" w:color="auto" w:fill="FFFFFF"/>
                <w:lang w:val="en-US"/>
              </w:rPr>
              <w:t xml:space="preserve"> (2017-2018)</w:t>
            </w:r>
          </w:p>
        </w:tc>
        <w:tc>
          <w:tcPr>
            <w:tcW w:w="1559" w:type="dxa"/>
          </w:tcPr>
          <w:p w14:paraId="77F17DCE" w14:textId="77777777" w:rsidR="00E06DFC" w:rsidRPr="00E06DFC" w:rsidRDefault="00E06DFC" w:rsidP="00E6447E">
            <w:pPr>
              <w:rPr>
                <w:rFonts w:ascii="Times New Roman" w:hAnsi="Times New Roman" w:cs="Times New Roman"/>
                <w:sz w:val="20"/>
                <w:szCs w:val="20"/>
                <w:lang w:val="en-US"/>
              </w:rPr>
            </w:pPr>
          </w:p>
        </w:tc>
        <w:tc>
          <w:tcPr>
            <w:tcW w:w="1418" w:type="dxa"/>
          </w:tcPr>
          <w:p w14:paraId="06744B7D" w14:textId="41102875"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t>Injection site reactions</w:t>
            </w:r>
          </w:p>
        </w:tc>
        <w:tc>
          <w:tcPr>
            <w:tcW w:w="1134" w:type="dxa"/>
          </w:tcPr>
          <w:p w14:paraId="3680B36E" w14:textId="1A716494" w:rsidR="00E06DFC" w:rsidRPr="00E06DFC" w:rsidRDefault="00E06DFC" w:rsidP="00E6447E">
            <w:pPr>
              <w:rPr>
                <w:rFonts w:ascii="Times New Roman" w:hAnsi="Times New Roman" w:cs="Times New Roman"/>
                <w:sz w:val="20"/>
                <w:szCs w:val="20"/>
                <w:lang w:val="en-US"/>
              </w:rPr>
            </w:pPr>
            <w:r w:rsidRPr="00E06DFC">
              <w:rPr>
                <w:rFonts w:ascii="Times New Roman" w:hAnsi="Times New Roman" w:cs="Times New Roman"/>
                <w:sz w:val="20"/>
                <w:szCs w:val="20"/>
                <w:lang w:val="en-US"/>
              </w:rPr>
              <w:fldChar w:fldCharType="begin"/>
            </w:r>
            <w:r w:rsidR="008B154A">
              <w:rPr>
                <w:rFonts w:ascii="Times New Roman" w:hAnsi="Times New Roman" w:cs="Times New Roman"/>
                <w:sz w:val="20"/>
                <w:szCs w:val="20"/>
                <w:lang w:val="en-US"/>
              </w:rPr>
              <w:instrText xml:space="preserve"> ADDIN ZOTERO_ITEM CSL_CITATION {"citationID":"jztZ1Nyb","properties":{"formattedCitation":"[21]","plainCitation":"[21]","noteIndex":0},"citationItems":[{"id":5726,"uris":["http://zotero.org/users/7565624/items/6KD3C2DH"],"itemData":{"id":5726,"type":"article-journal","abstract":"Chemically modified mRNA is a new approach for therapeutic protein expression that could be applied to angiogenesis. Here the authors show in a phase 1 clinical trial that a modified mRNA encoding VEGF-A is well tolerated in patients with type 2 diabetes.","container-title":"Nature Communications","DOI":"10.1038/s41467-019-08852-4","ISSN":"2041-1723","issue":"1","journalAbbreviation":"Nat Commun","language":"en","license":"2019 The Author(s)","note":"number: 1\npublisher: Nature Publishing Group","page":"1-9","source":"www.nature.com","title":"Intradermal delivery of modified mRNA encoding VEGF-A in patients with type 2 diabetes","volume":"10","author":[{"family":"Gan","given":"Li-Ming"},{"family":"Lagerström-Fermér","given":"Maria"},{"family":"Carlsson","given":"Leif G."},{"family":"Arfvidsson","given":"Cecilia"},{"family":"Egnell","given":"Ann-Charlotte"},{"family":"Rudvik","given":"Anna"},{"family":"Kjaer","given":"Magnus"},{"family":"Collén","given":"Anna"},{"family":"Thompson","given":"James D."},{"family":"Joyal","given":"John"},{"family":"Chialda","given":"Ligia"},{"family":"Koernicke","given":"Thomas"},{"family":"Fuhr","given":"Rainard"},{"family":"Chien","given":"Kenneth R."},{"family":"Fritsche-Danielson","given":"Regina"}],"issued":{"date-parts":[["2019",2,20]]}}}],"schema":"https://github.com/citation-style-language/schema/raw/master/csl-citation.json"} </w:instrText>
            </w:r>
            <w:r w:rsidRPr="00E06DFC">
              <w:rPr>
                <w:rFonts w:ascii="Times New Roman" w:hAnsi="Times New Roman" w:cs="Times New Roman"/>
                <w:sz w:val="20"/>
                <w:szCs w:val="20"/>
                <w:lang w:val="en-US"/>
              </w:rPr>
              <w:fldChar w:fldCharType="separate"/>
            </w:r>
            <w:r w:rsidR="008B154A" w:rsidRPr="008B154A">
              <w:rPr>
                <w:rFonts w:ascii="Times New Roman" w:hAnsi="Times New Roman" w:cs="Times New Roman"/>
                <w:sz w:val="20"/>
              </w:rPr>
              <w:t>[21]</w:t>
            </w:r>
            <w:r w:rsidRPr="00E06DFC">
              <w:rPr>
                <w:rFonts w:ascii="Times New Roman" w:hAnsi="Times New Roman" w:cs="Times New Roman"/>
                <w:sz w:val="20"/>
                <w:szCs w:val="20"/>
                <w:lang w:val="en-US"/>
              </w:rPr>
              <w:fldChar w:fldCharType="end"/>
            </w:r>
          </w:p>
        </w:tc>
      </w:tr>
    </w:tbl>
    <w:p w14:paraId="4B0177DC" w14:textId="4E4961C9" w:rsidR="00CC2AA1" w:rsidRPr="00CB1FD1" w:rsidRDefault="00CC2AA1">
      <w:pPr>
        <w:rPr>
          <w:lang w:val="en-US"/>
        </w:rPr>
      </w:pPr>
    </w:p>
    <w:p w14:paraId="319F41C7" w14:textId="77777777" w:rsidR="008B154A" w:rsidRPr="008B154A" w:rsidRDefault="00637246" w:rsidP="008B154A">
      <w:pPr>
        <w:pStyle w:val="Bibliography"/>
        <w:rPr>
          <w:rFonts w:ascii="Calibri" w:hAnsi="Calibri" w:cs="Calibri"/>
        </w:rPr>
      </w:pPr>
      <w:r>
        <w:rPr>
          <w:lang w:val="en-GB"/>
        </w:rPr>
        <w:fldChar w:fldCharType="begin"/>
      </w:r>
      <w:r w:rsidR="008B154A">
        <w:rPr>
          <w:lang w:val="en-US"/>
        </w:rPr>
        <w:instrText xml:space="preserve"> ADDIN ZOTERO_BIBL {"uncited":[],"omitted":[],"custom":[]} CSL_BIBLIOGRAPHY </w:instrText>
      </w:r>
      <w:r>
        <w:rPr>
          <w:lang w:val="en-GB"/>
        </w:rPr>
        <w:fldChar w:fldCharType="separate"/>
      </w:r>
      <w:r w:rsidR="008B154A" w:rsidRPr="008B154A">
        <w:rPr>
          <w:rFonts w:ascii="Calibri" w:hAnsi="Calibri" w:cs="Calibri"/>
        </w:rPr>
        <w:t xml:space="preserve">1 </w:t>
      </w:r>
      <w:r w:rsidR="008B154A" w:rsidRPr="008B154A">
        <w:rPr>
          <w:rFonts w:ascii="Calibri" w:hAnsi="Calibri" w:cs="Calibri"/>
        </w:rPr>
        <w:tab/>
        <w:t xml:space="preserve">Suhr OB, Coelho T, </w:t>
      </w:r>
      <w:proofErr w:type="spellStart"/>
      <w:r w:rsidR="008B154A" w:rsidRPr="008B154A">
        <w:rPr>
          <w:rFonts w:ascii="Calibri" w:hAnsi="Calibri" w:cs="Calibri"/>
        </w:rPr>
        <w:t>Buades</w:t>
      </w:r>
      <w:proofErr w:type="spellEnd"/>
      <w:r w:rsidR="008B154A" w:rsidRPr="008B154A">
        <w:rPr>
          <w:rFonts w:ascii="Calibri" w:hAnsi="Calibri" w:cs="Calibri"/>
        </w:rPr>
        <w:t xml:space="preserve"> J, </w:t>
      </w:r>
      <w:r w:rsidR="008B154A" w:rsidRPr="008B154A">
        <w:rPr>
          <w:rFonts w:ascii="Calibri" w:hAnsi="Calibri" w:cs="Calibri"/>
          <w:i/>
          <w:iCs/>
        </w:rPr>
        <w:t>et al.</w:t>
      </w:r>
      <w:r w:rsidR="008B154A" w:rsidRPr="008B154A">
        <w:rPr>
          <w:rFonts w:ascii="Calibri" w:hAnsi="Calibri" w:cs="Calibri"/>
        </w:rPr>
        <w:t xml:space="preserve"> Efficacy and safety of </w:t>
      </w:r>
      <w:proofErr w:type="spellStart"/>
      <w:r w:rsidR="008B154A" w:rsidRPr="008B154A">
        <w:rPr>
          <w:rFonts w:ascii="Calibri" w:hAnsi="Calibri" w:cs="Calibri"/>
        </w:rPr>
        <w:t>patisiran</w:t>
      </w:r>
      <w:proofErr w:type="spellEnd"/>
      <w:r w:rsidR="008B154A" w:rsidRPr="008B154A">
        <w:rPr>
          <w:rFonts w:ascii="Calibri" w:hAnsi="Calibri" w:cs="Calibri"/>
        </w:rPr>
        <w:t xml:space="preserve"> for familial amyloidotic polyneuropathy: a phase II multi-dose study. </w:t>
      </w:r>
      <w:proofErr w:type="spellStart"/>
      <w:r w:rsidR="008B154A" w:rsidRPr="008B154A">
        <w:rPr>
          <w:rFonts w:ascii="Calibri" w:hAnsi="Calibri" w:cs="Calibri"/>
          <w:i/>
          <w:iCs/>
        </w:rPr>
        <w:t>Orphanet</w:t>
      </w:r>
      <w:proofErr w:type="spellEnd"/>
      <w:r w:rsidR="008B154A" w:rsidRPr="008B154A">
        <w:rPr>
          <w:rFonts w:ascii="Calibri" w:hAnsi="Calibri" w:cs="Calibri"/>
          <w:i/>
          <w:iCs/>
        </w:rPr>
        <w:t xml:space="preserve"> J Rare Dis</w:t>
      </w:r>
      <w:r w:rsidR="008B154A" w:rsidRPr="008B154A">
        <w:rPr>
          <w:rFonts w:ascii="Calibri" w:hAnsi="Calibri" w:cs="Calibri"/>
        </w:rPr>
        <w:t xml:space="preserve"> </w:t>
      </w:r>
      <w:proofErr w:type="gramStart"/>
      <w:r w:rsidR="008B154A" w:rsidRPr="008B154A">
        <w:rPr>
          <w:rFonts w:ascii="Calibri" w:hAnsi="Calibri" w:cs="Calibri"/>
        </w:rPr>
        <w:t>2015;</w:t>
      </w:r>
      <w:r w:rsidR="008B154A" w:rsidRPr="008B154A">
        <w:rPr>
          <w:rFonts w:ascii="Calibri" w:hAnsi="Calibri" w:cs="Calibri"/>
          <w:b/>
          <w:bCs/>
        </w:rPr>
        <w:t>10</w:t>
      </w:r>
      <w:r w:rsidR="008B154A" w:rsidRPr="008B154A">
        <w:rPr>
          <w:rFonts w:ascii="Calibri" w:hAnsi="Calibri" w:cs="Calibri"/>
        </w:rPr>
        <w:t>:109</w:t>
      </w:r>
      <w:proofErr w:type="gramEnd"/>
      <w:r w:rsidR="008B154A" w:rsidRPr="008B154A">
        <w:rPr>
          <w:rFonts w:ascii="Calibri" w:hAnsi="Calibri" w:cs="Calibri"/>
        </w:rPr>
        <w:t>. doi:10.1186/s13023-015-0326-6</w:t>
      </w:r>
    </w:p>
    <w:p w14:paraId="45AB4D41" w14:textId="77777777" w:rsidR="008B154A" w:rsidRPr="008B154A" w:rsidRDefault="008B154A" w:rsidP="008B154A">
      <w:pPr>
        <w:pStyle w:val="Bibliography"/>
        <w:rPr>
          <w:rFonts w:ascii="Calibri" w:hAnsi="Calibri" w:cs="Calibri"/>
        </w:rPr>
      </w:pPr>
      <w:r w:rsidRPr="008B154A">
        <w:rPr>
          <w:rFonts w:ascii="Calibri" w:hAnsi="Calibri" w:cs="Calibri"/>
        </w:rPr>
        <w:t xml:space="preserve">2 </w:t>
      </w:r>
      <w:r w:rsidRPr="008B154A">
        <w:rPr>
          <w:rFonts w:ascii="Calibri" w:hAnsi="Calibri" w:cs="Calibri"/>
        </w:rPr>
        <w:tab/>
      </w:r>
      <w:proofErr w:type="spellStart"/>
      <w:r w:rsidRPr="008B154A">
        <w:rPr>
          <w:rFonts w:ascii="Calibri" w:hAnsi="Calibri" w:cs="Calibri"/>
        </w:rPr>
        <w:t>Balwani</w:t>
      </w:r>
      <w:proofErr w:type="spellEnd"/>
      <w:r w:rsidRPr="008B154A">
        <w:rPr>
          <w:rFonts w:ascii="Calibri" w:hAnsi="Calibri" w:cs="Calibri"/>
        </w:rPr>
        <w:t xml:space="preserve"> M, </w:t>
      </w:r>
      <w:proofErr w:type="spellStart"/>
      <w:r w:rsidRPr="008B154A">
        <w:rPr>
          <w:rFonts w:ascii="Calibri" w:hAnsi="Calibri" w:cs="Calibri"/>
        </w:rPr>
        <w:t>Sardh</w:t>
      </w:r>
      <w:proofErr w:type="spellEnd"/>
      <w:r w:rsidRPr="008B154A">
        <w:rPr>
          <w:rFonts w:ascii="Calibri" w:hAnsi="Calibri" w:cs="Calibri"/>
        </w:rPr>
        <w:t xml:space="preserve"> E, Ventura P, </w:t>
      </w:r>
      <w:r w:rsidRPr="008B154A">
        <w:rPr>
          <w:rFonts w:ascii="Calibri" w:hAnsi="Calibri" w:cs="Calibri"/>
          <w:i/>
          <w:iCs/>
        </w:rPr>
        <w:t>et al.</w:t>
      </w:r>
      <w:r w:rsidRPr="008B154A">
        <w:rPr>
          <w:rFonts w:ascii="Calibri" w:hAnsi="Calibri" w:cs="Calibri"/>
        </w:rPr>
        <w:t xml:space="preserve"> Phase 3 Trial of RNAi Therapeutic </w:t>
      </w:r>
      <w:proofErr w:type="spellStart"/>
      <w:r w:rsidRPr="008B154A">
        <w:rPr>
          <w:rFonts w:ascii="Calibri" w:hAnsi="Calibri" w:cs="Calibri"/>
        </w:rPr>
        <w:t>Givosiran</w:t>
      </w:r>
      <w:proofErr w:type="spellEnd"/>
      <w:r w:rsidRPr="008B154A">
        <w:rPr>
          <w:rFonts w:ascii="Calibri" w:hAnsi="Calibri" w:cs="Calibri"/>
        </w:rPr>
        <w:t xml:space="preserve"> for Acute Intermittent Porphyria. </w:t>
      </w:r>
      <w:r w:rsidRPr="008B154A">
        <w:rPr>
          <w:rFonts w:ascii="Calibri" w:hAnsi="Calibri" w:cs="Calibri"/>
          <w:i/>
          <w:iCs/>
        </w:rPr>
        <w:t xml:space="preserve">N </w:t>
      </w:r>
      <w:proofErr w:type="spellStart"/>
      <w:r w:rsidRPr="008B154A">
        <w:rPr>
          <w:rFonts w:ascii="Calibri" w:hAnsi="Calibri" w:cs="Calibri"/>
          <w:i/>
          <w:iCs/>
        </w:rPr>
        <w:t>Engl</w:t>
      </w:r>
      <w:proofErr w:type="spellEnd"/>
      <w:r w:rsidRPr="008B154A">
        <w:rPr>
          <w:rFonts w:ascii="Calibri" w:hAnsi="Calibri" w:cs="Calibri"/>
          <w:i/>
          <w:iCs/>
        </w:rPr>
        <w:t xml:space="preserve"> J Med</w:t>
      </w:r>
      <w:r w:rsidRPr="008B154A">
        <w:rPr>
          <w:rFonts w:ascii="Calibri" w:hAnsi="Calibri" w:cs="Calibri"/>
        </w:rPr>
        <w:t xml:space="preserve"> </w:t>
      </w:r>
      <w:proofErr w:type="gramStart"/>
      <w:r w:rsidRPr="008B154A">
        <w:rPr>
          <w:rFonts w:ascii="Calibri" w:hAnsi="Calibri" w:cs="Calibri"/>
        </w:rPr>
        <w:t>2020;</w:t>
      </w:r>
      <w:r w:rsidRPr="008B154A">
        <w:rPr>
          <w:rFonts w:ascii="Calibri" w:hAnsi="Calibri" w:cs="Calibri"/>
          <w:b/>
          <w:bCs/>
        </w:rPr>
        <w:t>382</w:t>
      </w:r>
      <w:r w:rsidRPr="008B154A">
        <w:rPr>
          <w:rFonts w:ascii="Calibri" w:hAnsi="Calibri" w:cs="Calibri"/>
        </w:rPr>
        <w:t>:2289</w:t>
      </w:r>
      <w:proofErr w:type="gramEnd"/>
      <w:r w:rsidRPr="008B154A">
        <w:rPr>
          <w:rFonts w:ascii="Calibri" w:hAnsi="Calibri" w:cs="Calibri"/>
        </w:rPr>
        <w:t>–301. doi:10.1056/NEJMoa1913147</w:t>
      </w:r>
    </w:p>
    <w:p w14:paraId="57BF87E9" w14:textId="77777777" w:rsidR="008B154A" w:rsidRPr="008B154A" w:rsidRDefault="008B154A" w:rsidP="008B154A">
      <w:pPr>
        <w:pStyle w:val="Bibliography"/>
        <w:rPr>
          <w:rFonts w:ascii="Calibri" w:hAnsi="Calibri" w:cs="Calibri"/>
        </w:rPr>
      </w:pPr>
      <w:r w:rsidRPr="008B154A">
        <w:rPr>
          <w:rFonts w:ascii="Calibri" w:hAnsi="Calibri" w:cs="Calibri"/>
        </w:rPr>
        <w:t xml:space="preserve">3 </w:t>
      </w:r>
      <w:r w:rsidRPr="008B154A">
        <w:rPr>
          <w:rFonts w:ascii="Calibri" w:hAnsi="Calibri" w:cs="Calibri"/>
        </w:rPr>
        <w:tab/>
      </w:r>
      <w:proofErr w:type="spellStart"/>
      <w:r w:rsidRPr="008B154A">
        <w:rPr>
          <w:rFonts w:ascii="Calibri" w:hAnsi="Calibri" w:cs="Calibri"/>
        </w:rPr>
        <w:t>Alberer</w:t>
      </w:r>
      <w:proofErr w:type="spellEnd"/>
      <w:r w:rsidRPr="008B154A">
        <w:rPr>
          <w:rFonts w:ascii="Calibri" w:hAnsi="Calibri" w:cs="Calibri"/>
        </w:rPr>
        <w:t xml:space="preserve"> M, </w:t>
      </w:r>
      <w:proofErr w:type="spellStart"/>
      <w:r w:rsidRPr="008B154A">
        <w:rPr>
          <w:rFonts w:ascii="Calibri" w:hAnsi="Calibri" w:cs="Calibri"/>
        </w:rPr>
        <w:t>Gnad</w:t>
      </w:r>
      <w:proofErr w:type="spellEnd"/>
      <w:r w:rsidRPr="008B154A">
        <w:rPr>
          <w:rFonts w:ascii="Calibri" w:hAnsi="Calibri" w:cs="Calibri"/>
        </w:rPr>
        <w:t xml:space="preserve">-Vogt U, Hong HS, </w:t>
      </w:r>
      <w:r w:rsidRPr="008B154A">
        <w:rPr>
          <w:rFonts w:ascii="Calibri" w:hAnsi="Calibri" w:cs="Calibri"/>
          <w:i/>
          <w:iCs/>
        </w:rPr>
        <w:t>et al.</w:t>
      </w:r>
      <w:r w:rsidRPr="008B154A">
        <w:rPr>
          <w:rFonts w:ascii="Calibri" w:hAnsi="Calibri" w:cs="Calibri"/>
        </w:rPr>
        <w:t xml:space="preserve"> Safety and immunogenicity of a mRNA rabies vaccine in healthy adults: an open-label, non-randomised, prospective, first-in-human phase 1 clinical trial. </w:t>
      </w:r>
      <w:r w:rsidRPr="008B154A">
        <w:rPr>
          <w:rFonts w:ascii="Calibri" w:hAnsi="Calibri" w:cs="Calibri"/>
          <w:i/>
          <w:iCs/>
        </w:rPr>
        <w:t>Lancet</w:t>
      </w:r>
      <w:r w:rsidRPr="008B154A">
        <w:rPr>
          <w:rFonts w:ascii="Calibri" w:hAnsi="Calibri" w:cs="Calibri"/>
        </w:rPr>
        <w:t xml:space="preserve"> </w:t>
      </w:r>
      <w:proofErr w:type="gramStart"/>
      <w:r w:rsidRPr="008B154A">
        <w:rPr>
          <w:rFonts w:ascii="Calibri" w:hAnsi="Calibri" w:cs="Calibri"/>
        </w:rPr>
        <w:t>2017;</w:t>
      </w:r>
      <w:r w:rsidRPr="008B154A">
        <w:rPr>
          <w:rFonts w:ascii="Calibri" w:hAnsi="Calibri" w:cs="Calibri"/>
          <w:b/>
          <w:bCs/>
        </w:rPr>
        <w:t>390</w:t>
      </w:r>
      <w:r w:rsidRPr="008B154A">
        <w:rPr>
          <w:rFonts w:ascii="Calibri" w:hAnsi="Calibri" w:cs="Calibri"/>
        </w:rPr>
        <w:t>:1511</w:t>
      </w:r>
      <w:proofErr w:type="gramEnd"/>
      <w:r w:rsidRPr="008B154A">
        <w:rPr>
          <w:rFonts w:ascii="Calibri" w:hAnsi="Calibri" w:cs="Calibri"/>
        </w:rPr>
        <w:t>–20. doi:10.1016/S0140-6736(17)31665-3</w:t>
      </w:r>
    </w:p>
    <w:p w14:paraId="69CDD28E" w14:textId="77777777" w:rsidR="008B154A" w:rsidRPr="008B154A" w:rsidRDefault="008B154A" w:rsidP="008B154A">
      <w:pPr>
        <w:pStyle w:val="Bibliography"/>
        <w:rPr>
          <w:rFonts w:ascii="Calibri" w:hAnsi="Calibri" w:cs="Calibri"/>
        </w:rPr>
      </w:pPr>
      <w:r w:rsidRPr="008B154A">
        <w:rPr>
          <w:rFonts w:ascii="Calibri" w:hAnsi="Calibri" w:cs="Calibri"/>
        </w:rPr>
        <w:t xml:space="preserve">4 </w:t>
      </w:r>
      <w:r w:rsidRPr="008B154A">
        <w:rPr>
          <w:rFonts w:ascii="Calibri" w:hAnsi="Calibri" w:cs="Calibri"/>
        </w:rPr>
        <w:tab/>
        <w:t>Aldrich C, Leroux-</w:t>
      </w:r>
      <w:proofErr w:type="spellStart"/>
      <w:r w:rsidRPr="008B154A">
        <w:rPr>
          <w:rFonts w:ascii="Calibri" w:hAnsi="Calibri" w:cs="Calibri"/>
        </w:rPr>
        <w:t>Roels</w:t>
      </w:r>
      <w:proofErr w:type="spellEnd"/>
      <w:r w:rsidRPr="008B154A">
        <w:rPr>
          <w:rFonts w:ascii="Calibri" w:hAnsi="Calibri" w:cs="Calibri"/>
        </w:rPr>
        <w:t xml:space="preserve"> I, Huang KB, </w:t>
      </w:r>
      <w:r w:rsidRPr="008B154A">
        <w:rPr>
          <w:rFonts w:ascii="Calibri" w:hAnsi="Calibri" w:cs="Calibri"/>
          <w:i/>
          <w:iCs/>
        </w:rPr>
        <w:t>et al.</w:t>
      </w:r>
      <w:r w:rsidRPr="008B154A">
        <w:rPr>
          <w:rFonts w:ascii="Calibri" w:hAnsi="Calibri" w:cs="Calibri"/>
        </w:rPr>
        <w:t xml:space="preserve"> Proof-of-concept of a low-dose unmodified mRNA-based rabies vaccine formulated with lipid nanoparticles in human volunteers: A phase 1 trial. </w:t>
      </w:r>
      <w:r w:rsidRPr="008B154A">
        <w:rPr>
          <w:rFonts w:ascii="Calibri" w:hAnsi="Calibri" w:cs="Calibri"/>
          <w:i/>
          <w:iCs/>
        </w:rPr>
        <w:t>Vaccine</w:t>
      </w:r>
      <w:r w:rsidRPr="008B154A">
        <w:rPr>
          <w:rFonts w:ascii="Calibri" w:hAnsi="Calibri" w:cs="Calibri"/>
        </w:rPr>
        <w:t xml:space="preserve"> </w:t>
      </w:r>
      <w:proofErr w:type="gramStart"/>
      <w:r w:rsidRPr="008B154A">
        <w:rPr>
          <w:rFonts w:ascii="Calibri" w:hAnsi="Calibri" w:cs="Calibri"/>
        </w:rPr>
        <w:t>2021;</w:t>
      </w:r>
      <w:r w:rsidRPr="008B154A">
        <w:rPr>
          <w:rFonts w:ascii="Calibri" w:hAnsi="Calibri" w:cs="Calibri"/>
          <w:b/>
          <w:bCs/>
        </w:rPr>
        <w:t>39</w:t>
      </w:r>
      <w:r w:rsidRPr="008B154A">
        <w:rPr>
          <w:rFonts w:ascii="Calibri" w:hAnsi="Calibri" w:cs="Calibri"/>
        </w:rPr>
        <w:t>:1310</w:t>
      </w:r>
      <w:proofErr w:type="gramEnd"/>
      <w:r w:rsidRPr="008B154A">
        <w:rPr>
          <w:rFonts w:ascii="Calibri" w:hAnsi="Calibri" w:cs="Calibri"/>
        </w:rPr>
        <w:t xml:space="preserve">–8. </w:t>
      </w:r>
      <w:proofErr w:type="gramStart"/>
      <w:r w:rsidRPr="008B154A">
        <w:rPr>
          <w:rFonts w:ascii="Calibri" w:hAnsi="Calibri" w:cs="Calibri"/>
        </w:rPr>
        <w:t>doi:10.1016/j.vaccine</w:t>
      </w:r>
      <w:proofErr w:type="gramEnd"/>
      <w:r w:rsidRPr="008B154A">
        <w:rPr>
          <w:rFonts w:ascii="Calibri" w:hAnsi="Calibri" w:cs="Calibri"/>
        </w:rPr>
        <w:t>.2020.12.070</w:t>
      </w:r>
    </w:p>
    <w:p w14:paraId="1813746B" w14:textId="77777777" w:rsidR="008B154A" w:rsidRPr="008B154A" w:rsidRDefault="008B154A" w:rsidP="008B154A">
      <w:pPr>
        <w:pStyle w:val="Bibliography"/>
        <w:rPr>
          <w:rFonts w:ascii="Calibri" w:hAnsi="Calibri" w:cs="Calibri"/>
        </w:rPr>
      </w:pPr>
      <w:r w:rsidRPr="008B154A">
        <w:rPr>
          <w:rFonts w:ascii="Calibri" w:hAnsi="Calibri" w:cs="Calibri"/>
        </w:rPr>
        <w:t xml:space="preserve">5 </w:t>
      </w:r>
      <w:r w:rsidRPr="008B154A">
        <w:rPr>
          <w:rFonts w:ascii="Calibri" w:hAnsi="Calibri" w:cs="Calibri"/>
        </w:rPr>
        <w:tab/>
        <w:t xml:space="preserve">Feldman RA, Fuhr R, </w:t>
      </w:r>
      <w:proofErr w:type="spellStart"/>
      <w:r w:rsidRPr="008B154A">
        <w:rPr>
          <w:rFonts w:ascii="Calibri" w:hAnsi="Calibri" w:cs="Calibri"/>
        </w:rPr>
        <w:t>Smolenov</w:t>
      </w:r>
      <w:proofErr w:type="spellEnd"/>
      <w:r w:rsidRPr="008B154A">
        <w:rPr>
          <w:rFonts w:ascii="Calibri" w:hAnsi="Calibri" w:cs="Calibri"/>
        </w:rPr>
        <w:t xml:space="preserve"> I, </w:t>
      </w:r>
      <w:r w:rsidRPr="008B154A">
        <w:rPr>
          <w:rFonts w:ascii="Calibri" w:hAnsi="Calibri" w:cs="Calibri"/>
          <w:i/>
          <w:iCs/>
        </w:rPr>
        <w:t>et al.</w:t>
      </w:r>
      <w:r w:rsidRPr="008B154A">
        <w:rPr>
          <w:rFonts w:ascii="Calibri" w:hAnsi="Calibri" w:cs="Calibri"/>
        </w:rPr>
        <w:t xml:space="preserve"> mRNA vaccines against H10N8 and H7N9 influenza viruses of pandemic potential are immunogenic and well tolerated in healthy adults in phase 1 randomized clinical trials. </w:t>
      </w:r>
      <w:r w:rsidRPr="008B154A">
        <w:rPr>
          <w:rFonts w:ascii="Calibri" w:hAnsi="Calibri" w:cs="Calibri"/>
          <w:i/>
          <w:iCs/>
        </w:rPr>
        <w:t>Vaccine</w:t>
      </w:r>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37</w:t>
      </w:r>
      <w:r w:rsidRPr="008B154A">
        <w:rPr>
          <w:rFonts w:ascii="Calibri" w:hAnsi="Calibri" w:cs="Calibri"/>
        </w:rPr>
        <w:t>:3326</w:t>
      </w:r>
      <w:proofErr w:type="gramEnd"/>
      <w:r w:rsidRPr="008B154A">
        <w:rPr>
          <w:rFonts w:ascii="Calibri" w:hAnsi="Calibri" w:cs="Calibri"/>
        </w:rPr>
        <w:t xml:space="preserve">–34. </w:t>
      </w:r>
      <w:proofErr w:type="gramStart"/>
      <w:r w:rsidRPr="008B154A">
        <w:rPr>
          <w:rFonts w:ascii="Calibri" w:hAnsi="Calibri" w:cs="Calibri"/>
        </w:rPr>
        <w:t>doi:10.1016/j.vaccine</w:t>
      </w:r>
      <w:proofErr w:type="gramEnd"/>
      <w:r w:rsidRPr="008B154A">
        <w:rPr>
          <w:rFonts w:ascii="Calibri" w:hAnsi="Calibri" w:cs="Calibri"/>
        </w:rPr>
        <w:t>.2019.04.074</w:t>
      </w:r>
    </w:p>
    <w:p w14:paraId="3D65F6C0" w14:textId="77777777" w:rsidR="008B154A" w:rsidRPr="008B154A" w:rsidRDefault="008B154A" w:rsidP="008B154A">
      <w:pPr>
        <w:pStyle w:val="Bibliography"/>
        <w:rPr>
          <w:rFonts w:ascii="Calibri" w:hAnsi="Calibri" w:cs="Calibri"/>
        </w:rPr>
      </w:pPr>
      <w:r w:rsidRPr="008B154A">
        <w:rPr>
          <w:rFonts w:ascii="Calibri" w:hAnsi="Calibri" w:cs="Calibri"/>
        </w:rPr>
        <w:t xml:space="preserve">6 </w:t>
      </w:r>
      <w:r w:rsidRPr="008B154A">
        <w:rPr>
          <w:rFonts w:ascii="Calibri" w:hAnsi="Calibri" w:cs="Calibri"/>
        </w:rPr>
        <w:tab/>
      </w:r>
      <w:proofErr w:type="spellStart"/>
      <w:r w:rsidRPr="008B154A">
        <w:rPr>
          <w:rFonts w:ascii="Calibri" w:hAnsi="Calibri" w:cs="Calibri"/>
        </w:rPr>
        <w:t>Bahl</w:t>
      </w:r>
      <w:proofErr w:type="spellEnd"/>
      <w:r w:rsidRPr="008B154A">
        <w:rPr>
          <w:rFonts w:ascii="Calibri" w:hAnsi="Calibri" w:cs="Calibri"/>
        </w:rPr>
        <w:t xml:space="preserve"> K, </w:t>
      </w:r>
      <w:proofErr w:type="spellStart"/>
      <w:r w:rsidRPr="008B154A">
        <w:rPr>
          <w:rFonts w:ascii="Calibri" w:hAnsi="Calibri" w:cs="Calibri"/>
        </w:rPr>
        <w:t>Senn</w:t>
      </w:r>
      <w:proofErr w:type="spellEnd"/>
      <w:r w:rsidRPr="008B154A">
        <w:rPr>
          <w:rFonts w:ascii="Calibri" w:hAnsi="Calibri" w:cs="Calibri"/>
        </w:rPr>
        <w:t xml:space="preserve"> JJ, </w:t>
      </w:r>
      <w:proofErr w:type="spellStart"/>
      <w:r w:rsidRPr="008B154A">
        <w:rPr>
          <w:rFonts w:ascii="Calibri" w:hAnsi="Calibri" w:cs="Calibri"/>
        </w:rPr>
        <w:t>Yuzhakov</w:t>
      </w:r>
      <w:proofErr w:type="spellEnd"/>
      <w:r w:rsidRPr="008B154A">
        <w:rPr>
          <w:rFonts w:ascii="Calibri" w:hAnsi="Calibri" w:cs="Calibri"/>
        </w:rPr>
        <w:t xml:space="preserve"> O, </w:t>
      </w:r>
      <w:r w:rsidRPr="008B154A">
        <w:rPr>
          <w:rFonts w:ascii="Calibri" w:hAnsi="Calibri" w:cs="Calibri"/>
          <w:i/>
          <w:iCs/>
        </w:rPr>
        <w:t>et al.</w:t>
      </w:r>
      <w:r w:rsidRPr="008B154A">
        <w:rPr>
          <w:rFonts w:ascii="Calibri" w:hAnsi="Calibri" w:cs="Calibri"/>
        </w:rPr>
        <w:t xml:space="preserve"> Preclinical and Clinical Demonstration of Immunogenicity by mRNA Vaccines against H10N8 and H7N9 Influenza Viruses. </w:t>
      </w:r>
      <w:r w:rsidRPr="008B154A">
        <w:rPr>
          <w:rFonts w:ascii="Calibri" w:hAnsi="Calibri" w:cs="Calibri"/>
          <w:i/>
          <w:iCs/>
        </w:rPr>
        <w:t>Molecular Therapy</w:t>
      </w:r>
      <w:r w:rsidRPr="008B154A">
        <w:rPr>
          <w:rFonts w:ascii="Calibri" w:hAnsi="Calibri" w:cs="Calibri"/>
        </w:rPr>
        <w:t xml:space="preserve"> </w:t>
      </w:r>
      <w:proofErr w:type="gramStart"/>
      <w:r w:rsidRPr="008B154A">
        <w:rPr>
          <w:rFonts w:ascii="Calibri" w:hAnsi="Calibri" w:cs="Calibri"/>
        </w:rPr>
        <w:t>2017;</w:t>
      </w:r>
      <w:r w:rsidRPr="008B154A">
        <w:rPr>
          <w:rFonts w:ascii="Calibri" w:hAnsi="Calibri" w:cs="Calibri"/>
          <w:b/>
          <w:bCs/>
        </w:rPr>
        <w:t>25</w:t>
      </w:r>
      <w:r w:rsidRPr="008B154A">
        <w:rPr>
          <w:rFonts w:ascii="Calibri" w:hAnsi="Calibri" w:cs="Calibri"/>
        </w:rPr>
        <w:t>:1316</w:t>
      </w:r>
      <w:proofErr w:type="gramEnd"/>
      <w:r w:rsidRPr="008B154A">
        <w:rPr>
          <w:rFonts w:ascii="Calibri" w:hAnsi="Calibri" w:cs="Calibri"/>
        </w:rPr>
        <w:t xml:space="preserve">–27. </w:t>
      </w:r>
      <w:proofErr w:type="gramStart"/>
      <w:r w:rsidRPr="008B154A">
        <w:rPr>
          <w:rFonts w:ascii="Calibri" w:hAnsi="Calibri" w:cs="Calibri"/>
        </w:rPr>
        <w:t>doi:10.1016/j.ymthe</w:t>
      </w:r>
      <w:proofErr w:type="gramEnd"/>
      <w:r w:rsidRPr="008B154A">
        <w:rPr>
          <w:rFonts w:ascii="Calibri" w:hAnsi="Calibri" w:cs="Calibri"/>
        </w:rPr>
        <w:t>.2017.03.035</w:t>
      </w:r>
    </w:p>
    <w:p w14:paraId="0BB80157" w14:textId="77777777" w:rsidR="008B154A" w:rsidRPr="008B154A" w:rsidRDefault="008B154A" w:rsidP="008B154A">
      <w:pPr>
        <w:pStyle w:val="Bibliography"/>
        <w:rPr>
          <w:rFonts w:ascii="Calibri" w:hAnsi="Calibri" w:cs="Calibri"/>
        </w:rPr>
      </w:pPr>
      <w:r w:rsidRPr="008B154A">
        <w:rPr>
          <w:rFonts w:ascii="Calibri" w:hAnsi="Calibri" w:cs="Calibri"/>
        </w:rPr>
        <w:t xml:space="preserve">7 </w:t>
      </w:r>
      <w:r w:rsidRPr="008B154A">
        <w:rPr>
          <w:rFonts w:ascii="Calibri" w:hAnsi="Calibri" w:cs="Calibri"/>
        </w:rPr>
        <w:tab/>
        <w:t xml:space="preserve">Jacobson JM, </w:t>
      </w:r>
      <w:proofErr w:type="spellStart"/>
      <w:r w:rsidRPr="008B154A">
        <w:rPr>
          <w:rFonts w:ascii="Calibri" w:hAnsi="Calibri" w:cs="Calibri"/>
        </w:rPr>
        <w:t>Routy</w:t>
      </w:r>
      <w:proofErr w:type="spellEnd"/>
      <w:r w:rsidRPr="008B154A">
        <w:rPr>
          <w:rFonts w:ascii="Calibri" w:hAnsi="Calibri" w:cs="Calibri"/>
        </w:rPr>
        <w:t xml:space="preserve"> J-P, Welles S, </w:t>
      </w:r>
      <w:r w:rsidRPr="008B154A">
        <w:rPr>
          <w:rFonts w:ascii="Calibri" w:hAnsi="Calibri" w:cs="Calibri"/>
          <w:i/>
          <w:iCs/>
        </w:rPr>
        <w:t>et al.</w:t>
      </w:r>
      <w:r w:rsidRPr="008B154A">
        <w:rPr>
          <w:rFonts w:ascii="Calibri" w:hAnsi="Calibri" w:cs="Calibri"/>
        </w:rPr>
        <w:t xml:space="preserve"> Dendritic Cell Immunotherapy for HIV-1 Infection Using Autologous HIV-1 RNA: A Randomized, Double-Blind, Placebo-Controlled Clinical Trial. </w:t>
      </w:r>
      <w:r w:rsidRPr="008B154A">
        <w:rPr>
          <w:rFonts w:ascii="Calibri" w:hAnsi="Calibri" w:cs="Calibri"/>
          <w:i/>
          <w:iCs/>
        </w:rPr>
        <w:t>JAIDS Journal of Acquired Immune Deficiency Syndromes</w:t>
      </w:r>
      <w:r w:rsidRPr="008B154A">
        <w:rPr>
          <w:rFonts w:ascii="Calibri" w:hAnsi="Calibri" w:cs="Calibri"/>
        </w:rPr>
        <w:t xml:space="preserve"> </w:t>
      </w:r>
      <w:proofErr w:type="gramStart"/>
      <w:r w:rsidRPr="008B154A">
        <w:rPr>
          <w:rFonts w:ascii="Calibri" w:hAnsi="Calibri" w:cs="Calibri"/>
        </w:rPr>
        <w:t>2016;</w:t>
      </w:r>
      <w:r w:rsidRPr="008B154A">
        <w:rPr>
          <w:rFonts w:ascii="Calibri" w:hAnsi="Calibri" w:cs="Calibri"/>
          <w:b/>
          <w:bCs/>
        </w:rPr>
        <w:t>72</w:t>
      </w:r>
      <w:r w:rsidRPr="008B154A">
        <w:rPr>
          <w:rFonts w:ascii="Calibri" w:hAnsi="Calibri" w:cs="Calibri"/>
        </w:rPr>
        <w:t>:31</w:t>
      </w:r>
      <w:proofErr w:type="gramEnd"/>
      <w:r w:rsidRPr="008B154A">
        <w:rPr>
          <w:rFonts w:ascii="Calibri" w:hAnsi="Calibri" w:cs="Calibri"/>
        </w:rPr>
        <w:t>–8. doi:10.1097/QAI.0000000000000926</w:t>
      </w:r>
    </w:p>
    <w:p w14:paraId="2D181510" w14:textId="77777777" w:rsidR="008B154A" w:rsidRPr="008B154A" w:rsidRDefault="008B154A" w:rsidP="008B154A">
      <w:pPr>
        <w:pStyle w:val="Bibliography"/>
        <w:rPr>
          <w:rFonts w:ascii="Calibri" w:hAnsi="Calibri" w:cs="Calibri"/>
        </w:rPr>
      </w:pPr>
      <w:r w:rsidRPr="008B154A">
        <w:rPr>
          <w:rFonts w:ascii="Calibri" w:hAnsi="Calibri" w:cs="Calibri"/>
        </w:rPr>
        <w:t xml:space="preserve">8 </w:t>
      </w:r>
      <w:r w:rsidRPr="008B154A">
        <w:rPr>
          <w:rFonts w:ascii="Calibri" w:hAnsi="Calibri" w:cs="Calibri"/>
        </w:rPr>
        <w:tab/>
        <w:t xml:space="preserve">de Jong W, </w:t>
      </w:r>
      <w:proofErr w:type="spellStart"/>
      <w:r w:rsidRPr="008B154A">
        <w:rPr>
          <w:rFonts w:ascii="Calibri" w:hAnsi="Calibri" w:cs="Calibri"/>
        </w:rPr>
        <w:t>Aerts</w:t>
      </w:r>
      <w:proofErr w:type="spellEnd"/>
      <w:r w:rsidRPr="008B154A">
        <w:rPr>
          <w:rFonts w:ascii="Calibri" w:hAnsi="Calibri" w:cs="Calibri"/>
        </w:rPr>
        <w:t xml:space="preserve"> J, Allard S, </w:t>
      </w:r>
      <w:r w:rsidRPr="008B154A">
        <w:rPr>
          <w:rFonts w:ascii="Calibri" w:hAnsi="Calibri" w:cs="Calibri"/>
          <w:i/>
          <w:iCs/>
        </w:rPr>
        <w:t>et al.</w:t>
      </w:r>
      <w:r w:rsidRPr="008B154A">
        <w:rPr>
          <w:rFonts w:ascii="Calibri" w:hAnsi="Calibri" w:cs="Calibri"/>
        </w:rPr>
        <w:t xml:space="preserve"> </w:t>
      </w:r>
      <w:proofErr w:type="spellStart"/>
      <w:r w:rsidRPr="008B154A">
        <w:rPr>
          <w:rFonts w:ascii="Calibri" w:hAnsi="Calibri" w:cs="Calibri"/>
        </w:rPr>
        <w:t>iHIVARNA</w:t>
      </w:r>
      <w:proofErr w:type="spellEnd"/>
      <w:r w:rsidRPr="008B154A">
        <w:rPr>
          <w:rFonts w:ascii="Calibri" w:hAnsi="Calibri" w:cs="Calibri"/>
        </w:rPr>
        <w:t xml:space="preserve"> phase </w:t>
      </w:r>
      <w:proofErr w:type="spellStart"/>
      <w:r w:rsidRPr="008B154A">
        <w:rPr>
          <w:rFonts w:ascii="Calibri" w:hAnsi="Calibri" w:cs="Calibri"/>
        </w:rPr>
        <w:t>IIa</w:t>
      </w:r>
      <w:proofErr w:type="spellEnd"/>
      <w:r w:rsidRPr="008B154A">
        <w:rPr>
          <w:rFonts w:ascii="Calibri" w:hAnsi="Calibri" w:cs="Calibri"/>
        </w:rPr>
        <w:t xml:space="preserve">, a randomized, placebo-controlled, double-blinded trial to evaluate the safety and immunogenicity of iHIVARNA-01 in chronically HIV-infected patients under stable combined antiretroviral therapy. </w:t>
      </w:r>
      <w:r w:rsidRPr="008B154A">
        <w:rPr>
          <w:rFonts w:ascii="Calibri" w:hAnsi="Calibri" w:cs="Calibri"/>
          <w:i/>
          <w:iCs/>
        </w:rPr>
        <w:t>Trials</w:t>
      </w:r>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20</w:t>
      </w:r>
      <w:r w:rsidRPr="008B154A">
        <w:rPr>
          <w:rFonts w:ascii="Calibri" w:hAnsi="Calibri" w:cs="Calibri"/>
        </w:rPr>
        <w:t>:361</w:t>
      </w:r>
      <w:proofErr w:type="gramEnd"/>
      <w:r w:rsidRPr="008B154A">
        <w:rPr>
          <w:rFonts w:ascii="Calibri" w:hAnsi="Calibri" w:cs="Calibri"/>
        </w:rPr>
        <w:t>. doi:10.1186/s13063-019-3409-1</w:t>
      </w:r>
    </w:p>
    <w:p w14:paraId="0FECD1F8" w14:textId="77777777" w:rsidR="008B154A" w:rsidRPr="008B154A" w:rsidRDefault="008B154A" w:rsidP="008B154A">
      <w:pPr>
        <w:pStyle w:val="Bibliography"/>
        <w:rPr>
          <w:rFonts w:ascii="Calibri" w:hAnsi="Calibri" w:cs="Calibri"/>
        </w:rPr>
      </w:pPr>
      <w:r w:rsidRPr="008B154A">
        <w:rPr>
          <w:rFonts w:ascii="Calibri" w:hAnsi="Calibri" w:cs="Calibri"/>
        </w:rPr>
        <w:t xml:space="preserve">9 </w:t>
      </w:r>
      <w:r w:rsidRPr="008B154A">
        <w:rPr>
          <w:rFonts w:ascii="Calibri" w:hAnsi="Calibri" w:cs="Calibri"/>
        </w:rPr>
        <w:tab/>
        <w:t xml:space="preserve">Leal L, </w:t>
      </w:r>
      <w:proofErr w:type="spellStart"/>
      <w:r w:rsidRPr="008B154A">
        <w:rPr>
          <w:rFonts w:ascii="Calibri" w:hAnsi="Calibri" w:cs="Calibri"/>
        </w:rPr>
        <w:t>Guardo</w:t>
      </w:r>
      <w:proofErr w:type="spellEnd"/>
      <w:r w:rsidRPr="008B154A">
        <w:rPr>
          <w:rFonts w:ascii="Calibri" w:hAnsi="Calibri" w:cs="Calibri"/>
        </w:rPr>
        <w:t xml:space="preserve"> AC, </w:t>
      </w:r>
      <w:proofErr w:type="spellStart"/>
      <w:r w:rsidRPr="008B154A">
        <w:rPr>
          <w:rFonts w:ascii="Calibri" w:hAnsi="Calibri" w:cs="Calibri"/>
        </w:rPr>
        <w:t>Morón</w:t>
      </w:r>
      <w:proofErr w:type="spellEnd"/>
      <w:r w:rsidRPr="008B154A">
        <w:rPr>
          <w:rFonts w:ascii="Calibri" w:hAnsi="Calibri" w:cs="Calibri"/>
        </w:rPr>
        <w:t xml:space="preserve">-López S, </w:t>
      </w:r>
      <w:r w:rsidRPr="008B154A">
        <w:rPr>
          <w:rFonts w:ascii="Calibri" w:hAnsi="Calibri" w:cs="Calibri"/>
          <w:i/>
          <w:iCs/>
        </w:rPr>
        <w:t>et al.</w:t>
      </w:r>
      <w:r w:rsidRPr="008B154A">
        <w:rPr>
          <w:rFonts w:ascii="Calibri" w:hAnsi="Calibri" w:cs="Calibri"/>
        </w:rPr>
        <w:t xml:space="preserve"> Phase I clinical trial of an </w:t>
      </w:r>
      <w:proofErr w:type="spellStart"/>
      <w:r w:rsidRPr="008B154A">
        <w:rPr>
          <w:rFonts w:ascii="Calibri" w:hAnsi="Calibri" w:cs="Calibri"/>
        </w:rPr>
        <w:t>intranodally</w:t>
      </w:r>
      <w:proofErr w:type="spellEnd"/>
      <w:r w:rsidRPr="008B154A">
        <w:rPr>
          <w:rFonts w:ascii="Calibri" w:hAnsi="Calibri" w:cs="Calibri"/>
        </w:rPr>
        <w:t xml:space="preserve"> administered mRNA-based therapeutic vaccine against HIV-1 infection. </w:t>
      </w:r>
      <w:r w:rsidRPr="008B154A">
        <w:rPr>
          <w:rFonts w:ascii="Calibri" w:hAnsi="Calibri" w:cs="Calibri"/>
          <w:i/>
          <w:iCs/>
        </w:rPr>
        <w:t>AIDS</w:t>
      </w:r>
      <w:r w:rsidRPr="008B154A">
        <w:rPr>
          <w:rFonts w:ascii="Calibri" w:hAnsi="Calibri" w:cs="Calibri"/>
        </w:rPr>
        <w:t xml:space="preserve"> </w:t>
      </w:r>
      <w:proofErr w:type="gramStart"/>
      <w:r w:rsidRPr="008B154A">
        <w:rPr>
          <w:rFonts w:ascii="Calibri" w:hAnsi="Calibri" w:cs="Calibri"/>
        </w:rPr>
        <w:t>2018;</w:t>
      </w:r>
      <w:r w:rsidRPr="008B154A">
        <w:rPr>
          <w:rFonts w:ascii="Calibri" w:hAnsi="Calibri" w:cs="Calibri"/>
          <w:b/>
          <w:bCs/>
        </w:rPr>
        <w:t>32</w:t>
      </w:r>
      <w:r w:rsidRPr="008B154A">
        <w:rPr>
          <w:rFonts w:ascii="Calibri" w:hAnsi="Calibri" w:cs="Calibri"/>
        </w:rPr>
        <w:t>:2533</w:t>
      </w:r>
      <w:proofErr w:type="gramEnd"/>
      <w:r w:rsidRPr="008B154A">
        <w:rPr>
          <w:rFonts w:ascii="Calibri" w:hAnsi="Calibri" w:cs="Calibri"/>
        </w:rPr>
        <w:t>–45. doi:10.1097/QAD.0000000000002026</w:t>
      </w:r>
    </w:p>
    <w:p w14:paraId="0B3FD1B1" w14:textId="77777777" w:rsidR="008B154A" w:rsidRPr="008B154A" w:rsidRDefault="008B154A" w:rsidP="008B154A">
      <w:pPr>
        <w:pStyle w:val="Bibliography"/>
        <w:rPr>
          <w:rFonts w:ascii="Calibri" w:hAnsi="Calibri" w:cs="Calibri"/>
        </w:rPr>
      </w:pPr>
      <w:r w:rsidRPr="008B154A">
        <w:rPr>
          <w:rFonts w:ascii="Calibri" w:hAnsi="Calibri" w:cs="Calibri"/>
        </w:rPr>
        <w:lastRenderedPageBreak/>
        <w:t xml:space="preserve">10 </w:t>
      </w:r>
      <w:r w:rsidRPr="008B154A">
        <w:rPr>
          <w:rFonts w:ascii="Calibri" w:hAnsi="Calibri" w:cs="Calibri"/>
        </w:rPr>
        <w:tab/>
        <w:t xml:space="preserve">Gandhi RT, Kwon DS, Macklin EA, </w:t>
      </w:r>
      <w:r w:rsidRPr="008B154A">
        <w:rPr>
          <w:rFonts w:ascii="Calibri" w:hAnsi="Calibri" w:cs="Calibri"/>
          <w:i/>
          <w:iCs/>
        </w:rPr>
        <w:t>et al.</w:t>
      </w:r>
      <w:r w:rsidRPr="008B154A">
        <w:rPr>
          <w:rFonts w:ascii="Calibri" w:hAnsi="Calibri" w:cs="Calibri"/>
        </w:rPr>
        <w:t xml:space="preserve"> Immunization of HIV-1-Infected Persons </w:t>
      </w:r>
      <w:proofErr w:type="gramStart"/>
      <w:r w:rsidRPr="008B154A">
        <w:rPr>
          <w:rFonts w:ascii="Calibri" w:hAnsi="Calibri" w:cs="Calibri"/>
        </w:rPr>
        <w:t>With</w:t>
      </w:r>
      <w:proofErr w:type="gramEnd"/>
      <w:r w:rsidRPr="008B154A">
        <w:rPr>
          <w:rFonts w:ascii="Calibri" w:hAnsi="Calibri" w:cs="Calibri"/>
        </w:rPr>
        <w:t xml:space="preserve"> Autologous Dendritic Cells Transfected With mRNA Encoding HIV-1 Gag and </w:t>
      </w:r>
      <w:proofErr w:type="spellStart"/>
      <w:r w:rsidRPr="008B154A">
        <w:rPr>
          <w:rFonts w:ascii="Calibri" w:hAnsi="Calibri" w:cs="Calibri"/>
        </w:rPr>
        <w:t>Nef</w:t>
      </w:r>
      <w:proofErr w:type="spellEnd"/>
      <w:r w:rsidRPr="008B154A">
        <w:rPr>
          <w:rFonts w:ascii="Calibri" w:hAnsi="Calibri" w:cs="Calibri"/>
        </w:rPr>
        <w:t xml:space="preserve">: Results of a Randomized, Placebo-Controlled Clinical Trial. </w:t>
      </w:r>
      <w:r w:rsidRPr="008B154A">
        <w:rPr>
          <w:rFonts w:ascii="Calibri" w:hAnsi="Calibri" w:cs="Calibri"/>
          <w:i/>
          <w:iCs/>
        </w:rPr>
        <w:t>JAIDS Journal of Acquired Immune Deficiency Syndromes</w:t>
      </w:r>
      <w:r w:rsidRPr="008B154A">
        <w:rPr>
          <w:rFonts w:ascii="Calibri" w:hAnsi="Calibri" w:cs="Calibri"/>
        </w:rPr>
        <w:t xml:space="preserve"> </w:t>
      </w:r>
      <w:proofErr w:type="gramStart"/>
      <w:r w:rsidRPr="008B154A">
        <w:rPr>
          <w:rFonts w:ascii="Calibri" w:hAnsi="Calibri" w:cs="Calibri"/>
        </w:rPr>
        <w:t>2016;</w:t>
      </w:r>
      <w:r w:rsidRPr="008B154A">
        <w:rPr>
          <w:rFonts w:ascii="Calibri" w:hAnsi="Calibri" w:cs="Calibri"/>
          <w:b/>
          <w:bCs/>
        </w:rPr>
        <w:t>71</w:t>
      </w:r>
      <w:r w:rsidRPr="008B154A">
        <w:rPr>
          <w:rFonts w:ascii="Calibri" w:hAnsi="Calibri" w:cs="Calibri"/>
        </w:rPr>
        <w:t>:246</w:t>
      </w:r>
      <w:proofErr w:type="gramEnd"/>
      <w:r w:rsidRPr="008B154A">
        <w:rPr>
          <w:rFonts w:ascii="Calibri" w:hAnsi="Calibri" w:cs="Calibri"/>
        </w:rPr>
        <w:t>–53. doi:10.1097/QAI.0000000000000852</w:t>
      </w:r>
    </w:p>
    <w:p w14:paraId="2A5C286D" w14:textId="77777777" w:rsidR="008B154A" w:rsidRPr="008B154A" w:rsidRDefault="008B154A" w:rsidP="008B154A">
      <w:pPr>
        <w:pStyle w:val="Bibliography"/>
        <w:rPr>
          <w:rFonts w:ascii="Calibri" w:hAnsi="Calibri" w:cs="Calibri"/>
        </w:rPr>
      </w:pPr>
      <w:r w:rsidRPr="008B154A">
        <w:rPr>
          <w:rFonts w:ascii="Calibri" w:hAnsi="Calibri" w:cs="Calibri"/>
        </w:rPr>
        <w:t xml:space="preserve">11 </w:t>
      </w:r>
      <w:r w:rsidRPr="008B154A">
        <w:rPr>
          <w:rFonts w:ascii="Calibri" w:hAnsi="Calibri" w:cs="Calibri"/>
        </w:rPr>
        <w:tab/>
      </w:r>
      <w:proofErr w:type="spellStart"/>
      <w:r w:rsidRPr="008B154A">
        <w:rPr>
          <w:rFonts w:ascii="Calibri" w:hAnsi="Calibri" w:cs="Calibri"/>
        </w:rPr>
        <w:t>Sahin</w:t>
      </w:r>
      <w:proofErr w:type="spellEnd"/>
      <w:r w:rsidRPr="008B154A">
        <w:rPr>
          <w:rFonts w:ascii="Calibri" w:hAnsi="Calibri" w:cs="Calibri"/>
        </w:rPr>
        <w:t xml:space="preserve"> U, </w:t>
      </w:r>
      <w:proofErr w:type="spellStart"/>
      <w:r w:rsidRPr="008B154A">
        <w:rPr>
          <w:rFonts w:ascii="Calibri" w:hAnsi="Calibri" w:cs="Calibri"/>
        </w:rPr>
        <w:t>Oehm</w:t>
      </w:r>
      <w:proofErr w:type="spellEnd"/>
      <w:r w:rsidRPr="008B154A">
        <w:rPr>
          <w:rFonts w:ascii="Calibri" w:hAnsi="Calibri" w:cs="Calibri"/>
        </w:rPr>
        <w:t xml:space="preserve"> P, </w:t>
      </w:r>
      <w:proofErr w:type="spellStart"/>
      <w:r w:rsidRPr="008B154A">
        <w:rPr>
          <w:rFonts w:ascii="Calibri" w:hAnsi="Calibri" w:cs="Calibri"/>
        </w:rPr>
        <w:t>Derhovanessian</w:t>
      </w:r>
      <w:proofErr w:type="spellEnd"/>
      <w:r w:rsidRPr="008B154A">
        <w:rPr>
          <w:rFonts w:ascii="Calibri" w:hAnsi="Calibri" w:cs="Calibri"/>
        </w:rPr>
        <w:t xml:space="preserve"> E, </w:t>
      </w:r>
      <w:r w:rsidRPr="008B154A">
        <w:rPr>
          <w:rFonts w:ascii="Calibri" w:hAnsi="Calibri" w:cs="Calibri"/>
          <w:i/>
          <w:iCs/>
        </w:rPr>
        <w:t>et al.</w:t>
      </w:r>
      <w:r w:rsidRPr="008B154A">
        <w:rPr>
          <w:rFonts w:ascii="Calibri" w:hAnsi="Calibri" w:cs="Calibri"/>
        </w:rPr>
        <w:t xml:space="preserve"> An RNA vaccine drives immunity in checkpoint-inhibitor-treated melanoma. </w:t>
      </w:r>
      <w:r w:rsidRPr="008B154A">
        <w:rPr>
          <w:rFonts w:ascii="Calibri" w:hAnsi="Calibri" w:cs="Calibri"/>
          <w:i/>
          <w:iCs/>
        </w:rPr>
        <w:t>Nature</w:t>
      </w:r>
      <w:r w:rsidRPr="008B154A">
        <w:rPr>
          <w:rFonts w:ascii="Calibri" w:hAnsi="Calibri" w:cs="Calibri"/>
        </w:rPr>
        <w:t xml:space="preserve"> </w:t>
      </w:r>
      <w:proofErr w:type="gramStart"/>
      <w:r w:rsidRPr="008B154A">
        <w:rPr>
          <w:rFonts w:ascii="Calibri" w:hAnsi="Calibri" w:cs="Calibri"/>
        </w:rPr>
        <w:t>2020;</w:t>
      </w:r>
      <w:r w:rsidRPr="008B154A">
        <w:rPr>
          <w:rFonts w:ascii="Calibri" w:hAnsi="Calibri" w:cs="Calibri"/>
          <w:b/>
          <w:bCs/>
        </w:rPr>
        <w:t>585</w:t>
      </w:r>
      <w:r w:rsidRPr="008B154A">
        <w:rPr>
          <w:rFonts w:ascii="Calibri" w:hAnsi="Calibri" w:cs="Calibri"/>
        </w:rPr>
        <w:t>:107</w:t>
      </w:r>
      <w:proofErr w:type="gramEnd"/>
      <w:r w:rsidRPr="008B154A">
        <w:rPr>
          <w:rFonts w:ascii="Calibri" w:hAnsi="Calibri" w:cs="Calibri"/>
        </w:rPr>
        <w:t>–12. doi:10.1038/s41586-020-2537-9</w:t>
      </w:r>
    </w:p>
    <w:p w14:paraId="2C87AF1F" w14:textId="77777777" w:rsidR="008B154A" w:rsidRPr="008B154A" w:rsidRDefault="008B154A" w:rsidP="008B154A">
      <w:pPr>
        <w:pStyle w:val="Bibliography"/>
        <w:rPr>
          <w:rFonts w:ascii="Calibri" w:hAnsi="Calibri" w:cs="Calibri"/>
        </w:rPr>
      </w:pPr>
      <w:r w:rsidRPr="008B154A">
        <w:rPr>
          <w:rFonts w:ascii="Calibri" w:hAnsi="Calibri" w:cs="Calibri"/>
        </w:rPr>
        <w:t xml:space="preserve">12 </w:t>
      </w:r>
      <w:r w:rsidRPr="008B154A">
        <w:rPr>
          <w:rFonts w:ascii="Calibri" w:hAnsi="Calibri" w:cs="Calibri"/>
        </w:rPr>
        <w:tab/>
      </w:r>
      <w:proofErr w:type="spellStart"/>
      <w:r w:rsidRPr="008B154A">
        <w:rPr>
          <w:rFonts w:ascii="Calibri" w:hAnsi="Calibri" w:cs="Calibri"/>
        </w:rPr>
        <w:t>Papachristofilou</w:t>
      </w:r>
      <w:proofErr w:type="spellEnd"/>
      <w:r w:rsidRPr="008B154A">
        <w:rPr>
          <w:rFonts w:ascii="Calibri" w:hAnsi="Calibri" w:cs="Calibri"/>
        </w:rPr>
        <w:t xml:space="preserve"> A, </w:t>
      </w:r>
      <w:proofErr w:type="spellStart"/>
      <w:r w:rsidRPr="008B154A">
        <w:rPr>
          <w:rFonts w:ascii="Calibri" w:hAnsi="Calibri" w:cs="Calibri"/>
        </w:rPr>
        <w:t>Hipp</w:t>
      </w:r>
      <w:proofErr w:type="spellEnd"/>
      <w:r w:rsidRPr="008B154A">
        <w:rPr>
          <w:rFonts w:ascii="Calibri" w:hAnsi="Calibri" w:cs="Calibri"/>
        </w:rPr>
        <w:t xml:space="preserve"> MM, </w:t>
      </w:r>
      <w:proofErr w:type="spellStart"/>
      <w:r w:rsidRPr="008B154A">
        <w:rPr>
          <w:rFonts w:ascii="Calibri" w:hAnsi="Calibri" w:cs="Calibri"/>
        </w:rPr>
        <w:t>Klinkhardt</w:t>
      </w:r>
      <w:proofErr w:type="spellEnd"/>
      <w:r w:rsidRPr="008B154A">
        <w:rPr>
          <w:rFonts w:ascii="Calibri" w:hAnsi="Calibri" w:cs="Calibri"/>
        </w:rPr>
        <w:t xml:space="preserve"> U, </w:t>
      </w:r>
      <w:r w:rsidRPr="008B154A">
        <w:rPr>
          <w:rFonts w:ascii="Calibri" w:hAnsi="Calibri" w:cs="Calibri"/>
          <w:i/>
          <w:iCs/>
        </w:rPr>
        <w:t>et al.</w:t>
      </w:r>
      <w:r w:rsidRPr="008B154A">
        <w:rPr>
          <w:rFonts w:ascii="Calibri" w:hAnsi="Calibri" w:cs="Calibri"/>
        </w:rPr>
        <w:t xml:space="preserve"> Phase </w:t>
      </w:r>
      <w:proofErr w:type="spellStart"/>
      <w:r w:rsidRPr="008B154A">
        <w:rPr>
          <w:rFonts w:ascii="Calibri" w:hAnsi="Calibri" w:cs="Calibri"/>
        </w:rPr>
        <w:t>Ib</w:t>
      </w:r>
      <w:proofErr w:type="spellEnd"/>
      <w:r w:rsidRPr="008B154A">
        <w:rPr>
          <w:rFonts w:ascii="Calibri" w:hAnsi="Calibri" w:cs="Calibri"/>
        </w:rPr>
        <w:t xml:space="preserve"> evaluation of a self-adjuvanted protamine formulated mRNA-based active cancer immunotherapy, BI1361849 (CV9202), combined with local radiation treatment in patients with stage IV non-small cell lung cancer. </w:t>
      </w:r>
      <w:r w:rsidRPr="008B154A">
        <w:rPr>
          <w:rFonts w:ascii="Calibri" w:hAnsi="Calibri" w:cs="Calibri"/>
          <w:i/>
          <w:iCs/>
        </w:rPr>
        <w:t xml:space="preserve">J </w:t>
      </w:r>
      <w:proofErr w:type="spellStart"/>
      <w:r w:rsidRPr="008B154A">
        <w:rPr>
          <w:rFonts w:ascii="Calibri" w:hAnsi="Calibri" w:cs="Calibri"/>
          <w:i/>
          <w:iCs/>
        </w:rPr>
        <w:t>Immunother</w:t>
      </w:r>
      <w:proofErr w:type="spellEnd"/>
      <w:r w:rsidRPr="008B154A">
        <w:rPr>
          <w:rFonts w:ascii="Calibri" w:hAnsi="Calibri" w:cs="Calibri"/>
          <w:i/>
          <w:iCs/>
        </w:rPr>
        <w:t xml:space="preserve"> Cancer</w:t>
      </w:r>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7</w:t>
      </w:r>
      <w:r w:rsidRPr="008B154A">
        <w:rPr>
          <w:rFonts w:ascii="Calibri" w:hAnsi="Calibri" w:cs="Calibri"/>
        </w:rPr>
        <w:t>:38</w:t>
      </w:r>
      <w:proofErr w:type="gramEnd"/>
      <w:r w:rsidRPr="008B154A">
        <w:rPr>
          <w:rFonts w:ascii="Calibri" w:hAnsi="Calibri" w:cs="Calibri"/>
        </w:rPr>
        <w:t>. doi:10.1186/s40425-019-0520-5</w:t>
      </w:r>
    </w:p>
    <w:p w14:paraId="6C5603B6" w14:textId="77777777" w:rsidR="008B154A" w:rsidRPr="008B154A" w:rsidRDefault="008B154A" w:rsidP="008B154A">
      <w:pPr>
        <w:pStyle w:val="Bibliography"/>
        <w:rPr>
          <w:rFonts w:ascii="Calibri" w:hAnsi="Calibri" w:cs="Calibri"/>
        </w:rPr>
      </w:pPr>
      <w:r w:rsidRPr="008B154A">
        <w:rPr>
          <w:rFonts w:ascii="Calibri" w:hAnsi="Calibri" w:cs="Calibri"/>
        </w:rPr>
        <w:t xml:space="preserve">13 </w:t>
      </w:r>
      <w:r w:rsidRPr="008B154A">
        <w:rPr>
          <w:rFonts w:ascii="Calibri" w:hAnsi="Calibri" w:cs="Calibri"/>
        </w:rPr>
        <w:tab/>
      </w:r>
      <w:proofErr w:type="spellStart"/>
      <w:r w:rsidRPr="008B154A">
        <w:rPr>
          <w:rFonts w:ascii="Calibri" w:hAnsi="Calibri" w:cs="Calibri"/>
        </w:rPr>
        <w:t>Eigentler</w:t>
      </w:r>
      <w:proofErr w:type="spellEnd"/>
      <w:r w:rsidRPr="008B154A">
        <w:rPr>
          <w:rFonts w:ascii="Calibri" w:hAnsi="Calibri" w:cs="Calibri"/>
        </w:rPr>
        <w:t xml:space="preserve"> T, </w:t>
      </w:r>
      <w:proofErr w:type="spellStart"/>
      <w:r w:rsidRPr="008B154A">
        <w:rPr>
          <w:rFonts w:ascii="Calibri" w:hAnsi="Calibri" w:cs="Calibri"/>
        </w:rPr>
        <w:t>Bauernfeind</w:t>
      </w:r>
      <w:proofErr w:type="spellEnd"/>
      <w:r w:rsidRPr="008B154A">
        <w:rPr>
          <w:rFonts w:ascii="Calibri" w:hAnsi="Calibri" w:cs="Calibri"/>
        </w:rPr>
        <w:t xml:space="preserve"> FG, Becker JC, </w:t>
      </w:r>
      <w:r w:rsidRPr="008B154A">
        <w:rPr>
          <w:rFonts w:ascii="Calibri" w:hAnsi="Calibri" w:cs="Calibri"/>
          <w:i/>
          <w:iCs/>
        </w:rPr>
        <w:t>et al.</w:t>
      </w:r>
      <w:r w:rsidRPr="008B154A">
        <w:rPr>
          <w:rFonts w:ascii="Calibri" w:hAnsi="Calibri" w:cs="Calibri"/>
        </w:rPr>
        <w:t xml:space="preserve"> A phase I dose-escalation and expansion study of </w:t>
      </w:r>
      <w:proofErr w:type="spellStart"/>
      <w:r w:rsidRPr="008B154A">
        <w:rPr>
          <w:rFonts w:ascii="Calibri" w:hAnsi="Calibri" w:cs="Calibri"/>
        </w:rPr>
        <w:t>intratumoral</w:t>
      </w:r>
      <w:proofErr w:type="spellEnd"/>
      <w:r w:rsidRPr="008B154A">
        <w:rPr>
          <w:rFonts w:ascii="Calibri" w:hAnsi="Calibri" w:cs="Calibri"/>
        </w:rPr>
        <w:t xml:space="preserve"> CV8102 as single-agent or in combination with anti-PD-1 antibodies in patients with advanced solid </w:t>
      </w:r>
      <w:proofErr w:type="spellStart"/>
      <w:r w:rsidRPr="008B154A">
        <w:rPr>
          <w:rFonts w:ascii="Calibri" w:hAnsi="Calibri" w:cs="Calibri"/>
        </w:rPr>
        <w:t>tumors</w:t>
      </w:r>
      <w:proofErr w:type="spellEnd"/>
      <w:r w:rsidRPr="008B154A">
        <w:rPr>
          <w:rFonts w:ascii="Calibri" w:hAnsi="Calibri" w:cs="Calibri"/>
        </w:rPr>
        <w:t xml:space="preserve">. </w:t>
      </w:r>
      <w:r w:rsidRPr="008B154A">
        <w:rPr>
          <w:rFonts w:ascii="Calibri" w:hAnsi="Calibri" w:cs="Calibri"/>
          <w:i/>
          <w:iCs/>
        </w:rPr>
        <w:t>JCO</w:t>
      </w:r>
      <w:r w:rsidRPr="008B154A">
        <w:rPr>
          <w:rFonts w:ascii="Calibri" w:hAnsi="Calibri" w:cs="Calibri"/>
        </w:rPr>
        <w:t xml:space="preserve"> </w:t>
      </w:r>
      <w:proofErr w:type="gramStart"/>
      <w:r w:rsidRPr="008B154A">
        <w:rPr>
          <w:rFonts w:ascii="Calibri" w:hAnsi="Calibri" w:cs="Calibri"/>
        </w:rPr>
        <w:t>2020;</w:t>
      </w:r>
      <w:r w:rsidRPr="008B154A">
        <w:rPr>
          <w:rFonts w:ascii="Calibri" w:hAnsi="Calibri" w:cs="Calibri"/>
          <w:b/>
          <w:bCs/>
        </w:rPr>
        <w:t>38</w:t>
      </w:r>
      <w:r w:rsidRPr="008B154A">
        <w:rPr>
          <w:rFonts w:ascii="Calibri" w:hAnsi="Calibri" w:cs="Calibri"/>
        </w:rPr>
        <w:t>:3096</w:t>
      </w:r>
      <w:proofErr w:type="gramEnd"/>
      <w:r w:rsidRPr="008B154A">
        <w:rPr>
          <w:rFonts w:ascii="Calibri" w:hAnsi="Calibri" w:cs="Calibri"/>
        </w:rPr>
        <w:t xml:space="preserve">–3096. </w:t>
      </w:r>
      <w:proofErr w:type="gramStart"/>
      <w:r w:rsidRPr="008B154A">
        <w:rPr>
          <w:rFonts w:ascii="Calibri" w:hAnsi="Calibri" w:cs="Calibri"/>
        </w:rPr>
        <w:t>doi:10.1200/JCO.2020.38.15_suppl</w:t>
      </w:r>
      <w:proofErr w:type="gramEnd"/>
      <w:r w:rsidRPr="008B154A">
        <w:rPr>
          <w:rFonts w:ascii="Calibri" w:hAnsi="Calibri" w:cs="Calibri"/>
        </w:rPr>
        <w:t>.3096</w:t>
      </w:r>
    </w:p>
    <w:p w14:paraId="3AD959F3" w14:textId="77777777" w:rsidR="008B154A" w:rsidRPr="008B154A" w:rsidRDefault="008B154A" w:rsidP="008B154A">
      <w:pPr>
        <w:pStyle w:val="Bibliography"/>
        <w:rPr>
          <w:rFonts w:ascii="Calibri" w:hAnsi="Calibri" w:cs="Calibri"/>
        </w:rPr>
      </w:pPr>
      <w:r w:rsidRPr="008B154A">
        <w:rPr>
          <w:rFonts w:ascii="Calibri" w:hAnsi="Calibri" w:cs="Calibri"/>
        </w:rPr>
        <w:t xml:space="preserve">14 </w:t>
      </w:r>
      <w:r w:rsidRPr="008B154A">
        <w:rPr>
          <w:rFonts w:ascii="Calibri" w:hAnsi="Calibri" w:cs="Calibri"/>
        </w:rPr>
        <w:tab/>
      </w:r>
      <w:proofErr w:type="spellStart"/>
      <w:r w:rsidRPr="008B154A">
        <w:rPr>
          <w:rFonts w:ascii="Calibri" w:hAnsi="Calibri" w:cs="Calibri"/>
        </w:rPr>
        <w:t>Doener</w:t>
      </w:r>
      <w:proofErr w:type="spellEnd"/>
      <w:r w:rsidRPr="008B154A">
        <w:rPr>
          <w:rFonts w:ascii="Calibri" w:hAnsi="Calibri" w:cs="Calibri"/>
        </w:rPr>
        <w:t xml:space="preserve"> F, Hong HS, Meyer I, </w:t>
      </w:r>
      <w:r w:rsidRPr="008B154A">
        <w:rPr>
          <w:rFonts w:ascii="Calibri" w:hAnsi="Calibri" w:cs="Calibri"/>
          <w:i/>
          <w:iCs/>
        </w:rPr>
        <w:t>et al.</w:t>
      </w:r>
      <w:r w:rsidRPr="008B154A">
        <w:rPr>
          <w:rFonts w:ascii="Calibri" w:hAnsi="Calibri" w:cs="Calibri"/>
        </w:rPr>
        <w:t xml:space="preserve"> RNA-based adjuvant CV8102 enhances the immunogenicity of a licensed rabies vaccine in a first-in-human trial. </w:t>
      </w:r>
      <w:r w:rsidRPr="008B154A">
        <w:rPr>
          <w:rFonts w:ascii="Calibri" w:hAnsi="Calibri" w:cs="Calibri"/>
          <w:i/>
          <w:iCs/>
        </w:rPr>
        <w:t>Vaccine</w:t>
      </w:r>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37</w:t>
      </w:r>
      <w:r w:rsidRPr="008B154A">
        <w:rPr>
          <w:rFonts w:ascii="Calibri" w:hAnsi="Calibri" w:cs="Calibri"/>
        </w:rPr>
        <w:t>:1819</w:t>
      </w:r>
      <w:proofErr w:type="gramEnd"/>
      <w:r w:rsidRPr="008B154A">
        <w:rPr>
          <w:rFonts w:ascii="Calibri" w:hAnsi="Calibri" w:cs="Calibri"/>
        </w:rPr>
        <w:t xml:space="preserve">–26. </w:t>
      </w:r>
      <w:proofErr w:type="gramStart"/>
      <w:r w:rsidRPr="008B154A">
        <w:rPr>
          <w:rFonts w:ascii="Calibri" w:hAnsi="Calibri" w:cs="Calibri"/>
        </w:rPr>
        <w:t>doi:10.1016/j.vaccine</w:t>
      </w:r>
      <w:proofErr w:type="gramEnd"/>
      <w:r w:rsidRPr="008B154A">
        <w:rPr>
          <w:rFonts w:ascii="Calibri" w:hAnsi="Calibri" w:cs="Calibri"/>
        </w:rPr>
        <w:t>.2019.02.024</w:t>
      </w:r>
    </w:p>
    <w:p w14:paraId="3F5C8A6E" w14:textId="77777777" w:rsidR="008B154A" w:rsidRPr="008B154A" w:rsidRDefault="008B154A" w:rsidP="008B154A">
      <w:pPr>
        <w:pStyle w:val="Bibliography"/>
        <w:rPr>
          <w:rFonts w:ascii="Calibri" w:hAnsi="Calibri" w:cs="Calibri"/>
        </w:rPr>
      </w:pPr>
      <w:r w:rsidRPr="008B154A">
        <w:rPr>
          <w:rFonts w:ascii="Calibri" w:hAnsi="Calibri" w:cs="Calibri"/>
        </w:rPr>
        <w:t xml:space="preserve">15 </w:t>
      </w:r>
      <w:r w:rsidRPr="008B154A">
        <w:rPr>
          <w:rFonts w:ascii="Calibri" w:hAnsi="Calibri" w:cs="Calibri"/>
        </w:rPr>
        <w:tab/>
        <w:t xml:space="preserve">Translate Bio Announces Results from Second Interim Data Analysis from Ongoing Phase 1/2 Clinical Trial of MRT5005 in Patients with Cystic Fibrosis (CF). </w:t>
      </w:r>
      <w:proofErr w:type="spellStart"/>
      <w:r w:rsidRPr="008B154A">
        <w:rPr>
          <w:rFonts w:ascii="Calibri" w:hAnsi="Calibri" w:cs="Calibri"/>
        </w:rPr>
        <w:t>BioSpace</w:t>
      </w:r>
      <w:proofErr w:type="spellEnd"/>
      <w:r w:rsidRPr="008B154A">
        <w:rPr>
          <w:rFonts w:ascii="Calibri" w:hAnsi="Calibri" w:cs="Calibri"/>
        </w:rPr>
        <w:t>. https://www.biospace.com/article/translate-bio-announces-results-from-second-interim-data-analysis-from-ongoing-phase-1-2-clinical-trial-of-mrt5005-in-patients-with-cystic-fibrosis-cf-/ (accessed 13 Oct 2022).</w:t>
      </w:r>
    </w:p>
    <w:p w14:paraId="5C377EEB" w14:textId="77777777" w:rsidR="008B154A" w:rsidRPr="008B154A" w:rsidRDefault="008B154A" w:rsidP="008B154A">
      <w:pPr>
        <w:pStyle w:val="Bibliography"/>
        <w:rPr>
          <w:rFonts w:ascii="Calibri" w:hAnsi="Calibri" w:cs="Calibri"/>
        </w:rPr>
      </w:pPr>
      <w:r w:rsidRPr="008B154A">
        <w:rPr>
          <w:rFonts w:ascii="Calibri" w:hAnsi="Calibri" w:cs="Calibri"/>
        </w:rPr>
        <w:t xml:space="preserve">16 </w:t>
      </w:r>
      <w:r w:rsidRPr="008B154A">
        <w:rPr>
          <w:rFonts w:ascii="Calibri" w:hAnsi="Calibri" w:cs="Calibri"/>
        </w:rPr>
        <w:tab/>
        <w:t xml:space="preserve">Burris HA, Patel MR, Cho DC, </w:t>
      </w:r>
      <w:r w:rsidRPr="008B154A">
        <w:rPr>
          <w:rFonts w:ascii="Calibri" w:hAnsi="Calibri" w:cs="Calibri"/>
          <w:i/>
          <w:iCs/>
        </w:rPr>
        <w:t>et al.</w:t>
      </w:r>
      <w:r w:rsidRPr="008B154A">
        <w:rPr>
          <w:rFonts w:ascii="Calibri" w:hAnsi="Calibri" w:cs="Calibri"/>
        </w:rPr>
        <w:t xml:space="preserve"> A phase I </w:t>
      </w:r>
      <w:proofErr w:type="spellStart"/>
      <w:r w:rsidRPr="008B154A">
        <w:rPr>
          <w:rFonts w:ascii="Calibri" w:hAnsi="Calibri" w:cs="Calibri"/>
        </w:rPr>
        <w:t>multicenter</w:t>
      </w:r>
      <w:proofErr w:type="spellEnd"/>
      <w:r w:rsidRPr="008B154A">
        <w:rPr>
          <w:rFonts w:ascii="Calibri" w:hAnsi="Calibri" w:cs="Calibri"/>
        </w:rPr>
        <w:t xml:space="preserve"> study to assess the safety, tolerability, and immunogenicity of mRNA-4157 alone in patients with resected solid </w:t>
      </w:r>
      <w:proofErr w:type="spellStart"/>
      <w:r w:rsidRPr="008B154A">
        <w:rPr>
          <w:rFonts w:ascii="Calibri" w:hAnsi="Calibri" w:cs="Calibri"/>
        </w:rPr>
        <w:t>tumors</w:t>
      </w:r>
      <w:proofErr w:type="spellEnd"/>
      <w:r w:rsidRPr="008B154A">
        <w:rPr>
          <w:rFonts w:ascii="Calibri" w:hAnsi="Calibri" w:cs="Calibri"/>
        </w:rPr>
        <w:t xml:space="preserve"> and in combination with pembrolizumab in patients with unresectable solid </w:t>
      </w:r>
      <w:proofErr w:type="spellStart"/>
      <w:r w:rsidRPr="008B154A">
        <w:rPr>
          <w:rFonts w:ascii="Calibri" w:hAnsi="Calibri" w:cs="Calibri"/>
        </w:rPr>
        <w:t>tumors</w:t>
      </w:r>
      <w:proofErr w:type="spellEnd"/>
      <w:r w:rsidRPr="008B154A">
        <w:rPr>
          <w:rFonts w:ascii="Calibri" w:hAnsi="Calibri" w:cs="Calibri"/>
        </w:rPr>
        <w:t xml:space="preserve">. </w:t>
      </w:r>
      <w:r w:rsidRPr="008B154A">
        <w:rPr>
          <w:rFonts w:ascii="Calibri" w:hAnsi="Calibri" w:cs="Calibri"/>
          <w:i/>
          <w:iCs/>
        </w:rPr>
        <w:t>JCO</w:t>
      </w:r>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37</w:t>
      </w:r>
      <w:r w:rsidRPr="008B154A">
        <w:rPr>
          <w:rFonts w:ascii="Calibri" w:hAnsi="Calibri" w:cs="Calibri"/>
        </w:rPr>
        <w:t>:2523</w:t>
      </w:r>
      <w:proofErr w:type="gramEnd"/>
      <w:r w:rsidRPr="008B154A">
        <w:rPr>
          <w:rFonts w:ascii="Calibri" w:hAnsi="Calibri" w:cs="Calibri"/>
        </w:rPr>
        <w:t xml:space="preserve">–2523. </w:t>
      </w:r>
      <w:proofErr w:type="gramStart"/>
      <w:r w:rsidRPr="008B154A">
        <w:rPr>
          <w:rFonts w:ascii="Calibri" w:hAnsi="Calibri" w:cs="Calibri"/>
        </w:rPr>
        <w:t>doi:10.1200/JCO.2019.37.15_suppl</w:t>
      </w:r>
      <w:proofErr w:type="gramEnd"/>
      <w:r w:rsidRPr="008B154A">
        <w:rPr>
          <w:rFonts w:ascii="Calibri" w:hAnsi="Calibri" w:cs="Calibri"/>
        </w:rPr>
        <w:t>.2523</w:t>
      </w:r>
    </w:p>
    <w:p w14:paraId="580CD8DB" w14:textId="77777777" w:rsidR="008B154A" w:rsidRPr="008B154A" w:rsidRDefault="008B154A" w:rsidP="008B154A">
      <w:pPr>
        <w:pStyle w:val="Bibliography"/>
        <w:rPr>
          <w:rFonts w:ascii="Calibri" w:hAnsi="Calibri" w:cs="Calibri"/>
        </w:rPr>
      </w:pPr>
      <w:r w:rsidRPr="008B154A">
        <w:rPr>
          <w:rFonts w:ascii="Calibri" w:hAnsi="Calibri" w:cs="Calibri"/>
        </w:rPr>
        <w:t xml:space="preserve">17 </w:t>
      </w:r>
      <w:r w:rsidRPr="008B154A">
        <w:rPr>
          <w:rFonts w:ascii="Calibri" w:hAnsi="Calibri" w:cs="Calibri"/>
        </w:rPr>
        <w:tab/>
        <w:t xml:space="preserve">Costello CL, Gregory TK, Ali SA, </w:t>
      </w:r>
      <w:r w:rsidRPr="008B154A">
        <w:rPr>
          <w:rFonts w:ascii="Calibri" w:hAnsi="Calibri" w:cs="Calibri"/>
          <w:i/>
          <w:iCs/>
        </w:rPr>
        <w:t>et al.</w:t>
      </w:r>
      <w:r w:rsidRPr="008B154A">
        <w:rPr>
          <w:rFonts w:ascii="Calibri" w:hAnsi="Calibri" w:cs="Calibri"/>
        </w:rPr>
        <w:t xml:space="preserve"> Phase 2 Study of the Response and Safety of P-Bcma-101 CAR-T Cells in Patients with Relapsed/Refractory (r/r) Multiple Myeloma (MM) (PRIME). </w:t>
      </w:r>
      <w:r w:rsidRPr="008B154A">
        <w:rPr>
          <w:rFonts w:ascii="Calibri" w:hAnsi="Calibri" w:cs="Calibri"/>
          <w:i/>
          <w:iCs/>
        </w:rPr>
        <w:t>Blood</w:t>
      </w:r>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134</w:t>
      </w:r>
      <w:r w:rsidRPr="008B154A">
        <w:rPr>
          <w:rFonts w:ascii="Calibri" w:hAnsi="Calibri" w:cs="Calibri"/>
        </w:rPr>
        <w:t>:3184</w:t>
      </w:r>
      <w:proofErr w:type="gramEnd"/>
      <w:r w:rsidRPr="008B154A">
        <w:rPr>
          <w:rFonts w:ascii="Calibri" w:hAnsi="Calibri" w:cs="Calibri"/>
        </w:rPr>
        <w:t>–3184. doi:10.1182/blood-2019-129562</w:t>
      </w:r>
    </w:p>
    <w:p w14:paraId="7FE84171" w14:textId="77777777" w:rsidR="008B154A" w:rsidRPr="008B154A" w:rsidRDefault="008B154A" w:rsidP="008B154A">
      <w:pPr>
        <w:pStyle w:val="Bibliography"/>
        <w:rPr>
          <w:rFonts w:ascii="Calibri" w:hAnsi="Calibri" w:cs="Calibri"/>
        </w:rPr>
      </w:pPr>
      <w:r w:rsidRPr="008B154A">
        <w:rPr>
          <w:rFonts w:ascii="Calibri" w:hAnsi="Calibri" w:cs="Calibri"/>
        </w:rPr>
        <w:t xml:space="preserve">18 </w:t>
      </w:r>
      <w:r w:rsidRPr="008B154A">
        <w:rPr>
          <w:rFonts w:ascii="Calibri" w:hAnsi="Calibri" w:cs="Calibri"/>
        </w:rPr>
        <w:tab/>
        <w:t xml:space="preserve">Gregory T, Cohen AD, Costello CL, </w:t>
      </w:r>
      <w:r w:rsidRPr="008B154A">
        <w:rPr>
          <w:rFonts w:ascii="Calibri" w:hAnsi="Calibri" w:cs="Calibri"/>
          <w:i/>
          <w:iCs/>
        </w:rPr>
        <w:t>et al.</w:t>
      </w:r>
      <w:r w:rsidRPr="008B154A">
        <w:rPr>
          <w:rFonts w:ascii="Calibri" w:hAnsi="Calibri" w:cs="Calibri"/>
        </w:rPr>
        <w:t xml:space="preserve"> Efficacy and Safety of P-Bcma-101 CAR-T Cells in Patients with Relapsed/Refractory (r/r) Multiple Myeloma (MM). </w:t>
      </w:r>
      <w:r w:rsidRPr="008B154A">
        <w:rPr>
          <w:rFonts w:ascii="Calibri" w:hAnsi="Calibri" w:cs="Calibri"/>
          <w:i/>
          <w:iCs/>
        </w:rPr>
        <w:t>Blood</w:t>
      </w:r>
      <w:r w:rsidRPr="008B154A">
        <w:rPr>
          <w:rFonts w:ascii="Calibri" w:hAnsi="Calibri" w:cs="Calibri"/>
        </w:rPr>
        <w:t xml:space="preserve"> </w:t>
      </w:r>
      <w:proofErr w:type="gramStart"/>
      <w:r w:rsidRPr="008B154A">
        <w:rPr>
          <w:rFonts w:ascii="Calibri" w:hAnsi="Calibri" w:cs="Calibri"/>
        </w:rPr>
        <w:t>2018;</w:t>
      </w:r>
      <w:r w:rsidRPr="008B154A">
        <w:rPr>
          <w:rFonts w:ascii="Calibri" w:hAnsi="Calibri" w:cs="Calibri"/>
          <w:b/>
          <w:bCs/>
        </w:rPr>
        <w:t>132</w:t>
      </w:r>
      <w:r w:rsidRPr="008B154A">
        <w:rPr>
          <w:rFonts w:ascii="Calibri" w:hAnsi="Calibri" w:cs="Calibri"/>
        </w:rPr>
        <w:t>:1012</w:t>
      </w:r>
      <w:proofErr w:type="gramEnd"/>
      <w:r w:rsidRPr="008B154A">
        <w:rPr>
          <w:rFonts w:ascii="Calibri" w:hAnsi="Calibri" w:cs="Calibri"/>
        </w:rPr>
        <w:t>. doi:10.1182/blood-2018-99-111419</w:t>
      </w:r>
    </w:p>
    <w:p w14:paraId="0C237DDF" w14:textId="77777777" w:rsidR="008B154A" w:rsidRPr="008B154A" w:rsidRDefault="008B154A" w:rsidP="008B154A">
      <w:pPr>
        <w:pStyle w:val="Bibliography"/>
        <w:rPr>
          <w:rFonts w:ascii="Calibri" w:hAnsi="Calibri" w:cs="Calibri"/>
        </w:rPr>
      </w:pPr>
      <w:r w:rsidRPr="008B154A">
        <w:rPr>
          <w:rFonts w:ascii="Calibri" w:hAnsi="Calibri" w:cs="Calibri"/>
        </w:rPr>
        <w:t xml:space="preserve">19 </w:t>
      </w:r>
      <w:r w:rsidRPr="008B154A">
        <w:rPr>
          <w:rFonts w:ascii="Calibri" w:hAnsi="Calibri" w:cs="Calibri"/>
        </w:rPr>
        <w:tab/>
      </w:r>
      <w:proofErr w:type="spellStart"/>
      <w:r w:rsidRPr="008B154A">
        <w:rPr>
          <w:rFonts w:ascii="Calibri" w:hAnsi="Calibri" w:cs="Calibri"/>
        </w:rPr>
        <w:t>Anttila</w:t>
      </w:r>
      <w:proofErr w:type="spellEnd"/>
      <w:r w:rsidRPr="008B154A">
        <w:rPr>
          <w:rFonts w:ascii="Calibri" w:hAnsi="Calibri" w:cs="Calibri"/>
        </w:rPr>
        <w:t xml:space="preserve"> V, </w:t>
      </w:r>
      <w:proofErr w:type="spellStart"/>
      <w:r w:rsidRPr="008B154A">
        <w:rPr>
          <w:rFonts w:ascii="Calibri" w:hAnsi="Calibri" w:cs="Calibri"/>
        </w:rPr>
        <w:t>Saraste</w:t>
      </w:r>
      <w:proofErr w:type="spellEnd"/>
      <w:r w:rsidRPr="008B154A">
        <w:rPr>
          <w:rFonts w:ascii="Calibri" w:hAnsi="Calibri" w:cs="Calibri"/>
        </w:rPr>
        <w:t xml:space="preserve"> A, </w:t>
      </w:r>
      <w:proofErr w:type="spellStart"/>
      <w:r w:rsidRPr="008B154A">
        <w:rPr>
          <w:rFonts w:ascii="Calibri" w:hAnsi="Calibri" w:cs="Calibri"/>
        </w:rPr>
        <w:t>Knuuti</w:t>
      </w:r>
      <w:proofErr w:type="spellEnd"/>
      <w:r w:rsidRPr="008B154A">
        <w:rPr>
          <w:rFonts w:ascii="Calibri" w:hAnsi="Calibri" w:cs="Calibri"/>
        </w:rPr>
        <w:t xml:space="preserve"> J, </w:t>
      </w:r>
      <w:r w:rsidRPr="008B154A">
        <w:rPr>
          <w:rFonts w:ascii="Calibri" w:hAnsi="Calibri" w:cs="Calibri"/>
          <w:i/>
          <w:iCs/>
        </w:rPr>
        <w:t>et al.</w:t>
      </w:r>
      <w:r w:rsidRPr="008B154A">
        <w:rPr>
          <w:rFonts w:ascii="Calibri" w:hAnsi="Calibri" w:cs="Calibri"/>
        </w:rPr>
        <w:t xml:space="preserve"> Synthetic mRNA Encoding VEGF-A in Patients Undergoing Coronary Artery Bypass Grafting: Design of a Phase 2a Clinical Trial. </w:t>
      </w:r>
      <w:r w:rsidRPr="008B154A">
        <w:rPr>
          <w:rFonts w:ascii="Calibri" w:hAnsi="Calibri" w:cs="Calibri"/>
          <w:i/>
          <w:iCs/>
        </w:rPr>
        <w:t xml:space="preserve">Mol </w:t>
      </w:r>
      <w:proofErr w:type="spellStart"/>
      <w:r w:rsidRPr="008B154A">
        <w:rPr>
          <w:rFonts w:ascii="Calibri" w:hAnsi="Calibri" w:cs="Calibri"/>
          <w:i/>
          <w:iCs/>
        </w:rPr>
        <w:t>Ther</w:t>
      </w:r>
      <w:proofErr w:type="spellEnd"/>
      <w:r w:rsidRPr="008B154A">
        <w:rPr>
          <w:rFonts w:ascii="Calibri" w:hAnsi="Calibri" w:cs="Calibri"/>
          <w:i/>
          <w:iCs/>
        </w:rPr>
        <w:t xml:space="preserve"> Methods Clin Dev</w:t>
      </w:r>
      <w:r w:rsidRPr="008B154A">
        <w:rPr>
          <w:rFonts w:ascii="Calibri" w:hAnsi="Calibri" w:cs="Calibri"/>
        </w:rPr>
        <w:t xml:space="preserve"> </w:t>
      </w:r>
      <w:proofErr w:type="gramStart"/>
      <w:r w:rsidRPr="008B154A">
        <w:rPr>
          <w:rFonts w:ascii="Calibri" w:hAnsi="Calibri" w:cs="Calibri"/>
        </w:rPr>
        <w:t>2020;</w:t>
      </w:r>
      <w:r w:rsidRPr="008B154A">
        <w:rPr>
          <w:rFonts w:ascii="Calibri" w:hAnsi="Calibri" w:cs="Calibri"/>
          <w:b/>
          <w:bCs/>
        </w:rPr>
        <w:t>18</w:t>
      </w:r>
      <w:r w:rsidRPr="008B154A">
        <w:rPr>
          <w:rFonts w:ascii="Calibri" w:hAnsi="Calibri" w:cs="Calibri"/>
        </w:rPr>
        <w:t>:464</w:t>
      </w:r>
      <w:proofErr w:type="gramEnd"/>
      <w:r w:rsidRPr="008B154A">
        <w:rPr>
          <w:rFonts w:ascii="Calibri" w:hAnsi="Calibri" w:cs="Calibri"/>
        </w:rPr>
        <w:t xml:space="preserve">–72. </w:t>
      </w:r>
      <w:proofErr w:type="gramStart"/>
      <w:r w:rsidRPr="008B154A">
        <w:rPr>
          <w:rFonts w:ascii="Calibri" w:hAnsi="Calibri" w:cs="Calibri"/>
        </w:rPr>
        <w:t>doi:10.1016/j.omtm</w:t>
      </w:r>
      <w:proofErr w:type="gramEnd"/>
      <w:r w:rsidRPr="008B154A">
        <w:rPr>
          <w:rFonts w:ascii="Calibri" w:hAnsi="Calibri" w:cs="Calibri"/>
        </w:rPr>
        <w:t>.2020.05.030</w:t>
      </w:r>
    </w:p>
    <w:p w14:paraId="48A08431" w14:textId="77777777" w:rsidR="008B154A" w:rsidRPr="008B154A" w:rsidRDefault="008B154A" w:rsidP="008B154A">
      <w:pPr>
        <w:pStyle w:val="Bibliography"/>
        <w:rPr>
          <w:rFonts w:ascii="Calibri" w:hAnsi="Calibri" w:cs="Calibri"/>
        </w:rPr>
      </w:pPr>
      <w:r w:rsidRPr="008B154A">
        <w:rPr>
          <w:rFonts w:ascii="Calibri" w:hAnsi="Calibri" w:cs="Calibri"/>
        </w:rPr>
        <w:lastRenderedPageBreak/>
        <w:t xml:space="preserve">20 </w:t>
      </w:r>
      <w:r w:rsidRPr="008B154A">
        <w:rPr>
          <w:rFonts w:ascii="Calibri" w:hAnsi="Calibri" w:cs="Calibri"/>
        </w:rPr>
        <w:tab/>
        <w:t xml:space="preserve">Late-Breaking Science Abstracts and Featured Science Abstracts </w:t>
      </w:r>
      <w:proofErr w:type="gramStart"/>
      <w:r w:rsidRPr="008B154A">
        <w:rPr>
          <w:rFonts w:ascii="Calibri" w:hAnsi="Calibri" w:cs="Calibri"/>
        </w:rPr>
        <w:t>From</w:t>
      </w:r>
      <w:proofErr w:type="gramEnd"/>
      <w:r w:rsidRPr="008B154A">
        <w:rPr>
          <w:rFonts w:ascii="Calibri" w:hAnsi="Calibri" w:cs="Calibri"/>
        </w:rPr>
        <w:t xml:space="preserve"> the American Heart Association’s Scientific Sessions 2021 and Late-Breaking Abstracts in Resuscitation Science From the Resuscitation Science Symposium 2021. </w:t>
      </w:r>
      <w:r w:rsidRPr="008B154A">
        <w:rPr>
          <w:rFonts w:ascii="Calibri" w:hAnsi="Calibri" w:cs="Calibri"/>
          <w:i/>
          <w:iCs/>
        </w:rPr>
        <w:t>Circulation</w:t>
      </w:r>
      <w:r w:rsidRPr="008B154A">
        <w:rPr>
          <w:rFonts w:ascii="Calibri" w:hAnsi="Calibri" w:cs="Calibri"/>
        </w:rPr>
        <w:t xml:space="preserve"> 2021;</w:t>
      </w:r>
      <w:proofErr w:type="gramStart"/>
      <w:r w:rsidRPr="008B154A">
        <w:rPr>
          <w:rFonts w:ascii="Calibri" w:hAnsi="Calibri" w:cs="Calibri"/>
          <w:b/>
          <w:bCs/>
        </w:rPr>
        <w:t>144</w:t>
      </w:r>
      <w:r w:rsidRPr="008B154A">
        <w:rPr>
          <w:rFonts w:ascii="Calibri" w:hAnsi="Calibri" w:cs="Calibri"/>
        </w:rPr>
        <w:t>:e</w:t>
      </w:r>
      <w:proofErr w:type="gramEnd"/>
      <w:r w:rsidRPr="008B154A">
        <w:rPr>
          <w:rFonts w:ascii="Calibri" w:hAnsi="Calibri" w:cs="Calibri"/>
        </w:rPr>
        <w:t>564–93. doi:10.1161/CIR.0000000000001041</w:t>
      </w:r>
    </w:p>
    <w:p w14:paraId="50FC1DC6" w14:textId="77777777" w:rsidR="008B154A" w:rsidRPr="008B154A" w:rsidRDefault="008B154A" w:rsidP="008B154A">
      <w:pPr>
        <w:pStyle w:val="Bibliography"/>
        <w:rPr>
          <w:rFonts w:ascii="Calibri" w:hAnsi="Calibri" w:cs="Calibri"/>
        </w:rPr>
      </w:pPr>
      <w:r w:rsidRPr="008B154A">
        <w:rPr>
          <w:rFonts w:ascii="Calibri" w:hAnsi="Calibri" w:cs="Calibri"/>
        </w:rPr>
        <w:t xml:space="preserve">21 </w:t>
      </w:r>
      <w:r w:rsidRPr="008B154A">
        <w:rPr>
          <w:rFonts w:ascii="Calibri" w:hAnsi="Calibri" w:cs="Calibri"/>
        </w:rPr>
        <w:tab/>
        <w:t xml:space="preserve">Gan L-M, </w:t>
      </w:r>
      <w:proofErr w:type="spellStart"/>
      <w:r w:rsidRPr="008B154A">
        <w:rPr>
          <w:rFonts w:ascii="Calibri" w:hAnsi="Calibri" w:cs="Calibri"/>
        </w:rPr>
        <w:t>Lagerström-Fermér</w:t>
      </w:r>
      <w:proofErr w:type="spellEnd"/>
      <w:r w:rsidRPr="008B154A">
        <w:rPr>
          <w:rFonts w:ascii="Calibri" w:hAnsi="Calibri" w:cs="Calibri"/>
        </w:rPr>
        <w:t xml:space="preserve"> M, Carlsson LG, </w:t>
      </w:r>
      <w:r w:rsidRPr="008B154A">
        <w:rPr>
          <w:rFonts w:ascii="Calibri" w:hAnsi="Calibri" w:cs="Calibri"/>
          <w:i/>
          <w:iCs/>
        </w:rPr>
        <w:t>et al.</w:t>
      </w:r>
      <w:r w:rsidRPr="008B154A">
        <w:rPr>
          <w:rFonts w:ascii="Calibri" w:hAnsi="Calibri" w:cs="Calibri"/>
        </w:rPr>
        <w:t xml:space="preserve"> Intradermal delivery of modified mRNA encoding VEGF-A in patients with type 2 diabetes. </w:t>
      </w:r>
      <w:r w:rsidRPr="008B154A">
        <w:rPr>
          <w:rFonts w:ascii="Calibri" w:hAnsi="Calibri" w:cs="Calibri"/>
          <w:i/>
          <w:iCs/>
        </w:rPr>
        <w:t xml:space="preserve">Nat </w:t>
      </w:r>
      <w:proofErr w:type="spellStart"/>
      <w:r w:rsidRPr="008B154A">
        <w:rPr>
          <w:rFonts w:ascii="Calibri" w:hAnsi="Calibri" w:cs="Calibri"/>
          <w:i/>
          <w:iCs/>
        </w:rPr>
        <w:t>Commun</w:t>
      </w:r>
      <w:proofErr w:type="spellEnd"/>
      <w:r w:rsidRPr="008B154A">
        <w:rPr>
          <w:rFonts w:ascii="Calibri" w:hAnsi="Calibri" w:cs="Calibri"/>
        </w:rPr>
        <w:t xml:space="preserve"> </w:t>
      </w:r>
      <w:proofErr w:type="gramStart"/>
      <w:r w:rsidRPr="008B154A">
        <w:rPr>
          <w:rFonts w:ascii="Calibri" w:hAnsi="Calibri" w:cs="Calibri"/>
        </w:rPr>
        <w:t>2019;</w:t>
      </w:r>
      <w:r w:rsidRPr="008B154A">
        <w:rPr>
          <w:rFonts w:ascii="Calibri" w:hAnsi="Calibri" w:cs="Calibri"/>
          <w:b/>
          <w:bCs/>
        </w:rPr>
        <w:t>10</w:t>
      </w:r>
      <w:r w:rsidRPr="008B154A">
        <w:rPr>
          <w:rFonts w:ascii="Calibri" w:hAnsi="Calibri" w:cs="Calibri"/>
        </w:rPr>
        <w:t>:1</w:t>
      </w:r>
      <w:proofErr w:type="gramEnd"/>
      <w:r w:rsidRPr="008B154A">
        <w:rPr>
          <w:rFonts w:ascii="Calibri" w:hAnsi="Calibri" w:cs="Calibri"/>
        </w:rPr>
        <w:t>–9. doi:10.1038/s41467-019-08852-4</w:t>
      </w:r>
    </w:p>
    <w:p w14:paraId="7039455E" w14:textId="2212C01F" w:rsidR="00637246" w:rsidRPr="00637246" w:rsidRDefault="00637246">
      <w:pPr>
        <w:rPr>
          <w:lang w:val="en-GB"/>
        </w:rPr>
      </w:pPr>
      <w:r>
        <w:rPr>
          <w:lang w:val="en-GB"/>
        </w:rPr>
        <w:fldChar w:fldCharType="end"/>
      </w:r>
    </w:p>
    <w:sectPr w:rsidR="00637246" w:rsidRPr="00637246" w:rsidSect="0063724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46"/>
    <w:rsid w:val="000279BE"/>
    <w:rsid w:val="00084D10"/>
    <w:rsid w:val="000A1094"/>
    <w:rsid w:val="000D3C0C"/>
    <w:rsid w:val="00107438"/>
    <w:rsid w:val="00115A29"/>
    <w:rsid w:val="001571AA"/>
    <w:rsid w:val="001602EB"/>
    <w:rsid w:val="00161AD1"/>
    <w:rsid w:val="00211175"/>
    <w:rsid w:val="00215FDF"/>
    <w:rsid w:val="00236E34"/>
    <w:rsid w:val="002C6587"/>
    <w:rsid w:val="002E2786"/>
    <w:rsid w:val="00321800"/>
    <w:rsid w:val="003252BA"/>
    <w:rsid w:val="003742D4"/>
    <w:rsid w:val="00377FD4"/>
    <w:rsid w:val="003D5D04"/>
    <w:rsid w:val="003F1E6F"/>
    <w:rsid w:val="0042064D"/>
    <w:rsid w:val="004321D7"/>
    <w:rsid w:val="00480A26"/>
    <w:rsid w:val="00493B23"/>
    <w:rsid w:val="00560146"/>
    <w:rsid w:val="00576717"/>
    <w:rsid w:val="00593BFE"/>
    <w:rsid w:val="005A02BE"/>
    <w:rsid w:val="005D516F"/>
    <w:rsid w:val="00637246"/>
    <w:rsid w:val="006433B1"/>
    <w:rsid w:val="0073505F"/>
    <w:rsid w:val="00736B43"/>
    <w:rsid w:val="007B267A"/>
    <w:rsid w:val="007B6102"/>
    <w:rsid w:val="007E5429"/>
    <w:rsid w:val="007F091E"/>
    <w:rsid w:val="0082013A"/>
    <w:rsid w:val="008365AC"/>
    <w:rsid w:val="008B154A"/>
    <w:rsid w:val="008C6B71"/>
    <w:rsid w:val="008D086A"/>
    <w:rsid w:val="00917688"/>
    <w:rsid w:val="009319A9"/>
    <w:rsid w:val="00931E68"/>
    <w:rsid w:val="0093633F"/>
    <w:rsid w:val="00964D67"/>
    <w:rsid w:val="00987B06"/>
    <w:rsid w:val="009B6FE2"/>
    <w:rsid w:val="009D54DD"/>
    <w:rsid w:val="009F2732"/>
    <w:rsid w:val="00A5547D"/>
    <w:rsid w:val="00A849FD"/>
    <w:rsid w:val="00AD4AA4"/>
    <w:rsid w:val="00BC5EC7"/>
    <w:rsid w:val="00C0770A"/>
    <w:rsid w:val="00C57BE9"/>
    <w:rsid w:val="00CA2DEB"/>
    <w:rsid w:val="00CB1FD1"/>
    <w:rsid w:val="00CC2AA1"/>
    <w:rsid w:val="00CE1415"/>
    <w:rsid w:val="00CF0FFC"/>
    <w:rsid w:val="00D21115"/>
    <w:rsid w:val="00D309B3"/>
    <w:rsid w:val="00D75B30"/>
    <w:rsid w:val="00DB62C0"/>
    <w:rsid w:val="00E06DFC"/>
    <w:rsid w:val="00E6447E"/>
    <w:rsid w:val="00EE0E16"/>
    <w:rsid w:val="00F13C86"/>
    <w:rsid w:val="00F40D61"/>
    <w:rsid w:val="00F93BA1"/>
    <w:rsid w:val="00FC207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4FC1"/>
  <w15:chartTrackingRefBased/>
  <w15:docId w15:val="{18519C62-A650-4B95-9921-A4ABDB8D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7246"/>
    <w:rPr>
      <w:color w:val="0000FF"/>
      <w:u w:val="single"/>
    </w:rPr>
  </w:style>
  <w:style w:type="paragraph" w:styleId="Bibliography">
    <w:name w:val="Bibliography"/>
    <w:basedOn w:val="Normal"/>
    <w:next w:val="Normal"/>
    <w:uiPriority w:val="37"/>
    <w:unhideWhenUsed/>
    <w:rsid w:val="00637246"/>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0872">
      <w:bodyDiv w:val="1"/>
      <w:marLeft w:val="0"/>
      <w:marRight w:val="0"/>
      <w:marTop w:val="0"/>
      <w:marBottom w:val="0"/>
      <w:divBdr>
        <w:top w:val="none" w:sz="0" w:space="0" w:color="auto"/>
        <w:left w:val="none" w:sz="0" w:space="0" w:color="auto"/>
        <w:bottom w:val="none" w:sz="0" w:space="0" w:color="auto"/>
        <w:right w:val="none" w:sz="0" w:space="0" w:color="auto"/>
      </w:divBdr>
    </w:div>
    <w:div w:id="1182624092">
      <w:bodyDiv w:val="1"/>
      <w:marLeft w:val="0"/>
      <w:marRight w:val="0"/>
      <w:marTop w:val="0"/>
      <w:marBottom w:val="0"/>
      <w:divBdr>
        <w:top w:val="none" w:sz="0" w:space="0" w:color="auto"/>
        <w:left w:val="none" w:sz="0" w:space="0" w:color="auto"/>
        <w:bottom w:val="none" w:sz="0" w:space="0" w:color="auto"/>
        <w:right w:val="none" w:sz="0" w:space="0" w:color="auto"/>
      </w:divBdr>
    </w:div>
    <w:div w:id="1245644118">
      <w:bodyDiv w:val="1"/>
      <w:marLeft w:val="0"/>
      <w:marRight w:val="0"/>
      <w:marTop w:val="0"/>
      <w:marBottom w:val="0"/>
      <w:divBdr>
        <w:top w:val="none" w:sz="0" w:space="0" w:color="auto"/>
        <w:left w:val="none" w:sz="0" w:space="0" w:color="auto"/>
        <w:bottom w:val="none" w:sz="0" w:space="0" w:color="auto"/>
        <w:right w:val="none" w:sz="0" w:space="0" w:color="auto"/>
      </w:divBdr>
    </w:div>
    <w:div w:id="1417364685">
      <w:bodyDiv w:val="1"/>
      <w:marLeft w:val="0"/>
      <w:marRight w:val="0"/>
      <w:marTop w:val="0"/>
      <w:marBottom w:val="0"/>
      <w:divBdr>
        <w:top w:val="none" w:sz="0" w:space="0" w:color="auto"/>
        <w:left w:val="none" w:sz="0" w:space="0" w:color="auto"/>
        <w:bottom w:val="none" w:sz="0" w:space="0" w:color="auto"/>
        <w:right w:val="none" w:sz="0" w:space="0" w:color="auto"/>
      </w:divBdr>
    </w:div>
    <w:div w:id="1474830563">
      <w:bodyDiv w:val="1"/>
      <w:marLeft w:val="0"/>
      <w:marRight w:val="0"/>
      <w:marTop w:val="0"/>
      <w:marBottom w:val="0"/>
      <w:divBdr>
        <w:top w:val="none" w:sz="0" w:space="0" w:color="auto"/>
        <w:left w:val="none" w:sz="0" w:space="0" w:color="auto"/>
        <w:bottom w:val="none" w:sz="0" w:space="0" w:color="auto"/>
        <w:right w:val="none" w:sz="0" w:space="0" w:color="auto"/>
      </w:divBdr>
    </w:div>
    <w:div w:id="1623609261">
      <w:bodyDiv w:val="1"/>
      <w:marLeft w:val="0"/>
      <w:marRight w:val="0"/>
      <w:marTop w:val="0"/>
      <w:marBottom w:val="0"/>
      <w:divBdr>
        <w:top w:val="none" w:sz="0" w:space="0" w:color="auto"/>
        <w:left w:val="none" w:sz="0" w:space="0" w:color="auto"/>
        <w:bottom w:val="none" w:sz="0" w:space="0" w:color="auto"/>
        <w:right w:val="none" w:sz="0" w:space="0" w:color="auto"/>
      </w:divBdr>
    </w:div>
    <w:div w:id="1713189977">
      <w:bodyDiv w:val="1"/>
      <w:marLeft w:val="0"/>
      <w:marRight w:val="0"/>
      <w:marTop w:val="0"/>
      <w:marBottom w:val="0"/>
      <w:divBdr>
        <w:top w:val="none" w:sz="0" w:space="0" w:color="auto"/>
        <w:left w:val="none" w:sz="0" w:space="0" w:color="auto"/>
        <w:bottom w:val="none" w:sz="0" w:space="0" w:color="auto"/>
        <w:right w:val="none" w:sz="0" w:space="0" w:color="auto"/>
      </w:divBdr>
    </w:div>
    <w:div w:id="1742219467">
      <w:bodyDiv w:val="1"/>
      <w:marLeft w:val="0"/>
      <w:marRight w:val="0"/>
      <w:marTop w:val="0"/>
      <w:marBottom w:val="0"/>
      <w:divBdr>
        <w:top w:val="none" w:sz="0" w:space="0" w:color="auto"/>
        <w:left w:val="none" w:sz="0" w:space="0" w:color="auto"/>
        <w:bottom w:val="none" w:sz="0" w:space="0" w:color="auto"/>
        <w:right w:val="none" w:sz="0" w:space="0" w:color="auto"/>
      </w:divBdr>
    </w:div>
    <w:div w:id="1869372273">
      <w:bodyDiv w:val="1"/>
      <w:marLeft w:val="0"/>
      <w:marRight w:val="0"/>
      <w:marTop w:val="0"/>
      <w:marBottom w:val="0"/>
      <w:divBdr>
        <w:top w:val="none" w:sz="0" w:space="0" w:color="auto"/>
        <w:left w:val="none" w:sz="0" w:space="0" w:color="auto"/>
        <w:bottom w:val="none" w:sz="0" w:space="0" w:color="auto"/>
        <w:right w:val="none" w:sz="0" w:space="0" w:color="auto"/>
      </w:divBdr>
    </w:div>
    <w:div w:id="2019037064">
      <w:bodyDiv w:val="1"/>
      <w:marLeft w:val="0"/>
      <w:marRight w:val="0"/>
      <w:marTop w:val="0"/>
      <w:marBottom w:val="0"/>
      <w:divBdr>
        <w:top w:val="none" w:sz="0" w:space="0" w:color="auto"/>
        <w:left w:val="none" w:sz="0" w:space="0" w:color="auto"/>
        <w:bottom w:val="none" w:sz="0" w:space="0" w:color="auto"/>
        <w:right w:val="none" w:sz="0" w:space="0" w:color="auto"/>
      </w:divBdr>
    </w:div>
    <w:div w:id="20512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nicaltrials.gov/show/NCT02053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14018</Words>
  <Characters>79909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Halma</dc:creator>
  <cp:keywords/>
  <dc:description/>
  <cp:lastModifiedBy>Matthew Halma</cp:lastModifiedBy>
  <cp:revision>4</cp:revision>
  <dcterms:created xsi:type="dcterms:W3CDTF">2022-12-30T22:03:00Z</dcterms:created>
  <dcterms:modified xsi:type="dcterms:W3CDTF">2023-01-11T03:35:00Z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id="eVJofpfX"/&gt;&lt;style id="http://www.zotero.org/styles/bmj" hasBibliography="1" bibliographyStyleHasBeenSet="1"/&gt;&lt;prefs&gt;&lt;pref name="fieldType" value="Field"/&gt;&lt;pref name="delayCitationUpdates" value="</vt:lpwstr>
  </property>
  <property fmtid="{D5CDD505-2E9C-101B-9397-08002B2CF9AE}" pid="3" name="ZOTERO_PREF_2">
    <vt:lpwstr>true"/&gt;&lt;pref name="dontAskDelayCitationUpdates" value="true"/&gt;&lt;/prefs&gt;&lt;/data&gt;</vt:lpwstr>
  </property>
</Properties>
</file>