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charts/chart4.xml" ContentType="application/vnd.openxmlformats-officedocument.drawingml.chart+xml"/>
  <Override PartName="/word/drawings/drawing4.xml" ContentType="application/vnd.openxmlformats-officedocument.drawingml.chartshapes+xml"/>
  <Override PartName="/word/charts/chart5.xml" ContentType="application/vnd.openxmlformats-officedocument.drawingml.chart+xml"/>
  <Override PartName="/word/drawings/drawing5.xml" ContentType="application/vnd.openxmlformats-officedocument.drawingml.chartshapes+xml"/>
  <Override PartName="/word/charts/chart6.xml" ContentType="application/vnd.openxmlformats-officedocument.drawingml.chart+xml"/>
  <Override PartName="/word/drawings/drawing6.xml" ContentType="application/vnd.openxmlformats-officedocument.drawingml.chartshapes+xml"/>
  <Override PartName="/word/charts/chart7.xml" ContentType="application/vnd.openxmlformats-officedocument.drawingml.chart+xml"/>
  <Override PartName="/word/drawings/drawing7.xml" ContentType="application/vnd.openxmlformats-officedocument.drawingml.chartshapes+xml"/>
  <Override PartName="/word/charts/chart8.xml" ContentType="application/vnd.openxmlformats-officedocument.drawingml.chart+xml"/>
  <Override PartName="/word/drawings/drawing8.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74AC982" w14:textId="77777777" w:rsidR="00077D60" w:rsidRPr="006453D9" w:rsidRDefault="00077D60" w:rsidP="00077D60">
      <w:pPr>
        <w:pStyle w:val="MDPI11articletype"/>
      </w:pPr>
      <w:r w:rsidRPr="006453D9">
        <w:t>Article</w:t>
      </w:r>
    </w:p>
    <w:tbl>
      <w:tblPr>
        <w:tblpPr w:leftFromText="198" w:rightFromText="198" w:vertAnchor="page" w:horzAnchor="margin" w:tblpY="9211"/>
        <w:tblW w:w="2410" w:type="dxa"/>
        <w:tblLayout w:type="fixed"/>
        <w:tblCellMar>
          <w:left w:w="0" w:type="dxa"/>
          <w:right w:w="0" w:type="dxa"/>
        </w:tblCellMar>
        <w:tblLook w:val="04A0" w:firstRow="1" w:lastRow="0" w:firstColumn="1" w:lastColumn="0" w:noHBand="0" w:noVBand="1"/>
      </w:tblPr>
      <w:tblGrid>
        <w:gridCol w:w="2410"/>
      </w:tblGrid>
      <w:tr w:rsidR="0092754E" w:rsidRPr="005F50D0" w14:paraId="6756CA78" w14:textId="77777777" w:rsidTr="0092754E">
        <w:tc>
          <w:tcPr>
            <w:tcW w:w="2410" w:type="dxa"/>
            <w:shd w:val="clear" w:color="auto" w:fill="auto"/>
          </w:tcPr>
          <w:p w14:paraId="4B21429D" w14:textId="7778DA98" w:rsidR="0092754E" w:rsidRPr="0092754E" w:rsidRDefault="0092754E" w:rsidP="0092754E">
            <w:pPr>
              <w:pStyle w:val="MDPI61Citation"/>
              <w:rPr>
                <w:snapToGrid w:val="0"/>
              </w:rPr>
            </w:pPr>
            <w:r w:rsidRPr="004014F7">
              <w:rPr>
                <w:b/>
              </w:rPr>
              <w:t>Citation:</w:t>
            </w:r>
            <w:r>
              <w:t xml:space="preserve"> </w:t>
            </w:r>
          </w:p>
          <w:p w14:paraId="56055853" w14:textId="77777777" w:rsidR="0092754E" w:rsidRPr="0092754E" w:rsidRDefault="0092754E" w:rsidP="0092754E">
            <w:pPr>
              <w:pStyle w:val="MDPI14history"/>
              <w:spacing w:before="120" w:after="120"/>
              <w:rPr>
                <w:rFonts w:ascii="SimSun" w:eastAsia="SimSun" w:hAnsi="SimSun" w:cs="SimSun"/>
                <w:lang w:eastAsia="zh-CN"/>
              </w:rPr>
            </w:pPr>
            <w:r w:rsidRPr="0092754E">
              <w:t xml:space="preserve">Academic Editor: </w:t>
            </w:r>
            <w:proofErr w:type="spellStart"/>
            <w:r w:rsidRPr="0092754E">
              <w:t>Firstname</w:t>
            </w:r>
            <w:proofErr w:type="spellEnd"/>
            <w:r w:rsidRPr="0092754E">
              <w:t xml:space="preserve"> </w:t>
            </w:r>
            <w:proofErr w:type="spellStart"/>
            <w:r w:rsidRPr="0092754E">
              <w:t>Lastname</w:t>
            </w:r>
            <w:proofErr w:type="spellEnd"/>
          </w:p>
          <w:p w14:paraId="261A5972" w14:textId="77777777" w:rsidR="0092754E" w:rsidRPr="0092754E" w:rsidRDefault="0092754E" w:rsidP="0092754E">
            <w:pPr>
              <w:pStyle w:val="MDPI14history"/>
              <w:spacing w:before="120"/>
              <w:rPr>
                <w:rFonts w:ascii="SimSun" w:eastAsia="SimSun" w:hAnsi="SimSun" w:cs="SimSun"/>
              </w:rPr>
            </w:pPr>
            <w:r w:rsidRPr="0092754E">
              <w:rPr>
                <w:szCs w:val="14"/>
              </w:rPr>
              <w:t>Received: date</w:t>
            </w:r>
          </w:p>
          <w:p w14:paraId="5BE63677" w14:textId="77777777" w:rsidR="0092754E" w:rsidRPr="0092754E" w:rsidRDefault="0092754E" w:rsidP="0092754E">
            <w:pPr>
              <w:pStyle w:val="MDPI14history"/>
              <w:rPr>
                <w:szCs w:val="14"/>
              </w:rPr>
            </w:pPr>
            <w:r w:rsidRPr="0092754E">
              <w:rPr>
                <w:szCs w:val="14"/>
              </w:rPr>
              <w:t>Accepted: date</w:t>
            </w:r>
          </w:p>
          <w:p w14:paraId="29C45B15" w14:textId="77777777" w:rsidR="0092754E" w:rsidRPr="0092754E" w:rsidRDefault="0092754E" w:rsidP="0092754E">
            <w:pPr>
              <w:pStyle w:val="MDPI14history"/>
              <w:spacing w:after="120"/>
              <w:rPr>
                <w:szCs w:val="14"/>
              </w:rPr>
            </w:pPr>
            <w:r w:rsidRPr="0092754E">
              <w:rPr>
                <w:szCs w:val="14"/>
              </w:rPr>
              <w:t>Published: date</w:t>
            </w:r>
          </w:p>
          <w:p w14:paraId="6CE70506" w14:textId="77777777" w:rsidR="0092754E" w:rsidRPr="0092754E" w:rsidRDefault="0092754E" w:rsidP="0092754E">
            <w:pPr>
              <w:pStyle w:val="MDPI63Notes"/>
              <w:jc w:val="both"/>
            </w:pPr>
            <w:r w:rsidRPr="0092754E">
              <w:rPr>
                <w:b/>
              </w:rPr>
              <w:t>Publisher’s Note:</w:t>
            </w:r>
            <w:r w:rsidRPr="0092754E">
              <w:t xml:space="preserve"> MDPI stays neutral with regard to jurisdictional claims in published maps and institutional affiliations.</w:t>
            </w:r>
          </w:p>
          <w:p w14:paraId="75B8B38F" w14:textId="77777777" w:rsidR="0092754E" w:rsidRPr="0092754E" w:rsidRDefault="0092754E" w:rsidP="0092754E">
            <w:pPr>
              <w:adjustRightInd w:val="0"/>
              <w:snapToGrid w:val="0"/>
              <w:spacing w:before="120" w:line="240" w:lineRule="atLeast"/>
              <w:ind w:right="113"/>
              <w:jc w:val="left"/>
              <w:rPr>
                <w:rFonts w:eastAsia="DengXian"/>
                <w:bCs/>
                <w:sz w:val="14"/>
                <w:szCs w:val="14"/>
                <w:lang w:bidi="en-US"/>
              </w:rPr>
            </w:pPr>
            <w:r w:rsidRPr="0092754E">
              <w:rPr>
                <w:rFonts w:eastAsia="DengXian"/>
                <w:noProof/>
                <w:lang w:val="ru-RU" w:eastAsia="ru-RU"/>
              </w:rPr>
              <w:drawing>
                <wp:inline distT="0" distB="0" distL="0" distR="0" wp14:anchorId="318DCD06" wp14:editId="27FF3F77">
                  <wp:extent cx="692785" cy="249555"/>
                  <wp:effectExtent l="0" t="0" r="0" b="0"/>
                  <wp:docPr id="3" name="Picture 4"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A picture containing text, clipar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14:paraId="49CD62DE" w14:textId="77777777" w:rsidR="0092754E" w:rsidRPr="0092754E" w:rsidRDefault="0092754E" w:rsidP="0092754E">
            <w:pPr>
              <w:adjustRightInd w:val="0"/>
              <w:snapToGrid w:val="0"/>
              <w:spacing w:before="60" w:line="240" w:lineRule="atLeast"/>
              <w:ind w:right="113"/>
              <w:rPr>
                <w:rFonts w:eastAsia="DengXian"/>
                <w:bCs/>
                <w:sz w:val="14"/>
                <w:szCs w:val="14"/>
                <w:lang w:bidi="en-US"/>
              </w:rPr>
            </w:pPr>
            <w:r w:rsidRPr="0092754E">
              <w:rPr>
                <w:rFonts w:eastAsia="DengXian"/>
                <w:b/>
                <w:bCs/>
                <w:sz w:val="14"/>
                <w:szCs w:val="14"/>
                <w:lang w:bidi="en-US"/>
              </w:rPr>
              <w:t>Copyright:</w:t>
            </w:r>
            <w:r w:rsidRPr="0092754E">
              <w:rPr>
                <w:rFonts w:eastAsia="DengXian"/>
                <w:bCs/>
                <w:sz w:val="14"/>
                <w:szCs w:val="14"/>
                <w:lang w:bidi="en-US"/>
              </w:rPr>
              <w:t xml:space="preserve"> © 2022 by the authors. Submitted for possible open access publication under the terms and conditions of the Creative Commons Attribution (CC BY) license (https://creativecommons.org/licenses/by/4.0/).</w:t>
            </w:r>
          </w:p>
        </w:tc>
      </w:tr>
    </w:tbl>
    <w:p w14:paraId="07A2460C" w14:textId="77777777" w:rsidR="00064873" w:rsidRPr="00064873" w:rsidRDefault="001931BB" w:rsidP="00064873">
      <w:pPr>
        <w:pStyle w:val="MDPI13authornames"/>
        <w:rPr>
          <w:bCs/>
          <w:snapToGrid w:val="0"/>
          <w:sz w:val="36"/>
        </w:rPr>
      </w:pPr>
      <w:r>
        <w:rPr>
          <w:bCs/>
          <w:snapToGrid w:val="0"/>
          <w:sz w:val="36"/>
        </w:rPr>
        <w:t xml:space="preserve">THE RELAXATION MODEL OF RELATION BETWEEN ELASTIC MODULUS AND THERMAL EXPANSIVITY </w:t>
      </w:r>
      <w:r w:rsidR="00532017">
        <w:rPr>
          <w:bCs/>
          <w:snapToGrid w:val="0"/>
          <w:sz w:val="36"/>
        </w:rPr>
        <w:t xml:space="preserve">OF </w:t>
      </w:r>
      <w:r w:rsidR="00532017" w:rsidRPr="00064873">
        <w:rPr>
          <w:bCs/>
          <w:snapToGrid w:val="0"/>
          <w:sz w:val="36"/>
        </w:rPr>
        <w:t>THERMOSETTING POLYMERS</w:t>
      </w:r>
      <w:r w:rsidR="00532017">
        <w:rPr>
          <w:bCs/>
          <w:snapToGrid w:val="0"/>
          <w:sz w:val="36"/>
        </w:rPr>
        <w:t>’</w:t>
      </w:r>
      <w:r w:rsidR="00532017" w:rsidRPr="00064873">
        <w:rPr>
          <w:bCs/>
          <w:snapToGrid w:val="0"/>
          <w:sz w:val="36"/>
        </w:rPr>
        <w:t xml:space="preserve"> AND FRPs</w:t>
      </w:r>
      <w:r w:rsidR="00532017">
        <w:rPr>
          <w:bCs/>
          <w:snapToGrid w:val="0"/>
          <w:sz w:val="36"/>
        </w:rPr>
        <w:t>’</w:t>
      </w:r>
    </w:p>
    <w:p w14:paraId="7765F5C6" w14:textId="1923D6E1" w:rsidR="00A94B3A" w:rsidRPr="007E0C3B" w:rsidRDefault="00C8585D" w:rsidP="00077D60">
      <w:pPr>
        <w:pStyle w:val="MDPI13authornames"/>
      </w:pPr>
      <w:r w:rsidRPr="00365FC7">
        <w:t xml:space="preserve">Alexander Korolev </w:t>
      </w:r>
      <w:r w:rsidR="00654AFB" w:rsidRPr="000848FD">
        <w:rPr>
          <w:vertAlign w:val="superscript"/>
        </w:rPr>
        <w:t>1,</w:t>
      </w:r>
      <w:r w:rsidR="00654AFB" w:rsidRPr="000848FD">
        <w:t xml:space="preserve"> *</w:t>
      </w:r>
      <w:r w:rsidRPr="000848FD">
        <w:t>,</w:t>
      </w:r>
      <w:r w:rsidRPr="00AA3B81">
        <w:t xml:space="preserve"> Maxim </w:t>
      </w:r>
      <w:proofErr w:type="spellStart"/>
      <w:r w:rsidRPr="000848FD">
        <w:t>Mishnev</w:t>
      </w:r>
      <w:proofErr w:type="spellEnd"/>
      <w:r w:rsidRPr="000848FD">
        <w:t xml:space="preserve"> </w:t>
      </w:r>
      <w:r w:rsidR="00654AFB" w:rsidRPr="00AA3B81">
        <w:rPr>
          <w:vertAlign w:val="superscript"/>
        </w:rPr>
        <w:t>2,</w:t>
      </w:r>
      <w:r w:rsidR="00654AFB" w:rsidRPr="00AA3B81">
        <w:t xml:space="preserve"> *</w:t>
      </w:r>
      <w:r w:rsidRPr="00982F32">
        <w:t xml:space="preserve">, </w:t>
      </w:r>
      <w:r>
        <w:t xml:space="preserve">Dmitriy </w:t>
      </w:r>
      <w:proofErr w:type="spellStart"/>
      <w:r w:rsidR="00654AFB">
        <w:t>Ulrikh</w:t>
      </w:r>
      <w:proofErr w:type="spellEnd"/>
      <w:r w:rsidR="00654AFB">
        <w:rPr>
          <w:vertAlign w:val="superscript"/>
        </w:rPr>
        <w:t xml:space="preserve"> 3</w:t>
      </w:r>
      <w:r w:rsidR="00654AFB" w:rsidRPr="00AA3B81">
        <w:rPr>
          <w:vertAlign w:val="superscript"/>
        </w:rPr>
        <w:t>,</w:t>
      </w:r>
      <w:r w:rsidR="00654AFB" w:rsidRPr="00AA3B81">
        <w:t xml:space="preserve"> *</w:t>
      </w:r>
      <w:r w:rsidR="007E0C3B">
        <w:t>, Alexander Zadorin</w:t>
      </w:r>
      <w:r w:rsidR="007E0C3B">
        <w:rPr>
          <w:vertAlign w:val="superscript"/>
        </w:rPr>
        <w:t>4</w:t>
      </w:r>
      <w:r w:rsidR="007E0C3B" w:rsidRPr="00AA3B81">
        <w:rPr>
          <w:vertAlign w:val="superscript"/>
        </w:rPr>
        <w:t>,</w:t>
      </w:r>
      <w:r w:rsidR="007E0C3B" w:rsidRPr="00AA3B81">
        <w:t xml:space="preserve"> *</w:t>
      </w:r>
      <w:r w:rsidR="007E0C3B">
        <w:t xml:space="preserve"> </w:t>
      </w:r>
    </w:p>
    <w:p w14:paraId="1D92AEB5" w14:textId="77777777" w:rsidR="00BC181A" w:rsidRPr="000848FD" w:rsidRDefault="00BC181A" w:rsidP="00BC181A">
      <w:pPr>
        <w:pStyle w:val="MDPI16affiliation"/>
      </w:pPr>
      <w:r w:rsidRPr="00AA3B81">
        <w:rPr>
          <w:vertAlign w:val="superscript"/>
        </w:rPr>
        <w:t>1</w:t>
      </w:r>
      <w:r w:rsidRPr="00AA3B81">
        <w:tab/>
      </w:r>
      <w:r w:rsidRPr="000848FD">
        <w:t>Department of building construction and structures, South Ural State University, Chelyabinsk, 454080, Russia</w:t>
      </w:r>
    </w:p>
    <w:p w14:paraId="1F45204F" w14:textId="77777777" w:rsidR="00BC181A" w:rsidRPr="000848FD" w:rsidRDefault="00BC181A" w:rsidP="00BC181A">
      <w:pPr>
        <w:pStyle w:val="MDPI16affiliation"/>
      </w:pPr>
      <w:r w:rsidRPr="000848FD">
        <w:rPr>
          <w:vertAlign w:val="superscript"/>
        </w:rPr>
        <w:t>2</w:t>
      </w:r>
      <w:r w:rsidRPr="000848FD">
        <w:tab/>
        <w:t>Department of building construction and structures, South Ural State University, Chelyabinsk, 454080, Russia</w:t>
      </w:r>
    </w:p>
    <w:p w14:paraId="39F54646" w14:textId="1AC6385A" w:rsidR="00BC181A" w:rsidRDefault="007E0C3B" w:rsidP="00BC181A">
      <w:pPr>
        <w:pStyle w:val="MDPI16affiliation"/>
      </w:pPr>
      <w:r>
        <w:rPr>
          <w:vertAlign w:val="superscript"/>
        </w:rPr>
        <w:t>3</w:t>
      </w:r>
      <w:r w:rsidR="00BC181A" w:rsidRPr="000848FD">
        <w:tab/>
        <w:t>Department of town planning, engineering systems, and networks, South Ural State University, Chelyabinsk, 454080, Russia</w:t>
      </w:r>
    </w:p>
    <w:p w14:paraId="6D2F6B89" w14:textId="34833AD5" w:rsidR="007E0C3B" w:rsidRPr="000848FD" w:rsidRDefault="007E0C3B" w:rsidP="007E0C3B">
      <w:pPr>
        <w:pStyle w:val="MDPI16affiliation"/>
      </w:pPr>
      <w:r>
        <w:rPr>
          <w:vertAlign w:val="superscript"/>
        </w:rPr>
        <w:t>4</w:t>
      </w:r>
      <w:r w:rsidRPr="000848FD">
        <w:tab/>
        <w:t>Department of building construction and structures, South Ural State University, Chelyabinsk, 454080, Russia</w:t>
      </w:r>
    </w:p>
    <w:p w14:paraId="1375D001" w14:textId="77777777" w:rsidR="007E0C3B" w:rsidRDefault="007E0C3B" w:rsidP="00BC181A">
      <w:pPr>
        <w:pStyle w:val="MDPI16affiliation"/>
      </w:pPr>
    </w:p>
    <w:p w14:paraId="1195C187" w14:textId="77777777" w:rsidR="00BC181A" w:rsidRPr="00AA3B81" w:rsidRDefault="00BC181A" w:rsidP="00BC181A">
      <w:pPr>
        <w:pStyle w:val="MDPI16affiliation"/>
      </w:pPr>
      <w:r w:rsidRPr="00AA3B81">
        <w:rPr>
          <w:b/>
        </w:rPr>
        <w:t>*</w:t>
      </w:r>
      <w:r w:rsidRPr="00AA3B81">
        <w:tab/>
      </w:r>
      <w:r w:rsidRPr="00352352">
        <w:t xml:space="preserve">Correspondence: korolev@sc74.ru or korolevas@susu.ac.ru (A.K.); mishnevmv@susu.ru (M.M.); </w:t>
      </w:r>
      <w:r w:rsidR="000B05FB" w:rsidRPr="000B05FB">
        <w:t>ulrikhdv@susu.ru (U.D</w:t>
      </w:r>
      <w:r w:rsidR="000B05FB">
        <w:t xml:space="preserve">; </w:t>
      </w:r>
      <w:r w:rsidRPr="00352352">
        <w:t>Tel.: +7-(922)-750-6508 (A.K.); +7-(999)-585-1936 (M.M.)</w:t>
      </w:r>
    </w:p>
    <w:p w14:paraId="392E0035" w14:textId="202B634B" w:rsidR="003308B7" w:rsidRPr="007A78B9" w:rsidRDefault="00077D60" w:rsidP="003308B7">
      <w:pPr>
        <w:pStyle w:val="MDPI17abstract"/>
        <w:rPr>
          <w:color w:val="FF0000"/>
          <w:szCs w:val="18"/>
        </w:rPr>
      </w:pPr>
      <w:r w:rsidRPr="00550626">
        <w:rPr>
          <w:b/>
          <w:szCs w:val="18"/>
        </w:rPr>
        <w:t xml:space="preserve">Abstract: </w:t>
      </w:r>
      <w:r w:rsidR="000E23C1">
        <w:rPr>
          <w:bCs/>
          <w:szCs w:val="18"/>
        </w:rPr>
        <w:t>This research is completed in development of researches de</w:t>
      </w:r>
      <w:r w:rsidR="00532017">
        <w:rPr>
          <w:bCs/>
          <w:szCs w:val="18"/>
        </w:rPr>
        <w:t>vo</w:t>
      </w:r>
      <w:r w:rsidR="000E23C1">
        <w:rPr>
          <w:bCs/>
          <w:szCs w:val="18"/>
        </w:rPr>
        <w:t>ted to relations between elastic modulus (</w:t>
      </w:r>
      <w:proofErr w:type="spellStart"/>
      <w:r w:rsidR="000E23C1">
        <w:rPr>
          <w:bCs/>
          <w:szCs w:val="18"/>
        </w:rPr>
        <w:t>MoE</w:t>
      </w:r>
      <w:proofErr w:type="spellEnd"/>
      <w:r w:rsidR="000E23C1">
        <w:rPr>
          <w:bCs/>
          <w:szCs w:val="18"/>
        </w:rPr>
        <w:t>) and thermal expansivity (</w:t>
      </w:r>
      <w:proofErr w:type="spellStart"/>
      <w:r w:rsidR="000E23C1">
        <w:rPr>
          <w:bCs/>
          <w:szCs w:val="18"/>
        </w:rPr>
        <w:t>CTe</w:t>
      </w:r>
      <w:proofErr w:type="spellEnd"/>
      <w:r w:rsidR="000E23C1">
        <w:rPr>
          <w:bCs/>
          <w:szCs w:val="18"/>
        </w:rPr>
        <w:t xml:space="preserve">) of different materials. This study experimentally confirmed the relation of </w:t>
      </w:r>
      <w:proofErr w:type="spellStart"/>
      <w:r w:rsidR="000E23C1">
        <w:rPr>
          <w:bCs/>
          <w:szCs w:val="18"/>
        </w:rPr>
        <w:t>MoE</w:t>
      </w:r>
      <w:proofErr w:type="spellEnd"/>
      <w:r w:rsidR="000E23C1">
        <w:rPr>
          <w:bCs/>
          <w:szCs w:val="18"/>
        </w:rPr>
        <w:t xml:space="preserve"> and </w:t>
      </w:r>
      <w:proofErr w:type="spellStart"/>
      <w:r w:rsidR="000E23C1">
        <w:rPr>
          <w:bCs/>
          <w:szCs w:val="18"/>
        </w:rPr>
        <w:t>CTe</w:t>
      </w:r>
      <w:proofErr w:type="spellEnd"/>
      <w:r w:rsidR="000E23C1">
        <w:rPr>
          <w:bCs/>
          <w:szCs w:val="18"/>
        </w:rPr>
        <w:t xml:space="preserve"> for thermosetting polymers and FRPs </w:t>
      </w:r>
      <w:r w:rsidR="00704A61">
        <w:rPr>
          <w:bCs/>
          <w:szCs w:val="18"/>
        </w:rPr>
        <w:t xml:space="preserve">both under normal and heating temperatures. </w:t>
      </w:r>
      <w:r w:rsidR="009137C6" w:rsidRPr="00951C5A">
        <w:rPr>
          <w:bCs/>
          <w:color w:val="FF0000"/>
          <w:szCs w:val="18"/>
        </w:rPr>
        <w:t xml:space="preserve">As the thermosetting polymers, the epoxy compositions were used and glass fiber and mineral additives for FRP. The experiment was based on dilatometric and elastic deformations’ </w:t>
      </w:r>
      <w:commentRangeStart w:id="0"/>
      <w:r w:rsidR="009137C6" w:rsidRPr="00951C5A">
        <w:rPr>
          <w:bCs/>
          <w:color w:val="FF0000"/>
          <w:szCs w:val="18"/>
        </w:rPr>
        <w:t>testing</w:t>
      </w:r>
      <w:commentRangeEnd w:id="0"/>
      <w:r w:rsidR="009D6BB0" w:rsidRPr="00951C5A">
        <w:rPr>
          <w:rStyle w:val="af"/>
          <w:rFonts w:eastAsia="SimSun"/>
          <w:color w:val="FF0000"/>
          <w:lang w:eastAsia="zh-CN" w:bidi="ar-SA"/>
        </w:rPr>
        <w:commentReference w:id="0"/>
      </w:r>
      <w:r w:rsidR="009137C6">
        <w:rPr>
          <w:bCs/>
          <w:szCs w:val="18"/>
        </w:rPr>
        <w:t xml:space="preserve">. </w:t>
      </w:r>
      <w:r w:rsidR="00704A61">
        <w:rPr>
          <w:bCs/>
          <w:szCs w:val="18"/>
        </w:rPr>
        <w:t>Also</w:t>
      </w:r>
      <w:r w:rsidR="00F75376" w:rsidRPr="00F75376">
        <w:rPr>
          <w:bCs/>
          <w:szCs w:val="18"/>
        </w:rPr>
        <w:t>,</w:t>
      </w:r>
      <w:r w:rsidR="00704A61">
        <w:rPr>
          <w:bCs/>
          <w:szCs w:val="18"/>
        </w:rPr>
        <w:t xml:space="preserve"> the relaxation model of </w:t>
      </w:r>
      <w:proofErr w:type="spellStart"/>
      <w:r w:rsidR="00704A61">
        <w:rPr>
          <w:bCs/>
          <w:szCs w:val="18"/>
        </w:rPr>
        <w:t>MoE</w:t>
      </w:r>
      <w:proofErr w:type="spellEnd"/>
      <w:r w:rsidR="00704A61">
        <w:rPr>
          <w:bCs/>
          <w:szCs w:val="18"/>
        </w:rPr>
        <w:t>/</w:t>
      </w:r>
      <w:proofErr w:type="spellStart"/>
      <w:r w:rsidR="00704A61">
        <w:rPr>
          <w:bCs/>
          <w:szCs w:val="18"/>
        </w:rPr>
        <w:t>CTe</w:t>
      </w:r>
      <w:proofErr w:type="spellEnd"/>
      <w:r w:rsidR="00704A61">
        <w:rPr>
          <w:bCs/>
          <w:szCs w:val="18"/>
        </w:rPr>
        <w:t xml:space="preserve"> was proposed</w:t>
      </w:r>
      <w:r w:rsidR="008F1786">
        <w:rPr>
          <w:bCs/>
          <w:szCs w:val="18"/>
        </w:rPr>
        <w:t>,</w:t>
      </w:r>
      <w:r w:rsidR="00704A61">
        <w:rPr>
          <w:bCs/>
          <w:szCs w:val="18"/>
        </w:rPr>
        <w:t xml:space="preserve"> that is based on physical properties of polymers’ supramolecular structures. The comparative analyz</w:t>
      </w:r>
      <w:r w:rsidR="00532017">
        <w:rPr>
          <w:bCs/>
          <w:szCs w:val="18"/>
        </w:rPr>
        <w:t>ing</w:t>
      </w:r>
      <w:r w:rsidR="00704A61">
        <w:rPr>
          <w:bCs/>
          <w:szCs w:val="18"/>
        </w:rPr>
        <w:t xml:space="preserve"> of </w:t>
      </w:r>
      <w:proofErr w:type="spellStart"/>
      <w:r w:rsidR="00704A61">
        <w:rPr>
          <w:bCs/>
          <w:szCs w:val="18"/>
        </w:rPr>
        <w:t>MoE</w:t>
      </w:r>
      <w:proofErr w:type="spellEnd"/>
      <w:r w:rsidR="00704A61">
        <w:rPr>
          <w:bCs/>
          <w:szCs w:val="18"/>
        </w:rPr>
        <w:t>/</w:t>
      </w:r>
      <w:proofErr w:type="spellStart"/>
      <w:r w:rsidR="00704A61">
        <w:rPr>
          <w:bCs/>
          <w:szCs w:val="18"/>
        </w:rPr>
        <w:t>CTe</w:t>
      </w:r>
      <w:r w:rsidR="008F1786">
        <w:rPr>
          <w:bCs/>
          <w:szCs w:val="18"/>
        </w:rPr>
        <w:t>s</w:t>
      </w:r>
      <w:proofErr w:type="spellEnd"/>
      <w:r w:rsidR="008F1786">
        <w:rPr>
          <w:bCs/>
          <w:szCs w:val="18"/>
        </w:rPr>
        <w:t>’</w:t>
      </w:r>
      <w:r w:rsidR="00704A61">
        <w:rPr>
          <w:bCs/>
          <w:szCs w:val="18"/>
        </w:rPr>
        <w:t xml:space="preserve"> different models is done. The most accurate models are determined</w:t>
      </w:r>
      <w:r w:rsidR="00F75376">
        <w:rPr>
          <w:bCs/>
          <w:szCs w:val="18"/>
        </w:rPr>
        <w:t>, and the relaxation model has demonstrated the high accuracy.</w:t>
      </w:r>
      <w:r w:rsidR="00704A61">
        <w:rPr>
          <w:bCs/>
          <w:szCs w:val="18"/>
        </w:rPr>
        <w:t xml:space="preserve">  </w:t>
      </w:r>
      <w:r w:rsidR="000E23C1">
        <w:rPr>
          <w:bCs/>
          <w:szCs w:val="18"/>
        </w:rPr>
        <w:t xml:space="preserve"> </w:t>
      </w:r>
    </w:p>
    <w:p w14:paraId="34CAB284" w14:textId="77777777" w:rsidR="00077D60" w:rsidRPr="00550626" w:rsidRDefault="00077D60" w:rsidP="00077D60">
      <w:pPr>
        <w:pStyle w:val="MDPI18keywords"/>
        <w:rPr>
          <w:szCs w:val="18"/>
        </w:rPr>
      </w:pPr>
      <w:r w:rsidRPr="00550626">
        <w:rPr>
          <w:b/>
          <w:szCs w:val="18"/>
        </w:rPr>
        <w:t>Keywords:</w:t>
      </w:r>
      <w:r w:rsidR="0031785D">
        <w:rPr>
          <w:b/>
          <w:szCs w:val="18"/>
        </w:rPr>
        <w:t xml:space="preserve"> </w:t>
      </w:r>
      <w:r w:rsidR="00D7684E" w:rsidRPr="00D7684E">
        <w:rPr>
          <w:bCs/>
          <w:color w:val="auto"/>
          <w:szCs w:val="18"/>
        </w:rPr>
        <w:t>polymers</w:t>
      </w:r>
      <w:r w:rsidR="002B7B7D" w:rsidRPr="00D7684E">
        <w:rPr>
          <w:color w:val="auto"/>
        </w:rPr>
        <w:t>;</w:t>
      </w:r>
      <w:r w:rsidRPr="00D7684E">
        <w:rPr>
          <w:color w:val="auto"/>
        </w:rPr>
        <w:t xml:space="preserve"> </w:t>
      </w:r>
      <w:r w:rsidR="0031785D" w:rsidRPr="00D7684E">
        <w:rPr>
          <w:color w:val="auto"/>
        </w:rPr>
        <w:t>polymer composites; glass fiber reinforced plastics;</w:t>
      </w:r>
      <w:r w:rsidR="00D7684E" w:rsidRPr="00D7684E">
        <w:rPr>
          <w:color w:val="auto"/>
        </w:rPr>
        <w:t xml:space="preserve"> elasticity; modulus of elasticity;</w:t>
      </w:r>
      <w:r w:rsidR="0031785D" w:rsidRPr="00D7684E">
        <w:rPr>
          <w:color w:val="auto"/>
        </w:rPr>
        <w:t xml:space="preserve"> </w:t>
      </w:r>
      <w:r w:rsidR="00D7684E">
        <w:rPr>
          <w:color w:val="auto"/>
        </w:rPr>
        <w:t xml:space="preserve">thermal expansivity; </w:t>
      </w:r>
      <w:r w:rsidR="00191AFD" w:rsidRPr="00D7684E">
        <w:rPr>
          <w:color w:val="auto"/>
        </w:rPr>
        <w:t>coefficient of thermal expansion</w:t>
      </w:r>
      <w:r w:rsidR="0031785D" w:rsidRPr="00D7684E">
        <w:rPr>
          <w:color w:val="auto"/>
        </w:rPr>
        <w:t>;</w:t>
      </w:r>
      <w:r w:rsidR="00D7684E" w:rsidRPr="00D7684E">
        <w:rPr>
          <w:color w:val="auto"/>
        </w:rPr>
        <w:t xml:space="preserve"> relaxation;</w:t>
      </w:r>
      <w:r w:rsidR="0031785D" w:rsidRPr="00D7684E">
        <w:rPr>
          <w:color w:val="auto"/>
        </w:rPr>
        <w:t xml:space="preserve"> thermo-relaxation </w:t>
      </w:r>
    </w:p>
    <w:p w14:paraId="5F2F53CF" w14:textId="77777777" w:rsidR="00077D60" w:rsidRPr="00550626" w:rsidRDefault="00077D60" w:rsidP="00077D60">
      <w:pPr>
        <w:pStyle w:val="MDPI19line"/>
      </w:pPr>
    </w:p>
    <w:p w14:paraId="35AF0E95" w14:textId="77777777" w:rsidR="00077D60" w:rsidRDefault="0092754E" w:rsidP="0092754E">
      <w:pPr>
        <w:pStyle w:val="MDPI21heading1"/>
      </w:pPr>
      <w:r>
        <w:t xml:space="preserve">1. </w:t>
      </w:r>
      <w:r w:rsidR="00077D60" w:rsidRPr="007F2582">
        <w:t>Introduction</w:t>
      </w:r>
    </w:p>
    <w:p w14:paraId="17CF3090" w14:textId="685EB455" w:rsidR="002325A8" w:rsidRDefault="00343804" w:rsidP="0092754E">
      <w:pPr>
        <w:pStyle w:val="MDPI31text"/>
        <w:rPr>
          <w:color w:val="auto"/>
        </w:rPr>
      </w:pPr>
      <w:r w:rsidRPr="008673BA">
        <w:rPr>
          <w:rFonts w:eastAsia="SimSun"/>
          <w:snapToGrid/>
          <w:color w:val="auto"/>
        </w:rPr>
        <w:t>The</w:t>
      </w:r>
      <w:r w:rsidR="00AE32B9" w:rsidRPr="008673BA">
        <w:rPr>
          <w:rFonts w:eastAsia="SimSun"/>
          <w:snapToGrid/>
          <w:color w:val="auto"/>
        </w:rPr>
        <w:t xml:space="preserve"> </w:t>
      </w:r>
      <w:r w:rsidR="008673BA" w:rsidRPr="008673BA">
        <w:rPr>
          <w:rFonts w:eastAsia="SimSun"/>
          <w:snapToGrid/>
          <w:color w:val="auto"/>
        </w:rPr>
        <w:t xml:space="preserve">prediction </w:t>
      </w:r>
      <w:r w:rsidRPr="008673BA">
        <w:rPr>
          <w:rFonts w:eastAsia="SimSun"/>
          <w:snapToGrid/>
          <w:color w:val="auto"/>
        </w:rPr>
        <w:t xml:space="preserve">of </w:t>
      </w:r>
      <w:r w:rsidR="00AE32B9" w:rsidRPr="008673BA">
        <w:rPr>
          <w:rFonts w:eastAsia="SimSun"/>
          <w:snapToGrid/>
          <w:color w:val="auto"/>
        </w:rPr>
        <w:t>various</w:t>
      </w:r>
      <w:r w:rsidR="008673BA" w:rsidRPr="008673BA">
        <w:rPr>
          <w:rFonts w:eastAsia="SimSun"/>
          <w:snapToGrid/>
          <w:color w:val="auto"/>
        </w:rPr>
        <w:t>, including polymer,</w:t>
      </w:r>
      <w:r w:rsidR="00AE32B9" w:rsidRPr="008673BA">
        <w:rPr>
          <w:rFonts w:eastAsia="SimSun"/>
          <w:snapToGrid/>
          <w:color w:val="auto"/>
        </w:rPr>
        <w:t xml:space="preserve"> composite structures</w:t>
      </w:r>
      <w:r w:rsidR="008673BA" w:rsidRPr="008673BA">
        <w:rPr>
          <w:rFonts w:eastAsia="SimSun"/>
          <w:snapToGrid/>
          <w:color w:val="auto"/>
        </w:rPr>
        <w:t>’ elastic properties under normal and heating temperatures is very actual</w:t>
      </w:r>
      <w:r w:rsidR="00AE32B9" w:rsidRPr="008673BA">
        <w:rPr>
          <w:rFonts w:eastAsia="SimSun"/>
          <w:snapToGrid/>
          <w:color w:val="auto"/>
        </w:rPr>
        <w:t xml:space="preserve"> </w:t>
      </w:r>
      <w:r w:rsidR="008673BA" w:rsidRPr="008673BA">
        <w:rPr>
          <w:rFonts w:eastAsia="SimSun"/>
          <w:snapToGrid/>
          <w:color w:val="auto"/>
        </w:rPr>
        <w:t xml:space="preserve">in </w:t>
      </w:r>
      <w:r w:rsidR="005B04D8" w:rsidRPr="008673BA">
        <w:rPr>
          <w:rFonts w:eastAsia="SimSun"/>
          <w:snapToGrid/>
          <w:color w:val="auto"/>
        </w:rPr>
        <w:t xml:space="preserve">design </w:t>
      </w:r>
      <w:r w:rsidR="005B04D8">
        <w:rPr>
          <w:rFonts w:eastAsia="SimSun"/>
          <w:snapToGrid/>
          <w:color w:val="auto"/>
        </w:rPr>
        <w:t xml:space="preserve">of </w:t>
      </w:r>
      <w:r w:rsidR="008673BA" w:rsidRPr="008673BA">
        <w:rPr>
          <w:rFonts w:eastAsia="SimSun"/>
          <w:snapToGrid/>
          <w:color w:val="auto"/>
        </w:rPr>
        <w:t xml:space="preserve">such structures, especially </w:t>
      </w:r>
      <w:r w:rsidR="00AE32B9" w:rsidRPr="008673BA">
        <w:rPr>
          <w:rFonts w:eastAsia="SimSun"/>
          <w:snapToGrid/>
          <w:color w:val="auto"/>
        </w:rPr>
        <w:t>subjected to transient thermomechanical actions</w:t>
      </w:r>
      <w:r w:rsidRPr="008673BA">
        <w:rPr>
          <w:rFonts w:eastAsia="SimSun"/>
          <w:snapToGrid/>
          <w:color w:val="auto"/>
        </w:rPr>
        <w:t>.</w:t>
      </w:r>
      <w:r w:rsidRPr="004D5E85">
        <w:rPr>
          <w:rFonts w:eastAsia="SimSun"/>
          <w:snapToGrid/>
          <w:color w:val="FF0000"/>
        </w:rPr>
        <w:t xml:space="preserve"> </w:t>
      </w:r>
      <w:r w:rsidR="006559CB" w:rsidRPr="00594777">
        <w:rPr>
          <w:rFonts w:eastAsia="SimSun"/>
          <w:snapToGrid/>
          <w:color w:val="auto"/>
        </w:rPr>
        <w:t>Thermal</w:t>
      </w:r>
      <w:r w:rsidR="006559CB" w:rsidRPr="00594777">
        <w:rPr>
          <w:color w:val="auto"/>
        </w:rPr>
        <w:t xml:space="preserve"> expan</w:t>
      </w:r>
      <w:r w:rsidR="008673BA" w:rsidRPr="00594777">
        <w:rPr>
          <w:color w:val="auto"/>
        </w:rPr>
        <w:t>sivity</w:t>
      </w:r>
      <w:r w:rsidR="004D5E85" w:rsidRPr="00594777">
        <w:rPr>
          <w:color w:val="auto"/>
        </w:rPr>
        <w:t xml:space="preserve"> (TE)</w:t>
      </w:r>
      <w:r w:rsidR="005B04D8">
        <w:rPr>
          <w:color w:val="auto"/>
        </w:rPr>
        <w:t xml:space="preserve"> and elasticity are the main properties characterizing the deformability of composite</w:t>
      </w:r>
      <w:r w:rsidR="006559CB" w:rsidRPr="00594777">
        <w:rPr>
          <w:color w:val="auto"/>
        </w:rPr>
        <w:t xml:space="preserve"> </w:t>
      </w:r>
      <w:r w:rsidR="005B04D8">
        <w:rPr>
          <w:color w:val="auto"/>
        </w:rPr>
        <w:t>and</w:t>
      </w:r>
      <w:r w:rsidR="006559CB" w:rsidRPr="00594777">
        <w:rPr>
          <w:color w:val="auto"/>
        </w:rPr>
        <w:t xml:space="preserve"> the significant factor</w:t>
      </w:r>
      <w:r w:rsidR="005B04D8">
        <w:rPr>
          <w:color w:val="auto"/>
        </w:rPr>
        <w:t>s</w:t>
      </w:r>
      <w:r w:rsidR="006559CB" w:rsidRPr="00594777">
        <w:rPr>
          <w:color w:val="auto"/>
        </w:rPr>
        <w:t xml:space="preserve"> of polymers and FRPs’ thermal stresses developing in real structures during exploitation</w:t>
      </w:r>
      <w:r w:rsidR="00FB7FAA">
        <w:rPr>
          <w:color w:val="auto"/>
        </w:rPr>
        <w:t xml:space="preserve"> [1-4].</w:t>
      </w:r>
      <w:r w:rsidR="006559CB" w:rsidRPr="00594777">
        <w:rPr>
          <w:color w:val="auto"/>
        </w:rPr>
        <w:t xml:space="preserve"> </w:t>
      </w:r>
      <w:r w:rsidR="008909F8">
        <w:rPr>
          <w:color w:val="auto"/>
        </w:rPr>
        <w:t xml:space="preserve">Thus, the adequate relation between thermal expansibility and elasticity of material provides the decision of many design tasks. </w:t>
      </w:r>
      <w:r w:rsidR="00594777" w:rsidRPr="00594777">
        <w:rPr>
          <w:color w:val="auto"/>
        </w:rPr>
        <w:t>T</w:t>
      </w:r>
      <w:r w:rsidR="008909F8">
        <w:rPr>
          <w:color w:val="auto"/>
        </w:rPr>
        <w:t>he</w:t>
      </w:r>
      <w:r w:rsidR="00594777" w:rsidRPr="00594777">
        <w:rPr>
          <w:color w:val="auto"/>
        </w:rPr>
        <w:t xml:space="preserve"> </w:t>
      </w:r>
      <w:r w:rsidR="005B04D8">
        <w:rPr>
          <w:color w:val="auto"/>
        </w:rPr>
        <w:t xml:space="preserve">basic </w:t>
      </w:r>
      <w:r w:rsidR="00594777" w:rsidRPr="00594777">
        <w:rPr>
          <w:color w:val="auto"/>
        </w:rPr>
        <w:t xml:space="preserve">parameter of thermal expansivity is coefficient of TE (CTE), and the </w:t>
      </w:r>
      <w:r w:rsidR="005B04D8">
        <w:rPr>
          <w:color w:val="auto"/>
        </w:rPr>
        <w:t xml:space="preserve">basic </w:t>
      </w:r>
      <w:r w:rsidR="00594777" w:rsidRPr="00594777">
        <w:rPr>
          <w:color w:val="auto"/>
        </w:rPr>
        <w:t>parameter of elasticity is the modulus of elasticity (</w:t>
      </w:r>
      <w:proofErr w:type="spellStart"/>
      <w:r w:rsidR="00594777" w:rsidRPr="00594777">
        <w:rPr>
          <w:color w:val="auto"/>
        </w:rPr>
        <w:t>MoE</w:t>
      </w:r>
      <w:proofErr w:type="spellEnd"/>
      <w:r w:rsidR="00594777" w:rsidRPr="00594777">
        <w:rPr>
          <w:color w:val="auto"/>
        </w:rPr>
        <w:t xml:space="preserve">). </w:t>
      </w:r>
      <w:r w:rsidR="00594777">
        <w:rPr>
          <w:color w:val="auto"/>
        </w:rPr>
        <w:t xml:space="preserve">Several researches demonstrated the approximation of relation between </w:t>
      </w:r>
      <w:proofErr w:type="spellStart"/>
      <w:r w:rsidR="00594777">
        <w:rPr>
          <w:color w:val="auto"/>
        </w:rPr>
        <w:t>MoE</w:t>
      </w:r>
      <w:proofErr w:type="spellEnd"/>
      <w:r w:rsidR="00594777">
        <w:rPr>
          <w:color w:val="auto"/>
        </w:rPr>
        <w:t xml:space="preserve"> and CTE for different materials, including metals, minerals, glasses, polymers and plastics. The most famous research of this is the study of R.E. Barker Jr</w:t>
      </w:r>
      <w:r w:rsidR="00FB7FAA">
        <w:rPr>
          <w:color w:val="auto"/>
        </w:rPr>
        <w:t xml:space="preserve"> </w:t>
      </w:r>
      <w:r w:rsidR="00FB7FAA" w:rsidRPr="00C04A12">
        <w:rPr>
          <w:color w:val="auto"/>
        </w:rPr>
        <w:t>[</w:t>
      </w:r>
      <w:r w:rsidR="00D945FF" w:rsidRPr="00C04A12">
        <w:rPr>
          <w:color w:val="auto"/>
        </w:rPr>
        <w:t>5</w:t>
      </w:r>
      <w:r w:rsidR="00FB7FAA" w:rsidRPr="00C04A12">
        <w:rPr>
          <w:color w:val="auto"/>
        </w:rPr>
        <w:t>]</w:t>
      </w:r>
      <w:r w:rsidR="00594777" w:rsidRPr="00C04A12">
        <w:rPr>
          <w:color w:val="auto"/>
        </w:rPr>
        <w:t>.</w:t>
      </w:r>
    </w:p>
    <w:p w14:paraId="48426664" w14:textId="75B86B38" w:rsidR="00965380" w:rsidRDefault="00594777" w:rsidP="00965380">
      <w:pPr>
        <w:pStyle w:val="MDPI31text"/>
        <w:rPr>
          <w:rFonts w:eastAsia="SimSun"/>
          <w:snapToGrid/>
          <w:color w:val="auto"/>
        </w:rPr>
      </w:pPr>
      <w:r>
        <w:rPr>
          <w:rFonts w:eastAsia="SimSun"/>
          <w:snapToGrid/>
          <w:color w:val="auto"/>
        </w:rPr>
        <w:t>In Barker’s study common research of TE</w:t>
      </w:r>
      <w:r w:rsidR="009A1388">
        <w:rPr>
          <w:rFonts w:eastAsia="SimSun"/>
          <w:snapToGrid/>
          <w:color w:val="auto"/>
        </w:rPr>
        <w:t>-</w:t>
      </w:r>
      <w:proofErr w:type="spellStart"/>
      <w:r>
        <w:rPr>
          <w:rFonts w:eastAsia="SimSun"/>
          <w:snapToGrid/>
          <w:color w:val="auto"/>
        </w:rPr>
        <w:t>MoE</w:t>
      </w:r>
      <w:proofErr w:type="spellEnd"/>
      <w:r w:rsidR="009A1388">
        <w:rPr>
          <w:rFonts w:eastAsia="SimSun"/>
          <w:snapToGrid/>
          <w:color w:val="auto"/>
        </w:rPr>
        <w:t xml:space="preserve"> relation</w:t>
      </w:r>
      <w:r>
        <w:rPr>
          <w:rFonts w:eastAsia="SimSun"/>
          <w:snapToGrid/>
          <w:color w:val="auto"/>
        </w:rPr>
        <w:t xml:space="preserve"> </w:t>
      </w:r>
      <w:r w:rsidR="005B04D8">
        <w:rPr>
          <w:rFonts w:eastAsia="SimSun"/>
          <w:snapToGrid/>
          <w:color w:val="auto"/>
        </w:rPr>
        <w:t xml:space="preserve">completed </w:t>
      </w:r>
      <w:r>
        <w:rPr>
          <w:rFonts w:eastAsia="SimSun"/>
          <w:snapToGrid/>
          <w:color w:val="auto"/>
        </w:rPr>
        <w:t>with following results</w:t>
      </w:r>
      <w:r w:rsidR="00FF5206" w:rsidRPr="00FF5206">
        <w:rPr>
          <w:rFonts w:eastAsia="SimSun"/>
          <w:snapToGrid/>
          <w:color w:val="auto"/>
        </w:rPr>
        <w:t xml:space="preserve"> </w:t>
      </w:r>
      <w:r w:rsidR="00FF5206" w:rsidRPr="00C04A12">
        <w:rPr>
          <w:rFonts w:eastAsia="SimSun"/>
          <w:snapToGrid/>
          <w:color w:val="FF0000"/>
        </w:rPr>
        <w:t>[5]</w:t>
      </w:r>
      <w:r w:rsidRPr="00C04A12">
        <w:rPr>
          <w:rFonts w:eastAsia="SimSun"/>
          <w:snapToGrid/>
          <w:color w:val="FF0000"/>
        </w:rPr>
        <w:t>:</w:t>
      </w:r>
    </w:p>
    <w:p w14:paraId="1C090795" w14:textId="13E83966" w:rsidR="00965380" w:rsidRPr="00B02E1D" w:rsidRDefault="00965380" w:rsidP="00B02E1D">
      <w:pPr>
        <w:pStyle w:val="MDPI37itemize"/>
        <w:rPr>
          <w:rFonts w:eastAsia="SimSun"/>
        </w:rPr>
      </w:pPr>
      <w:r>
        <w:rPr>
          <w:rFonts w:eastAsia="SimSun"/>
        </w:rPr>
        <w:t xml:space="preserve">The groups of </w:t>
      </w:r>
      <w:r w:rsidR="009D6BB0" w:rsidRPr="004014F7">
        <w:rPr>
          <w:rFonts w:eastAsia="SimSun"/>
          <w:color w:val="FF0000"/>
        </w:rPr>
        <w:t>absolutely different</w:t>
      </w:r>
      <w:r w:rsidR="009D6BB0">
        <w:rPr>
          <w:rFonts w:eastAsia="SimSun"/>
        </w:rPr>
        <w:t xml:space="preserve"> </w:t>
      </w:r>
      <w:r>
        <w:rPr>
          <w:rFonts w:eastAsia="SimSun"/>
        </w:rPr>
        <w:t>materials with approximated TE-</w:t>
      </w:r>
      <w:proofErr w:type="spellStart"/>
      <w:r>
        <w:rPr>
          <w:rFonts w:eastAsia="SimSun"/>
        </w:rPr>
        <w:t>MoE</w:t>
      </w:r>
      <w:proofErr w:type="spellEnd"/>
      <w:r>
        <w:rPr>
          <w:rFonts w:eastAsia="SimSun"/>
        </w:rPr>
        <w:t xml:space="preserve"> relation are determined, and</w:t>
      </w:r>
      <w:r w:rsidR="00B02E1D">
        <w:rPr>
          <w:rFonts w:eastAsia="SimSun"/>
        </w:rPr>
        <w:t xml:space="preserve"> </w:t>
      </w:r>
      <w:r w:rsidRPr="00B02E1D">
        <w:rPr>
          <w:rFonts w:eastAsia="SimSun"/>
        </w:rPr>
        <w:t>glassed materials, including polymers and FRP, are in this number.</w:t>
      </w:r>
    </w:p>
    <w:p w14:paraId="0053D90B" w14:textId="683B67CD" w:rsidR="00965380" w:rsidRDefault="00965380" w:rsidP="00B02E1D">
      <w:pPr>
        <w:pStyle w:val="MDPI37itemize"/>
      </w:pPr>
      <w:r>
        <w:lastRenderedPageBreak/>
        <w:t>The approximated CTE (</w:t>
      </w:r>
      <m:oMath>
        <m:r>
          <w:rPr>
            <w:rFonts w:ascii="Cambria Math" w:hAnsi="Cambria Math"/>
          </w:rPr>
          <m:t>∝</m:t>
        </m:r>
      </m:oMath>
      <w:r>
        <w:t>)-MoE (</w:t>
      </w:r>
      <m:oMath>
        <m:r>
          <w:rPr>
            <w:rFonts w:ascii="Cambria Math" w:hAnsi="Cambria Math"/>
          </w:rPr>
          <m:t>E</m:t>
        </m:r>
      </m:oMath>
      <w:r>
        <w:t>) relation</w:t>
      </w:r>
      <w:r w:rsidR="009D6BB0">
        <w:t xml:space="preserve"> </w:t>
      </w:r>
      <w:r w:rsidR="009D6BB0" w:rsidRPr="004014F7">
        <w:rPr>
          <w:color w:val="FF0000"/>
        </w:rPr>
        <w:t xml:space="preserve">under normal </w:t>
      </w:r>
      <w:commentRangeStart w:id="1"/>
      <w:r w:rsidR="009D6BB0" w:rsidRPr="004014F7">
        <w:rPr>
          <w:color w:val="FF0000"/>
        </w:rPr>
        <w:t>temperature</w:t>
      </w:r>
      <w:commentRangeEnd w:id="1"/>
      <w:r w:rsidR="009D6BB0" w:rsidRPr="004014F7">
        <w:rPr>
          <w:rStyle w:val="af"/>
          <w:rFonts w:eastAsia="SimSun"/>
          <w:color w:val="FF0000"/>
          <w:lang w:eastAsia="zh-CN" w:bidi="ar-SA"/>
        </w:rPr>
        <w:commentReference w:id="1"/>
      </w:r>
      <w:r>
        <w:t xml:space="preserve"> is suggested with following formula</w:t>
      </w:r>
    </w:p>
    <w:tbl>
      <w:tblPr>
        <w:tblStyle w:val="a3"/>
        <w:tblW w:w="0" w:type="auto"/>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08"/>
        <w:gridCol w:w="450"/>
      </w:tblGrid>
      <w:tr w:rsidR="00404555" w14:paraId="779EC7DA" w14:textId="77777777" w:rsidTr="00404555">
        <w:tc>
          <w:tcPr>
            <w:tcW w:w="7706" w:type="dxa"/>
          </w:tcPr>
          <w:p w14:paraId="3748FC0F" w14:textId="2A5B1C52" w:rsidR="00404555" w:rsidRPr="00556E20" w:rsidRDefault="00404555" w:rsidP="00404555">
            <w:pPr>
              <w:pStyle w:val="MDPI39equation"/>
            </w:pPr>
            <m:oMathPara>
              <m:oMathParaPr>
                <m:jc m:val="center"/>
              </m:oMathParaPr>
              <m:oMath>
                <m:r>
                  <w:rPr>
                    <w:rFonts w:ascii="Cambria Math" w:hAnsi="Cambria Math"/>
                  </w:rPr>
                  <m:t>E</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r>
                  <m:rPr>
                    <m:sty m:val="p"/>
                  </m:rPr>
                  <w:rPr>
                    <w:rFonts w:ascii="Cambria Math" w:hAnsi="Cambria Math"/>
                  </w:rPr>
                  <m:t>=150</m:t>
                </m:r>
                <m:f>
                  <m:fPr>
                    <m:ctrlPr>
                      <w:rPr>
                        <w:rFonts w:ascii="Cambria Math" w:hAnsi="Cambria Math"/>
                      </w:rPr>
                    </m:ctrlPr>
                  </m:fPr>
                  <m:num>
                    <m:r>
                      <m:rPr>
                        <m:sty m:val="p"/>
                      </m:rPr>
                      <w:rPr>
                        <w:rFonts w:ascii="Cambria Math" w:hAnsi="Cambria Math"/>
                      </w:rPr>
                      <m:t>dyn</m:t>
                    </m:r>
                  </m:num>
                  <m:den>
                    <m:sSup>
                      <m:sSupPr>
                        <m:ctrlPr>
                          <w:rPr>
                            <w:rFonts w:ascii="Cambria Math" w:hAnsi="Cambria Math"/>
                          </w:rPr>
                        </m:ctrlPr>
                      </m:sSupPr>
                      <m:e>
                        <m:r>
                          <w:rPr>
                            <w:rFonts w:ascii="Cambria Math" w:hAnsi="Cambria Math"/>
                          </w:rPr>
                          <m:t>cm</m:t>
                        </m:r>
                      </m:e>
                      <m:sup>
                        <m:r>
                          <m:rPr>
                            <m:sty m:val="p"/>
                          </m:rPr>
                          <w:rPr>
                            <w:rFonts w:ascii="Cambria Math" w:hAnsi="Cambria Math"/>
                          </w:rPr>
                          <m:t>2</m:t>
                        </m:r>
                      </m:sup>
                    </m:sSup>
                  </m:den>
                </m:f>
                <m:sSup>
                  <m:sSupPr>
                    <m:ctrlPr>
                      <w:rPr>
                        <w:rFonts w:ascii="Cambria Math" w:hAnsi="Cambria Math"/>
                        <w:lang w:val="ru-RU"/>
                      </w:rPr>
                    </m:ctrlPr>
                  </m:sSupPr>
                  <m:e>
                    <m:r>
                      <m:rPr>
                        <m:sty m:val="p"/>
                      </m:rPr>
                      <w:rPr>
                        <w:rFonts w:ascii="Cambria Math" w:hAnsi="Cambria Math"/>
                      </w:rPr>
                      <m:t>×</m:t>
                    </m:r>
                  </m:e>
                  <m:sup>
                    <m:r>
                      <m:rPr>
                        <m:sty m:val="p"/>
                      </m:rPr>
                      <w:rPr>
                        <w:rFonts w:ascii="Cambria Math" w:hAnsi="Cambria Math"/>
                      </w:rPr>
                      <m:t>0</m:t>
                    </m:r>
                  </m:sup>
                </m:sSup>
                <m:sSup>
                  <m:sSupPr>
                    <m:ctrlPr>
                      <w:rPr>
                        <w:rFonts w:ascii="Cambria Math" w:hAnsi="Cambria Math"/>
                      </w:rPr>
                    </m:ctrlPr>
                  </m:sSupPr>
                  <m:e>
                    <m:r>
                      <w:rPr>
                        <w:rFonts w:ascii="Cambria Math" w:hAnsi="Cambria Math"/>
                      </w:rPr>
                      <m:t>K</m:t>
                    </m:r>
                  </m:e>
                  <m:sup>
                    <m:r>
                      <m:rPr>
                        <m:sty m:val="p"/>
                      </m:rPr>
                      <w:rPr>
                        <w:rFonts w:ascii="Cambria Math" w:hAnsi="Cambria Math"/>
                      </w:rPr>
                      <m:t>2</m:t>
                    </m:r>
                  </m:sup>
                </m:sSup>
                <m:r>
                  <m:rPr>
                    <m:sty m:val="p"/>
                  </m:rPr>
                  <w:rPr>
                    <w:rFonts w:ascii="Cambria Math" w:hAnsi="Cambria Math"/>
                  </w:rPr>
                  <m:t>.</m:t>
                </m:r>
              </m:oMath>
            </m:oMathPara>
          </w:p>
        </w:tc>
        <w:tc>
          <w:tcPr>
            <w:tcW w:w="368" w:type="dxa"/>
          </w:tcPr>
          <w:p w14:paraId="05FA8A78" w14:textId="1D056C1D" w:rsidR="00404555" w:rsidRDefault="00404555" w:rsidP="00404555">
            <w:pPr>
              <w:pStyle w:val="MDPI3aequationnumber"/>
            </w:pPr>
            <w:r>
              <w:t>(1)</w:t>
            </w:r>
          </w:p>
        </w:tc>
      </w:tr>
    </w:tbl>
    <w:p w14:paraId="3634CA60" w14:textId="77777777" w:rsidR="00404555" w:rsidRDefault="00404555" w:rsidP="00965380">
      <w:pPr>
        <w:pStyle w:val="MDPI31text"/>
        <w:ind w:firstLine="86"/>
      </w:pPr>
    </w:p>
    <w:p w14:paraId="0CB46D26" w14:textId="39E58DE9" w:rsidR="007A3678" w:rsidRPr="007A3678" w:rsidRDefault="00407EB5" w:rsidP="00B02E1D">
      <w:pPr>
        <w:pStyle w:val="MDPI37itemize"/>
      </w:pPr>
      <w:r w:rsidRPr="00B02E1D">
        <w:t>The</w:t>
      </w:r>
      <w:r>
        <w:t xml:space="preserve"> </w:t>
      </w:r>
      <w:r w:rsidR="00445790">
        <w:t xml:space="preserve">theoretical </w:t>
      </w:r>
      <w:r>
        <w:t>energy model</w:t>
      </w:r>
      <w:r w:rsidR="00445790">
        <w:t xml:space="preserve"> of TE-</w:t>
      </w:r>
      <w:proofErr w:type="spellStart"/>
      <w:r w:rsidR="00445790">
        <w:t>MoE</w:t>
      </w:r>
      <w:proofErr w:type="spellEnd"/>
      <w:r w:rsidR="00445790">
        <w:t xml:space="preserve"> relation is proposed. The theory is based on</w:t>
      </w:r>
      <w:r w:rsidR="00D945FF">
        <w:t xml:space="preserve"> </w:t>
      </w:r>
      <w:r w:rsidR="000D3FDB">
        <w:t>bonds’</w:t>
      </w:r>
      <w:r w:rsidR="000D3FDB" w:rsidRPr="000D3FDB">
        <w:t xml:space="preserve"> </w:t>
      </w:r>
      <w:r w:rsidR="00445790">
        <w:t>harmonical/</w:t>
      </w:r>
      <w:proofErr w:type="spellStart"/>
      <w:r w:rsidR="00B052D8">
        <w:t>u</w:t>
      </w:r>
      <w:r w:rsidR="00445790">
        <w:t>nharmonical</w:t>
      </w:r>
      <w:proofErr w:type="spellEnd"/>
      <w:r w:rsidR="00445790">
        <w:t xml:space="preserve"> vibrations frequencies </w:t>
      </w:r>
      <w:r w:rsidR="00445790" w:rsidRPr="00D945FF">
        <w:t>determination</w:t>
      </w:r>
      <w:r w:rsidR="00445790">
        <w:t>.</w:t>
      </w:r>
      <w:r>
        <w:t xml:space="preserve"> </w:t>
      </w:r>
      <w:r w:rsidR="007A3678">
        <w:t xml:space="preserve">As the more directly related with the main sequence rule the following function with heat capacities </w:t>
      </w:r>
      <w:r w:rsidR="008909F8">
        <w:t>(C)</w:t>
      </w:r>
      <w:r w:rsidR="007A3678">
        <w:t xml:space="preserve"> and </w:t>
      </w:r>
      <w:r w:rsidR="007A3678" w:rsidRPr="00417358">
        <w:t>temperature</w:t>
      </w:r>
      <w:r w:rsidR="007A3678">
        <w:t xml:space="preserve"> (T) factors is proposed</w:t>
      </w:r>
    </w:p>
    <w:tbl>
      <w:tblPr>
        <w:tblStyle w:val="a3"/>
        <w:tblW w:w="0" w:type="auto"/>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08"/>
        <w:gridCol w:w="450"/>
      </w:tblGrid>
      <w:tr w:rsidR="00404555" w14:paraId="61EBE6DC" w14:textId="77777777" w:rsidTr="00404555">
        <w:tc>
          <w:tcPr>
            <w:tcW w:w="7706" w:type="dxa"/>
          </w:tcPr>
          <w:p w14:paraId="4FA29594" w14:textId="57F91729" w:rsidR="00404555" w:rsidRPr="00404555" w:rsidRDefault="002A57D0" w:rsidP="00404555">
            <w:pPr>
              <w:pStyle w:val="MDPI39equation"/>
            </w:pPr>
            <m:oMath>
              <m:sSub>
                <m:sSubPr>
                  <m:ctrlPr>
                    <w:rPr>
                      <w:rFonts w:ascii="Cambria Math" w:hAnsi="Cambria Math"/>
                    </w:rPr>
                  </m:ctrlPr>
                </m:sSubPr>
                <m:e>
                  <m:r>
                    <w:rPr>
                      <w:rFonts w:ascii="Cambria Math" w:hAnsi="Cambria Math"/>
                    </w:rPr>
                    <m:t>C</m:t>
                  </m:r>
                </m:e>
                <m:sub>
                  <m:r>
                    <w:rPr>
                      <w:rFonts w:ascii="Cambria Math" w:hAnsi="Cambria Math"/>
                    </w:rPr>
                    <m:t>p</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v</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sSub>
                <m:sSubPr>
                  <m:ctrlPr>
                    <w:rPr>
                      <w:rFonts w:ascii="Cambria Math" w:hAnsi="Cambria Math"/>
                    </w:rPr>
                  </m:ctrlPr>
                </m:sSubPr>
                <m:e>
                  <m:r>
                    <w:rPr>
                      <w:rFonts w:ascii="Cambria Math" w:hAnsi="Cambria Math"/>
                    </w:rPr>
                    <m:t>E</m:t>
                  </m:r>
                </m:e>
                <m:sub>
                  <m:r>
                    <w:rPr>
                      <w:rFonts w:ascii="Cambria Math" w:hAnsi="Cambria Math"/>
                    </w:rPr>
                    <m:t>T</m:t>
                  </m:r>
                </m:sub>
              </m:sSub>
              <m:r>
                <m:rPr>
                  <m:sty m:val="p"/>
                </m:rPr>
                <w:rPr>
                  <w:rFonts w:ascii="Cambria Math" w:hAnsi="Cambria Math"/>
                </w:rPr>
                <m:t>T</m:t>
              </m:r>
            </m:oMath>
            <w:r w:rsidR="00404555" w:rsidRPr="00404555">
              <w:t>.</w:t>
            </w:r>
            <w:r w:rsidR="00404555" w:rsidRPr="00404555">
              <w:tab/>
            </w:r>
            <w:r w:rsidR="00404555" w:rsidRPr="00404555">
              <w:tab/>
            </w:r>
          </w:p>
        </w:tc>
        <w:tc>
          <w:tcPr>
            <w:tcW w:w="368" w:type="dxa"/>
          </w:tcPr>
          <w:p w14:paraId="2B511DAB" w14:textId="78E981A3" w:rsidR="00404555" w:rsidRDefault="00404555" w:rsidP="00404555">
            <w:pPr>
              <w:pStyle w:val="MDPI3aequationnumber"/>
            </w:pPr>
            <w:r>
              <w:t>(2)</w:t>
            </w:r>
          </w:p>
        </w:tc>
      </w:tr>
    </w:tbl>
    <w:p w14:paraId="2B2C35BF" w14:textId="77777777" w:rsidR="000D3FDB" w:rsidRDefault="000D3FDB" w:rsidP="00404555">
      <w:pPr>
        <w:pStyle w:val="MDPI31text"/>
      </w:pPr>
      <w:r>
        <w:t>Analyzing these scientific results and taking into account properties</w:t>
      </w:r>
      <w:r w:rsidR="005B04D8" w:rsidRPr="005B04D8">
        <w:t xml:space="preserve"> </w:t>
      </w:r>
      <w:r w:rsidR="005B04D8">
        <w:t>of polymers and FRPs</w:t>
      </w:r>
      <w:r>
        <w:t>, the following developing questions appear:</w:t>
      </w:r>
    </w:p>
    <w:p w14:paraId="5A16A83E" w14:textId="77777777" w:rsidR="000D3FDB" w:rsidRDefault="000D3FDB" w:rsidP="00532017">
      <w:pPr>
        <w:pStyle w:val="MDPI37itemize"/>
        <w:numPr>
          <w:ilvl w:val="0"/>
          <w:numId w:val="31"/>
        </w:numPr>
      </w:pPr>
      <w:r>
        <w:t>What is the accuracy of approximated CTE-</w:t>
      </w:r>
      <w:proofErr w:type="spellStart"/>
      <w:r>
        <w:t>MoE</w:t>
      </w:r>
      <w:proofErr w:type="spellEnd"/>
      <w:r>
        <w:t xml:space="preserve"> relation for </w:t>
      </w:r>
      <w:r w:rsidR="005B04D8">
        <w:t xml:space="preserve">thermosetting </w:t>
      </w:r>
      <w:r>
        <w:t>polymers an</w:t>
      </w:r>
      <w:r w:rsidR="00D561D1">
        <w:t>d</w:t>
      </w:r>
      <w:r>
        <w:t xml:space="preserve"> FRPs’</w:t>
      </w:r>
      <w:r w:rsidR="00D561D1">
        <w:t>?</w:t>
      </w:r>
      <w:r>
        <w:t xml:space="preserve"> Research data includes the wide </w:t>
      </w:r>
      <w:r w:rsidR="00D561D1">
        <w:t>variety of approximation</w:t>
      </w:r>
      <w:r w:rsidR="002F4A3C">
        <w:t>.</w:t>
      </w:r>
    </w:p>
    <w:p w14:paraId="32413F48" w14:textId="77777777" w:rsidR="00551860" w:rsidRDefault="00D561D1" w:rsidP="00532017">
      <w:pPr>
        <w:pStyle w:val="MDPI37itemize"/>
      </w:pPr>
      <w:r>
        <w:t>Is the approximated CTE-</w:t>
      </w:r>
      <w:proofErr w:type="spellStart"/>
      <w:r>
        <w:t>MoE</w:t>
      </w:r>
      <w:proofErr w:type="spellEnd"/>
      <w:r>
        <w:t xml:space="preserve"> relation depending on temperature?</w:t>
      </w:r>
      <w:r w:rsidRPr="00D561D1">
        <w:t xml:space="preserve"> </w:t>
      </w:r>
      <w:r w:rsidR="000D3FDB">
        <w:t>The fact relation</w:t>
      </w:r>
      <w:r w:rsidR="005B04D8">
        <w:t xml:space="preserve"> (1)</w:t>
      </w:r>
      <w:r w:rsidR="000D3FDB">
        <w:t xml:space="preserve"> between CTE and </w:t>
      </w:r>
      <w:proofErr w:type="spellStart"/>
      <w:r w:rsidR="000D3FDB">
        <w:t>MoE</w:t>
      </w:r>
      <w:proofErr w:type="spellEnd"/>
      <w:r w:rsidR="000D3FDB">
        <w:t xml:space="preserve"> is not depending on temperature, but the Barker’s theory model </w:t>
      </w:r>
      <w:r w:rsidR="005B04D8">
        <w:t xml:space="preserve">(2) </w:t>
      </w:r>
      <w:r w:rsidR="000D3FDB">
        <w:t xml:space="preserve">has the temperature factor. </w:t>
      </w:r>
    </w:p>
    <w:p w14:paraId="0C258CC5" w14:textId="77777777" w:rsidR="00D561D1" w:rsidRPr="000D3FDB" w:rsidRDefault="00D561D1" w:rsidP="00532017">
      <w:pPr>
        <w:pStyle w:val="MDPI37itemize"/>
      </w:pPr>
      <w:r>
        <w:t>Could be the CTE-</w:t>
      </w:r>
      <w:proofErr w:type="spellStart"/>
      <w:r>
        <w:t>MoE</w:t>
      </w:r>
      <w:proofErr w:type="spellEnd"/>
      <w:r>
        <w:t xml:space="preserve"> relation model be realized on the base of physical properties of polymer supramolecular structure</w:t>
      </w:r>
      <w:r w:rsidR="002F4A3C">
        <w:t>?</w:t>
      </w:r>
      <w:r>
        <w:t xml:space="preserve"> The energy model is very difficult to application and practical prediction of composites</w:t>
      </w:r>
      <w:r w:rsidR="00D637EF">
        <w:t>’</w:t>
      </w:r>
      <w:r>
        <w:t xml:space="preserve"> elasticity or expansion</w:t>
      </w:r>
      <w:r w:rsidR="00D637EF">
        <w:t>.</w:t>
      </w:r>
      <w:r>
        <w:t xml:space="preserve"> </w:t>
      </w:r>
    </w:p>
    <w:p w14:paraId="17960C5A" w14:textId="4BEAB282" w:rsidR="0074118F" w:rsidRDefault="007D13BB" w:rsidP="00E97174">
      <w:pPr>
        <w:pStyle w:val="MDPI36textafterlist"/>
      </w:pPr>
      <w:r>
        <w:t xml:space="preserve">Few studies concerned with relationship of thermal expansivity and elasticity of polymers and plastics. The most of them </w:t>
      </w:r>
      <w:r w:rsidR="00B369CE">
        <w:t>discover</w:t>
      </w:r>
      <w:r>
        <w:t xml:space="preserve"> this problem in the research area of stress relaxation under thermal heating</w:t>
      </w:r>
      <w:r w:rsidR="003866CA">
        <w:t xml:space="preserve"> [</w:t>
      </w:r>
      <w:r w:rsidR="00874B99" w:rsidRPr="00874B99">
        <w:t>6-</w:t>
      </w:r>
      <w:r w:rsidR="0012269E" w:rsidRPr="0012269E">
        <w:t>10</w:t>
      </w:r>
      <w:r w:rsidR="003866CA">
        <w:t>]</w:t>
      </w:r>
      <w:r>
        <w:t>.</w:t>
      </w:r>
    </w:p>
    <w:p w14:paraId="7264A7AB" w14:textId="656E3139" w:rsidR="001D7618" w:rsidRDefault="001D7618" w:rsidP="001D7618">
      <w:pPr>
        <w:pStyle w:val="MDPI31text"/>
        <w:rPr>
          <w:rFonts w:eastAsia="SimSun"/>
          <w:snapToGrid/>
        </w:rPr>
      </w:pPr>
      <w:r w:rsidRPr="00FA2A62">
        <w:t>Thermal expanding is usual for glassed polymers and characterized by CTE, but m</w:t>
      </w:r>
      <w:r w:rsidR="003866CA">
        <w:t>any</w:t>
      </w:r>
      <w:r w:rsidRPr="00FA2A62">
        <w:t xml:space="preserve"> research</w:t>
      </w:r>
      <w:r w:rsidR="003866CA">
        <w:t>es</w:t>
      </w:r>
      <w:r w:rsidRPr="00FA2A62">
        <w:t xml:space="preserve"> points</w:t>
      </w:r>
      <w:r w:rsidR="00B369CE">
        <w:t xml:space="preserve"> to</w:t>
      </w:r>
      <w:r w:rsidRPr="00FA2A62">
        <w:t xml:space="preserve"> the relationship between CTE and heating temperature. </w:t>
      </w:r>
      <w:r w:rsidRPr="00660489">
        <w:rPr>
          <w:rFonts w:eastAsia="SimSun"/>
          <w:snapToGrid/>
        </w:rPr>
        <w:t xml:space="preserve">Experimental studies of the </w:t>
      </w:r>
      <w:r>
        <w:rPr>
          <w:rFonts w:eastAsia="SimSun"/>
          <w:snapToGrid/>
        </w:rPr>
        <w:t xml:space="preserve">polymers’ CTE </w:t>
      </w:r>
      <w:r w:rsidRPr="00660489">
        <w:rPr>
          <w:rFonts w:eastAsia="SimSun"/>
          <w:snapToGrid/>
        </w:rPr>
        <w:t>temperature dependence (including epoxy polymers) presented that the temperature expansion depends significantly not only on the temperature range</w:t>
      </w:r>
      <w:r w:rsidR="00874B99" w:rsidRPr="00874B99">
        <w:t xml:space="preserve"> </w:t>
      </w:r>
      <w:r w:rsidR="00874B99">
        <w:t>[1</w:t>
      </w:r>
      <w:r w:rsidR="0012269E" w:rsidRPr="0012269E">
        <w:t>1</w:t>
      </w:r>
      <w:r w:rsidR="00874B99">
        <w:t>-</w:t>
      </w:r>
      <w:r w:rsidR="0012269E" w:rsidRPr="0012269E">
        <w:t>17</w:t>
      </w:r>
      <w:r w:rsidRPr="00FA2A62">
        <w:t>]</w:t>
      </w:r>
      <w:r w:rsidRPr="00660489">
        <w:rPr>
          <w:rFonts w:eastAsia="SimSun"/>
          <w:snapToGrid/>
        </w:rPr>
        <w:t>, but also on the rate of temperature change</w:t>
      </w:r>
      <w:r w:rsidRPr="001D7618">
        <w:t xml:space="preserve"> </w:t>
      </w:r>
      <w:sdt>
        <w:sdtPr>
          <w:rPr>
            <w:lang w:val="ru-RU"/>
          </w:rPr>
          <w:tag w:val="MENDELEY_CITATION_v3_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"/>
          <w:id w:val="-894896710"/>
          <w:placeholder>
            <w:docPart w:val="D103DDBD8087004CBBD3DE0F7AFCF05D"/>
          </w:placeholder>
        </w:sdtPr>
        <w:sdtContent>
          <w:r w:rsidRPr="002802AB">
            <w:t>[</w:t>
          </w:r>
          <w:r w:rsidR="0012269E" w:rsidRPr="0012269E">
            <w:t>18</w:t>
          </w:r>
          <w:r w:rsidRPr="002802AB">
            <w:t>]</w:t>
          </w:r>
        </w:sdtContent>
      </w:sdt>
      <w:r>
        <w:rPr>
          <w:rFonts w:eastAsia="SimSun"/>
          <w:snapToGrid/>
        </w:rPr>
        <w:t>.</w:t>
      </w:r>
      <w:r w:rsidRPr="00660489">
        <w:rPr>
          <w:rFonts w:eastAsia="SimSun"/>
          <w:snapToGrid/>
        </w:rPr>
        <w:t xml:space="preserve"> </w:t>
      </w:r>
      <w:r>
        <w:rPr>
          <w:rFonts w:eastAsia="SimSun"/>
          <w:snapToGrid/>
        </w:rPr>
        <w:t>I</w:t>
      </w:r>
      <w:r w:rsidRPr="00660489">
        <w:rPr>
          <w:rFonts w:eastAsia="SimSun"/>
          <w:snapToGrid/>
        </w:rPr>
        <w:t>t is also noted the presence of static stresses during cyclic tests (heating cooling), which leads to a hysteresis effect on the curve of the relationship between the deformations and temperature.</w:t>
      </w:r>
      <w:r>
        <w:rPr>
          <w:rFonts w:eastAsia="SimSun"/>
          <w:snapToGrid/>
        </w:rPr>
        <w:t xml:space="preserve"> </w:t>
      </w:r>
    </w:p>
    <w:p w14:paraId="1A813632" w14:textId="07143718" w:rsidR="0004628A" w:rsidRPr="00DE302D" w:rsidRDefault="001D7618" w:rsidP="00E97174">
      <w:pPr>
        <w:pStyle w:val="MDPI35textbeforelist"/>
      </w:pPr>
      <w:r w:rsidRPr="00FA2A62">
        <w:t xml:space="preserve">In most cases </w:t>
      </w:r>
      <w:r w:rsidR="00B369CE">
        <w:t>these phenomena described by</w:t>
      </w:r>
      <w:r w:rsidRPr="00FA2A62">
        <w:t xml:space="preserve"> the polymer molecules confirmation mechanisms concluded in 3D molecule replacement and distribution changing </w:t>
      </w:r>
      <w:r w:rsidR="00B369CE">
        <w:t>influencing</w:t>
      </w:r>
      <w:r w:rsidRPr="00FA2A62">
        <w:t xml:space="preserve"> changing of CTE [</w:t>
      </w:r>
      <w:sdt>
        <w:sdtPr>
          <w:tag w:val="MENDELEY_CITATION_v3_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"/>
          <w:id w:val="-2017681616"/>
          <w:placeholder>
            <w:docPart w:val="1C881830993E954F966EF01866A9F589"/>
          </w:placeholder>
        </w:sdtPr>
        <w:sdtContent>
          <w:r w:rsidR="0012269E" w:rsidRPr="0012269E">
            <w:t>19-22</w:t>
          </w:r>
        </w:sdtContent>
      </w:sdt>
      <w:r w:rsidRPr="00FA2A62">
        <w:t>].</w:t>
      </w:r>
      <w:r>
        <w:t xml:space="preserve"> So, the polymer molecules confirmation mechanism results in simultaneous </w:t>
      </w:r>
      <w:r w:rsidR="0004628A">
        <w:t xml:space="preserve">CTE and </w:t>
      </w:r>
      <w:proofErr w:type="spellStart"/>
      <w:r w:rsidR="0004628A">
        <w:t>MoE</w:t>
      </w:r>
      <w:proofErr w:type="spellEnd"/>
      <w:r w:rsidR="0004628A">
        <w:t xml:space="preserve"> non-linear changing due to stress relaxation and expansivity compensation. </w:t>
      </w:r>
      <w:r w:rsidR="0004628A" w:rsidRPr="00DE302D">
        <w:t>According to the research</w:t>
      </w:r>
      <w:r w:rsidR="0004628A">
        <w:t xml:space="preserve">es of </w:t>
      </w:r>
      <w:r w:rsidR="0004628A" w:rsidRPr="00DE302D">
        <w:t>elasticity</w:t>
      </w:r>
      <w:r w:rsidR="0004628A">
        <w:t xml:space="preserve"> </w:t>
      </w:r>
      <w:r w:rsidR="0004628A" w:rsidRPr="00DE302D">
        <w:t>of thermosetting polymers under heat</w:t>
      </w:r>
      <w:r w:rsidR="0004628A">
        <w:t>ing the elasticity</w:t>
      </w:r>
      <w:r w:rsidR="00B369CE">
        <w:t>’s</w:t>
      </w:r>
      <w:r w:rsidR="0004628A">
        <w:t xml:space="preserve"> non-linear decreasing</w:t>
      </w:r>
      <w:r w:rsidR="0004628A" w:rsidRPr="00DE302D">
        <w:t xml:space="preserve"> is a result of the following processes:</w:t>
      </w:r>
    </w:p>
    <w:p w14:paraId="6A08E55E" w14:textId="4BC5D44B" w:rsidR="0004628A" w:rsidRPr="00DE302D" w:rsidRDefault="0004628A" w:rsidP="00532017">
      <w:pPr>
        <w:pStyle w:val="MDPI37itemize"/>
        <w:numPr>
          <w:ilvl w:val="0"/>
          <w:numId w:val="32"/>
        </w:numPr>
      </w:pPr>
      <w:r w:rsidRPr="00DE302D">
        <w:t xml:space="preserve">Polymer molecules </w:t>
      </w:r>
      <w:r w:rsidRPr="00532017">
        <w:t>thermo</w:t>
      </w:r>
      <w:r w:rsidRPr="00DE302D">
        <w:t>-expanding with their morphology and pack changes [</w:t>
      </w:r>
      <w:r w:rsidR="007B1B02" w:rsidRPr="007B1B02">
        <w:t>23</w:t>
      </w:r>
      <w:r w:rsidRPr="00DE302D">
        <w:t>–</w:t>
      </w:r>
      <w:r w:rsidR="007B1B02" w:rsidRPr="007B1B02">
        <w:t>24</w:t>
      </w:r>
      <w:r w:rsidRPr="00DE302D">
        <w:t>].</w:t>
      </w:r>
    </w:p>
    <w:p w14:paraId="725432BE" w14:textId="63194127" w:rsidR="0004628A" w:rsidRPr="00DE302D" w:rsidRDefault="0004628A" w:rsidP="00532017">
      <w:pPr>
        <w:pStyle w:val="MDPI37itemize"/>
      </w:pPr>
      <w:r w:rsidRPr="00DE302D">
        <w:t xml:space="preserve">Inter-molecular bonds’ flexibility and torsion increasing </w:t>
      </w:r>
      <w:r w:rsidRPr="00532017">
        <w:t>under</w:t>
      </w:r>
      <w:r w:rsidRPr="00DE302D">
        <w:t xml:space="preserve"> heating [</w:t>
      </w:r>
      <w:r w:rsidR="007B1B02" w:rsidRPr="007B1B02">
        <w:t>25</w:t>
      </w:r>
      <w:r w:rsidRPr="00DE302D">
        <w:t>–</w:t>
      </w:r>
      <w:r w:rsidR="007B1B02" w:rsidRPr="007B1B02">
        <w:t>26</w:t>
      </w:r>
      <w:r w:rsidRPr="00DE302D">
        <w:t>].</w:t>
      </w:r>
    </w:p>
    <w:p w14:paraId="232B9CEF" w14:textId="042C638C" w:rsidR="003D7A2F" w:rsidRDefault="003D7A2F" w:rsidP="00E97174">
      <w:pPr>
        <w:pStyle w:val="MDPI36textafterlist"/>
      </w:pPr>
      <w:r>
        <w:t xml:space="preserve">Thus, the relation </w:t>
      </w:r>
      <w:r w:rsidRPr="00E97174">
        <w:t>between</w:t>
      </w:r>
      <w:r>
        <w:t xml:space="preserve"> CTE and </w:t>
      </w:r>
      <w:proofErr w:type="spellStart"/>
      <w:r>
        <w:t>MoE</w:t>
      </w:r>
      <w:proofErr w:type="spellEnd"/>
      <w:r>
        <w:t xml:space="preserve"> can be realized as </w:t>
      </w:r>
      <w:proofErr w:type="spellStart"/>
      <w:r>
        <w:t>MoE</w:t>
      </w:r>
      <w:proofErr w:type="spellEnd"/>
      <w:r>
        <w:t xml:space="preserve"> function of CTE factor</w:t>
      </w:r>
      <w:r w:rsidR="00E97174">
        <w:t>:</w:t>
      </w:r>
      <w:r w:rsidR="008909F8">
        <w:t xml:space="preserve"> </w:t>
      </w:r>
      <w:r w:rsidR="00965380" w:rsidRPr="00965380">
        <w:t xml:space="preserve"> </w:t>
      </w:r>
      <w:proofErr w:type="spellStart"/>
      <w:r w:rsidR="008909F8">
        <w:t>MoE</w:t>
      </w:r>
      <w:proofErr w:type="spellEnd"/>
      <w:r w:rsidR="008909F8">
        <w:t xml:space="preserve"> = f(CTE)</w:t>
      </w:r>
      <w:r>
        <w:t xml:space="preserve">, where elasticity is a result of thermal expansion reason. </w:t>
      </w:r>
    </w:p>
    <w:p w14:paraId="5B3044AE" w14:textId="6FCFBA53" w:rsidR="00590C65" w:rsidRDefault="002F4A3C" w:rsidP="0092754E">
      <w:pPr>
        <w:pStyle w:val="MDPI31text"/>
      </w:pPr>
      <w:r>
        <w:t xml:space="preserve">The </w:t>
      </w:r>
      <w:r w:rsidR="00C937D7">
        <w:t xml:space="preserve">authors’ </w:t>
      </w:r>
      <w:r>
        <w:t>previous</w:t>
      </w:r>
      <w:r w:rsidR="00C937D7">
        <w:t xml:space="preserve"> researches</w:t>
      </w:r>
      <w:r w:rsidR="0004628A" w:rsidRPr="0004628A">
        <w:t xml:space="preserve"> </w:t>
      </w:r>
      <w:sdt>
        <w:sdtPr>
          <w:tag w:val="MENDELEY_CITATION_v3_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"/>
          <w:id w:val="-589464409"/>
          <w:placeholder>
            <w:docPart w:val="B72562AC76277F4787E01087E2445FD7"/>
          </w:placeholder>
        </w:sdtPr>
        <w:sdtContent>
          <w:r w:rsidR="0004628A" w:rsidRPr="002802AB">
            <w:t>[2</w:t>
          </w:r>
          <w:r w:rsidR="007B1B02" w:rsidRPr="008E3B5F">
            <w:t>7</w:t>
          </w:r>
          <w:r w:rsidR="0004628A" w:rsidRPr="002802AB">
            <w:t>–</w:t>
          </w:r>
          <w:commentRangeStart w:id="2"/>
          <w:r w:rsidR="007B1B02" w:rsidRPr="008E3B5F">
            <w:t>28</w:t>
          </w:r>
          <w:commentRangeEnd w:id="2"/>
          <w:r w:rsidR="00C07DFE">
            <w:rPr>
              <w:rStyle w:val="af"/>
              <w:rFonts w:eastAsia="SimSun"/>
              <w:snapToGrid/>
              <w:lang w:eastAsia="zh-CN" w:bidi="ar-SA"/>
            </w:rPr>
            <w:commentReference w:id="2"/>
          </w:r>
          <w:r w:rsidR="0004628A" w:rsidRPr="002802AB">
            <w:t>]</w:t>
          </w:r>
        </w:sdtContent>
      </w:sdt>
      <w:r w:rsidR="00C937D7">
        <w:t xml:space="preserve"> </w:t>
      </w:r>
      <w:r w:rsidR="0074118F">
        <w:t>determine</w:t>
      </w:r>
      <w:r w:rsidR="003D7A2F">
        <w:t>d</w:t>
      </w:r>
      <w:r w:rsidR="0074118F">
        <w:t xml:space="preserve"> non-linear models of </w:t>
      </w:r>
      <w:proofErr w:type="spellStart"/>
      <w:r w:rsidR="0074118F">
        <w:t>MoE</w:t>
      </w:r>
      <w:proofErr w:type="spellEnd"/>
      <w:r w:rsidR="0074118F">
        <w:t xml:space="preserve"> and </w:t>
      </w:r>
      <w:r w:rsidR="00590C65">
        <w:t>C</w:t>
      </w:r>
      <w:r w:rsidR="0074118F">
        <w:t>TE of polymers and FRPs’ under heating.</w:t>
      </w:r>
      <w:r>
        <w:t xml:space="preserve"> </w:t>
      </w:r>
      <w:r w:rsidR="0004628A">
        <w:t>The models d</w:t>
      </w:r>
      <w:r w:rsidR="008909F8">
        <w:t>iscover</w:t>
      </w:r>
      <w:r w:rsidR="0004628A">
        <w:t xml:space="preserve"> non-linearity as consequence of conglomerate character of </w:t>
      </w:r>
      <w:r w:rsidR="003D7A2F">
        <w:t xml:space="preserve">two-phase </w:t>
      </w:r>
      <w:r w:rsidR="0004628A">
        <w:t>supramolec</w:t>
      </w:r>
      <w:r w:rsidR="003D7A2F">
        <w:t xml:space="preserve">ular structures where </w:t>
      </w:r>
      <w:r w:rsidR="003D7A2F" w:rsidRPr="00FA2A62">
        <w:t>inter</w:t>
      </w:r>
      <w:r w:rsidR="003D7A2F">
        <w:t>domain</w:t>
      </w:r>
      <w:r w:rsidR="00590C65">
        <w:t xml:space="preserve"> (domain – phase 1)</w:t>
      </w:r>
      <w:r w:rsidR="003D7A2F" w:rsidRPr="00FA2A62">
        <w:t xml:space="preserve"> </w:t>
      </w:r>
      <w:r w:rsidR="00532017">
        <w:t xml:space="preserve">or </w:t>
      </w:r>
      <w:r w:rsidR="003D7A2F" w:rsidRPr="00FA2A62">
        <w:t>inter-transition zone (ITZ</w:t>
      </w:r>
      <w:r w:rsidR="00590C65">
        <w:t xml:space="preserve"> – phase 2</w:t>
      </w:r>
      <w:r w:rsidR="003D7A2F" w:rsidRPr="00FA2A62">
        <w:t>)</w:t>
      </w:r>
      <w:r w:rsidR="003D7A2F">
        <w:t xml:space="preserve"> determine</w:t>
      </w:r>
      <w:r w:rsidR="00532017">
        <w:t>s</w:t>
      </w:r>
      <w:r w:rsidR="003D7A2F">
        <w:t xml:space="preserve"> thermal expansion compensation and stress relaxation during heating</w:t>
      </w:r>
      <w:r w:rsidR="00B369CE">
        <w:t>,</w:t>
      </w:r>
      <w:r w:rsidR="003D7A2F">
        <w:t xml:space="preserve"> </w:t>
      </w:r>
      <w:r w:rsidR="00B369CE">
        <w:t xml:space="preserve">so as </w:t>
      </w:r>
      <w:r w:rsidR="003D7A2F">
        <w:t>these properties’ changing after prolonged heating and thermo-relaxation.</w:t>
      </w:r>
      <w:r w:rsidR="00D31FA8" w:rsidRPr="00D31FA8">
        <w:t xml:space="preserve"> </w:t>
      </w:r>
      <w:r w:rsidR="00D31FA8" w:rsidRPr="00FA2A62">
        <w:t>Thermal expansion of polymer composites and hybrids is more complex due to influence of all components on summary expansion result.</w:t>
      </w:r>
      <w:r w:rsidR="00590C65" w:rsidRPr="00590C65">
        <w:t xml:space="preserve"> </w:t>
      </w:r>
    </w:p>
    <w:p w14:paraId="65C7A877" w14:textId="77777777" w:rsidR="002F4A3C" w:rsidRDefault="00590C65" w:rsidP="0092754E">
      <w:pPr>
        <w:pStyle w:val="MDPI31text"/>
      </w:pPr>
      <w:r>
        <w:t xml:space="preserve">It is important that non-linearity of </w:t>
      </w:r>
      <w:proofErr w:type="spellStart"/>
      <w:r>
        <w:t>MoE</w:t>
      </w:r>
      <w:proofErr w:type="spellEnd"/>
      <w:r>
        <w:t xml:space="preserve"> and CTE of polymers and FRPs under heating continues before </w:t>
      </w:r>
      <w:r w:rsidR="00EB3AA2">
        <w:t>achievi</w:t>
      </w:r>
      <w:r>
        <w:t>ng glass transition temperature (</w:t>
      </w:r>
      <w:proofErr w:type="spellStart"/>
      <w:r>
        <w:t>Tg</w:t>
      </w:r>
      <w:proofErr w:type="spellEnd"/>
      <w:r>
        <w:t xml:space="preserve">). After </w:t>
      </w:r>
      <w:proofErr w:type="spellStart"/>
      <w:r>
        <w:t>Tg</w:t>
      </w:r>
      <w:proofErr w:type="spellEnd"/>
      <w:r w:rsidR="00EB3AA2">
        <w:t>,</w:t>
      </w:r>
      <w:r>
        <w:t xml:space="preserve"> polymers are </w:t>
      </w:r>
      <w:r>
        <w:lastRenderedPageBreak/>
        <w:t xml:space="preserve">losing their elasticity and CTE is getting linear temperature dependence. So, the </w:t>
      </w:r>
      <w:proofErr w:type="spellStart"/>
      <w:r>
        <w:t>Tg</w:t>
      </w:r>
      <w:proofErr w:type="spellEnd"/>
      <w:r>
        <w:t xml:space="preserve"> is the breaking point of thermosetting polymers and FRPs deformability’s models.</w:t>
      </w:r>
    </w:p>
    <w:p w14:paraId="3796D498" w14:textId="77777777" w:rsidR="00590C65" w:rsidRDefault="00590C65" w:rsidP="00E97174">
      <w:pPr>
        <w:pStyle w:val="MDPI35textbeforelist"/>
      </w:pPr>
      <w:r>
        <w:t xml:space="preserve">All this consideration </w:t>
      </w:r>
      <w:r w:rsidR="00BB1D12">
        <w:t xml:space="preserve">led to the research aim to develop the model of relation between </w:t>
      </w:r>
      <w:proofErr w:type="spellStart"/>
      <w:r w:rsidR="00BB1D12">
        <w:t>MoE</w:t>
      </w:r>
      <w:proofErr w:type="spellEnd"/>
      <w:r w:rsidR="00BB1D12">
        <w:t xml:space="preserve"> and CTE of thermosetting polymers and PRPs on the base of supramolecular structures’ parameters. Accordingly, the </w:t>
      </w:r>
      <w:r w:rsidR="00EB3AA2">
        <w:t xml:space="preserve">following </w:t>
      </w:r>
      <w:r w:rsidR="00BB1D12">
        <w:t>scientific tasks were formulated:</w:t>
      </w:r>
    </w:p>
    <w:p w14:paraId="30668C42" w14:textId="77777777" w:rsidR="00BB1D12" w:rsidRDefault="00BB1D12" w:rsidP="00F8398B">
      <w:pPr>
        <w:pStyle w:val="MDPI37itemize"/>
        <w:numPr>
          <w:ilvl w:val="0"/>
          <w:numId w:val="34"/>
        </w:numPr>
      </w:pPr>
      <w:r>
        <w:t xml:space="preserve">Experimental research of </w:t>
      </w:r>
      <w:proofErr w:type="spellStart"/>
      <w:r>
        <w:t>MoE</w:t>
      </w:r>
      <w:proofErr w:type="spellEnd"/>
      <w:r>
        <w:t xml:space="preserve"> and CTE of thermosetting polymers and FRPs</w:t>
      </w:r>
      <w:r w:rsidR="00F8398B">
        <w:t xml:space="preserve"> </w:t>
      </w:r>
      <w:r>
        <w:t xml:space="preserve">under heating including </w:t>
      </w:r>
      <w:proofErr w:type="spellStart"/>
      <w:r>
        <w:t>Tg</w:t>
      </w:r>
      <w:proofErr w:type="spellEnd"/>
      <w:r>
        <w:t xml:space="preserve"> </w:t>
      </w:r>
      <w:r w:rsidR="00F8398B">
        <w:t xml:space="preserve">before and after thermo-relaxation </w:t>
      </w:r>
      <w:r>
        <w:t>to determine accuracy of approximated CTE-</w:t>
      </w:r>
      <w:proofErr w:type="spellStart"/>
      <w:r>
        <w:t>MoE</w:t>
      </w:r>
      <w:proofErr w:type="spellEnd"/>
      <w:r>
        <w:t xml:space="preserve"> relation.</w:t>
      </w:r>
    </w:p>
    <w:p w14:paraId="691F8CED" w14:textId="77777777" w:rsidR="00BB1D12" w:rsidRDefault="00E101B9" w:rsidP="00F8398B">
      <w:pPr>
        <w:pStyle w:val="MDPI37itemize"/>
      </w:pPr>
      <w:r>
        <w:t xml:space="preserve">Determination of </w:t>
      </w:r>
      <w:r w:rsidR="00BB1D12">
        <w:t>the approximated CTE-</w:t>
      </w:r>
      <w:proofErr w:type="spellStart"/>
      <w:r w:rsidR="00BB1D12">
        <w:t>MoE</w:t>
      </w:r>
      <w:proofErr w:type="spellEnd"/>
      <w:r w:rsidR="00BB1D12">
        <w:t xml:space="preserve"> relation</w:t>
      </w:r>
      <w:r>
        <w:t>s</w:t>
      </w:r>
      <w:r w:rsidR="00BB1D12">
        <w:t xml:space="preserve"> depend</w:t>
      </w:r>
      <w:r>
        <w:t>ence</w:t>
      </w:r>
      <w:r w:rsidR="00BB1D12">
        <w:t xml:space="preserve"> on temperature</w:t>
      </w:r>
      <w:r>
        <w:t xml:space="preserve"> and universality limits.</w:t>
      </w:r>
    </w:p>
    <w:p w14:paraId="7A6E4ED7" w14:textId="77777777" w:rsidR="00E101B9" w:rsidRPr="00BB1D12" w:rsidRDefault="00E101B9" w:rsidP="00F8398B">
      <w:pPr>
        <w:pStyle w:val="MDPI37itemize"/>
      </w:pPr>
      <w:r>
        <w:t xml:space="preserve">Realizing the supramolecular </w:t>
      </w:r>
      <w:r w:rsidR="00F8398B">
        <w:t xml:space="preserve">relaxation </w:t>
      </w:r>
      <w:r>
        <w:t>model</w:t>
      </w:r>
      <w:r w:rsidR="00EB3AA2">
        <w:t xml:space="preserve"> as a function </w:t>
      </w:r>
      <w:proofErr w:type="spellStart"/>
      <w:r w:rsidR="00EB3AA2">
        <w:t>MoE</w:t>
      </w:r>
      <w:proofErr w:type="spellEnd"/>
      <w:r w:rsidR="00EB3AA2">
        <w:t xml:space="preserve"> = f(CTE)</w:t>
      </w:r>
      <w:r>
        <w:t xml:space="preserve"> of CTE-</w:t>
      </w:r>
      <w:proofErr w:type="spellStart"/>
      <w:r>
        <w:t>MoE</w:t>
      </w:r>
      <w:proofErr w:type="spellEnd"/>
      <w:r>
        <w:t xml:space="preserve"> relation of thermosetting polymers and FRPs using previous experience in supramolecular modeling of composites elasticity and TE. </w:t>
      </w:r>
    </w:p>
    <w:p w14:paraId="74D379C6" w14:textId="77777777" w:rsidR="002F4A3C" w:rsidRDefault="002F4A3C" w:rsidP="0092754E">
      <w:pPr>
        <w:pStyle w:val="MDPI31text"/>
      </w:pPr>
    </w:p>
    <w:p w14:paraId="6FF3A1E1" w14:textId="77777777" w:rsidR="00077D60" w:rsidRPr="00FA04F1" w:rsidRDefault="0092754E" w:rsidP="0092754E">
      <w:pPr>
        <w:pStyle w:val="MDPI21heading1"/>
      </w:pPr>
      <w:r>
        <w:rPr>
          <w:lang w:eastAsia="zh-CN"/>
        </w:rPr>
        <w:t xml:space="preserve">2. </w:t>
      </w:r>
      <w:r w:rsidR="00077D60" w:rsidRPr="00FA04F1">
        <w:t>Materials and Methods</w:t>
      </w:r>
    </w:p>
    <w:p w14:paraId="709625CD" w14:textId="77777777" w:rsidR="00A11FE0" w:rsidRPr="0092754E" w:rsidRDefault="0092754E" w:rsidP="0092754E">
      <w:pPr>
        <w:pStyle w:val="MDPI22heading2"/>
      </w:pPr>
      <w:r w:rsidRPr="0092754E">
        <w:t xml:space="preserve">2.1. </w:t>
      </w:r>
      <w:r w:rsidR="00A11FE0" w:rsidRPr="0092754E">
        <w:t>Materials</w:t>
      </w:r>
    </w:p>
    <w:p w14:paraId="4B352D6C" w14:textId="158F3E34" w:rsidR="00A11FE0" w:rsidRPr="00902591" w:rsidRDefault="006E5CCA" w:rsidP="0092754E">
      <w:pPr>
        <w:pStyle w:val="MDPI31text"/>
        <w:rPr>
          <w:color w:val="70AD47" w:themeColor="accent6"/>
        </w:rPr>
      </w:pPr>
      <w:r>
        <w:t>The materials used in this study were</w:t>
      </w:r>
      <w:r w:rsidR="00A11FE0" w:rsidRPr="00A11FE0">
        <w:t xml:space="preserve"> glassed polymers made of epoxy, phenolic, epoxy-phenolic resins and fiberglass plastics made of epoxy- and epoxy-phenolic resins and structural glass fabrics EZ-200 and T-23</w:t>
      </w:r>
      <w:r w:rsidR="002A57D0">
        <w:t xml:space="preserve"> (Table </w:t>
      </w:r>
      <w:r w:rsidR="00176190" w:rsidRPr="00176190">
        <w:t>1</w:t>
      </w:r>
      <w:r w:rsidR="002A57D0">
        <w:t>)</w:t>
      </w:r>
      <w:r w:rsidR="00A11FE0" w:rsidRPr="00A11FE0">
        <w:t>.</w:t>
      </w:r>
      <w:r w:rsidR="002A57D0">
        <w:t xml:space="preserve"> </w:t>
      </w:r>
      <w:commentRangeStart w:id="3"/>
      <w:r w:rsidR="002A57D0" w:rsidRPr="00902591">
        <w:rPr>
          <w:color w:val="70AD47" w:themeColor="accent6"/>
        </w:rPr>
        <w:t xml:space="preserve">In study were used new samples of repeated </w:t>
      </w:r>
      <w:r w:rsidR="00176190" w:rsidRPr="00902591">
        <w:rPr>
          <w:color w:val="70AD47" w:themeColor="accent6"/>
        </w:rPr>
        <w:t xml:space="preserve">from previous studies </w:t>
      </w:r>
      <w:r w:rsidR="002A57D0" w:rsidRPr="00902591">
        <w:rPr>
          <w:color w:val="70AD47" w:themeColor="accent6"/>
        </w:rPr>
        <w:t xml:space="preserve">(1, 2) and non-repeated compositions for providing the simultaneous </w:t>
      </w:r>
      <w:proofErr w:type="spellStart"/>
      <w:r w:rsidR="002A57D0" w:rsidRPr="00902591">
        <w:rPr>
          <w:color w:val="70AD47" w:themeColor="accent6"/>
        </w:rPr>
        <w:t>MoE</w:t>
      </w:r>
      <w:proofErr w:type="spellEnd"/>
      <w:r w:rsidR="002A57D0" w:rsidRPr="00902591">
        <w:rPr>
          <w:color w:val="70AD47" w:themeColor="accent6"/>
        </w:rPr>
        <w:t xml:space="preserve"> and </w:t>
      </w:r>
      <w:proofErr w:type="spellStart"/>
      <w:r w:rsidR="002A57D0" w:rsidRPr="00902591">
        <w:rPr>
          <w:color w:val="70AD47" w:themeColor="accent6"/>
        </w:rPr>
        <w:t>CTe</w:t>
      </w:r>
      <w:proofErr w:type="spellEnd"/>
      <w:r w:rsidR="002A57D0" w:rsidRPr="00902591">
        <w:rPr>
          <w:color w:val="70AD47" w:themeColor="accent6"/>
        </w:rPr>
        <w:t xml:space="preserve"> testing of the same series’ samples.</w:t>
      </w:r>
      <w:commentRangeEnd w:id="3"/>
      <w:r w:rsidR="00176190" w:rsidRPr="00902591">
        <w:rPr>
          <w:rStyle w:val="af"/>
          <w:rFonts w:eastAsia="SimSun"/>
          <w:snapToGrid/>
          <w:color w:val="70AD47" w:themeColor="accent6"/>
          <w:lang w:eastAsia="zh-CN" w:bidi="ar-SA"/>
        </w:rPr>
        <w:commentReference w:id="3"/>
      </w:r>
    </w:p>
    <w:p w14:paraId="521C5D21" w14:textId="77777777" w:rsidR="00A11FE0" w:rsidRPr="00A11FE0" w:rsidRDefault="00A11FE0" w:rsidP="0092754E">
      <w:pPr>
        <w:pStyle w:val="MDPI31text"/>
      </w:pPr>
      <w:r w:rsidRPr="00A11FE0">
        <w:t xml:space="preserve">Epoxy binder (EP) for fiberglass plastic was made based on epoxy resin KER 828 (South Korea), which is an analog of the Russian resin ED-20, </w:t>
      </w:r>
      <w:proofErr w:type="spellStart"/>
      <w:r w:rsidRPr="00A11FE0">
        <w:t>isomethyltetrahydrophthalic</w:t>
      </w:r>
      <w:proofErr w:type="spellEnd"/>
      <w:r w:rsidRPr="00A11FE0">
        <w:t xml:space="preserve"> anhydride (ISOMTHFA) was used as a hardener, 2,4,6-tris-(</w:t>
      </w:r>
      <w:proofErr w:type="spellStart"/>
      <w:r w:rsidRPr="00A11FE0">
        <w:t>dimethylaminomethyl</w:t>
      </w:r>
      <w:proofErr w:type="spellEnd"/>
      <w:r w:rsidRPr="00A11FE0">
        <w:t xml:space="preserve">)-phenol, produced under the brand name </w:t>
      </w:r>
      <w:proofErr w:type="spellStart"/>
      <w:r w:rsidRPr="00A11FE0">
        <w:t>Alkophen</w:t>
      </w:r>
      <w:proofErr w:type="spellEnd"/>
      <w:r w:rsidRPr="00A11FE0">
        <w:t xml:space="preserve"> was used as a curing gas pedal. The weight ratio of the ES components is as follows: KER 828-5</w:t>
      </w:r>
      <w:r w:rsidR="00D04ECB">
        <w:t>2</w:t>
      </w:r>
      <w:r w:rsidRPr="00A11FE0">
        <w:t>.5 %, IZOMTGFA - 4</w:t>
      </w:r>
      <w:r w:rsidR="00D04ECB">
        <w:t>4</w:t>
      </w:r>
      <w:r w:rsidRPr="00A11FE0">
        <w:t xml:space="preserve">.5 %, </w:t>
      </w:r>
      <w:proofErr w:type="spellStart"/>
      <w:r w:rsidRPr="00A11FE0">
        <w:t>Alcophene</w:t>
      </w:r>
      <w:proofErr w:type="spellEnd"/>
      <w:r w:rsidRPr="00A11FE0">
        <w:t xml:space="preserve"> - 3 %. The components described below were used to make the binders:</w:t>
      </w:r>
    </w:p>
    <w:p w14:paraId="252D8D1D" w14:textId="77777777" w:rsidR="00A11FE0" w:rsidRPr="00A11FE0" w:rsidRDefault="00A11FE0" w:rsidP="00075E48">
      <w:pPr>
        <w:pStyle w:val="MDPI38bullet"/>
      </w:pPr>
      <w:r w:rsidRPr="00A11FE0">
        <w:t xml:space="preserve">Epoxy resin KER 828, with the following main characteristics: Epoxy Group Content (EGC) 5308 mmol/kg, Epoxide Equivalent Weight (EEW) 188.5 g/eq, viscosity at 25 °C 12.7 </w:t>
      </w:r>
      <w:proofErr w:type="spellStart"/>
      <w:proofErr w:type="gramStart"/>
      <w:r w:rsidRPr="00A11FE0">
        <w:t>Pa.s</w:t>
      </w:r>
      <w:proofErr w:type="spellEnd"/>
      <w:proofErr w:type="gramEnd"/>
      <w:r w:rsidRPr="00A11FE0">
        <w:t>, HCl 116 mg/kg, and total chlorine 1011 mg/kg. Manufacturer: KUMHO P&amp;B Chemicals, Gwangju, South Korea.</w:t>
      </w:r>
    </w:p>
    <w:p w14:paraId="5F8B4802" w14:textId="77777777" w:rsidR="00A11FE0" w:rsidRPr="00A11FE0" w:rsidRDefault="00A11FE0" w:rsidP="00075E48">
      <w:pPr>
        <w:pStyle w:val="MDPI38bullet"/>
      </w:pPr>
      <w:r w:rsidRPr="00A11FE0">
        <w:t xml:space="preserve">Hardener for epoxy resin methyl </w:t>
      </w:r>
      <w:proofErr w:type="spellStart"/>
      <w:r w:rsidRPr="00A11FE0">
        <w:t>tetrahydrophthalic</w:t>
      </w:r>
      <w:proofErr w:type="spellEnd"/>
      <w:r w:rsidRPr="00A11FE0">
        <w:t xml:space="preserve"> anhydride with the following main characteristics: viscosity at 25 °C 63 </w:t>
      </w:r>
      <w:proofErr w:type="spellStart"/>
      <w:proofErr w:type="gramStart"/>
      <w:r w:rsidRPr="00A11FE0">
        <w:t>Pa.s</w:t>
      </w:r>
      <w:proofErr w:type="spellEnd"/>
      <w:proofErr w:type="gramEnd"/>
      <w:r w:rsidRPr="00A11FE0">
        <w:t>, anhydride content 42.4%, volatile fraction content 0.55%, and free acid 0.1%. Manufacturer: ASAMBLY Chemicals company Ltd., Nanjing, China.</w:t>
      </w:r>
    </w:p>
    <w:p w14:paraId="7D565096" w14:textId="77777777" w:rsidR="00A11FE0" w:rsidRPr="00A11FE0" w:rsidRDefault="00A11FE0" w:rsidP="00075E48">
      <w:pPr>
        <w:pStyle w:val="MDPI38bullet"/>
      </w:pPr>
      <w:proofErr w:type="spellStart"/>
      <w:r w:rsidRPr="00A11FE0">
        <w:t>Alkofen</w:t>
      </w:r>
      <w:proofErr w:type="spellEnd"/>
      <w:r w:rsidRPr="00A11FE0">
        <w:t xml:space="preserve"> (epoxy resin curing accelerator) with the following main characteristics: viscosity at 25 °C 150 </w:t>
      </w:r>
      <w:proofErr w:type="spellStart"/>
      <w:proofErr w:type="gramStart"/>
      <w:r w:rsidRPr="00A11FE0">
        <w:t>Pa.s</w:t>
      </w:r>
      <w:proofErr w:type="spellEnd"/>
      <w:proofErr w:type="gramEnd"/>
      <w:r w:rsidRPr="00A11FE0">
        <w:t xml:space="preserve">, molecular formula C15H27N3O, molecular weight 265, and amine value 600 mg KOH/g. Manufacturer: </w:t>
      </w:r>
      <w:proofErr w:type="spellStart"/>
      <w:r w:rsidRPr="00A11FE0">
        <w:t>Epital</w:t>
      </w:r>
      <w:proofErr w:type="spellEnd"/>
      <w:r w:rsidRPr="00A11FE0">
        <w:t xml:space="preserve"> JSC, Moscow, Russian Federation.</w:t>
      </w:r>
    </w:p>
    <w:p w14:paraId="735E7EDA" w14:textId="77777777" w:rsidR="00A11FE0" w:rsidRPr="00664B42" w:rsidRDefault="00A11FE0" w:rsidP="00E97174">
      <w:pPr>
        <w:pStyle w:val="MDPI36textafterlist"/>
      </w:pPr>
      <w:r w:rsidRPr="00A11FE0">
        <w:t>The components were mixed in the above proportions at room temperature of about 25 °C. Mixing to a homogeneous consistency was carried out mechanically with an electric drill with a mixing attachment.</w:t>
      </w:r>
    </w:p>
    <w:p w14:paraId="0B3574D9" w14:textId="77777777" w:rsidR="00877DC6" w:rsidRDefault="00877DC6" w:rsidP="00A11FE0">
      <w:pPr>
        <w:pStyle w:val="MDPI31text"/>
      </w:pPr>
      <w:r>
        <w:t xml:space="preserve">Composites were produced by glass </w:t>
      </w:r>
      <w:proofErr w:type="spellStart"/>
      <w:r>
        <w:t>fibre</w:t>
      </w:r>
      <w:proofErr w:type="spellEnd"/>
      <w:r>
        <w:t xml:space="preserve"> and mineral additive introducing.</w:t>
      </w:r>
    </w:p>
    <w:p w14:paraId="1CD061DB" w14:textId="77777777" w:rsidR="00A11FE0" w:rsidRPr="00A11FE0" w:rsidRDefault="00A11FE0" w:rsidP="00A11FE0">
      <w:pPr>
        <w:pStyle w:val="MDPI31text"/>
      </w:pPr>
      <w:r w:rsidRPr="00A11FE0">
        <w:t>Glass fabric T-23 is produced in accordance with Russian standard GOST 19170-2001 and has the following characteristics:</w:t>
      </w:r>
    </w:p>
    <w:p w14:paraId="0146CACE" w14:textId="77777777" w:rsidR="00A11FE0" w:rsidRPr="00A11FE0" w:rsidRDefault="00A11FE0" w:rsidP="00A11FE0">
      <w:pPr>
        <w:pStyle w:val="MDPI31text"/>
      </w:pPr>
      <w:r w:rsidRPr="00A11FE0">
        <w:t>- thickness, 0.27 +0.01 / -0.02 mm;</w:t>
      </w:r>
    </w:p>
    <w:p w14:paraId="13DEF5D0" w14:textId="77777777" w:rsidR="00A11FE0" w:rsidRPr="00A11FE0" w:rsidRDefault="00A11FE0" w:rsidP="00A11FE0">
      <w:pPr>
        <w:pStyle w:val="MDPI31text"/>
      </w:pPr>
      <w:r w:rsidRPr="00A11FE0">
        <w:t>- Surface density, 260 +25 / -25 g/m</w:t>
      </w:r>
      <w:r w:rsidRPr="006E57CA">
        <w:rPr>
          <w:vertAlign w:val="superscript"/>
        </w:rPr>
        <w:t>2</w:t>
      </w:r>
      <w:r w:rsidRPr="00A11FE0">
        <w:t>;</w:t>
      </w:r>
    </w:p>
    <w:p w14:paraId="6B88F026" w14:textId="77777777" w:rsidR="00A11FE0" w:rsidRPr="00A11FE0" w:rsidRDefault="00A11FE0" w:rsidP="00A11FE0">
      <w:pPr>
        <w:pStyle w:val="MDPI31text"/>
      </w:pPr>
      <w:r w:rsidRPr="00A11FE0">
        <w:t>- number of yarns per 1 cm of fabric on the basis 12 +/- 1;</w:t>
      </w:r>
    </w:p>
    <w:p w14:paraId="7F71C0FF" w14:textId="77777777" w:rsidR="00A11FE0" w:rsidRPr="00A11FE0" w:rsidRDefault="00A11FE0" w:rsidP="00A11FE0">
      <w:pPr>
        <w:pStyle w:val="MDPI31text"/>
      </w:pPr>
      <w:r w:rsidRPr="00A11FE0">
        <w:t>- number of yarns per 1 cm of fabric on the weft 8 +/- 1;</w:t>
      </w:r>
    </w:p>
    <w:p w14:paraId="4A06017B" w14:textId="77777777" w:rsidR="00A11FE0" w:rsidRPr="00A11FE0" w:rsidRDefault="00A11FE0" w:rsidP="00A11FE0">
      <w:pPr>
        <w:pStyle w:val="MDPI31text"/>
      </w:pPr>
      <w:r w:rsidRPr="00A11FE0">
        <w:t>- weave - plain;</w:t>
      </w:r>
    </w:p>
    <w:p w14:paraId="6373957C" w14:textId="77777777" w:rsidR="00A11FE0" w:rsidRPr="00A11FE0" w:rsidRDefault="00A11FE0" w:rsidP="00A11FE0">
      <w:pPr>
        <w:pStyle w:val="MDPI31text"/>
      </w:pPr>
      <w:r w:rsidRPr="00A11FE0">
        <w:t xml:space="preserve">- oiling agent - </w:t>
      </w:r>
      <w:proofErr w:type="spellStart"/>
      <w:r w:rsidRPr="00A11FE0">
        <w:t>aminosilane</w:t>
      </w:r>
      <w:proofErr w:type="spellEnd"/>
      <w:r w:rsidRPr="00A11FE0">
        <w:t>.</w:t>
      </w:r>
    </w:p>
    <w:p w14:paraId="643AB306" w14:textId="77777777" w:rsidR="00877DC6" w:rsidRPr="00656D1B" w:rsidRDefault="00877DC6" w:rsidP="00A11FE0">
      <w:pPr>
        <w:pStyle w:val="MDPI31text"/>
      </w:pPr>
      <w:r>
        <w:t xml:space="preserve">Mineral additive is the </w:t>
      </w:r>
      <w:r w:rsidR="00656D1B">
        <w:t xml:space="preserve">dry </w:t>
      </w:r>
      <w:r>
        <w:t xml:space="preserve">fly ash (FA) from </w:t>
      </w:r>
      <w:proofErr w:type="spellStart"/>
      <w:r>
        <w:t>Refta</w:t>
      </w:r>
      <w:proofErr w:type="spellEnd"/>
      <w:r>
        <w:t xml:space="preserve"> electric station</w:t>
      </w:r>
      <w:r w:rsidR="00656D1B">
        <w:t xml:space="preserve"> with square surface 4500 cm</w:t>
      </w:r>
      <w:r w:rsidR="00656D1B">
        <w:rPr>
          <w:vertAlign w:val="superscript"/>
        </w:rPr>
        <w:t>2</w:t>
      </w:r>
      <w:r w:rsidR="00656D1B">
        <w:t>/g, dominating oxides are SiO</w:t>
      </w:r>
      <w:r w:rsidR="00656D1B">
        <w:rPr>
          <w:vertAlign w:val="subscript"/>
        </w:rPr>
        <w:t>2</w:t>
      </w:r>
      <w:r w:rsidR="00656D1B">
        <w:t xml:space="preserve"> (&gt;70%), Al</w:t>
      </w:r>
      <w:r w:rsidR="00656D1B">
        <w:rPr>
          <w:vertAlign w:val="subscript"/>
        </w:rPr>
        <w:t>2</w:t>
      </w:r>
      <w:r w:rsidR="00656D1B">
        <w:t>O</w:t>
      </w:r>
      <w:r w:rsidR="00656D1B">
        <w:rPr>
          <w:vertAlign w:val="subscript"/>
        </w:rPr>
        <w:t>3</w:t>
      </w:r>
      <w:r w:rsidR="00656D1B">
        <w:t xml:space="preserve"> (&gt;12%), Na</w:t>
      </w:r>
      <w:r w:rsidR="00656D1B">
        <w:rPr>
          <w:vertAlign w:val="subscript"/>
        </w:rPr>
        <w:t>2</w:t>
      </w:r>
      <w:r w:rsidR="00656D1B">
        <w:t>O+K</w:t>
      </w:r>
      <w:r w:rsidR="00656D1B">
        <w:rPr>
          <w:vertAlign w:val="subscript"/>
        </w:rPr>
        <w:t>2</w:t>
      </w:r>
      <w:r w:rsidR="00656D1B">
        <w:t xml:space="preserve">O (&gt;6%). </w:t>
      </w:r>
    </w:p>
    <w:p w14:paraId="3AF2EC7C" w14:textId="77777777" w:rsidR="00A11FE0" w:rsidRPr="00A11FE0" w:rsidRDefault="00A11FE0" w:rsidP="00A11FE0">
      <w:pPr>
        <w:pStyle w:val="MDPI31text"/>
      </w:pPr>
      <w:r w:rsidRPr="00A11FE0">
        <w:lastRenderedPageBreak/>
        <w:t>Samples of fiberglass plastic</w:t>
      </w:r>
      <w:r w:rsidR="00656D1B" w:rsidRPr="00656D1B">
        <w:t xml:space="preserve"> </w:t>
      </w:r>
      <w:r w:rsidR="00656D1B">
        <w:t>and composites</w:t>
      </w:r>
      <w:r w:rsidRPr="00A11FE0">
        <w:t xml:space="preserve"> were made in the form of plates of 15 x 15 cm. Cut sheets of glass fabric EZ-200 were calcined at 300 </w:t>
      </w:r>
      <w:r w:rsidRPr="006E57CA">
        <w:rPr>
          <w:vertAlign w:val="superscript"/>
        </w:rPr>
        <w:t>0</w:t>
      </w:r>
      <w:r w:rsidRPr="00A11FE0">
        <w:t xml:space="preserve">C to remove the paraffin oiling agent im-mediately before impregnation with the binder. Glass fabric T-23 was not calcined. In total, the samples had 10 layers of glass fabric laid according to the scheme 0 / 90 (base/weft).  </w:t>
      </w:r>
    </w:p>
    <w:p w14:paraId="14671BD4" w14:textId="77777777" w:rsidR="00A11FE0" w:rsidRPr="00A765E1" w:rsidRDefault="00A11FE0" w:rsidP="00A765E1">
      <w:pPr>
        <w:pStyle w:val="MDPI31text"/>
      </w:pPr>
      <w:r w:rsidRPr="00A11FE0">
        <w:t>Glass-reinforced plastic</w:t>
      </w:r>
      <w:r w:rsidR="00656D1B">
        <w:t xml:space="preserve"> and composite</w:t>
      </w:r>
      <w:r w:rsidRPr="00A11FE0">
        <w:t xml:space="preserve"> specimens were cured at 120 </w:t>
      </w:r>
      <w:r w:rsidRPr="003A21A1">
        <w:rPr>
          <w:vertAlign w:val="superscript"/>
        </w:rPr>
        <w:t>0</w:t>
      </w:r>
      <w:r w:rsidRPr="00A11FE0">
        <w:t xml:space="preserve">C for 20 minutes in silicone molds while being loaded through Teflon-coated metal plates at a pressure of about 0.22 kPa. The cured specimens were then kept at 150 </w:t>
      </w:r>
      <w:r w:rsidRPr="003A21A1">
        <w:rPr>
          <w:vertAlign w:val="superscript"/>
        </w:rPr>
        <w:t>0</w:t>
      </w:r>
      <w:r w:rsidRPr="00A11FE0">
        <w:t>C for 12 hours. After that, beam samples were cut from the plates in the direction of the main axes of orthotropy, which were considered in this work.</w:t>
      </w:r>
    </w:p>
    <w:p w14:paraId="52A35221" w14:textId="77777777" w:rsidR="00A765E1" w:rsidRPr="00A765E1" w:rsidRDefault="0092754E" w:rsidP="0092754E">
      <w:pPr>
        <w:pStyle w:val="MDPI41tablecaption"/>
        <w:jc w:val="left"/>
      </w:pPr>
      <w:r w:rsidRPr="0092754E">
        <w:rPr>
          <w:b/>
        </w:rPr>
        <w:t xml:space="preserve">Table </w:t>
      </w:r>
      <w:r w:rsidR="006B637D">
        <w:rPr>
          <w:b/>
        </w:rPr>
        <w:t>1</w:t>
      </w:r>
      <w:r w:rsidRPr="0092754E">
        <w:rPr>
          <w:b/>
        </w:rPr>
        <w:t xml:space="preserve">. </w:t>
      </w:r>
      <w:r w:rsidR="00A765E1" w:rsidRPr="005269A5">
        <w:t>Types of</w:t>
      </w:r>
      <w:r w:rsidR="006B637D">
        <w:t xml:space="preserve"> composites and</w:t>
      </w:r>
      <w:r w:rsidR="00A765E1" w:rsidRPr="005269A5">
        <w:t xml:space="preserve"> </w:t>
      </w:r>
      <w:r w:rsidR="00A765E1">
        <w:t>FRPs’</w:t>
      </w:r>
      <w:r w:rsidR="00A765E1" w:rsidRPr="005269A5">
        <w:t xml:space="preserve"> investigated</w:t>
      </w:r>
      <w:r>
        <w:t>.</w:t>
      </w:r>
    </w:p>
    <w:tbl>
      <w:tblPr>
        <w:tblStyle w:val="a3"/>
        <w:tblW w:w="10207" w:type="dxa"/>
        <w:jc w:val="center"/>
        <w:tblBorders>
          <w:top w:val="single" w:sz="8" w:space="0" w:color="auto"/>
          <w:left w:val="none" w:sz="0" w:space="0" w:color="auto"/>
          <w:bottom w:val="single" w:sz="8" w:space="0" w:color="auto"/>
          <w:right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56"/>
        <w:gridCol w:w="4931"/>
        <w:gridCol w:w="1276"/>
        <w:gridCol w:w="1559"/>
        <w:gridCol w:w="1985"/>
      </w:tblGrid>
      <w:tr w:rsidR="00155140" w:rsidRPr="0092754E" w14:paraId="39D3F97C" w14:textId="77777777" w:rsidTr="00155140">
        <w:trPr>
          <w:jc w:val="center"/>
        </w:trPr>
        <w:tc>
          <w:tcPr>
            <w:tcW w:w="456" w:type="dxa"/>
            <w:tcBorders>
              <w:top w:val="single" w:sz="8" w:space="0" w:color="auto"/>
              <w:bottom w:val="single" w:sz="4" w:space="0" w:color="auto"/>
            </w:tcBorders>
            <w:shd w:val="clear" w:color="auto" w:fill="auto"/>
            <w:vAlign w:val="center"/>
          </w:tcPr>
          <w:p w14:paraId="5E92AC14" w14:textId="77777777" w:rsidR="00155140" w:rsidRPr="0092754E" w:rsidRDefault="00155140" w:rsidP="0092754E">
            <w:pPr>
              <w:pStyle w:val="MDPI42tablebody"/>
              <w:autoSpaceDE w:val="0"/>
              <w:autoSpaceDN w:val="0"/>
              <w:spacing w:line="240" w:lineRule="auto"/>
              <w:rPr>
                <w:b/>
                <w:bCs/>
              </w:rPr>
            </w:pPr>
            <w:r w:rsidRPr="0092754E">
              <w:rPr>
                <w:b/>
                <w:bCs/>
              </w:rPr>
              <w:t>№</w:t>
            </w:r>
          </w:p>
        </w:tc>
        <w:tc>
          <w:tcPr>
            <w:tcW w:w="4931" w:type="dxa"/>
            <w:tcBorders>
              <w:top w:val="single" w:sz="8" w:space="0" w:color="auto"/>
              <w:bottom w:val="single" w:sz="4" w:space="0" w:color="auto"/>
            </w:tcBorders>
            <w:shd w:val="clear" w:color="auto" w:fill="auto"/>
            <w:vAlign w:val="center"/>
          </w:tcPr>
          <w:p w14:paraId="3BE07147" w14:textId="77777777" w:rsidR="00155140" w:rsidRPr="0092754E" w:rsidRDefault="00155140" w:rsidP="0092754E">
            <w:pPr>
              <w:pStyle w:val="MDPI42tablebody"/>
              <w:autoSpaceDE w:val="0"/>
              <w:autoSpaceDN w:val="0"/>
              <w:spacing w:line="240" w:lineRule="auto"/>
              <w:rPr>
                <w:b/>
                <w:bCs/>
              </w:rPr>
            </w:pPr>
            <w:r w:rsidRPr="0092754E">
              <w:rPr>
                <w:b/>
                <w:bCs/>
              </w:rPr>
              <w:t>Composite</w:t>
            </w:r>
          </w:p>
        </w:tc>
        <w:tc>
          <w:tcPr>
            <w:tcW w:w="1276" w:type="dxa"/>
            <w:tcBorders>
              <w:top w:val="single" w:sz="8" w:space="0" w:color="auto"/>
              <w:bottom w:val="single" w:sz="4" w:space="0" w:color="auto"/>
            </w:tcBorders>
            <w:shd w:val="clear" w:color="auto" w:fill="auto"/>
            <w:vAlign w:val="center"/>
          </w:tcPr>
          <w:p w14:paraId="2C668DDB" w14:textId="77777777" w:rsidR="00155140" w:rsidRPr="0092754E" w:rsidRDefault="00155140" w:rsidP="0092754E">
            <w:pPr>
              <w:pStyle w:val="MDPI42tablebody"/>
              <w:autoSpaceDE w:val="0"/>
              <w:autoSpaceDN w:val="0"/>
              <w:spacing w:line="240" w:lineRule="auto"/>
              <w:rPr>
                <w:b/>
                <w:bCs/>
              </w:rPr>
            </w:pPr>
            <w:r w:rsidRPr="0092754E">
              <w:rPr>
                <w:b/>
                <w:bCs/>
              </w:rPr>
              <w:t>Name</w:t>
            </w:r>
          </w:p>
        </w:tc>
        <w:tc>
          <w:tcPr>
            <w:tcW w:w="1559" w:type="dxa"/>
            <w:tcBorders>
              <w:top w:val="single" w:sz="8" w:space="0" w:color="auto"/>
              <w:bottom w:val="single" w:sz="4" w:space="0" w:color="auto"/>
            </w:tcBorders>
            <w:shd w:val="clear" w:color="auto" w:fill="auto"/>
            <w:vAlign w:val="center"/>
          </w:tcPr>
          <w:p w14:paraId="755CD4F6" w14:textId="77777777" w:rsidR="00155140" w:rsidRPr="0092754E" w:rsidRDefault="00155140" w:rsidP="0092754E">
            <w:pPr>
              <w:pStyle w:val="MDPI42tablebody"/>
              <w:autoSpaceDE w:val="0"/>
              <w:autoSpaceDN w:val="0"/>
              <w:spacing w:line="240" w:lineRule="auto"/>
              <w:rPr>
                <w:b/>
                <w:bCs/>
                <w:lang w:val="ru-RU"/>
              </w:rPr>
            </w:pPr>
            <w:r w:rsidRPr="0092754E">
              <w:rPr>
                <w:b/>
                <w:bCs/>
              </w:rPr>
              <w:t>Dilatometry</w:t>
            </w:r>
          </w:p>
        </w:tc>
        <w:tc>
          <w:tcPr>
            <w:tcW w:w="1985" w:type="dxa"/>
            <w:tcBorders>
              <w:top w:val="single" w:sz="8" w:space="0" w:color="auto"/>
              <w:bottom w:val="single" w:sz="4" w:space="0" w:color="auto"/>
            </w:tcBorders>
          </w:tcPr>
          <w:p w14:paraId="0562C95F" w14:textId="77777777" w:rsidR="00155140" w:rsidRPr="0092754E" w:rsidRDefault="00155140" w:rsidP="0092754E">
            <w:pPr>
              <w:pStyle w:val="MDPI42tablebody"/>
              <w:autoSpaceDE w:val="0"/>
              <w:autoSpaceDN w:val="0"/>
              <w:spacing w:line="240" w:lineRule="auto"/>
              <w:rPr>
                <w:b/>
                <w:bCs/>
              </w:rPr>
            </w:pPr>
            <w:r>
              <w:rPr>
                <w:b/>
                <w:bCs/>
              </w:rPr>
              <w:t>Modulus of elasticity</w:t>
            </w:r>
          </w:p>
        </w:tc>
      </w:tr>
      <w:tr w:rsidR="00155140" w:rsidRPr="0092754E" w14:paraId="44E18E39" w14:textId="77777777" w:rsidTr="00155140">
        <w:trPr>
          <w:jc w:val="center"/>
        </w:trPr>
        <w:tc>
          <w:tcPr>
            <w:tcW w:w="456" w:type="dxa"/>
            <w:tcBorders>
              <w:top w:val="single" w:sz="4" w:space="0" w:color="auto"/>
            </w:tcBorders>
            <w:shd w:val="clear" w:color="auto" w:fill="auto"/>
            <w:vAlign w:val="center"/>
          </w:tcPr>
          <w:p w14:paraId="1416D7D3" w14:textId="77777777" w:rsidR="00155140" w:rsidRPr="0092754E" w:rsidRDefault="00155140" w:rsidP="0092754E">
            <w:pPr>
              <w:pStyle w:val="MDPI42tablebody"/>
              <w:autoSpaceDE w:val="0"/>
              <w:autoSpaceDN w:val="0"/>
              <w:spacing w:line="240" w:lineRule="auto"/>
            </w:pPr>
            <w:r w:rsidRPr="0092754E">
              <w:t>1</w:t>
            </w:r>
          </w:p>
        </w:tc>
        <w:tc>
          <w:tcPr>
            <w:tcW w:w="4931" w:type="dxa"/>
            <w:tcBorders>
              <w:top w:val="single" w:sz="4" w:space="0" w:color="auto"/>
            </w:tcBorders>
            <w:shd w:val="clear" w:color="auto" w:fill="auto"/>
            <w:vAlign w:val="center"/>
          </w:tcPr>
          <w:p w14:paraId="4B6281F5" w14:textId="77777777" w:rsidR="00155140" w:rsidRPr="00155140" w:rsidRDefault="00155140" w:rsidP="0092754E">
            <w:pPr>
              <w:pStyle w:val="MDPI42tablebody"/>
              <w:autoSpaceDE w:val="0"/>
              <w:autoSpaceDN w:val="0"/>
              <w:spacing w:line="240" w:lineRule="auto"/>
            </w:pPr>
            <w:r w:rsidRPr="0092754E">
              <w:t>E</w:t>
            </w:r>
            <w:r>
              <w:t>poxy binder</w:t>
            </w:r>
          </w:p>
        </w:tc>
        <w:tc>
          <w:tcPr>
            <w:tcW w:w="1276" w:type="dxa"/>
            <w:tcBorders>
              <w:top w:val="single" w:sz="4" w:space="0" w:color="auto"/>
            </w:tcBorders>
            <w:shd w:val="clear" w:color="auto" w:fill="auto"/>
            <w:vAlign w:val="center"/>
          </w:tcPr>
          <w:p w14:paraId="1D2078B6" w14:textId="77777777" w:rsidR="00155140" w:rsidRPr="0092754E" w:rsidRDefault="00155140" w:rsidP="0092754E">
            <w:pPr>
              <w:pStyle w:val="MDPI42tablebody"/>
              <w:autoSpaceDE w:val="0"/>
              <w:autoSpaceDN w:val="0"/>
              <w:spacing w:line="240" w:lineRule="auto"/>
            </w:pPr>
            <w:r w:rsidRPr="0092754E">
              <w:t>EP</w:t>
            </w:r>
          </w:p>
        </w:tc>
        <w:tc>
          <w:tcPr>
            <w:tcW w:w="1559" w:type="dxa"/>
            <w:tcBorders>
              <w:top w:val="single" w:sz="4" w:space="0" w:color="auto"/>
            </w:tcBorders>
            <w:shd w:val="clear" w:color="auto" w:fill="auto"/>
            <w:vAlign w:val="center"/>
          </w:tcPr>
          <w:p w14:paraId="01C39664" w14:textId="77777777" w:rsidR="00155140" w:rsidRPr="0092754E" w:rsidRDefault="00155140" w:rsidP="0092754E">
            <w:pPr>
              <w:pStyle w:val="MDPI42tablebody"/>
              <w:autoSpaceDE w:val="0"/>
              <w:autoSpaceDN w:val="0"/>
              <w:spacing w:line="240" w:lineRule="auto"/>
            </w:pPr>
            <w:r w:rsidRPr="0092754E">
              <w:t>+</w:t>
            </w:r>
          </w:p>
        </w:tc>
        <w:tc>
          <w:tcPr>
            <w:tcW w:w="1985" w:type="dxa"/>
            <w:tcBorders>
              <w:top w:val="single" w:sz="4" w:space="0" w:color="auto"/>
            </w:tcBorders>
          </w:tcPr>
          <w:p w14:paraId="476D3D9D" w14:textId="77777777" w:rsidR="00155140" w:rsidRPr="0092754E" w:rsidRDefault="00155140" w:rsidP="0092754E">
            <w:pPr>
              <w:pStyle w:val="MDPI42tablebody"/>
              <w:autoSpaceDE w:val="0"/>
              <w:autoSpaceDN w:val="0"/>
              <w:spacing w:line="240" w:lineRule="auto"/>
            </w:pPr>
            <w:r>
              <w:t>+</w:t>
            </w:r>
          </w:p>
        </w:tc>
      </w:tr>
      <w:tr w:rsidR="00155140" w:rsidRPr="0092754E" w14:paraId="7C95445A" w14:textId="77777777" w:rsidTr="00155140">
        <w:trPr>
          <w:jc w:val="center"/>
        </w:trPr>
        <w:tc>
          <w:tcPr>
            <w:tcW w:w="456" w:type="dxa"/>
            <w:tcBorders>
              <w:top w:val="single" w:sz="4" w:space="0" w:color="auto"/>
            </w:tcBorders>
            <w:shd w:val="clear" w:color="auto" w:fill="auto"/>
            <w:vAlign w:val="center"/>
          </w:tcPr>
          <w:p w14:paraId="1C19F78D" w14:textId="77777777" w:rsidR="00155140" w:rsidRPr="0092754E" w:rsidRDefault="00155140" w:rsidP="0092754E">
            <w:pPr>
              <w:pStyle w:val="MDPI42tablebody"/>
              <w:autoSpaceDE w:val="0"/>
              <w:autoSpaceDN w:val="0"/>
              <w:spacing w:line="240" w:lineRule="auto"/>
            </w:pPr>
            <w:r>
              <w:t>2</w:t>
            </w:r>
          </w:p>
        </w:tc>
        <w:tc>
          <w:tcPr>
            <w:tcW w:w="4931" w:type="dxa"/>
            <w:tcBorders>
              <w:top w:val="single" w:sz="4" w:space="0" w:color="auto"/>
            </w:tcBorders>
            <w:shd w:val="clear" w:color="auto" w:fill="auto"/>
            <w:vAlign w:val="center"/>
          </w:tcPr>
          <w:p w14:paraId="2B3AA3B5" w14:textId="77777777" w:rsidR="00155140" w:rsidRPr="0092754E" w:rsidRDefault="00155140" w:rsidP="0092754E">
            <w:pPr>
              <w:pStyle w:val="MDPI42tablebody"/>
              <w:autoSpaceDE w:val="0"/>
              <w:autoSpaceDN w:val="0"/>
              <w:spacing w:line="240" w:lineRule="auto"/>
            </w:pPr>
            <w:r w:rsidRPr="0092754E">
              <w:t>E</w:t>
            </w:r>
            <w:r>
              <w:t>poxy binder + glass fabric T23</w:t>
            </w:r>
          </w:p>
        </w:tc>
        <w:tc>
          <w:tcPr>
            <w:tcW w:w="1276" w:type="dxa"/>
            <w:tcBorders>
              <w:top w:val="single" w:sz="4" w:space="0" w:color="auto"/>
            </w:tcBorders>
            <w:shd w:val="clear" w:color="auto" w:fill="auto"/>
            <w:vAlign w:val="center"/>
          </w:tcPr>
          <w:p w14:paraId="03A7152C" w14:textId="77777777" w:rsidR="00155140" w:rsidRPr="0092754E" w:rsidRDefault="00155140" w:rsidP="0092754E">
            <w:pPr>
              <w:pStyle w:val="MDPI42tablebody"/>
              <w:autoSpaceDE w:val="0"/>
              <w:autoSpaceDN w:val="0"/>
              <w:spacing w:line="240" w:lineRule="auto"/>
            </w:pPr>
            <w:r w:rsidRPr="0092754E">
              <w:t>EP+T23</w:t>
            </w:r>
          </w:p>
        </w:tc>
        <w:tc>
          <w:tcPr>
            <w:tcW w:w="1559" w:type="dxa"/>
            <w:tcBorders>
              <w:top w:val="single" w:sz="4" w:space="0" w:color="auto"/>
            </w:tcBorders>
            <w:shd w:val="clear" w:color="auto" w:fill="auto"/>
            <w:vAlign w:val="center"/>
          </w:tcPr>
          <w:p w14:paraId="3BE3F839" w14:textId="77777777" w:rsidR="00155140" w:rsidRPr="0092754E" w:rsidRDefault="00A12B36" w:rsidP="0092754E">
            <w:pPr>
              <w:pStyle w:val="MDPI42tablebody"/>
              <w:autoSpaceDE w:val="0"/>
              <w:autoSpaceDN w:val="0"/>
              <w:spacing w:line="240" w:lineRule="auto"/>
            </w:pPr>
            <w:r>
              <w:t>+</w:t>
            </w:r>
          </w:p>
        </w:tc>
        <w:tc>
          <w:tcPr>
            <w:tcW w:w="1985" w:type="dxa"/>
            <w:tcBorders>
              <w:top w:val="single" w:sz="4" w:space="0" w:color="auto"/>
            </w:tcBorders>
          </w:tcPr>
          <w:p w14:paraId="33B6883C" w14:textId="77777777" w:rsidR="00155140" w:rsidRDefault="00A12B36" w:rsidP="0092754E">
            <w:pPr>
              <w:pStyle w:val="MDPI42tablebody"/>
              <w:autoSpaceDE w:val="0"/>
              <w:autoSpaceDN w:val="0"/>
              <w:spacing w:line="240" w:lineRule="auto"/>
            </w:pPr>
            <w:r>
              <w:t>+</w:t>
            </w:r>
          </w:p>
        </w:tc>
      </w:tr>
      <w:tr w:rsidR="00155140" w:rsidRPr="0092754E" w14:paraId="5E85D043" w14:textId="77777777" w:rsidTr="00155140">
        <w:trPr>
          <w:jc w:val="center"/>
        </w:trPr>
        <w:tc>
          <w:tcPr>
            <w:tcW w:w="456" w:type="dxa"/>
            <w:shd w:val="clear" w:color="auto" w:fill="auto"/>
            <w:vAlign w:val="center"/>
          </w:tcPr>
          <w:p w14:paraId="056C39BE" w14:textId="77777777" w:rsidR="00155140" w:rsidRDefault="00A76B59" w:rsidP="00155140">
            <w:pPr>
              <w:pStyle w:val="MDPI42tablebody"/>
              <w:autoSpaceDE w:val="0"/>
              <w:autoSpaceDN w:val="0"/>
              <w:spacing w:line="240" w:lineRule="auto"/>
            </w:pPr>
            <w:r>
              <w:t>3</w:t>
            </w:r>
          </w:p>
        </w:tc>
        <w:tc>
          <w:tcPr>
            <w:tcW w:w="4931" w:type="dxa"/>
            <w:shd w:val="clear" w:color="auto" w:fill="auto"/>
            <w:vAlign w:val="center"/>
          </w:tcPr>
          <w:p w14:paraId="23EFEA0B" w14:textId="77777777" w:rsidR="00155140" w:rsidRPr="00155140" w:rsidRDefault="00155140" w:rsidP="00155140">
            <w:pPr>
              <w:pStyle w:val="MDPI42tablebody"/>
              <w:autoSpaceDE w:val="0"/>
              <w:autoSpaceDN w:val="0"/>
              <w:spacing w:line="240" w:lineRule="auto"/>
            </w:pPr>
            <w:r w:rsidRPr="0092754E">
              <w:t>E</w:t>
            </w:r>
            <w:r>
              <w:t>poxy binder 70%</w:t>
            </w:r>
            <w:r w:rsidRPr="0092754E">
              <w:t xml:space="preserve"> + </w:t>
            </w:r>
            <w:r>
              <w:t>fly ash</w:t>
            </w:r>
            <w:r w:rsidRPr="0092754E">
              <w:rPr>
                <w:lang w:val="ru-RU"/>
              </w:rPr>
              <w:t xml:space="preserve"> </w:t>
            </w:r>
            <w:r>
              <w:t>30</w:t>
            </w:r>
            <w:r w:rsidRPr="0092754E">
              <w:rPr>
                <w:lang w:val="ru-RU"/>
              </w:rPr>
              <w:t>%</w:t>
            </w:r>
            <w:r>
              <w:t xml:space="preserve"> </w:t>
            </w:r>
          </w:p>
        </w:tc>
        <w:tc>
          <w:tcPr>
            <w:tcW w:w="1276" w:type="dxa"/>
            <w:shd w:val="clear" w:color="auto" w:fill="auto"/>
            <w:vAlign w:val="center"/>
          </w:tcPr>
          <w:p w14:paraId="45F26E6E" w14:textId="77777777" w:rsidR="00155140" w:rsidRPr="0092754E" w:rsidRDefault="00155140" w:rsidP="00155140">
            <w:pPr>
              <w:pStyle w:val="MDPI42tablebody"/>
              <w:autoSpaceDE w:val="0"/>
              <w:autoSpaceDN w:val="0"/>
              <w:spacing w:line="240" w:lineRule="auto"/>
            </w:pPr>
            <w:r>
              <w:t>EP</w:t>
            </w:r>
            <w:r w:rsidR="00A12B36">
              <w:t>+</w:t>
            </w:r>
            <w:r>
              <w:t>FA</w:t>
            </w:r>
          </w:p>
        </w:tc>
        <w:tc>
          <w:tcPr>
            <w:tcW w:w="1559" w:type="dxa"/>
            <w:shd w:val="clear" w:color="auto" w:fill="auto"/>
            <w:vAlign w:val="center"/>
          </w:tcPr>
          <w:p w14:paraId="008341EA" w14:textId="77777777" w:rsidR="00155140" w:rsidRPr="0092754E" w:rsidRDefault="00A12B36" w:rsidP="00155140">
            <w:pPr>
              <w:pStyle w:val="MDPI42tablebody"/>
              <w:autoSpaceDE w:val="0"/>
              <w:autoSpaceDN w:val="0"/>
              <w:spacing w:line="240" w:lineRule="auto"/>
            </w:pPr>
            <w:r>
              <w:t>+</w:t>
            </w:r>
          </w:p>
        </w:tc>
        <w:tc>
          <w:tcPr>
            <w:tcW w:w="1985" w:type="dxa"/>
          </w:tcPr>
          <w:p w14:paraId="46845A37" w14:textId="77777777" w:rsidR="00155140" w:rsidRDefault="00A12B36" w:rsidP="00155140">
            <w:pPr>
              <w:pStyle w:val="MDPI42tablebody"/>
              <w:autoSpaceDE w:val="0"/>
              <w:autoSpaceDN w:val="0"/>
              <w:spacing w:line="240" w:lineRule="auto"/>
            </w:pPr>
            <w:r>
              <w:t>+</w:t>
            </w:r>
          </w:p>
        </w:tc>
      </w:tr>
      <w:tr w:rsidR="00155140" w:rsidRPr="0092754E" w14:paraId="6B0EE7B8" w14:textId="77777777" w:rsidTr="00155140">
        <w:trPr>
          <w:jc w:val="center"/>
        </w:trPr>
        <w:tc>
          <w:tcPr>
            <w:tcW w:w="456" w:type="dxa"/>
            <w:shd w:val="clear" w:color="auto" w:fill="auto"/>
            <w:vAlign w:val="center"/>
          </w:tcPr>
          <w:p w14:paraId="4E938F4D" w14:textId="77777777" w:rsidR="00155140" w:rsidRDefault="00A76B59" w:rsidP="00155140">
            <w:pPr>
              <w:pStyle w:val="MDPI42tablebody"/>
              <w:autoSpaceDE w:val="0"/>
              <w:autoSpaceDN w:val="0"/>
              <w:spacing w:line="240" w:lineRule="auto"/>
            </w:pPr>
            <w:r>
              <w:t>4</w:t>
            </w:r>
          </w:p>
        </w:tc>
        <w:tc>
          <w:tcPr>
            <w:tcW w:w="4931" w:type="dxa"/>
            <w:shd w:val="clear" w:color="auto" w:fill="auto"/>
            <w:vAlign w:val="center"/>
          </w:tcPr>
          <w:p w14:paraId="0DED6B92" w14:textId="77777777" w:rsidR="00155140" w:rsidRPr="0092754E" w:rsidRDefault="00A12B36" w:rsidP="00155140">
            <w:pPr>
              <w:pStyle w:val="MDPI42tablebody"/>
              <w:autoSpaceDE w:val="0"/>
              <w:autoSpaceDN w:val="0"/>
              <w:spacing w:line="240" w:lineRule="auto"/>
            </w:pPr>
            <w:r w:rsidRPr="0092754E">
              <w:t>E</w:t>
            </w:r>
            <w:r>
              <w:t>poxy binder 70%</w:t>
            </w:r>
            <w:r w:rsidRPr="0092754E">
              <w:t xml:space="preserve"> + </w:t>
            </w:r>
            <w:r>
              <w:t>fly ash</w:t>
            </w:r>
            <w:r w:rsidRPr="00155140">
              <w:t xml:space="preserve"> </w:t>
            </w:r>
            <w:r>
              <w:t>30</w:t>
            </w:r>
            <w:r w:rsidRPr="00155140">
              <w:t>%</w:t>
            </w:r>
            <w:r>
              <w:t xml:space="preserve"> + glass fabric T23</w:t>
            </w:r>
          </w:p>
        </w:tc>
        <w:tc>
          <w:tcPr>
            <w:tcW w:w="1276" w:type="dxa"/>
            <w:shd w:val="clear" w:color="auto" w:fill="auto"/>
            <w:vAlign w:val="center"/>
          </w:tcPr>
          <w:p w14:paraId="68447769" w14:textId="77777777" w:rsidR="00155140" w:rsidRPr="0092754E" w:rsidRDefault="00A12B36" w:rsidP="00155140">
            <w:pPr>
              <w:pStyle w:val="MDPI42tablebody"/>
              <w:autoSpaceDE w:val="0"/>
              <w:autoSpaceDN w:val="0"/>
              <w:spacing w:line="240" w:lineRule="auto"/>
            </w:pPr>
            <w:r>
              <w:t>EP+</w:t>
            </w:r>
            <w:r w:rsidR="003915FA">
              <w:t>T</w:t>
            </w:r>
            <w:r>
              <w:t>23</w:t>
            </w:r>
            <w:r w:rsidR="00A81F30">
              <w:t>+FA</w:t>
            </w:r>
          </w:p>
        </w:tc>
        <w:tc>
          <w:tcPr>
            <w:tcW w:w="1559" w:type="dxa"/>
            <w:shd w:val="clear" w:color="auto" w:fill="auto"/>
            <w:vAlign w:val="center"/>
          </w:tcPr>
          <w:p w14:paraId="25A5D9E7" w14:textId="77777777" w:rsidR="00155140" w:rsidRPr="0092754E" w:rsidRDefault="00A12B36" w:rsidP="00155140">
            <w:pPr>
              <w:pStyle w:val="MDPI42tablebody"/>
              <w:autoSpaceDE w:val="0"/>
              <w:autoSpaceDN w:val="0"/>
              <w:spacing w:line="240" w:lineRule="auto"/>
            </w:pPr>
            <w:r>
              <w:t>+</w:t>
            </w:r>
          </w:p>
        </w:tc>
        <w:tc>
          <w:tcPr>
            <w:tcW w:w="1985" w:type="dxa"/>
          </w:tcPr>
          <w:p w14:paraId="66A535D4" w14:textId="77777777" w:rsidR="00155140" w:rsidRDefault="00A12B36" w:rsidP="00155140">
            <w:pPr>
              <w:pStyle w:val="MDPI42tablebody"/>
              <w:autoSpaceDE w:val="0"/>
              <w:autoSpaceDN w:val="0"/>
              <w:spacing w:line="240" w:lineRule="auto"/>
            </w:pPr>
            <w:r>
              <w:t>+</w:t>
            </w:r>
          </w:p>
        </w:tc>
      </w:tr>
    </w:tbl>
    <w:p w14:paraId="35DC78A7" w14:textId="77777777" w:rsidR="00A11FE0" w:rsidRPr="0092754E" w:rsidRDefault="0092754E" w:rsidP="0092754E">
      <w:pPr>
        <w:pStyle w:val="MDPI22heading2"/>
        <w:spacing w:before="240"/>
      </w:pPr>
      <w:r w:rsidRPr="0092754E">
        <w:t xml:space="preserve">2.2. </w:t>
      </w:r>
      <w:r w:rsidR="00A11FE0" w:rsidRPr="0092754E">
        <w:t>Methods</w:t>
      </w:r>
    </w:p>
    <w:p w14:paraId="660D6D6A" w14:textId="77777777" w:rsidR="00A11FE0" w:rsidRPr="0092754E" w:rsidRDefault="0092754E" w:rsidP="0092754E">
      <w:pPr>
        <w:pStyle w:val="MDPI23heading3"/>
      </w:pPr>
      <w:r w:rsidRPr="0092754E">
        <w:t xml:space="preserve">2.2.1. </w:t>
      </w:r>
      <w:r w:rsidR="00A11FE0" w:rsidRPr="0092754E">
        <w:t>Long heat treatment</w:t>
      </w:r>
      <w:r w:rsidR="003A21A1" w:rsidRPr="0092754E">
        <w:t xml:space="preserve"> (Thermal aging)</w:t>
      </w:r>
    </w:p>
    <w:p w14:paraId="2C2B780A" w14:textId="77777777" w:rsidR="00A11FE0" w:rsidRPr="006732EC" w:rsidRDefault="00A11FE0" w:rsidP="0092754E">
      <w:pPr>
        <w:pStyle w:val="MDPI31text"/>
      </w:pPr>
      <w:r w:rsidRPr="006732EC">
        <w:t>After curing, some of the fiberglass samples were exposed to prolonged exposure at elevated temperatures, while the control series was stored under normal conditions. The long-term curing (hereinafter referred to simply as "curing") of the samples at elevated temperatures was performed according to the following program: 168 hours (one week) at 160 °C, 168 hours at 190 °C, 168 hours at 220 °C. After the heat treatment, the samples were cooled at a rate of about 1 °C per minute to 50 °C, removed from the laboratory oven, weighed, and then weighed and tested for three-point bending at temperatures from 25 to 180 °C.</w:t>
      </w:r>
    </w:p>
    <w:p w14:paraId="1AA8ED21" w14:textId="77777777" w:rsidR="00A11FE0" w:rsidRPr="0092754E" w:rsidRDefault="0092754E" w:rsidP="0092754E">
      <w:pPr>
        <w:pStyle w:val="MDPI22heading2"/>
        <w:spacing w:before="240"/>
      </w:pPr>
      <w:r w:rsidRPr="0092754E">
        <w:t xml:space="preserve">2.2.2. </w:t>
      </w:r>
      <w:r w:rsidR="00A11FE0" w:rsidRPr="00291658">
        <w:rPr>
          <w:i w:val="0"/>
          <w:iCs/>
        </w:rPr>
        <w:t>Dilatometric investigation</w:t>
      </w:r>
      <w:r w:rsidR="00A11FE0" w:rsidRPr="0092754E">
        <w:t xml:space="preserve"> </w:t>
      </w:r>
    </w:p>
    <w:p w14:paraId="09137C39" w14:textId="2DA62FCD" w:rsidR="009A02CB" w:rsidRPr="00902591" w:rsidRDefault="00A11FE0" w:rsidP="002A57D0">
      <w:pPr>
        <w:pStyle w:val="MDPI31text"/>
        <w:rPr>
          <w:color w:val="70AD47" w:themeColor="accent6"/>
        </w:rPr>
      </w:pPr>
      <w:r w:rsidRPr="00902591">
        <w:rPr>
          <w:color w:val="70AD47" w:themeColor="accent6"/>
        </w:rPr>
        <w:t xml:space="preserve">Dilatometric investigation of polymer and FRP samples were made with dilatometer </w:t>
      </w:r>
      <w:proofErr w:type="spellStart"/>
      <w:r w:rsidRPr="00902591">
        <w:rPr>
          <w:color w:val="70AD47" w:themeColor="accent6"/>
        </w:rPr>
        <w:t>Netzsch</w:t>
      </w:r>
      <w:proofErr w:type="spellEnd"/>
      <w:r w:rsidRPr="00902591">
        <w:rPr>
          <w:color w:val="70AD47" w:themeColor="accent6"/>
        </w:rPr>
        <w:t xml:space="preserve"> DIL 402 C (</w:t>
      </w:r>
      <w:r w:rsidR="00F537A7" w:rsidRPr="00902591">
        <w:rPr>
          <w:color w:val="70AD47" w:themeColor="accent6"/>
        </w:rPr>
        <w:t xml:space="preserve">Fig. </w:t>
      </w:r>
      <w:r w:rsidR="002A57D0" w:rsidRPr="00902591">
        <w:rPr>
          <w:color w:val="70AD47" w:themeColor="accent6"/>
        </w:rPr>
        <w:t>1</w:t>
      </w:r>
      <w:r w:rsidRPr="00902591">
        <w:rPr>
          <w:color w:val="70AD47" w:themeColor="accent6"/>
        </w:rPr>
        <w:t>) for CTE of solid materials determination</w:t>
      </w:r>
      <w:r w:rsidR="002A57D0" w:rsidRPr="00902591">
        <w:rPr>
          <w:color w:val="70AD47" w:themeColor="accent6"/>
        </w:rPr>
        <w:t xml:space="preserve"> analogically to previous research [28], but with absolutely new samples, that </w:t>
      </w:r>
      <w:commentRangeStart w:id="4"/>
      <w:r w:rsidR="002A57D0" w:rsidRPr="00902591">
        <w:rPr>
          <w:color w:val="70AD47" w:themeColor="accent6"/>
        </w:rPr>
        <w:t>provided</w:t>
      </w:r>
      <w:commentRangeEnd w:id="4"/>
      <w:r w:rsidR="002A57D0" w:rsidRPr="00902591">
        <w:rPr>
          <w:rStyle w:val="af"/>
          <w:rFonts w:eastAsia="SimSun"/>
          <w:snapToGrid/>
          <w:color w:val="70AD47" w:themeColor="accent6"/>
          <w:lang w:eastAsia="zh-CN" w:bidi="ar-SA"/>
        </w:rPr>
        <w:commentReference w:id="4"/>
      </w:r>
      <w:r w:rsidR="002A57D0" w:rsidRPr="00902591">
        <w:rPr>
          <w:color w:val="70AD47" w:themeColor="accent6"/>
        </w:rPr>
        <w:t xml:space="preserve"> the elasticity and TE testing from the same series’ samples</w:t>
      </w:r>
      <w:r w:rsidRPr="00902591">
        <w:rPr>
          <w:color w:val="70AD47" w:themeColor="accent6"/>
        </w:rPr>
        <w:t xml:space="preserve">. </w:t>
      </w:r>
    </w:p>
    <w:p w14:paraId="20985615" w14:textId="77777777" w:rsidR="00A11FE0" w:rsidRPr="00C14FB0" w:rsidRDefault="00A11FE0" w:rsidP="00C14FB0">
      <w:pPr>
        <w:pStyle w:val="MDPI31text"/>
      </w:pPr>
      <w:proofErr w:type="spellStart"/>
      <w:r w:rsidRPr="00C14FB0">
        <w:t>Netzsch</w:t>
      </w:r>
      <w:proofErr w:type="spellEnd"/>
      <w:r w:rsidRPr="00C14FB0">
        <w:t xml:space="preserve"> DIL 402 C technical characteristics:</w:t>
      </w:r>
    </w:p>
    <w:p w14:paraId="0F2B3574" w14:textId="5F972F2E" w:rsidR="00A11FE0" w:rsidRPr="00C14FB0" w:rsidRDefault="00A11FE0" w:rsidP="00C14FB0">
      <w:pPr>
        <w:pStyle w:val="MDPI31text"/>
        <w:numPr>
          <w:ilvl w:val="0"/>
          <w:numId w:val="25"/>
        </w:numPr>
      </w:pPr>
      <w:r w:rsidRPr="00C14FB0">
        <w:t>Temperature range: 20</w:t>
      </w:r>
      <w:r w:rsidR="00C07DFE" w:rsidRPr="004014F7">
        <w:rPr>
          <w:color w:val="FF0000"/>
        </w:rPr>
        <w:t>–</w:t>
      </w:r>
      <w:r w:rsidRPr="00C14FB0">
        <w:t>1500°C</w:t>
      </w:r>
      <w:r w:rsidR="00C07DFE">
        <w:t xml:space="preserve"> </w:t>
      </w:r>
    </w:p>
    <w:p w14:paraId="07AE641B" w14:textId="084F280A" w:rsidR="00A11FE0" w:rsidRPr="00C14FB0" w:rsidRDefault="00A11FE0" w:rsidP="00C14FB0">
      <w:pPr>
        <w:pStyle w:val="MDPI31text"/>
        <w:numPr>
          <w:ilvl w:val="0"/>
          <w:numId w:val="25"/>
        </w:numPr>
      </w:pPr>
      <w:r w:rsidRPr="00C14FB0">
        <w:t xml:space="preserve">Colding and heating intensity: 0.01 </w:t>
      </w:r>
      <w:r w:rsidR="009D6BB0" w:rsidRPr="004014F7">
        <w:rPr>
          <w:color w:val="FF0000"/>
        </w:rPr>
        <w:t>°C</w:t>
      </w:r>
      <w:r w:rsidR="009D6BB0" w:rsidRPr="00C14FB0">
        <w:t xml:space="preserve"> </w:t>
      </w:r>
      <w:r w:rsidRPr="00C14FB0">
        <w:t xml:space="preserve">/min </w:t>
      </w:r>
      <w:r w:rsidR="00C07DFE" w:rsidRPr="004014F7">
        <w:rPr>
          <w:color w:val="FF0000"/>
        </w:rPr>
        <w:t>–</w:t>
      </w:r>
      <w:r w:rsidR="00C07DFE">
        <w:t xml:space="preserve"> </w:t>
      </w:r>
      <w:r w:rsidRPr="00C14FB0">
        <w:t xml:space="preserve">50 </w:t>
      </w:r>
      <w:commentRangeStart w:id="5"/>
      <w:r w:rsidRPr="004014F7">
        <w:rPr>
          <w:color w:val="000000" w:themeColor="text1"/>
        </w:rPr>
        <w:t>K</w:t>
      </w:r>
      <w:commentRangeEnd w:id="5"/>
      <w:r w:rsidR="00C07DFE" w:rsidRPr="004014F7">
        <w:rPr>
          <w:rStyle w:val="af"/>
          <w:rFonts w:eastAsia="SimSun"/>
          <w:snapToGrid/>
          <w:color w:val="000000" w:themeColor="text1"/>
          <w:lang w:eastAsia="zh-CN" w:bidi="ar-SA"/>
        </w:rPr>
        <w:commentReference w:id="5"/>
      </w:r>
      <w:r w:rsidRPr="00C14FB0">
        <w:t>/min (5 К/min in experiment)</w:t>
      </w:r>
    </w:p>
    <w:p w14:paraId="484325CB" w14:textId="77777777" w:rsidR="00A11FE0" w:rsidRPr="00C14FB0" w:rsidRDefault="00A11FE0" w:rsidP="00C14FB0">
      <w:pPr>
        <w:pStyle w:val="MDPI31text"/>
        <w:numPr>
          <w:ilvl w:val="0"/>
          <w:numId w:val="25"/>
        </w:numPr>
      </w:pPr>
      <w:r w:rsidRPr="00C14FB0">
        <w:t>Etalon: Al2O3</w:t>
      </w:r>
    </w:p>
    <w:p w14:paraId="530DA93F" w14:textId="591B0EA2" w:rsidR="00A11FE0" w:rsidRPr="00C14FB0" w:rsidRDefault="00A11FE0" w:rsidP="00C14FB0">
      <w:pPr>
        <w:pStyle w:val="MDPI31text"/>
        <w:numPr>
          <w:ilvl w:val="0"/>
          <w:numId w:val="25"/>
        </w:numPr>
      </w:pPr>
      <w:r w:rsidRPr="00C14FB0">
        <w:t xml:space="preserve">Linear range: 500 </w:t>
      </w:r>
      <w:commentRangeStart w:id="6"/>
      <w:r w:rsidRPr="00C14FB0">
        <w:t>m</w:t>
      </w:r>
      <w:r w:rsidR="00C07DFE">
        <w:t>c</w:t>
      </w:r>
      <w:r w:rsidR="00C07DFE" w:rsidRPr="004014F7">
        <w:rPr>
          <w:color w:val="FF0000"/>
        </w:rPr>
        <w:t>m</w:t>
      </w:r>
      <w:commentRangeEnd w:id="6"/>
      <w:r w:rsidR="00C07DFE" w:rsidRPr="004014F7">
        <w:rPr>
          <w:rStyle w:val="af"/>
          <w:rFonts w:eastAsia="SimSun"/>
          <w:snapToGrid/>
          <w:color w:val="FF0000"/>
          <w:lang w:eastAsia="zh-CN" w:bidi="ar-SA"/>
        </w:rPr>
        <w:commentReference w:id="6"/>
      </w:r>
    </w:p>
    <w:p w14:paraId="4E22C12F" w14:textId="77777777" w:rsidR="00A11FE0" w:rsidRPr="00C14FB0" w:rsidRDefault="00A11FE0" w:rsidP="00C14FB0">
      <w:pPr>
        <w:pStyle w:val="MDPI31text"/>
        <w:numPr>
          <w:ilvl w:val="0"/>
          <w:numId w:val="25"/>
        </w:numPr>
      </w:pPr>
      <w:r w:rsidRPr="00C14FB0">
        <w:t xml:space="preserve">Sample length: max. 28 mm </w:t>
      </w:r>
    </w:p>
    <w:p w14:paraId="265A061C" w14:textId="77777777" w:rsidR="00A11FE0" w:rsidRPr="00C14FB0" w:rsidRDefault="00A11FE0" w:rsidP="00C14FB0">
      <w:pPr>
        <w:pStyle w:val="MDPI31text"/>
        <w:numPr>
          <w:ilvl w:val="0"/>
          <w:numId w:val="25"/>
        </w:numPr>
      </w:pPr>
      <w:r w:rsidRPr="00C14FB0">
        <w:t>Sample diameter: max. 12 mm</w:t>
      </w:r>
    </w:p>
    <w:p w14:paraId="66A9386F" w14:textId="77777777" w:rsidR="00A11FE0" w:rsidRPr="00C14FB0" w:rsidRDefault="00A11FE0" w:rsidP="00C14FB0">
      <w:pPr>
        <w:pStyle w:val="MDPI31text"/>
        <w:numPr>
          <w:ilvl w:val="0"/>
          <w:numId w:val="25"/>
        </w:numPr>
      </w:pPr>
      <w:r w:rsidRPr="00C14FB0">
        <w:t xml:space="preserve">Expanding </w:t>
      </w:r>
      <w:proofErr w:type="spellStart"/>
      <w:r w:rsidRPr="00C14FB0">
        <w:t>Δl</w:t>
      </w:r>
      <w:proofErr w:type="spellEnd"/>
      <w:r w:rsidRPr="00C14FB0">
        <w:t xml:space="preserve"> accuracy: 0.125 nm</w:t>
      </w:r>
    </w:p>
    <w:p w14:paraId="04E6F97B" w14:textId="77777777" w:rsidR="00A11FE0" w:rsidRPr="00C14FB0" w:rsidRDefault="00A11FE0" w:rsidP="00C14FB0">
      <w:pPr>
        <w:pStyle w:val="MDPI31text"/>
        <w:numPr>
          <w:ilvl w:val="0"/>
          <w:numId w:val="25"/>
        </w:numPr>
      </w:pPr>
      <w:r w:rsidRPr="00C14FB0">
        <w:t>Atmosphere: inertial dynamic argon with gas flowing controller</w:t>
      </w:r>
    </w:p>
    <w:p w14:paraId="2BFDA087" w14:textId="77777777" w:rsidR="00A11FE0" w:rsidRPr="00173E09" w:rsidRDefault="00A11FE0" w:rsidP="00A11FE0">
      <w:pPr>
        <w:shd w:val="clear" w:color="auto" w:fill="FFFFFF"/>
        <w:spacing w:line="360" w:lineRule="auto"/>
        <w:ind w:left="810" w:hanging="886"/>
        <w:rPr>
          <w:rFonts w:ascii="Times New Roman" w:eastAsia="Times New Roman" w:hAnsi="Times New Roman"/>
          <w:lang w:eastAsia="ru-RU"/>
        </w:rPr>
      </w:pPr>
    </w:p>
    <w:p w14:paraId="3C042167" w14:textId="77777777" w:rsidR="00A11FE0" w:rsidRDefault="00A11FE0" w:rsidP="00A11FE0">
      <w:pPr>
        <w:shd w:val="clear" w:color="auto" w:fill="FFFFFF"/>
        <w:jc w:val="center"/>
        <w:rPr>
          <w:rFonts w:ascii="Times New Roman" w:eastAsia="Times New Roman" w:hAnsi="Times New Roman"/>
          <w:sz w:val="28"/>
          <w:szCs w:val="28"/>
          <w:lang w:eastAsia="ru-RU"/>
        </w:rPr>
      </w:pPr>
      <w:r w:rsidRPr="008852A3">
        <w:rPr>
          <w:rFonts w:ascii="Times New Roman" w:hAnsi="Times New Roman"/>
          <w:noProof/>
          <w:sz w:val="28"/>
          <w:szCs w:val="28"/>
          <w:lang w:val="ru-RU" w:eastAsia="ru-RU"/>
        </w:rPr>
        <w:lastRenderedPageBreak/>
        <w:drawing>
          <wp:inline distT="0" distB="0" distL="0" distR="0" wp14:anchorId="59773222" wp14:editId="0F6D68D0">
            <wp:extent cx="3209026" cy="1966595"/>
            <wp:effectExtent l="0" t="0" r="0" b="0"/>
            <wp:docPr id="15" name="Рисунок 15" descr="Изображение выглядит как внутренний, прилавок, ракови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5" descr="Изображение выглядит как внутренний, прилавок, раковина&#10;&#10;Автоматически созданное описание"/>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31357" cy="1980280"/>
                    </a:xfrm>
                    <a:prstGeom prst="rect">
                      <a:avLst/>
                    </a:prstGeom>
                    <a:noFill/>
                    <a:ln>
                      <a:noFill/>
                    </a:ln>
                  </pic:spPr>
                </pic:pic>
              </a:graphicData>
            </a:graphic>
          </wp:inline>
        </w:drawing>
      </w:r>
    </w:p>
    <w:p w14:paraId="05823567" w14:textId="77777777" w:rsidR="00A11FE0" w:rsidRPr="008852A3" w:rsidRDefault="00A11FE0" w:rsidP="00A11FE0">
      <w:pPr>
        <w:shd w:val="clear" w:color="auto" w:fill="FFFFFF"/>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a)</w:t>
      </w:r>
    </w:p>
    <w:p w14:paraId="6F4760BF" w14:textId="2F869679" w:rsidR="00A11FE0" w:rsidRDefault="00A11FE0" w:rsidP="00A11FE0">
      <w:pPr>
        <w:jc w:val="center"/>
        <w:rPr>
          <w:rFonts w:ascii="Times New Roman" w:hAnsi="Times New Roman"/>
          <w:sz w:val="28"/>
          <w:szCs w:val="28"/>
        </w:rPr>
      </w:pPr>
    </w:p>
    <w:p w14:paraId="52EFAD44" w14:textId="77777777" w:rsidR="00A11FE0" w:rsidRPr="009A7043" w:rsidRDefault="00A11FE0" w:rsidP="00FC05E2">
      <w:pPr>
        <w:keepNext/>
        <w:jc w:val="center"/>
        <w:rPr>
          <w:lang w:val="ru-RU"/>
        </w:rPr>
      </w:pPr>
      <w:r w:rsidRPr="008852A3">
        <w:rPr>
          <w:rFonts w:ascii="Times New Roman" w:hAnsi="Times New Roman"/>
          <w:noProof/>
          <w:sz w:val="28"/>
          <w:szCs w:val="28"/>
          <w:lang w:val="ru-RU" w:eastAsia="ru-RU"/>
        </w:rPr>
        <w:drawing>
          <wp:inline distT="0" distB="0" distL="0" distR="0" wp14:anchorId="6B3C7D33" wp14:editId="280FF5AD">
            <wp:extent cx="3303029" cy="1931670"/>
            <wp:effectExtent l="0" t="0" r="0" b="0"/>
            <wp:docPr id="16" name="Рисунок 16" descr="Изображение выглядит как внутренний, сте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descr="Изображение выглядит как внутренний, стена&#10;&#10;Автоматически созданное описание"/>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42160" cy="1954554"/>
                    </a:xfrm>
                    <a:prstGeom prst="rect">
                      <a:avLst/>
                    </a:prstGeom>
                    <a:noFill/>
                    <a:ln>
                      <a:noFill/>
                    </a:ln>
                  </pic:spPr>
                </pic:pic>
              </a:graphicData>
            </a:graphic>
          </wp:inline>
        </w:drawing>
      </w:r>
    </w:p>
    <w:p w14:paraId="4FD6EE8E" w14:textId="4754E9DD" w:rsidR="00A11FE0" w:rsidRPr="00173E09" w:rsidRDefault="00176190" w:rsidP="00A11FE0">
      <w:pPr>
        <w:shd w:val="clear" w:color="auto" w:fill="FFFFFF"/>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b</w:t>
      </w:r>
      <w:r w:rsidR="00A11FE0" w:rsidRPr="00173E09">
        <w:rPr>
          <w:rFonts w:ascii="Times New Roman" w:eastAsia="Times New Roman" w:hAnsi="Times New Roman"/>
          <w:sz w:val="28"/>
          <w:szCs w:val="28"/>
          <w:lang w:eastAsia="ru-RU"/>
        </w:rPr>
        <w:t>)</w:t>
      </w:r>
    </w:p>
    <w:p w14:paraId="038AAA29" w14:textId="182F03E7" w:rsidR="00A11FE0" w:rsidRDefault="0092754E" w:rsidP="00E97174">
      <w:pPr>
        <w:pStyle w:val="MDPI51figurecaption"/>
      </w:pPr>
      <w:r w:rsidRPr="0092754E">
        <w:rPr>
          <w:b/>
        </w:rPr>
        <w:t xml:space="preserve">Figure </w:t>
      </w:r>
      <w:r w:rsidR="000674F9">
        <w:rPr>
          <w:b/>
        </w:rPr>
        <w:t>1</w:t>
      </w:r>
      <w:r w:rsidRPr="0092754E">
        <w:rPr>
          <w:b/>
        </w:rPr>
        <w:t xml:space="preserve">. </w:t>
      </w:r>
      <w:r w:rsidR="00A11FE0" w:rsidRPr="00690892">
        <w:t xml:space="preserve">Dilatometer </w:t>
      </w:r>
      <w:proofErr w:type="spellStart"/>
      <w:r w:rsidR="00A11FE0" w:rsidRPr="00690892">
        <w:t>Netzsch</w:t>
      </w:r>
      <w:proofErr w:type="spellEnd"/>
      <w:r w:rsidR="00A11FE0" w:rsidRPr="00690892">
        <w:t xml:space="preserve"> DIL 402 C а) in process; </w:t>
      </w:r>
      <w:r w:rsidR="00176190">
        <w:t>b</w:t>
      </w:r>
      <w:r w:rsidR="00A11FE0" w:rsidRPr="00690892">
        <w:t>) with sample (brown)</w:t>
      </w:r>
      <w:r>
        <w:t>.</w:t>
      </w:r>
    </w:p>
    <w:p w14:paraId="0A940927" w14:textId="2F0357FE" w:rsidR="00C07DFE" w:rsidRPr="004014F7" w:rsidRDefault="00C07DFE" w:rsidP="00C07DFE">
      <w:pPr>
        <w:pStyle w:val="MDPI31text"/>
        <w:rPr>
          <w:color w:val="FF0000"/>
        </w:rPr>
      </w:pPr>
      <w:r w:rsidRPr="004014F7">
        <w:rPr>
          <w:color w:val="FF0000"/>
        </w:rPr>
        <w:t xml:space="preserve">At Fig. 2 the samples’ installation in dilatometer’s camera is shown. After the installation, the heating and thermal deformations of samples </w:t>
      </w:r>
      <w:commentRangeStart w:id="7"/>
      <w:r w:rsidRPr="004014F7">
        <w:rPr>
          <w:color w:val="FF0000"/>
        </w:rPr>
        <w:t>were</w:t>
      </w:r>
      <w:commentRangeEnd w:id="7"/>
      <w:r w:rsidRPr="004014F7">
        <w:rPr>
          <w:rStyle w:val="af"/>
          <w:rFonts w:eastAsia="SimSun"/>
          <w:snapToGrid/>
          <w:color w:val="FF0000"/>
          <w:lang w:eastAsia="zh-CN" w:bidi="ar-SA"/>
        </w:rPr>
        <w:commentReference w:id="7"/>
      </w:r>
      <w:r w:rsidRPr="004014F7">
        <w:rPr>
          <w:color w:val="FF0000"/>
        </w:rPr>
        <w:t xml:space="preserve"> controlled resulting in “temperature-relative deformation” curves, presented in experimental part.</w:t>
      </w:r>
    </w:p>
    <w:p w14:paraId="79AEA1EF" w14:textId="77777777" w:rsidR="00291658" w:rsidRDefault="0092754E" w:rsidP="00E97174">
      <w:pPr>
        <w:pStyle w:val="MDPI23heading3"/>
      </w:pPr>
      <w:r w:rsidRPr="0092754E">
        <w:t xml:space="preserve">2.2.3. </w:t>
      </w:r>
      <w:r w:rsidR="00291658" w:rsidRPr="00291658">
        <w:t xml:space="preserve">Investigation of elasticity </w:t>
      </w:r>
      <w:r w:rsidR="00291658" w:rsidRPr="006E5CCA">
        <w:t>modulus</w:t>
      </w:r>
      <w:r w:rsidR="00291658" w:rsidRPr="00291658">
        <w:t xml:space="preserve"> </w:t>
      </w:r>
      <w:r w:rsidR="00291658" w:rsidRPr="00E97174">
        <w:t>under</w:t>
      </w:r>
      <w:r w:rsidR="00291658" w:rsidRPr="00291658">
        <w:t xml:space="preserve"> heating </w:t>
      </w:r>
    </w:p>
    <w:p w14:paraId="3B87531F" w14:textId="20D12575" w:rsidR="00291658" w:rsidRPr="006E5CCA" w:rsidRDefault="00291658" w:rsidP="00291658">
      <w:pPr>
        <w:pStyle w:val="MDPI31text"/>
      </w:pPr>
      <w:r w:rsidRPr="005D4E83">
        <w:t xml:space="preserve">Polymer samples were tested for three-point bending on a Tinius Olsen h100ku test machine (Switzerland) in a specially made small-sized chamber that provides heating and maintains the temperature up to 300 °C. Three-point bending tests were carried out according to GOST R 56810-2015 </w:t>
      </w:r>
      <w:sdt>
        <w:sdtPr>
          <w:rPr>
            <w:lang w:val="ru-RU"/>
          </w:rPr>
          <w:tag w:val="MENDELEY_CITATION_v3_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"/>
          <w:id w:val="-779572322"/>
          <w:placeholder>
            <w:docPart w:val="255D060D3A254A4AA2857EA7E0B3B4F1"/>
          </w:placeholder>
        </w:sdtPr>
        <w:sdtContent>
          <w:r w:rsidRPr="00673DAC">
            <w:t>[18]</w:t>
          </w:r>
        </w:sdtContent>
      </w:sdt>
      <w:r w:rsidRPr="005D4E83">
        <w:t xml:space="preserve">. </w:t>
      </w:r>
      <w:r w:rsidRPr="00596F1B">
        <w:t xml:space="preserve">According to the passport data, the load measurement accuracy of the Tinius Olsen h100ku machine is ± 0,5% in the range from 0,2 to 100% of the allowable load of the installed force sensor (100 </w:t>
      </w:r>
      <w:proofErr w:type="spellStart"/>
      <w:r w:rsidRPr="00596F1B">
        <w:t>kN</w:t>
      </w:r>
      <w:proofErr w:type="spellEnd"/>
      <w:r w:rsidRPr="00596F1B">
        <w:t xml:space="preserve">). The crosshead has a resolution of 0.001 mm with an accuracy of 0.01 mm. To eliminate the influence of machine stickiness, the displacement of the specimen center point under load was also controlled by a mechanical watch type indicator mounted under the specimen. The difference in displacement readings on the crosshead and the dial indicator did not exceed 2%. </w:t>
      </w:r>
      <w:r w:rsidRPr="006E5CCA">
        <w:t>The specimens were tested at a span of 70 mm</w:t>
      </w:r>
      <w:r w:rsidR="006E5CCA">
        <w:t xml:space="preserve"> (Fig. </w:t>
      </w:r>
      <w:r w:rsidR="000674F9">
        <w:t>2</w:t>
      </w:r>
      <w:r w:rsidR="006E5CCA">
        <w:t>)</w:t>
      </w:r>
      <w:r w:rsidRPr="006E5CCA">
        <w:t>.</w:t>
      </w:r>
    </w:p>
    <w:p w14:paraId="518CAB7F" w14:textId="77777777" w:rsidR="00291658" w:rsidRDefault="00291658" w:rsidP="00291658">
      <w:pPr>
        <w:keepNext/>
        <w:spacing w:after="120"/>
        <w:ind w:left="2694"/>
        <w:jc w:val="center"/>
      </w:pPr>
      <w:r>
        <w:rPr>
          <w:noProof/>
          <w:lang w:val="ru-RU" w:eastAsia="ru-RU"/>
        </w:rPr>
        <w:lastRenderedPageBreak/>
        <w:drawing>
          <wp:inline distT="0" distB="0" distL="0" distR="0" wp14:anchorId="1F65D514" wp14:editId="20AC334A">
            <wp:extent cx="2214245" cy="870508"/>
            <wp:effectExtent l="0" t="0" r="0" b="0"/>
            <wp:docPr id="19" name="Рисунок 19" descr="Изображение выглядит как текст, футляр&#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6" descr="Изображение выглядит как текст, футляр&#10;&#10;Автоматически созданное описание"/>
                    <pic:cNvPicPr>
                      <a:picLocks noChangeAspect="1" noChangeArrowheads="1"/>
                    </pic:cNvPicPr>
                  </pic:nvPicPr>
                  <pic:blipFill rotWithShape="1">
                    <a:blip r:embed="rId15" cstate="print">
                      <a:extLst>
                        <a:ext uri="{BEBA8EAE-BF5A-486C-A8C5-ECC9F3942E4B}">
                          <a14:imgProps xmlns:a14="http://schemas.microsoft.com/office/drawing/2010/main">
                            <a14:imgLayer r:embed="rId16">
                              <a14:imgEffect>
                                <a14:backgroundRemoval t="2188" b="100000" l="6722" r="97805">
                                  <a14:foregroundMark x1="6996" y1="79375" x2="6996" y2="79375"/>
                                  <a14:foregroundMark x1="37723" y1="26563" x2="37723" y2="26563"/>
                                  <a14:foregroundMark x1="18244" y1="92500" x2="18244" y2="92500"/>
                                  <a14:foregroundMark x1="11248" y1="42500" x2="11248" y2="42500"/>
                                  <a14:foregroundMark x1="96571" y1="80938" x2="96571" y2="80938"/>
                                  <a14:foregroundMark x1="97942" y1="62187" x2="97942" y2="62187"/>
                                  <a14:foregroundMark x1="94650" y1="11563" x2="94650" y2="11563"/>
                                </a14:backgroundRemoval>
                              </a14:imgEffect>
                            </a14:imgLayer>
                          </a14:imgProps>
                        </a:ext>
                        <a:ext uri="{28A0092B-C50C-407E-A947-70E740481C1C}">
                          <a14:useLocalDpi xmlns:a14="http://schemas.microsoft.com/office/drawing/2010/main" val="0"/>
                        </a:ext>
                      </a:extLst>
                    </a:blip>
                    <a:srcRect b="10387"/>
                    <a:stretch/>
                  </pic:blipFill>
                  <pic:spPr bwMode="auto">
                    <a:xfrm>
                      <a:off x="0" y="0"/>
                      <a:ext cx="2243918" cy="882174"/>
                    </a:xfrm>
                    <a:prstGeom prst="rect">
                      <a:avLst/>
                    </a:prstGeom>
                    <a:noFill/>
                    <a:ln>
                      <a:noFill/>
                    </a:ln>
                    <a:extLst>
                      <a:ext uri="{53640926-AAD7-44D8-BBD7-CCE9431645EC}">
                        <a14:shadowObscured xmlns:a14="http://schemas.microsoft.com/office/drawing/2010/main"/>
                      </a:ext>
                    </a:extLst>
                  </pic:spPr>
                </pic:pic>
              </a:graphicData>
            </a:graphic>
          </wp:inline>
        </w:drawing>
      </w:r>
    </w:p>
    <w:p w14:paraId="1C9BFBCF" w14:textId="77777777" w:rsidR="00291658" w:rsidRPr="0030680F" w:rsidRDefault="00291658" w:rsidP="00291658">
      <w:pPr>
        <w:keepNext/>
        <w:spacing w:after="120"/>
        <w:ind w:left="2694"/>
        <w:jc w:val="center"/>
      </w:pPr>
      <w:r w:rsidRPr="0030680F">
        <w:t>(</w:t>
      </w:r>
      <w:r>
        <w:t>a</w:t>
      </w:r>
      <w:r w:rsidRPr="0030680F">
        <w:t>)</w:t>
      </w:r>
    </w:p>
    <w:p w14:paraId="2717F16B" w14:textId="77777777" w:rsidR="00291658" w:rsidRPr="0030680F" w:rsidRDefault="00291658" w:rsidP="00291658">
      <w:pPr>
        <w:keepNext/>
        <w:spacing w:after="120"/>
        <w:ind w:left="2694"/>
        <w:jc w:val="center"/>
      </w:pPr>
      <w:r>
        <w:rPr>
          <w:noProof/>
          <w:lang w:val="ru-RU" w:eastAsia="ru-RU"/>
        </w:rPr>
        <w:drawing>
          <wp:inline distT="0" distB="0" distL="0" distR="0" wp14:anchorId="09385B41" wp14:editId="52117706">
            <wp:extent cx="2283520" cy="3050438"/>
            <wp:effectExtent l="0" t="0" r="2540" b="0"/>
            <wp:docPr id="21" name="Рисунок 21" descr="Изображение выглядит как печь, решетк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Изображение выглядит как печь, решетка&#10;&#10;Автоматически созданное описание"/>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87473" cy="3055719"/>
                    </a:xfrm>
                    <a:prstGeom prst="rect">
                      <a:avLst/>
                    </a:prstGeom>
                    <a:noFill/>
                    <a:ln>
                      <a:noFill/>
                    </a:ln>
                  </pic:spPr>
                </pic:pic>
              </a:graphicData>
            </a:graphic>
          </wp:inline>
        </w:drawing>
      </w:r>
      <w:r w:rsidRPr="0030680F">
        <w:t xml:space="preserve"> </w:t>
      </w:r>
      <w:r>
        <w:rPr>
          <w:noProof/>
          <w:lang w:val="ru-RU" w:eastAsia="ru-RU"/>
        </w:rPr>
        <w:drawing>
          <wp:inline distT="0" distB="0" distL="0" distR="0" wp14:anchorId="030FF3AE" wp14:editId="16040D2A">
            <wp:extent cx="2282288" cy="3043123"/>
            <wp:effectExtent l="0" t="0" r="3810" b="5080"/>
            <wp:docPr id="22" name="Рисунок 22" descr="Изображение выглядит как внутренний, металлический, сталь&#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49" descr="Изображение выглядит как внутренний, металлический, сталь&#10;&#10;Автоматически созданное описание"/>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01153" cy="3068277"/>
                    </a:xfrm>
                    <a:prstGeom prst="rect">
                      <a:avLst/>
                    </a:prstGeom>
                    <a:noFill/>
                    <a:ln>
                      <a:noFill/>
                    </a:ln>
                  </pic:spPr>
                </pic:pic>
              </a:graphicData>
            </a:graphic>
          </wp:inline>
        </w:drawing>
      </w:r>
    </w:p>
    <w:p w14:paraId="5C9558B5" w14:textId="77777777" w:rsidR="00291658" w:rsidRPr="0030680F" w:rsidRDefault="00291658" w:rsidP="00291658">
      <w:pPr>
        <w:keepNext/>
        <w:spacing w:after="120"/>
        <w:ind w:left="2694"/>
        <w:jc w:val="center"/>
      </w:pPr>
      <w:r w:rsidRPr="0030680F">
        <w:t>(</w:t>
      </w:r>
      <w:r>
        <w:t>b</w:t>
      </w:r>
      <w:r w:rsidRPr="0030680F">
        <w:t>)</w:t>
      </w:r>
      <w:r>
        <w:t xml:space="preserve">                         </w:t>
      </w:r>
      <w:proofErr w:type="gramStart"/>
      <w:r>
        <w:t xml:space="preserve">  </w:t>
      </w:r>
      <w:r w:rsidRPr="0030680F">
        <w:t xml:space="preserve"> (</w:t>
      </w:r>
      <w:proofErr w:type="gramEnd"/>
      <w:r>
        <w:t>c</w:t>
      </w:r>
      <w:r w:rsidRPr="0030680F">
        <w:t>)</w:t>
      </w:r>
    </w:p>
    <w:p w14:paraId="6878F27D" w14:textId="52463AAD" w:rsidR="00291658" w:rsidRPr="0030680F" w:rsidRDefault="00291658" w:rsidP="00E97174">
      <w:pPr>
        <w:pStyle w:val="MDPI51figurecaption"/>
      </w:pPr>
      <w:r w:rsidRPr="006E5CCA">
        <w:rPr>
          <w:b/>
          <w:bCs/>
        </w:rPr>
        <w:t xml:space="preserve">Figure </w:t>
      </w:r>
      <w:r w:rsidR="000674F9">
        <w:rPr>
          <w:b/>
          <w:bCs/>
        </w:rPr>
        <w:t>2.</w:t>
      </w:r>
      <w:r w:rsidRPr="0030680F">
        <w:t xml:space="preserve"> Appearance of fiberglass specimens after prolonged exposure at elevated temperatures (a), specimens prepared for exposure (b)</w:t>
      </w:r>
      <w:r>
        <w:t>,</w:t>
      </w:r>
      <w:r w:rsidRPr="0030680F">
        <w:t xml:space="preserve"> and three-point bending process at room temperature (c)</w:t>
      </w:r>
    </w:p>
    <w:p w14:paraId="02FBA458" w14:textId="77777777" w:rsidR="00077D60" w:rsidRPr="001F31D1" w:rsidRDefault="003E33DC" w:rsidP="003E33DC">
      <w:pPr>
        <w:pStyle w:val="MDPI21heading1"/>
      </w:pPr>
      <w:r>
        <w:t xml:space="preserve">3. </w:t>
      </w:r>
      <w:r w:rsidR="00077D60" w:rsidRPr="001F31D1">
        <w:t>Results</w:t>
      </w:r>
    </w:p>
    <w:p w14:paraId="0ADC6BE9" w14:textId="77777777" w:rsidR="005A0734" w:rsidRPr="003E33DC" w:rsidRDefault="003E33DC" w:rsidP="003E33DC">
      <w:pPr>
        <w:pStyle w:val="MDPI22heading2"/>
      </w:pPr>
      <w:r w:rsidRPr="003E33DC">
        <w:t xml:space="preserve">3.1. </w:t>
      </w:r>
      <w:r w:rsidR="005815FB">
        <w:t>Experiment results</w:t>
      </w:r>
    </w:p>
    <w:p w14:paraId="45247601" w14:textId="5A3E801E" w:rsidR="002C508D" w:rsidRPr="00902591" w:rsidRDefault="005A0734" w:rsidP="003E33DC">
      <w:pPr>
        <w:pStyle w:val="MDPI31text"/>
        <w:rPr>
          <w:color w:val="70AD47" w:themeColor="accent6"/>
        </w:rPr>
      </w:pPr>
      <w:r w:rsidRPr="004E2147">
        <w:t>On the base of dilatometric</w:t>
      </w:r>
      <w:r w:rsidR="000E5E69">
        <w:t xml:space="preserve"> and </w:t>
      </w:r>
      <w:proofErr w:type="spellStart"/>
      <w:r w:rsidR="000E5E69">
        <w:t>MoE</w:t>
      </w:r>
      <w:proofErr w:type="spellEnd"/>
      <w:r w:rsidR="000E5E69">
        <w:t xml:space="preserve"> under heating</w:t>
      </w:r>
      <w:r w:rsidRPr="004E2147">
        <w:t xml:space="preserve"> testing of the glassed thermosetting polymers</w:t>
      </w:r>
      <w:r w:rsidR="00A808CD">
        <w:t>, filled composites and FRP</w:t>
      </w:r>
      <w:r w:rsidRPr="004E2147">
        <w:t xml:space="preserve"> samples the thermal expanding</w:t>
      </w:r>
      <w:r w:rsidR="000E5E69">
        <w:t xml:space="preserve"> and </w:t>
      </w:r>
      <w:proofErr w:type="spellStart"/>
      <w:r w:rsidR="000E5E69">
        <w:t>MoE</w:t>
      </w:r>
      <w:proofErr w:type="spellEnd"/>
      <w:r w:rsidRPr="004E2147">
        <w:t xml:space="preserve"> curves depending on heating temperature (to 200</w:t>
      </w:r>
      <w:r w:rsidR="00E33C11">
        <w:t xml:space="preserve"> </w:t>
      </w:r>
      <w:r w:rsidRPr="00E33C11">
        <w:rPr>
          <w:vertAlign w:val="superscript"/>
        </w:rPr>
        <w:t>0</w:t>
      </w:r>
      <w:r w:rsidRPr="004E2147">
        <w:t>С) were figured</w:t>
      </w:r>
      <w:r w:rsidR="002C508D">
        <w:t>,</w:t>
      </w:r>
      <w:r w:rsidRPr="004E2147">
        <w:t xml:space="preserve"> and </w:t>
      </w:r>
      <w:r w:rsidR="002C508D">
        <w:t xml:space="preserve">examples were </w:t>
      </w:r>
      <w:r w:rsidRPr="004E2147">
        <w:t xml:space="preserve">presented at </w:t>
      </w:r>
      <w:r w:rsidR="00A808CD">
        <w:t xml:space="preserve">Fig. </w:t>
      </w:r>
      <w:r w:rsidR="000674F9">
        <w:t>3</w:t>
      </w:r>
      <w:r w:rsidR="00A808CD">
        <w:t xml:space="preserve">, </w:t>
      </w:r>
      <w:r w:rsidR="000674F9">
        <w:t>4</w:t>
      </w:r>
      <w:r w:rsidR="000E5E69">
        <w:t xml:space="preserve">, </w:t>
      </w:r>
      <w:r w:rsidR="000674F9">
        <w:t>5</w:t>
      </w:r>
      <w:r w:rsidR="00EE560F">
        <w:t xml:space="preserve">, </w:t>
      </w:r>
      <w:r w:rsidR="000674F9">
        <w:t>6</w:t>
      </w:r>
      <w:r w:rsidRPr="004E2147">
        <w:t xml:space="preserve">. </w:t>
      </w:r>
      <w:r w:rsidR="006E4DC0">
        <w:t>Examples include the clear epoxy (EP), filled epoxy composite (EP+FA), FRP (EP+T23), and filled epoxy FRP variants</w:t>
      </w:r>
      <w:r w:rsidR="00EE560F">
        <w:t xml:space="preserve"> (EP+T23+FA)</w:t>
      </w:r>
      <w:r w:rsidR="00EE7064">
        <w:t xml:space="preserve"> </w:t>
      </w:r>
      <w:r w:rsidR="00EE7064" w:rsidRPr="00902591">
        <w:rPr>
          <w:color w:val="70AD47" w:themeColor="accent6"/>
        </w:rPr>
        <w:t>before and after thermo-relaxation (TR)</w:t>
      </w:r>
      <w:r w:rsidR="006E4DC0" w:rsidRPr="00902591">
        <w:rPr>
          <w:color w:val="70AD47" w:themeColor="accent6"/>
        </w:rPr>
        <w:t>.</w:t>
      </w:r>
      <w:r w:rsidR="009A7043" w:rsidRPr="00902591">
        <w:rPr>
          <w:color w:val="70AD47" w:themeColor="accent6"/>
        </w:rPr>
        <w:t xml:space="preserve"> Testing of </w:t>
      </w:r>
      <w:proofErr w:type="spellStart"/>
      <w:r w:rsidR="009A7043" w:rsidRPr="00902591">
        <w:rPr>
          <w:color w:val="70AD47" w:themeColor="accent6"/>
        </w:rPr>
        <w:t>MoE</w:t>
      </w:r>
      <w:proofErr w:type="spellEnd"/>
      <w:r w:rsidR="009A7043" w:rsidRPr="00902591">
        <w:rPr>
          <w:color w:val="70AD47" w:themeColor="accent6"/>
        </w:rPr>
        <w:t xml:space="preserve"> and </w:t>
      </w:r>
      <w:proofErr w:type="spellStart"/>
      <w:r w:rsidR="009A7043" w:rsidRPr="00902591">
        <w:rPr>
          <w:color w:val="70AD47" w:themeColor="accent6"/>
        </w:rPr>
        <w:t>CTe</w:t>
      </w:r>
      <w:proofErr w:type="spellEnd"/>
      <w:r w:rsidR="009A7043" w:rsidRPr="00902591">
        <w:rPr>
          <w:color w:val="70AD47" w:themeColor="accent6"/>
        </w:rPr>
        <w:t xml:space="preserve"> included only new samples</w:t>
      </w:r>
      <w:r w:rsidR="0078467F" w:rsidRPr="00902591">
        <w:rPr>
          <w:color w:val="70AD47" w:themeColor="accent6"/>
        </w:rPr>
        <w:t xml:space="preserve"> of one </w:t>
      </w:r>
      <w:commentRangeStart w:id="8"/>
      <w:r w:rsidR="0078467F" w:rsidRPr="00902591">
        <w:rPr>
          <w:color w:val="70AD47" w:themeColor="accent6"/>
        </w:rPr>
        <w:t>series</w:t>
      </w:r>
      <w:commentRangeEnd w:id="8"/>
      <w:r w:rsidR="000674F9" w:rsidRPr="00902591">
        <w:rPr>
          <w:rStyle w:val="af"/>
          <w:rFonts w:eastAsia="SimSun"/>
          <w:snapToGrid/>
          <w:color w:val="70AD47" w:themeColor="accent6"/>
          <w:lang w:eastAsia="zh-CN" w:bidi="ar-SA"/>
        </w:rPr>
        <w:commentReference w:id="8"/>
      </w:r>
      <w:r w:rsidR="009A7043" w:rsidRPr="00902591">
        <w:rPr>
          <w:color w:val="70AD47" w:themeColor="accent6"/>
        </w:rPr>
        <w:t xml:space="preserve"> for experiment clearance </w:t>
      </w:r>
      <w:r w:rsidR="0078467F" w:rsidRPr="00902591">
        <w:rPr>
          <w:color w:val="70AD47" w:themeColor="accent6"/>
        </w:rPr>
        <w:t xml:space="preserve">and modelling of </w:t>
      </w:r>
      <w:proofErr w:type="spellStart"/>
      <w:r w:rsidR="0078467F" w:rsidRPr="00902591">
        <w:rPr>
          <w:color w:val="70AD47" w:themeColor="accent6"/>
        </w:rPr>
        <w:t>MoE-CTe</w:t>
      </w:r>
      <w:proofErr w:type="spellEnd"/>
      <w:r w:rsidR="0078467F" w:rsidRPr="00902591">
        <w:rPr>
          <w:color w:val="70AD47" w:themeColor="accent6"/>
        </w:rPr>
        <w:t xml:space="preserve"> relation adequateness </w:t>
      </w:r>
      <w:r w:rsidR="009A7043" w:rsidRPr="00902591">
        <w:rPr>
          <w:color w:val="70AD47" w:themeColor="accent6"/>
        </w:rPr>
        <w:t>providing</w:t>
      </w:r>
      <w:r w:rsidR="0078467F" w:rsidRPr="00902591">
        <w:rPr>
          <w:color w:val="70AD47" w:themeColor="accent6"/>
        </w:rPr>
        <w:t>.</w:t>
      </w:r>
    </w:p>
    <w:p w14:paraId="22CFE337" w14:textId="77777777" w:rsidR="005A0734" w:rsidRDefault="005A0734" w:rsidP="0067237A">
      <w:pPr>
        <w:pStyle w:val="MDPI31text"/>
        <w:ind w:left="3393" w:firstLine="0"/>
        <w:rPr>
          <w:rFonts w:ascii="Times New Roman" w:hAnsi="Times New Roman"/>
        </w:rPr>
      </w:pP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79"/>
        <w:gridCol w:w="5187"/>
      </w:tblGrid>
      <w:tr w:rsidR="002E3D03" w14:paraId="61E63E77" w14:textId="77777777" w:rsidTr="002E3D03">
        <w:trPr>
          <w:jc w:val="center"/>
        </w:trPr>
        <w:tc>
          <w:tcPr>
            <w:tcW w:w="4971" w:type="dxa"/>
            <w:vAlign w:val="center"/>
          </w:tcPr>
          <w:p w14:paraId="1C4C7DE3" w14:textId="77777777" w:rsidR="0048092B" w:rsidRDefault="00DB31F7" w:rsidP="00DB31F7">
            <w:pPr>
              <w:spacing w:before="240" w:line="360" w:lineRule="auto"/>
              <w:rPr>
                <w:rFonts w:ascii="Times New Roman" w:hAnsi="Times New Roman"/>
              </w:rPr>
            </w:pPr>
            <w:r>
              <w:rPr>
                <w:rFonts w:ascii="Times New Roman" w:hAnsi="Times New Roman"/>
                <w:noProof/>
                <w:lang w:val="ru-RU" w:eastAsia="ru-RU"/>
              </w:rPr>
              <w:lastRenderedPageBreak/>
              <w:drawing>
                <wp:inline distT="0" distB="0" distL="0" distR="0" wp14:anchorId="3479CB85" wp14:editId="3F816DD4">
                  <wp:extent cx="3228242" cy="2538046"/>
                  <wp:effectExtent l="19050" t="0" r="0" b="0"/>
                  <wp:docPr id="5" name="Рисунок 1" descr="D:\19 КОТТЕДЖ\Саша_институт\2022\Баркер\ графики\ графики\EP-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19 КОТТЕДЖ\Саша_институт\2022\Баркер\ графики\ графики\EP-TE.png"/>
                          <pic:cNvPicPr>
                            <a:picLocks noChangeAspect="1" noChangeArrowheads="1"/>
                          </pic:cNvPicPr>
                        </pic:nvPicPr>
                        <pic:blipFill>
                          <a:blip r:embed="rId19" cstate="print"/>
                          <a:srcRect/>
                          <a:stretch>
                            <a:fillRect/>
                          </a:stretch>
                        </pic:blipFill>
                        <pic:spPr bwMode="auto">
                          <a:xfrm>
                            <a:off x="0" y="0"/>
                            <a:ext cx="3234703" cy="2543126"/>
                          </a:xfrm>
                          <a:prstGeom prst="rect">
                            <a:avLst/>
                          </a:prstGeom>
                          <a:noFill/>
                          <a:ln w="9525">
                            <a:noFill/>
                            <a:miter lim="800000"/>
                            <a:headEnd/>
                            <a:tailEnd/>
                          </a:ln>
                        </pic:spPr>
                      </pic:pic>
                    </a:graphicData>
                  </a:graphic>
                </wp:inline>
              </w:drawing>
            </w:r>
          </w:p>
        </w:tc>
        <w:tc>
          <w:tcPr>
            <w:tcW w:w="5495" w:type="dxa"/>
            <w:vAlign w:val="center"/>
          </w:tcPr>
          <w:p w14:paraId="3D863D30" w14:textId="77777777" w:rsidR="0048092B" w:rsidRDefault="007E2867" w:rsidP="00BE1B1F">
            <w:pPr>
              <w:spacing w:before="240" w:line="360" w:lineRule="auto"/>
              <w:jc w:val="center"/>
              <w:rPr>
                <w:rFonts w:ascii="Times New Roman" w:hAnsi="Times New Roman"/>
              </w:rPr>
            </w:pPr>
            <w:r w:rsidRPr="007E2867">
              <w:rPr>
                <w:rFonts w:ascii="Times New Roman" w:hAnsi="Times New Roman"/>
                <w:noProof/>
                <w:lang w:val="ru-RU" w:eastAsia="ru-RU"/>
              </w:rPr>
              <w:drawing>
                <wp:inline distT="0" distB="0" distL="0" distR="0" wp14:anchorId="635F46EA" wp14:editId="3747D921">
                  <wp:extent cx="3053751" cy="2613660"/>
                  <wp:effectExtent l="0" t="0" r="0"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r w:rsidR="002E3D03" w14:paraId="43935490" w14:textId="77777777" w:rsidTr="002E3D03">
        <w:trPr>
          <w:jc w:val="center"/>
        </w:trPr>
        <w:tc>
          <w:tcPr>
            <w:tcW w:w="4971" w:type="dxa"/>
            <w:vAlign w:val="center"/>
          </w:tcPr>
          <w:p w14:paraId="58F747E0" w14:textId="77777777" w:rsidR="0048092B" w:rsidRDefault="0048092B" w:rsidP="0048092B">
            <w:pPr>
              <w:spacing w:before="240" w:line="360" w:lineRule="auto"/>
              <w:jc w:val="center"/>
              <w:rPr>
                <w:rFonts w:ascii="Times New Roman" w:hAnsi="Times New Roman"/>
              </w:rPr>
            </w:pPr>
            <w:r>
              <w:rPr>
                <w:rFonts w:ascii="Times New Roman" w:hAnsi="Times New Roman"/>
              </w:rPr>
              <w:t>a)</w:t>
            </w:r>
          </w:p>
        </w:tc>
        <w:tc>
          <w:tcPr>
            <w:tcW w:w="5495" w:type="dxa"/>
            <w:vAlign w:val="center"/>
          </w:tcPr>
          <w:p w14:paraId="218D44C1" w14:textId="77777777" w:rsidR="0048092B" w:rsidRDefault="0048092B" w:rsidP="0048092B">
            <w:pPr>
              <w:spacing w:before="240" w:line="360" w:lineRule="auto"/>
              <w:jc w:val="center"/>
              <w:rPr>
                <w:rFonts w:ascii="Times New Roman" w:hAnsi="Times New Roman"/>
              </w:rPr>
            </w:pPr>
            <w:r>
              <w:rPr>
                <w:rFonts w:ascii="Times New Roman" w:hAnsi="Times New Roman"/>
              </w:rPr>
              <w:t>b)</w:t>
            </w:r>
          </w:p>
        </w:tc>
      </w:tr>
      <w:tr w:rsidR="002E3D03" w14:paraId="65B0E82F" w14:textId="77777777" w:rsidTr="002E3D03">
        <w:trPr>
          <w:jc w:val="center"/>
        </w:trPr>
        <w:tc>
          <w:tcPr>
            <w:tcW w:w="4971" w:type="dxa"/>
            <w:vAlign w:val="center"/>
          </w:tcPr>
          <w:p w14:paraId="061FF7DA" w14:textId="32958360" w:rsidR="0048092B" w:rsidRPr="002E3D03" w:rsidRDefault="0048092B" w:rsidP="0048092B">
            <w:pPr>
              <w:spacing w:before="240" w:line="360" w:lineRule="auto"/>
              <w:rPr>
                <w:rFonts w:ascii="Times New Roman" w:hAnsi="Times New Roman"/>
                <w:color w:val="FF0000"/>
              </w:rPr>
            </w:pPr>
            <w:r w:rsidRPr="002E3D03">
              <w:rPr>
                <w:rFonts w:ascii="Times New Roman" w:hAnsi="Times New Roman"/>
                <w:noProof/>
                <w:color w:val="FF0000"/>
                <w:lang w:val="ru-RU" w:eastAsia="ru-RU"/>
              </w:rPr>
              <w:drawing>
                <wp:inline distT="0" distB="0" distL="0" distR="0" wp14:anchorId="30823AD9" wp14:editId="7EB941FA">
                  <wp:extent cx="3227705" cy="2717800"/>
                  <wp:effectExtent l="0" t="0" r="0" b="0"/>
                  <wp:docPr id="38" name="Рисунок 2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21" descr="Chart, line chart&#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227628" cy="2717735"/>
                          </a:xfrm>
                          <a:prstGeom prst="rect">
                            <a:avLst/>
                          </a:prstGeom>
                        </pic:spPr>
                      </pic:pic>
                    </a:graphicData>
                  </a:graphic>
                </wp:inline>
              </w:drawing>
            </w:r>
            <w:r w:rsidR="00561915">
              <w:rPr>
                <w:noProof/>
              </w:rPr>
              <w:t xml:space="preserve"> </w:t>
            </w:r>
          </w:p>
        </w:tc>
        <w:tc>
          <w:tcPr>
            <w:tcW w:w="5495" w:type="dxa"/>
            <w:vAlign w:val="center"/>
          </w:tcPr>
          <w:p w14:paraId="13740A04" w14:textId="750DC515" w:rsidR="0048092B" w:rsidRPr="002E3D03" w:rsidRDefault="00561915" w:rsidP="0048092B">
            <w:pPr>
              <w:spacing w:before="240" w:line="360" w:lineRule="auto"/>
              <w:rPr>
                <w:rFonts w:ascii="Times New Roman" w:hAnsi="Times New Roman"/>
                <w:color w:val="FF0000"/>
              </w:rPr>
            </w:pPr>
            <w:r>
              <w:rPr>
                <w:noProof/>
              </w:rPr>
              <w:drawing>
                <wp:inline distT="0" distB="0" distL="0" distR="0" wp14:anchorId="2C4EBAA7" wp14:editId="7AE15B3E">
                  <wp:extent cx="3188335" cy="2611767"/>
                  <wp:effectExtent l="0" t="0" r="0" b="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r w:rsidR="002E3D03" w14:paraId="7AA1A3FF" w14:textId="77777777" w:rsidTr="002E3D03">
        <w:trPr>
          <w:jc w:val="center"/>
        </w:trPr>
        <w:tc>
          <w:tcPr>
            <w:tcW w:w="4971" w:type="dxa"/>
            <w:vAlign w:val="center"/>
          </w:tcPr>
          <w:p w14:paraId="4EC83DC6" w14:textId="77777777" w:rsidR="0048092B" w:rsidRPr="00561915" w:rsidRDefault="0048092B" w:rsidP="0048092B">
            <w:pPr>
              <w:spacing w:before="240" w:line="360" w:lineRule="auto"/>
              <w:jc w:val="center"/>
              <w:rPr>
                <w:rFonts w:ascii="Times New Roman" w:hAnsi="Times New Roman"/>
                <w:color w:val="auto"/>
              </w:rPr>
            </w:pPr>
            <w:r w:rsidRPr="00561915">
              <w:rPr>
                <w:rFonts w:ascii="Times New Roman" w:hAnsi="Times New Roman"/>
                <w:color w:val="auto"/>
              </w:rPr>
              <w:t>c)</w:t>
            </w:r>
          </w:p>
        </w:tc>
        <w:tc>
          <w:tcPr>
            <w:tcW w:w="5495" w:type="dxa"/>
            <w:vAlign w:val="center"/>
          </w:tcPr>
          <w:p w14:paraId="72F6A194" w14:textId="77777777" w:rsidR="0048092B" w:rsidRPr="00561915" w:rsidRDefault="0048092B" w:rsidP="0048092B">
            <w:pPr>
              <w:spacing w:before="240" w:line="360" w:lineRule="auto"/>
              <w:jc w:val="center"/>
              <w:rPr>
                <w:rFonts w:ascii="Times New Roman" w:hAnsi="Times New Roman"/>
                <w:color w:val="auto"/>
              </w:rPr>
            </w:pPr>
            <w:r w:rsidRPr="00561915">
              <w:rPr>
                <w:rFonts w:ascii="Times New Roman" w:hAnsi="Times New Roman"/>
                <w:color w:val="auto"/>
              </w:rPr>
              <w:t>d)</w:t>
            </w:r>
          </w:p>
        </w:tc>
      </w:tr>
    </w:tbl>
    <w:p w14:paraId="261D69F2" w14:textId="6A595278" w:rsidR="005A0734" w:rsidRPr="00F34BC1" w:rsidRDefault="0048092B" w:rsidP="0048092B">
      <w:pPr>
        <w:pStyle w:val="MDPI51figurecaption"/>
        <w:ind w:left="0"/>
      </w:pPr>
      <w:r w:rsidRPr="0048092B">
        <w:rPr>
          <w:b/>
        </w:rPr>
        <w:t xml:space="preserve">Figure </w:t>
      </w:r>
      <w:r w:rsidR="000674F9">
        <w:rPr>
          <w:b/>
        </w:rPr>
        <w:t>3</w:t>
      </w:r>
      <w:r w:rsidRPr="0048092B">
        <w:rPr>
          <w:b/>
        </w:rPr>
        <w:t xml:space="preserve">. </w:t>
      </w:r>
      <w:r w:rsidR="005A0734" w:rsidRPr="00F34BC1">
        <w:t>Thermal expanding</w:t>
      </w:r>
      <w:r w:rsidR="002C508D">
        <w:t xml:space="preserve"> and </w:t>
      </w:r>
      <w:commentRangeStart w:id="9"/>
      <w:proofErr w:type="spellStart"/>
      <w:r w:rsidR="002C508D">
        <w:t>MoE</w:t>
      </w:r>
      <w:commentRangeEnd w:id="9"/>
      <w:proofErr w:type="spellEnd"/>
      <w:r w:rsidR="00787804">
        <w:rPr>
          <w:rStyle w:val="af"/>
          <w:rFonts w:eastAsia="SimSun"/>
          <w:lang w:eastAsia="zh-CN" w:bidi="ar-SA"/>
        </w:rPr>
        <w:commentReference w:id="9"/>
      </w:r>
      <w:r w:rsidR="002C508D">
        <w:t xml:space="preserve"> under heating</w:t>
      </w:r>
      <w:r w:rsidR="005A0734" w:rsidRPr="00F34BC1">
        <w:t xml:space="preserve"> curves</w:t>
      </w:r>
      <w:r w:rsidR="00F34BC1" w:rsidRPr="00107B29">
        <w:t>:</w:t>
      </w:r>
      <w:r>
        <w:t xml:space="preserve"> </w:t>
      </w:r>
      <w:r w:rsidR="005A0734" w:rsidRPr="00F34BC1">
        <w:t xml:space="preserve">a) </w:t>
      </w:r>
      <w:r w:rsidR="002C508D">
        <w:t xml:space="preserve">TE of </w:t>
      </w:r>
      <w:r w:rsidR="005A0734" w:rsidRPr="00F34BC1">
        <w:t xml:space="preserve">EP, b) </w:t>
      </w:r>
      <w:r w:rsidR="002C508D">
        <w:t xml:space="preserve">TE of </w:t>
      </w:r>
      <w:r w:rsidR="005A0734" w:rsidRPr="00F34BC1">
        <w:t xml:space="preserve">EP after T-relax, c) </w:t>
      </w:r>
      <w:proofErr w:type="spellStart"/>
      <w:r w:rsidR="002C508D">
        <w:t>MoE</w:t>
      </w:r>
      <w:proofErr w:type="spellEnd"/>
      <w:r w:rsidR="002C508D">
        <w:t xml:space="preserve"> of EP</w:t>
      </w:r>
      <w:r w:rsidR="005A0734" w:rsidRPr="00F34BC1">
        <w:t xml:space="preserve">, d) </w:t>
      </w:r>
      <w:proofErr w:type="spellStart"/>
      <w:r w:rsidR="002C508D">
        <w:t>MoE</w:t>
      </w:r>
      <w:proofErr w:type="spellEnd"/>
      <w:r w:rsidR="002C508D">
        <w:t xml:space="preserve"> of EP</w:t>
      </w:r>
      <w:r w:rsidR="005A0734" w:rsidRPr="00F34BC1">
        <w:t xml:space="preserve"> after </w:t>
      </w:r>
      <w:r w:rsidR="005A0734" w:rsidRPr="004014F7">
        <w:rPr>
          <w:color w:val="FF0000"/>
        </w:rPr>
        <w:t>T</w:t>
      </w:r>
      <w:r w:rsidR="00EE7064" w:rsidRPr="004014F7">
        <w:rPr>
          <w:color w:val="FF0000"/>
        </w:rPr>
        <w:t>R</w:t>
      </w:r>
      <w:r w:rsidR="005A0734" w:rsidRPr="00F34BC1">
        <w:t>.</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4"/>
        <w:gridCol w:w="5152"/>
      </w:tblGrid>
      <w:tr w:rsidR="002E3D03" w14:paraId="718B7825" w14:textId="77777777" w:rsidTr="002E3D03">
        <w:trPr>
          <w:jc w:val="center"/>
        </w:trPr>
        <w:tc>
          <w:tcPr>
            <w:tcW w:w="4971" w:type="dxa"/>
            <w:vAlign w:val="center"/>
          </w:tcPr>
          <w:p w14:paraId="51762994" w14:textId="77777777" w:rsidR="002E3D03" w:rsidRDefault="00DB31F7" w:rsidP="00561915">
            <w:pPr>
              <w:spacing w:before="240" w:line="360" w:lineRule="auto"/>
              <w:jc w:val="center"/>
              <w:rPr>
                <w:rFonts w:ascii="Times New Roman" w:hAnsi="Times New Roman"/>
              </w:rPr>
            </w:pPr>
            <w:r>
              <w:rPr>
                <w:rFonts w:ascii="Times New Roman" w:hAnsi="Times New Roman"/>
                <w:noProof/>
                <w:lang w:val="ru-RU" w:eastAsia="ru-RU"/>
              </w:rPr>
              <w:lastRenderedPageBreak/>
              <w:drawing>
                <wp:inline distT="0" distB="0" distL="0" distR="0" wp14:anchorId="69934BAD" wp14:editId="52CB1CEA">
                  <wp:extent cx="3216519" cy="2567353"/>
                  <wp:effectExtent l="19050" t="0" r="2931" b="0"/>
                  <wp:docPr id="10" name="Рисунок 2" descr="D:\19 КОТТЕДЖ\Саша_институт\2022\Баркер\ графики\ графики\EP+F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19 КОТТЕДЖ\Саша_институт\2022\Баркер\ графики\ графики\EP+FA-TE.png"/>
                          <pic:cNvPicPr>
                            <a:picLocks noChangeAspect="1" noChangeArrowheads="1"/>
                          </pic:cNvPicPr>
                        </pic:nvPicPr>
                        <pic:blipFill>
                          <a:blip r:embed="rId23" cstate="print"/>
                          <a:srcRect/>
                          <a:stretch>
                            <a:fillRect/>
                          </a:stretch>
                        </pic:blipFill>
                        <pic:spPr bwMode="auto">
                          <a:xfrm>
                            <a:off x="0" y="0"/>
                            <a:ext cx="3213662" cy="2565072"/>
                          </a:xfrm>
                          <a:prstGeom prst="rect">
                            <a:avLst/>
                          </a:prstGeom>
                          <a:noFill/>
                          <a:ln w="9525">
                            <a:noFill/>
                            <a:miter lim="800000"/>
                            <a:headEnd/>
                            <a:tailEnd/>
                          </a:ln>
                        </pic:spPr>
                      </pic:pic>
                    </a:graphicData>
                  </a:graphic>
                </wp:inline>
              </w:drawing>
            </w:r>
          </w:p>
        </w:tc>
        <w:tc>
          <w:tcPr>
            <w:tcW w:w="5495" w:type="dxa"/>
            <w:vAlign w:val="center"/>
          </w:tcPr>
          <w:p w14:paraId="3D25E33D" w14:textId="692B0ED0" w:rsidR="002E3D03" w:rsidRDefault="0095407F" w:rsidP="00561915">
            <w:pPr>
              <w:spacing w:before="240" w:line="360" w:lineRule="auto"/>
              <w:jc w:val="center"/>
              <w:rPr>
                <w:rFonts w:ascii="Times New Roman" w:hAnsi="Times New Roman"/>
              </w:rPr>
            </w:pPr>
            <w:r w:rsidRPr="007E2867">
              <w:rPr>
                <w:rFonts w:ascii="Times New Roman" w:hAnsi="Times New Roman"/>
                <w:noProof/>
                <w:color w:val="FF0000"/>
                <w:lang w:val="ru-RU" w:eastAsia="ru-RU"/>
              </w:rPr>
              <w:drawing>
                <wp:inline distT="0" distB="0" distL="0" distR="0" wp14:anchorId="33E439D3" wp14:editId="35196998">
                  <wp:extent cx="3229707" cy="2760784"/>
                  <wp:effectExtent l="0" t="0" r="0" b="0"/>
                  <wp:docPr id="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r w:rsidR="002E3D03" w14:paraId="7AD3AD1D" w14:textId="77777777" w:rsidTr="002E3D03">
        <w:trPr>
          <w:jc w:val="center"/>
        </w:trPr>
        <w:tc>
          <w:tcPr>
            <w:tcW w:w="4971" w:type="dxa"/>
            <w:vAlign w:val="center"/>
          </w:tcPr>
          <w:p w14:paraId="0E8D0D3E" w14:textId="77777777" w:rsidR="002E3D03" w:rsidRDefault="002E3D03" w:rsidP="002E3D03">
            <w:pPr>
              <w:spacing w:before="240" w:line="360" w:lineRule="auto"/>
              <w:jc w:val="center"/>
              <w:rPr>
                <w:rFonts w:ascii="Times New Roman" w:hAnsi="Times New Roman"/>
              </w:rPr>
            </w:pPr>
            <w:r>
              <w:rPr>
                <w:rFonts w:ascii="Times New Roman" w:hAnsi="Times New Roman"/>
              </w:rPr>
              <w:t>a)</w:t>
            </w:r>
          </w:p>
        </w:tc>
        <w:tc>
          <w:tcPr>
            <w:tcW w:w="5495" w:type="dxa"/>
            <w:vAlign w:val="center"/>
          </w:tcPr>
          <w:p w14:paraId="5441C948" w14:textId="77777777" w:rsidR="002E3D03" w:rsidRDefault="002E3D03" w:rsidP="00561915">
            <w:pPr>
              <w:spacing w:before="240" w:line="360" w:lineRule="auto"/>
              <w:jc w:val="center"/>
              <w:rPr>
                <w:rFonts w:ascii="Times New Roman" w:hAnsi="Times New Roman"/>
              </w:rPr>
            </w:pPr>
            <w:r>
              <w:rPr>
                <w:rFonts w:ascii="Times New Roman" w:hAnsi="Times New Roman"/>
              </w:rPr>
              <w:t>b)</w:t>
            </w:r>
          </w:p>
        </w:tc>
      </w:tr>
      <w:tr w:rsidR="002E3D03" w14:paraId="0BEBDB9B" w14:textId="77777777" w:rsidTr="002E3D03">
        <w:trPr>
          <w:jc w:val="center"/>
        </w:trPr>
        <w:tc>
          <w:tcPr>
            <w:tcW w:w="4971" w:type="dxa"/>
            <w:vAlign w:val="center"/>
          </w:tcPr>
          <w:p w14:paraId="25A52933" w14:textId="77777777" w:rsidR="002E3D03" w:rsidRDefault="002E3D03" w:rsidP="00561915">
            <w:pPr>
              <w:spacing w:before="240" w:line="360" w:lineRule="auto"/>
              <w:jc w:val="center"/>
              <w:rPr>
                <w:rFonts w:ascii="Times New Roman" w:hAnsi="Times New Roman"/>
              </w:rPr>
            </w:pPr>
            <w:r>
              <w:rPr>
                <w:rFonts w:ascii="Times New Roman" w:hAnsi="Times New Roman"/>
                <w:noProof/>
                <w:lang w:val="ru-RU" w:eastAsia="ru-RU"/>
              </w:rPr>
              <w:drawing>
                <wp:inline distT="0" distB="0" distL="0" distR="0" wp14:anchorId="7F0EF6E4" wp14:editId="7C228FEC">
                  <wp:extent cx="3316165" cy="2672861"/>
                  <wp:effectExtent l="19050" t="0" r="0" b="0"/>
                  <wp:docPr id="23" name="Рисунок 2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21" descr="Chart, line chart&#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365161" cy="2712352"/>
                          </a:xfrm>
                          <a:prstGeom prst="rect">
                            <a:avLst/>
                          </a:prstGeom>
                        </pic:spPr>
                      </pic:pic>
                    </a:graphicData>
                  </a:graphic>
                </wp:inline>
              </w:drawing>
            </w:r>
          </w:p>
        </w:tc>
        <w:tc>
          <w:tcPr>
            <w:tcW w:w="5495" w:type="dxa"/>
            <w:vAlign w:val="center"/>
          </w:tcPr>
          <w:p w14:paraId="4C2A4026" w14:textId="5B58A596" w:rsidR="002E3D03" w:rsidRDefault="0095407F" w:rsidP="00561915">
            <w:pPr>
              <w:spacing w:before="240" w:line="360" w:lineRule="auto"/>
              <w:jc w:val="center"/>
              <w:rPr>
                <w:rFonts w:ascii="Times New Roman" w:hAnsi="Times New Roman"/>
              </w:rPr>
            </w:pPr>
            <w:r w:rsidRPr="007E2867">
              <w:rPr>
                <w:rFonts w:ascii="Times New Roman" w:hAnsi="Times New Roman"/>
                <w:noProof/>
                <w:lang w:val="ru-RU" w:eastAsia="ru-RU"/>
              </w:rPr>
              <w:drawing>
                <wp:inline distT="0" distB="0" distL="0" distR="0" wp14:anchorId="72D55E0E" wp14:editId="22CC57FC">
                  <wp:extent cx="3188677" cy="2620108"/>
                  <wp:effectExtent l="0" t="0" r="0" b="0"/>
                  <wp:docPr id="17"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r w:rsidR="002E3D03" w14:paraId="1C5ED92A" w14:textId="77777777" w:rsidTr="002E3D03">
        <w:trPr>
          <w:jc w:val="center"/>
        </w:trPr>
        <w:tc>
          <w:tcPr>
            <w:tcW w:w="4971" w:type="dxa"/>
            <w:vAlign w:val="center"/>
          </w:tcPr>
          <w:p w14:paraId="72548F10" w14:textId="77777777" w:rsidR="002E3D03" w:rsidRPr="00561915" w:rsidRDefault="002E3D03" w:rsidP="002E3D03">
            <w:pPr>
              <w:spacing w:before="240" w:line="360" w:lineRule="auto"/>
              <w:jc w:val="center"/>
              <w:rPr>
                <w:rFonts w:ascii="Times New Roman" w:hAnsi="Times New Roman"/>
                <w:color w:val="auto"/>
              </w:rPr>
            </w:pPr>
            <w:r w:rsidRPr="00561915">
              <w:rPr>
                <w:rFonts w:ascii="Times New Roman" w:hAnsi="Times New Roman"/>
                <w:color w:val="auto"/>
              </w:rPr>
              <w:t>c)</w:t>
            </w:r>
          </w:p>
        </w:tc>
        <w:tc>
          <w:tcPr>
            <w:tcW w:w="5495" w:type="dxa"/>
            <w:vAlign w:val="center"/>
          </w:tcPr>
          <w:p w14:paraId="31015D23" w14:textId="77777777" w:rsidR="002E3D03" w:rsidRPr="00561915" w:rsidRDefault="002E3D03" w:rsidP="00561915">
            <w:pPr>
              <w:spacing w:before="240" w:line="360" w:lineRule="auto"/>
              <w:jc w:val="center"/>
              <w:rPr>
                <w:rFonts w:ascii="Times New Roman" w:hAnsi="Times New Roman"/>
                <w:color w:val="auto"/>
              </w:rPr>
            </w:pPr>
            <w:r w:rsidRPr="00561915">
              <w:rPr>
                <w:rFonts w:ascii="Times New Roman" w:hAnsi="Times New Roman"/>
                <w:color w:val="auto"/>
              </w:rPr>
              <w:t>d)</w:t>
            </w:r>
          </w:p>
        </w:tc>
      </w:tr>
    </w:tbl>
    <w:p w14:paraId="7DBDE4BD" w14:textId="6BA0912B" w:rsidR="002E3D03" w:rsidRPr="00F34BC1" w:rsidRDefault="002E3D03" w:rsidP="002E3D03">
      <w:pPr>
        <w:pStyle w:val="MDPI51figurecaption"/>
        <w:ind w:left="0"/>
      </w:pPr>
      <w:r w:rsidRPr="0048092B">
        <w:rPr>
          <w:b/>
        </w:rPr>
        <w:t xml:space="preserve">Figure </w:t>
      </w:r>
      <w:r w:rsidR="000674F9">
        <w:rPr>
          <w:b/>
        </w:rPr>
        <w:t>4</w:t>
      </w:r>
      <w:r w:rsidRPr="0048092B">
        <w:rPr>
          <w:b/>
        </w:rPr>
        <w:t xml:space="preserve">. </w:t>
      </w:r>
      <w:r w:rsidRPr="00F34BC1">
        <w:t>Thermal expanding</w:t>
      </w:r>
      <w:r>
        <w:t xml:space="preserve"> and </w:t>
      </w:r>
      <w:proofErr w:type="spellStart"/>
      <w:r>
        <w:t>MoE</w:t>
      </w:r>
      <w:proofErr w:type="spellEnd"/>
      <w:r>
        <w:t xml:space="preserve"> under heating</w:t>
      </w:r>
      <w:r w:rsidRPr="00F34BC1">
        <w:t xml:space="preserve"> curves</w:t>
      </w:r>
      <w:r w:rsidRPr="00107B29">
        <w:t>:</w:t>
      </w:r>
      <w:r>
        <w:t xml:space="preserve"> </w:t>
      </w:r>
      <w:r w:rsidRPr="00F34BC1">
        <w:t xml:space="preserve">a) </w:t>
      </w:r>
      <w:r>
        <w:t xml:space="preserve">TE of </w:t>
      </w:r>
      <w:r w:rsidRPr="00F34BC1">
        <w:t>EP</w:t>
      </w:r>
      <w:r>
        <w:t>+FA</w:t>
      </w:r>
      <w:r w:rsidRPr="00F34BC1">
        <w:t xml:space="preserve">, b) </w:t>
      </w:r>
      <w:r>
        <w:t xml:space="preserve">TE of </w:t>
      </w:r>
      <w:r w:rsidRPr="00F34BC1">
        <w:t>EP</w:t>
      </w:r>
      <w:r>
        <w:t>+FA</w:t>
      </w:r>
      <w:r w:rsidRPr="00F34BC1">
        <w:t xml:space="preserve"> after T-relax, c) </w:t>
      </w:r>
      <w:proofErr w:type="spellStart"/>
      <w:r>
        <w:t>MoE</w:t>
      </w:r>
      <w:proofErr w:type="spellEnd"/>
      <w:r>
        <w:t xml:space="preserve"> of EP+FA</w:t>
      </w:r>
      <w:r w:rsidRPr="00F34BC1">
        <w:t xml:space="preserve">, d) </w:t>
      </w:r>
      <w:proofErr w:type="spellStart"/>
      <w:r>
        <w:t>MoE</w:t>
      </w:r>
      <w:proofErr w:type="spellEnd"/>
      <w:r>
        <w:t xml:space="preserve"> of EP+FA</w:t>
      </w:r>
      <w:r w:rsidRPr="00F34BC1">
        <w:t xml:space="preserve"> after </w:t>
      </w:r>
      <w:r w:rsidRPr="004014F7">
        <w:rPr>
          <w:color w:val="FF0000"/>
        </w:rPr>
        <w:t>T</w:t>
      </w:r>
      <w:r w:rsidR="00EE7064" w:rsidRPr="004014F7">
        <w:rPr>
          <w:color w:val="FF0000"/>
        </w:rPr>
        <w:t>R</w:t>
      </w:r>
      <w:r w:rsidRPr="00F34BC1">
        <w:t>.</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43"/>
        <w:gridCol w:w="5023"/>
      </w:tblGrid>
      <w:tr w:rsidR="008E3A5A" w14:paraId="58EF3C3F" w14:textId="77777777" w:rsidTr="00AC5BA3">
        <w:trPr>
          <w:jc w:val="center"/>
        </w:trPr>
        <w:tc>
          <w:tcPr>
            <w:tcW w:w="4971" w:type="dxa"/>
            <w:vAlign w:val="center"/>
          </w:tcPr>
          <w:p w14:paraId="78FD279C" w14:textId="77777777" w:rsidR="008E3A5A" w:rsidRDefault="00DB31F7" w:rsidP="00DB31F7">
            <w:pPr>
              <w:spacing w:before="240" w:line="360" w:lineRule="auto"/>
              <w:rPr>
                <w:rFonts w:ascii="Times New Roman" w:hAnsi="Times New Roman"/>
              </w:rPr>
            </w:pPr>
            <w:r>
              <w:rPr>
                <w:rFonts w:ascii="Times New Roman" w:hAnsi="Times New Roman"/>
                <w:noProof/>
                <w:lang w:val="ru-RU" w:eastAsia="ru-RU"/>
              </w:rPr>
              <w:lastRenderedPageBreak/>
              <w:drawing>
                <wp:inline distT="0" distB="0" distL="0" distR="0" wp14:anchorId="2D36452C" wp14:editId="16088646">
                  <wp:extent cx="3439258" cy="2419290"/>
                  <wp:effectExtent l="19050" t="0" r="8792" b="0"/>
                  <wp:docPr id="13" name="Рисунок 3" descr="D:\19 КОТТЕДЖ\Саша_институт\2022\Баркер\ графики\ графики\EP+T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9 КОТТЕДЖ\Саша_институт\2022\Баркер\ графики\ графики\EP+T23.png"/>
                          <pic:cNvPicPr>
                            <a:picLocks noChangeAspect="1" noChangeArrowheads="1"/>
                          </pic:cNvPicPr>
                        </pic:nvPicPr>
                        <pic:blipFill>
                          <a:blip r:embed="rId26" cstate="print"/>
                          <a:srcRect/>
                          <a:stretch>
                            <a:fillRect/>
                          </a:stretch>
                        </pic:blipFill>
                        <pic:spPr bwMode="auto">
                          <a:xfrm>
                            <a:off x="0" y="0"/>
                            <a:ext cx="3436749" cy="2417525"/>
                          </a:xfrm>
                          <a:prstGeom prst="rect">
                            <a:avLst/>
                          </a:prstGeom>
                          <a:noFill/>
                          <a:ln w="9525">
                            <a:noFill/>
                            <a:miter lim="800000"/>
                            <a:headEnd/>
                            <a:tailEnd/>
                          </a:ln>
                        </pic:spPr>
                      </pic:pic>
                    </a:graphicData>
                  </a:graphic>
                </wp:inline>
              </w:drawing>
            </w:r>
          </w:p>
        </w:tc>
        <w:tc>
          <w:tcPr>
            <w:tcW w:w="5495" w:type="dxa"/>
            <w:vAlign w:val="center"/>
          </w:tcPr>
          <w:p w14:paraId="22E57CBE" w14:textId="710B89E8" w:rsidR="008E3A5A" w:rsidRDefault="0095407F" w:rsidP="00987D57">
            <w:pPr>
              <w:spacing w:before="240" w:line="360" w:lineRule="auto"/>
              <w:jc w:val="right"/>
              <w:rPr>
                <w:rFonts w:ascii="Times New Roman" w:hAnsi="Times New Roman"/>
              </w:rPr>
            </w:pPr>
            <w:r w:rsidRPr="007E2867">
              <w:rPr>
                <w:rFonts w:ascii="Times New Roman" w:hAnsi="Times New Roman"/>
                <w:noProof/>
                <w:lang w:val="ru-RU" w:eastAsia="ru-RU"/>
              </w:rPr>
              <w:drawing>
                <wp:inline distT="0" distB="0" distL="0" distR="0" wp14:anchorId="62B6764D" wp14:editId="24728FBF">
                  <wp:extent cx="3188677" cy="2497016"/>
                  <wp:effectExtent l="0" t="0" r="0" b="0"/>
                  <wp:docPr id="9"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r w:rsidR="008E3A5A" w14:paraId="2D650051" w14:textId="77777777" w:rsidTr="00AC5BA3">
        <w:trPr>
          <w:jc w:val="center"/>
        </w:trPr>
        <w:tc>
          <w:tcPr>
            <w:tcW w:w="4971" w:type="dxa"/>
            <w:vAlign w:val="center"/>
          </w:tcPr>
          <w:p w14:paraId="6CE711B4" w14:textId="77777777" w:rsidR="008E3A5A" w:rsidRDefault="008E3A5A" w:rsidP="00AC5BA3">
            <w:pPr>
              <w:spacing w:before="240" w:line="360" w:lineRule="auto"/>
              <w:jc w:val="center"/>
              <w:rPr>
                <w:rFonts w:ascii="Times New Roman" w:hAnsi="Times New Roman"/>
              </w:rPr>
            </w:pPr>
            <w:r>
              <w:rPr>
                <w:rFonts w:ascii="Times New Roman" w:hAnsi="Times New Roman"/>
              </w:rPr>
              <w:t>a)</w:t>
            </w:r>
          </w:p>
        </w:tc>
        <w:tc>
          <w:tcPr>
            <w:tcW w:w="5495" w:type="dxa"/>
            <w:vAlign w:val="center"/>
          </w:tcPr>
          <w:p w14:paraId="779F17E7" w14:textId="77777777" w:rsidR="008E3A5A" w:rsidRDefault="008E3A5A" w:rsidP="00AC5BA3">
            <w:pPr>
              <w:spacing w:before="240" w:line="360" w:lineRule="auto"/>
              <w:jc w:val="center"/>
              <w:rPr>
                <w:rFonts w:ascii="Times New Roman" w:hAnsi="Times New Roman"/>
              </w:rPr>
            </w:pPr>
            <w:r>
              <w:rPr>
                <w:rFonts w:ascii="Times New Roman" w:hAnsi="Times New Roman"/>
              </w:rPr>
              <w:t>b)</w:t>
            </w:r>
          </w:p>
        </w:tc>
      </w:tr>
      <w:tr w:rsidR="008E3A5A" w14:paraId="0F37CE91" w14:textId="77777777" w:rsidTr="007E2867">
        <w:trPr>
          <w:trHeight w:val="4568"/>
          <w:jc w:val="center"/>
        </w:trPr>
        <w:tc>
          <w:tcPr>
            <w:tcW w:w="4971" w:type="dxa"/>
            <w:vAlign w:val="center"/>
          </w:tcPr>
          <w:p w14:paraId="16C9DF99" w14:textId="77777777" w:rsidR="008E3A5A" w:rsidRDefault="008E3A5A" w:rsidP="00AC5BA3">
            <w:pPr>
              <w:spacing w:before="240" w:line="360" w:lineRule="auto"/>
              <w:rPr>
                <w:rFonts w:ascii="Times New Roman" w:hAnsi="Times New Roman"/>
              </w:rPr>
            </w:pPr>
            <w:r>
              <w:rPr>
                <w:rFonts w:ascii="Times New Roman" w:hAnsi="Times New Roman"/>
                <w:noProof/>
                <w:lang w:val="ru-RU" w:eastAsia="ru-RU"/>
              </w:rPr>
              <w:drawing>
                <wp:inline distT="0" distB="0" distL="0" distR="0" wp14:anchorId="3A2C0B0D" wp14:editId="46B0B515">
                  <wp:extent cx="3403704" cy="2634096"/>
                  <wp:effectExtent l="19050" t="0" r="6246" b="0"/>
                  <wp:docPr id="53" name="Рисунок 2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21" descr="Chart, line chart&#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450380" cy="2670218"/>
                          </a:xfrm>
                          <a:prstGeom prst="rect">
                            <a:avLst/>
                          </a:prstGeom>
                        </pic:spPr>
                      </pic:pic>
                    </a:graphicData>
                  </a:graphic>
                </wp:inline>
              </w:drawing>
            </w:r>
          </w:p>
        </w:tc>
        <w:tc>
          <w:tcPr>
            <w:tcW w:w="5495" w:type="dxa"/>
            <w:vAlign w:val="center"/>
          </w:tcPr>
          <w:p w14:paraId="59939E96" w14:textId="50E6F7F0" w:rsidR="008E3A5A" w:rsidRDefault="0095407F" w:rsidP="00AC5BA3">
            <w:pPr>
              <w:spacing w:before="240" w:line="360" w:lineRule="auto"/>
              <w:rPr>
                <w:rFonts w:ascii="Times New Roman" w:hAnsi="Times New Roman"/>
              </w:rPr>
            </w:pPr>
            <w:r w:rsidRPr="007E2867">
              <w:rPr>
                <w:rFonts w:ascii="Times New Roman" w:hAnsi="Times New Roman"/>
                <w:noProof/>
                <w:lang w:val="ru-RU" w:eastAsia="ru-RU"/>
              </w:rPr>
              <w:drawing>
                <wp:inline distT="0" distB="0" distL="0" distR="0" wp14:anchorId="47C2905F" wp14:editId="40183664">
                  <wp:extent cx="3188677" cy="2543908"/>
                  <wp:effectExtent l="0" t="0" r="0" b="0"/>
                  <wp:docPr id="18"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r w:rsidR="008E3A5A" w14:paraId="3661DE15" w14:textId="77777777" w:rsidTr="00AC5BA3">
        <w:trPr>
          <w:jc w:val="center"/>
        </w:trPr>
        <w:tc>
          <w:tcPr>
            <w:tcW w:w="4971" w:type="dxa"/>
            <w:vAlign w:val="center"/>
          </w:tcPr>
          <w:p w14:paraId="6AFC3DA1" w14:textId="77777777" w:rsidR="008E3A5A" w:rsidRPr="00561915" w:rsidRDefault="008E3A5A" w:rsidP="00AC5BA3">
            <w:pPr>
              <w:spacing w:before="240" w:line="360" w:lineRule="auto"/>
              <w:jc w:val="center"/>
              <w:rPr>
                <w:rFonts w:ascii="Times New Roman" w:hAnsi="Times New Roman"/>
                <w:color w:val="auto"/>
              </w:rPr>
            </w:pPr>
            <w:r w:rsidRPr="00561915">
              <w:rPr>
                <w:rFonts w:ascii="Times New Roman" w:hAnsi="Times New Roman"/>
                <w:color w:val="auto"/>
              </w:rPr>
              <w:t>c)</w:t>
            </w:r>
          </w:p>
        </w:tc>
        <w:tc>
          <w:tcPr>
            <w:tcW w:w="5495" w:type="dxa"/>
            <w:vAlign w:val="center"/>
          </w:tcPr>
          <w:p w14:paraId="69D54917" w14:textId="77777777" w:rsidR="008E3A5A" w:rsidRPr="00561915" w:rsidRDefault="008E3A5A" w:rsidP="00AC5BA3">
            <w:pPr>
              <w:spacing w:before="240" w:line="360" w:lineRule="auto"/>
              <w:jc w:val="center"/>
              <w:rPr>
                <w:rFonts w:ascii="Times New Roman" w:hAnsi="Times New Roman"/>
                <w:color w:val="auto"/>
              </w:rPr>
            </w:pPr>
            <w:r w:rsidRPr="00561915">
              <w:rPr>
                <w:rFonts w:ascii="Times New Roman" w:hAnsi="Times New Roman"/>
                <w:color w:val="auto"/>
              </w:rPr>
              <w:t>d)</w:t>
            </w:r>
          </w:p>
        </w:tc>
      </w:tr>
    </w:tbl>
    <w:p w14:paraId="6391A697" w14:textId="6DC478D0" w:rsidR="008E3A5A" w:rsidRPr="00F34BC1" w:rsidRDefault="008E3A5A" w:rsidP="008E3A5A">
      <w:pPr>
        <w:pStyle w:val="MDPI51figurecaption"/>
        <w:ind w:left="0"/>
      </w:pPr>
      <w:r w:rsidRPr="0048092B">
        <w:rPr>
          <w:b/>
        </w:rPr>
        <w:t xml:space="preserve">Figure </w:t>
      </w:r>
      <w:r w:rsidR="000674F9">
        <w:rPr>
          <w:b/>
        </w:rPr>
        <w:t>5</w:t>
      </w:r>
      <w:r w:rsidRPr="0048092B">
        <w:rPr>
          <w:b/>
        </w:rPr>
        <w:t xml:space="preserve">. </w:t>
      </w:r>
      <w:r w:rsidRPr="00F34BC1">
        <w:t>Thermal expanding</w:t>
      </w:r>
      <w:r>
        <w:t xml:space="preserve"> and </w:t>
      </w:r>
      <w:proofErr w:type="spellStart"/>
      <w:r>
        <w:t>MoE</w:t>
      </w:r>
      <w:proofErr w:type="spellEnd"/>
      <w:r>
        <w:t xml:space="preserve"> under heating</w:t>
      </w:r>
      <w:r w:rsidRPr="00F34BC1">
        <w:t xml:space="preserve"> curves</w:t>
      </w:r>
      <w:r w:rsidRPr="00107B29">
        <w:t>:</w:t>
      </w:r>
      <w:r>
        <w:t xml:space="preserve"> </w:t>
      </w:r>
      <w:r w:rsidRPr="00F34BC1">
        <w:t xml:space="preserve">a) </w:t>
      </w:r>
      <w:r>
        <w:t xml:space="preserve">TE of </w:t>
      </w:r>
      <w:r w:rsidRPr="00F34BC1">
        <w:t>EP</w:t>
      </w:r>
      <w:r>
        <w:t>+T23</w:t>
      </w:r>
      <w:r w:rsidRPr="00F34BC1">
        <w:t xml:space="preserve">, b) </w:t>
      </w:r>
      <w:r>
        <w:t xml:space="preserve">TE of </w:t>
      </w:r>
      <w:r w:rsidRPr="00F34BC1">
        <w:t>EP</w:t>
      </w:r>
      <w:r>
        <w:t>+T23</w:t>
      </w:r>
      <w:r w:rsidRPr="00F34BC1">
        <w:t xml:space="preserve"> after T-relax, c) </w:t>
      </w:r>
      <w:proofErr w:type="spellStart"/>
      <w:r>
        <w:t>MoE</w:t>
      </w:r>
      <w:proofErr w:type="spellEnd"/>
      <w:r>
        <w:t xml:space="preserve"> of EP+T23</w:t>
      </w:r>
      <w:r w:rsidRPr="00F34BC1">
        <w:t xml:space="preserve">, d) </w:t>
      </w:r>
      <w:proofErr w:type="spellStart"/>
      <w:r>
        <w:t>MoE</w:t>
      </w:r>
      <w:proofErr w:type="spellEnd"/>
      <w:r>
        <w:t xml:space="preserve"> of EP+T23</w:t>
      </w:r>
      <w:r w:rsidRPr="00F34BC1">
        <w:t xml:space="preserve"> after </w:t>
      </w:r>
      <w:r w:rsidRPr="004014F7">
        <w:rPr>
          <w:color w:val="FF0000"/>
        </w:rPr>
        <w:t>T</w:t>
      </w:r>
      <w:r w:rsidR="00EE7064" w:rsidRPr="004014F7">
        <w:rPr>
          <w:color w:val="FF0000"/>
        </w:rPr>
        <w:t>R</w:t>
      </w:r>
      <w:r w:rsidRPr="00F34BC1">
        <w:t>.</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30"/>
        <w:gridCol w:w="5136"/>
      </w:tblGrid>
      <w:tr w:rsidR="0037639A" w14:paraId="44ABE9FC" w14:textId="77777777" w:rsidTr="00AC5BA3">
        <w:trPr>
          <w:jc w:val="center"/>
        </w:trPr>
        <w:tc>
          <w:tcPr>
            <w:tcW w:w="4971" w:type="dxa"/>
            <w:vAlign w:val="center"/>
          </w:tcPr>
          <w:p w14:paraId="65B0DC53" w14:textId="77777777" w:rsidR="008E3A5A" w:rsidRDefault="00DB31F7" w:rsidP="00DB31F7">
            <w:pPr>
              <w:spacing w:before="240" w:line="360" w:lineRule="auto"/>
              <w:rPr>
                <w:rFonts w:ascii="Times New Roman" w:hAnsi="Times New Roman"/>
              </w:rPr>
            </w:pPr>
            <w:r>
              <w:rPr>
                <w:rFonts w:ascii="Times New Roman" w:hAnsi="Times New Roman"/>
                <w:noProof/>
                <w:lang w:val="ru-RU" w:eastAsia="ru-RU"/>
              </w:rPr>
              <w:lastRenderedPageBreak/>
              <w:drawing>
                <wp:inline distT="0" distB="0" distL="0" distR="0" wp14:anchorId="00EBB896" wp14:editId="6E150C8F">
                  <wp:extent cx="3286858" cy="2614246"/>
                  <wp:effectExtent l="19050" t="0" r="8792" b="0"/>
                  <wp:docPr id="20" name="Рисунок 4" descr="D:\19 КОТТЕДЖ\Саша_институт\2022\Баркер\ графики\ графики\EP+FA+T23-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19 КОТТЕДЖ\Саша_институт\2022\Баркер\ графики\ графики\EP+FA+T23-TE.png"/>
                          <pic:cNvPicPr>
                            <a:picLocks noChangeAspect="1" noChangeArrowheads="1"/>
                          </pic:cNvPicPr>
                        </pic:nvPicPr>
                        <pic:blipFill>
                          <a:blip r:embed="rId29" cstate="print"/>
                          <a:srcRect/>
                          <a:stretch>
                            <a:fillRect/>
                          </a:stretch>
                        </pic:blipFill>
                        <pic:spPr bwMode="auto">
                          <a:xfrm>
                            <a:off x="0" y="0"/>
                            <a:ext cx="3292013" cy="2618346"/>
                          </a:xfrm>
                          <a:prstGeom prst="rect">
                            <a:avLst/>
                          </a:prstGeom>
                          <a:noFill/>
                          <a:ln w="9525">
                            <a:noFill/>
                            <a:miter lim="800000"/>
                            <a:headEnd/>
                            <a:tailEnd/>
                          </a:ln>
                        </pic:spPr>
                      </pic:pic>
                    </a:graphicData>
                  </a:graphic>
                </wp:inline>
              </w:drawing>
            </w:r>
          </w:p>
        </w:tc>
        <w:tc>
          <w:tcPr>
            <w:tcW w:w="5495" w:type="dxa"/>
            <w:vAlign w:val="center"/>
          </w:tcPr>
          <w:p w14:paraId="4D014474" w14:textId="7650E450" w:rsidR="008E3A5A" w:rsidRDefault="0095407F" w:rsidP="00987D57">
            <w:pPr>
              <w:spacing w:before="240" w:line="360" w:lineRule="auto"/>
              <w:jc w:val="right"/>
              <w:rPr>
                <w:rFonts w:ascii="Times New Roman" w:hAnsi="Times New Roman"/>
              </w:rPr>
            </w:pPr>
            <w:r w:rsidRPr="007E2867">
              <w:rPr>
                <w:rFonts w:ascii="Times New Roman" w:hAnsi="Times New Roman"/>
                <w:noProof/>
                <w:lang w:val="ru-RU" w:eastAsia="ru-RU"/>
              </w:rPr>
              <w:drawing>
                <wp:inline distT="0" distB="0" distL="0" distR="0" wp14:anchorId="1853D191" wp14:editId="7FBC0471">
                  <wp:extent cx="3188677" cy="2725616"/>
                  <wp:effectExtent l="0" t="0" r="0" b="0"/>
                  <wp:docPr id="1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r>
      <w:tr w:rsidR="0037639A" w14:paraId="090CF349" w14:textId="77777777" w:rsidTr="00AC5BA3">
        <w:trPr>
          <w:jc w:val="center"/>
        </w:trPr>
        <w:tc>
          <w:tcPr>
            <w:tcW w:w="4971" w:type="dxa"/>
            <w:vAlign w:val="center"/>
          </w:tcPr>
          <w:p w14:paraId="123C4C34" w14:textId="77777777" w:rsidR="008E3A5A" w:rsidRDefault="008E3A5A" w:rsidP="00AC5BA3">
            <w:pPr>
              <w:spacing w:before="240" w:line="360" w:lineRule="auto"/>
              <w:jc w:val="center"/>
              <w:rPr>
                <w:rFonts w:ascii="Times New Roman" w:hAnsi="Times New Roman"/>
              </w:rPr>
            </w:pPr>
            <w:r>
              <w:rPr>
                <w:rFonts w:ascii="Times New Roman" w:hAnsi="Times New Roman"/>
              </w:rPr>
              <w:t>a)</w:t>
            </w:r>
          </w:p>
        </w:tc>
        <w:tc>
          <w:tcPr>
            <w:tcW w:w="5495" w:type="dxa"/>
            <w:vAlign w:val="center"/>
          </w:tcPr>
          <w:p w14:paraId="2E4430B2" w14:textId="77777777" w:rsidR="008E3A5A" w:rsidRDefault="008E3A5A" w:rsidP="00AC5BA3">
            <w:pPr>
              <w:spacing w:before="240" w:line="360" w:lineRule="auto"/>
              <w:jc w:val="center"/>
              <w:rPr>
                <w:rFonts w:ascii="Times New Roman" w:hAnsi="Times New Roman"/>
              </w:rPr>
            </w:pPr>
            <w:r>
              <w:rPr>
                <w:rFonts w:ascii="Times New Roman" w:hAnsi="Times New Roman"/>
              </w:rPr>
              <w:t>b)</w:t>
            </w:r>
          </w:p>
        </w:tc>
      </w:tr>
      <w:tr w:rsidR="0037639A" w14:paraId="4E845B66" w14:textId="77777777" w:rsidTr="00AC5BA3">
        <w:trPr>
          <w:jc w:val="center"/>
        </w:trPr>
        <w:tc>
          <w:tcPr>
            <w:tcW w:w="4971" w:type="dxa"/>
            <w:vAlign w:val="center"/>
          </w:tcPr>
          <w:p w14:paraId="50DDEA18" w14:textId="77777777" w:rsidR="008E3A5A" w:rsidRDefault="008E3A5A" w:rsidP="00AC5BA3">
            <w:pPr>
              <w:spacing w:before="240" w:line="360" w:lineRule="auto"/>
              <w:rPr>
                <w:rFonts w:ascii="Times New Roman" w:hAnsi="Times New Roman"/>
              </w:rPr>
            </w:pPr>
            <w:r>
              <w:rPr>
                <w:rFonts w:ascii="Times New Roman" w:hAnsi="Times New Roman"/>
                <w:noProof/>
                <w:lang w:val="ru-RU" w:eastAsia="ru-RU"/>
              </w:rPr>
              <w:drawing>
                <wp:inline distT="0" distB="0" distL="0" distR="0" wp14:anchorId="189E5760" wp14:editId="0D8AB1F4">
                  <wp:extent cx="3245827" cy="2778369"/>
                  <wp:effectExtent l="19050" t="0" r="0" b="0"/>
                  <wp:docPr id="59" name="Рисунок 2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21" descr="Chart, line chart&#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287247" cy="2813824"/>
                          </a:xfrm>
                          <a:prstGeom prst="rect">
                            <a:avLst/>
                          </a:prstGeom>
                        </pic:spPr>
                      </pic:pic>
                    </a:graphicData>
                  </a:graphic>
                </wp:inline>
              </w:drawing>
            </w:r>
          </w:p>
        </w:tc>
        <w:tc>
          <w:tcPr>
            <w:tcW w:w="5495" w:type="dxa"/>
            <w:vAlign w:val="center"/>
          </w:tcPr>
          <w:p w14:paraId="6C6A8BDC" w14:textId="77777777" w:rsidR="008E3A5A" w:rsidRDefault="005E5472" w:rsidP="00AC5BA3">
            <w:pPr>
              <w:spacing w:before="240" w:line="360" w:lineRule="auto"/>
              <w:rPr>
                <w:rFonts w:ascii="Times New Roman" w:hAnsi="Times New Roman"/>
              </w:rPr>
            </w:pPr>
            <w:r w:rsidRPr="005E5472">
              <w:rPr>
                <w:rFonts w:ascii="Times New Roman" w:hAnsi="Times New Roman"/>
                <w:noProof/>
                <w:lang w:val="ru-RU" w:eastAsia="ru-RU"/>
              </w:rPr>
              <w:drawing>
                <wp:inline distT="0" distB="0" distL="0" distR="0" wp14:anchorId="1CD99A56" wp14:editId="63028DA9">
                  <wp:extent cx="3188677" cy="2625969"/>
                  <wp:effectExtent l="0" t="0" r="0" b="0"/>
                  <wp:docPr id="24"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r w:rsidR="0037639A" w14:paraId="352F0E18" w14:textId="77777777" w:rsidTr="00AC5BA3">
        <w:trPr>
          <w:jc w:val="center"/>
        </w:trPr>
        <w:tc>
          <w:tcPr>
            <w:tcW w:w="4971" w:type="dxa"/>
            <w:vAlign w:val="center"/>
          </w:tcPr>
          <w:p w14:paraId="46B34839" w14:textId="77777777" w:rsidR="008E3A5A" w:rsidRPr="00561915" w:rsidRDefault="008E3A5A" w:rsidP="00AC5BA3">
            <w:pPr>
              <w:spacing w:before="240" w:line="360" w:lineRule="auto"/>
              <w:jc w:val="center"/>
              <w:rPr>
                <w:rFonts w:ascii="Times New Roman" w:hAnsi="Times New Roman"/>
                <w:color w:val="auto"/>
              </w:rPr>
            </w:pPr>
            <w:r w:rsidRPr="00561915">
              <w:rPr>
                <w:rFonts w:ascii="Times New Roman" w:hAnsi="Times New Roman"/>
                <w:color w:val="auto"/>
              </w:rPr>
              <w:t>c)</w:t>
            </w:r>
          </w:p>
        </w:tc>
        <w:tc>
          <w:tcPr>
            <w:tcW w:w="5495" w:type="dxa"/>
            <w:vAlign w:val="center"/>
          </w:tcPr>
          <w:p w14:paraId="66E68952" w14:textId="77777777" w:rsidR="008E3A5A" w:rsidRPr="00561915" w:rsidRDefault="008E3A5A" w:rsidP="00AC5BA3">
            <w:pPr>
              <w:spacing w:before="240" w:line="360" w:lineRule="auto"/>
              <w:jc w:val="center"/>
              <w:rPr>
                <w:rFonts w:ascii="Times New Roman" w:hAnsi="Times New Roman"/>
                <w:color w:val="auto"/>
              </w:rPr>
            </w:pPr>
            <w:r w:rsidRPr="00561915">
              <w:rPr>
                <w:rFonts w:ascii="Times New Roman" w:hAnsi="Times New Roman"/>
                <w:color w:val="auto"/>
              </w:rPr>
              <w:t>d)</w:t>
            </w:r>
          </w:p>
        </w:tc>
      </w:tr>
    </w:tbl>
    <w:p w14:paraId="693C797F" w14:textId="30462B46" w:rsidR="008E3A5A" w:rsidRPr="00F34BC1" w:rsidRDefault="008E3A5A" w:rsidP="008E3A5A">
      <w:pPr>
        <w:pStyle w:val="MDPI51figurecaption"/>
        <w:ind w:left="0"/>
      </w:pPr>
      <w:r w:rsidRPr="0048092B">
        <w:rPr>
          <w:b/>
        </w:rPr>
        <w:t xml:space="preserve">Figure </w:t>
      </w:r>
      <w:r w:rsidR="000674F9">
        <w:rPr>
          <w:b/>
        </w:rPr>
        <w:t>6</w:t>
      </w:r>
      <w:r w:rsidRPr="0048092B">
        <w:rPr>
          <w:b/>
        </w:rPr>
        <w:t xml:space="preserve">. </w:t>
      </w:r>
      <w:r w:rsidRPr="00F34BC1">
        <w:t>Thermal expanding</w:t>
      </w:r>
      <w:r>
        <w:t xml:space="preserve"> and </w:t>
      </w:r>
      <w:proofErr w:type="spellStart"/>
      <w:r>
        <w:t>MoE</w:t>
      </w:r>
      <w:proofErr w:type="spellEnd"/>
      <w:r>
        <w:t xml:space="preserve"> under heating</w:t>
      </w:r>
      <w:r w:rsidRPr="00F34BC1">
        <w:t xml:space="preserve"> curves</w:t>
      </w:r>
      <w:r w:rsidRPr="00107B29">
        <w:t>:</w:t>
      </w:r>
      <w:r>
        <w:t xml:space="preserve"> </w:t>
      </w:r>
      <w:r w:rsidRPr="00F34BC1">
        <w:t xml:space="preserve">a) </w:t>
      </w:r>
      <w:r>
        <w:t xml:space="preserve">TE of </w:t>
      </w:r>
      <w:r w:rsidRPr="00F34BC1">
        <w:t>EP</w:t>
      </w:r>
      <w:r>
        <w:t>+T23+FA</w:t>
      </w:r>
      <w:r w:rsidRPr="00F34BC1">
        <w:t xml:space="preserve">, b) </w:t>
      </w:r>
      <w:r>
        <w:t xml:space="preserve">TE of </w:t>
      </w:r>
      <w:r w:rsidRPr="00F34BC1">
        <w:t>EP</w:t>
      </w:r>
      <w:r>
        <w:t>+T23+FA</w:t>
      </w:r>
      <w:r w:rsidRPr="00F34BC1">
        <w:t xml:space="preserve"> after T-relax, c) </w:t>
      </w:r>
      <w:proofErr w:type="spellStart"/>
      <w:r>
        <w:t>MoE</w:t>
      </w:r>
      <w:proofErr w:type="spellEnd"/>
      <w:r>
        <w:t xml:space="preserve"> of EP+T23+FA</w:t>
      </w:r>
      <w:r w:rsidRPr="00F34BC1">
        <w:t xml:space="preserve">, d) </w:t>
      </w:r>
      <w:proofErr w:type="spellStart"/>
      <w:r>
        <w:t>MoE</w:t>
      </w:r>
      <w:proofErr w:type="spellEnd"/>
      <w:r>
        <w:t xml:space="preserve"> of EP+T23+FA</w:t>
      </w:r>
      <w:r w:rsidRPr="00F34BC1">
        <w:t xml:space="preserve"> after </w:t>
      </w:r>
      <w:r w:rsidRPr="004014F7">
        <w:rPr>
          <w:color w:val="FF0000"/>
        </w:rPr>
        <w:t>T</w:t>
      </w:r>
      <w:r w:rsidR="00EE7064" w:rsidRPr="004014F7">
        <w:rPr>
          <w:color w:val="FF0000"/>
        </w:rPr>
        <w:t>R</w:t>
      </w:r>
      <w:r w:rsidRPr="00F34BC1">
        <w:t>.</w:t>
      </w:r>
    </w:p>
    <w:p w14:paraId="500DE19D" w14:textId="77777777" w:rsidR="002E3D03" w:rsidRDefault="002E3D03" w:rsidP="002C508D">
      <w:pPr>
        <w:pStyle w:val="MDPI31text"/>
      </w:pPr>
    </w:p>
    <w:p w14:paraId="3F953421" w14:textId="193F111B" w:rsidR="002C508D" w:rsidRPr="004E2147" w:rsidRDefault="002C508D" w:rsidP="002C508D">
      <w:pPr>
        <w:pStyle w:val="MDPI31text"/>
      </w:pPr>
      <w:r>
        <w:t>These results repeated and confirmed previous researches</w:t>
      </w:r>
      <w:r w:rsidR="00787804">
        <w:t xml:space="preserve"> </w:t>
      </w:r>
      <w:r w:rsidR="00787804" w:rsidRPr="004014F7">
        <w:rPr>
          <w:color w:val="FF0000"/>
        </w:rPr>
        <w:t>[27-</w:t>
      </w:r>
      <w:commentRangeStart w:id="10"/>
      <w:r w:rsidR="00787804" w:rsidRPr="004014F7">
        <w:rPr>
          <w:color w:val="FF0000"/>
        </w:rPr>
        <w:t>28</w:t>
      </w:r>
      <w:commentRangeEnd w:id="10"/>
      <w:r w:rsidR="00787804" w:rsidRPr="004014F7">
        <w:rPr>
          <w:rStyle w:val="af"/>
          <w:rFonts w:eastAsia="SimSun"/>
          <w:snapToGrid/>
          <w:color w:val="FF0000"/>
          <w:lang w:eastAsia="zh-CN" w:bidi="ar-SA"/>
        </w:rPr>
        <w:commentReference w:id="10"/>
      </w:r>
      <w:r w:rsidR="00787804" w:rsidRPr="004014F7">
        <w:rPr>
          <w:color w:val="FF0000"/>
        </w:rPr>
        <w:t>]</w:t>
      </w:r>
      <w:r>
        <w:t xml:space="preserve"> and basic conclusions</w:t>
      </w:r>
      <w:r w:rsidRPr="004E2147">
        <w:t>:</w:t>
      </w:r>
    </w:p>
    <w:p w14:paraId="59FDA5A3" w14:textId="520567E3" w:rsidR="002C508D" w:rsidRPr="004E2147" w:rsidRDefault="002C508D" w:rsidP="002C508D">
      <w:pPr>
        <w:pStyle w:val="MDPI37itemize"/>
        <w:numPr>
          <w:ilvl w:val="0"/>
          <w:numId w:val="35"/>
        </w:numPr>
      </w:pPr>
      <w:r>
        <w:t>T</w:t>
      </w:r>
      <w:r w:rsidRPr="004E2147">
        <w:t>he</w:t>
      </w:r>
      <w:r>
        <w:t xml:space="preserve"> polymers’</w:t>
      </w:r>
      <w:r w:rsidRPr="004E2147">
        <w:t xml:space="preserve"> </w:t>
      </w:r>
      <w:r>
        <w:t xml:space="preserve">glassing temperature </w:t>
      </w:r>
      <w:proofErr w:type="spellStart"/>
      <w:r>
        <w:t>Tg</w:t>
      </w:r>
      <w:proofErr w:type="spellEnd"/>
      <w:r>
        <w:t xml:space="preserve"> can be determined using dilatation method by breaking point of thermal expansion </w:t>
      </w:r>
      <w:r w:rsidRPr="004E2147">
        <w:t>(TE)</w:t>
      </w:r>
      <w:r>
        <w:t xml:space="preserve"> where non-linear TE</w:t>
      </w:r>
      <w:r w:rsidR="005E211E">
        <w:t>,</w:t>
      </w:r>
      <w:r>
        <w:t xml:space="preserve"> with increasing CTE</w:t>
      </w:r>
      <w:r w:rsidR="005E211E">
        <w:t>,</w:t>
      </w:r>
      <w:r>
        <w:t xml:space="preserve"> becomes linear with constant CTE</w:t>
      </w:r>
      <w:r w:rsidR="005E211E">
        <w:t>.</w:t>
      </w:r>
    </w:p>
    <w:p w14:paraId="72C83B46" w14:textId="5335E58E" w:rsidR="002C508D" w:rsidRPr="004E2147" w:rsidRDefault="002C508D" w:rsidP="002C508D">
      <w:pPr>
        <w:pStyle w:val="MDPI37itemize"/>
      </w:pPr>
      <w:r>
        <w:lastRenderedPageBreak/>
        <w:t>Under heating, a</w:t>
      </w:r>
      <w:r w:rsidRPr="004E2147">
        <w:t>fter</w:t>
      </w:r>
      <w:r>
        <w:t xml:space="preserve"> </w:t>
      </w:r>
      <w:proofErr w:type="spellStart"/>
      <w:r>
        <w:t>Tg</w:t>
      </w:r>
      <w:proofErr w:type="spellEnd"/>
      <w:r>
        <w:t>, polymers</w:t>
      </w:r>
      <w:r w:rsidR="005E211E">
        <w:t xml:space="preserve"> and filled polymers</w:t>
      </w:r>
      <w:r>
        <w:t xml:space="preserve"> loses their elasticity absolutely</w:t>
      </w:r>
      <w:r w:rsidR="005E211E">
        <w:t>.</w:t>
      </w:r>
      <w:r>
        <w:t xml:space="preserve"> </w:t>
      </w:r>
      <w:r w:rsidR="005E211E">
        <w:t xml:space="preserve">Thermo-relaxed polymers, filled polymers and </w:t>
      </w:r>
      <w:r>
        <w:t xml:space="preserve">FRPs, after </w:t>
      </w:r>
      <w:proofErr w:type="spellStart"/>
      <w:r>
        <w:t>Tg</w:t>
      </w:r>
      <w:proofErr w:type="spellEnd"/>
      <w:r>
        <w:t>, lose elasticity sharply but can keep it depending on conditions until relatively high temperatures</w:t>
      </w:r>
      <w:r w:rsidR="006866BF">
        <w:t xml:space="preserve"> (160…200</w:t>
      </w:r>
      <w:r w:rsidR="006866BF">
        <w:rPr>
          <w:vertAlign w:val="superscript"/>
        </w:rPr>
        <w:t>0</w:t>
      </w:r>
      <w:r w:rsidR="006866BF">
        <w:t>C)</w:t>
      </w:r>
      <w:r w:rsidR="005E211E">
        <w:t>.</w:t>
      </w:r>
    </w:p>
    <w:p w14:paraId="0696DD33" w14:textId="292C0693" w:rsidR="002C508D" w:rsidRPr="004E2147" w:rsidRDefault="002C508D" w:rsidP="002C508D">
      <w:pPr>
        <w:pStyle w:val="MDPI37itemize"/>
      </w:pPr>
      <w:r>
        <w:t>Long heat treatment (thermo-relaxation</w:t>
      </w:r>
      <w:r w:rsidR="00EE7064">
        <w:t xml:space="preserve"> </w:t>
      </w:r>
      <w:r w:rsidR="00EE7064" w:rsidRPr="004014F7">
        <w:rPr>
          <w:color w:val="FF0000"/>
        </w:rPr>
        <w:t>TR</w:t>
      </w:r>
      <w:r>
        <w:t xml:space="preserve">) significantly changes all properties of polymers and polymer composites: </w:t>
      </w:r>
      <w:proofErr w:type="spellStart"/>
      <w:r>
        <w:t>Tg</w:t>
      </w:r>
      <w:proofErr w:type="spellEnd"/>
      <w:r>
        <w:t xml:space="preserve"> grows to 30…40%, TE decreases, temperature of coworking of components in composites and their elasticity keeps growing in several times</w:t>
      </w:r>
      <w:r w:rsidR="005E211E">
        <w:t>.</w:t>
      </w:r>
    </w:p>
    <w:p w14:paraId="64B0AF3D" w14:textId="77777777" w:rsidR="002C508D" w:rsidRPr="00D11AD3" w:rsidRDefault="002C508D" w:rsidP="002C508D">
      <w:pPr>
        <w:pStyle w:val="MDPI37itemize"/>
      </w:pPr>
      <w:r>
        <w:t xml:space="preserve">TE curves have inversive character in relation with </w:t>
      </w:r>
      <w:proofErr w:type="spellStart"/>
      <w:r>
        <w:t>MoE</w:t>
      </w:r>
      <w:proofErr w:type="spellEnd"/>
      <w:r>
        <w:t xml:space="preserve"> under heating curves.</w:t>
      </w:r>
    </w:p>
    <w:p w14:paraId="693F9C76" w14:textId="77777777" w:rsidR="005815FB" w:rsidRDefault="005815FB" w:rsidP="00D60B4B">
      <w:pPr>
        <w:pStyle w:val="MDPI31text"/>
      </w:pPr>
    </w:p>
    <w:p w14:paraId="48624AE3" w14:textId="77777777" w:rsidR="005815FB" w:rsidRPr="003E33DC" w:rsidRDefault="005815FB" w:rsidP="005815FB">
      <w:pPr>
        <w:pStyle w:val="MDPI22heading2"/>
      </w:pPr>
      <w:r w:rsidRPr="003E33DC">
        <w:t>3.</w:t>
      </w:r>
      <w:r>
        <w:t>2</w:t>
      </w:r>
      <w:r w:rsidRPr="003E33DC">
        <w:t xml:space="preserve">. </w:t>
      </w:r>
      <w:r w:rsidR="008C757A">
        <w:t>Supramolecular relaxation model of CTE-MoE relation of thermosetting polymers and FRPs</w:t>
      </w:r>
    </w:p>
    <w:p w14:paraId="7DDFAF24" w14:textId="77777777" w:rsidR="005815FB" w:rsidRDefault="005815FB" w:rsidP="00D60B4B">
      <w:pPr>
        <w:pStyle w:val="MDPI31text"/>
      </w:pPr>
    </w:p>
    <w:p w14:paraId="094EFFA1" w14:textId="01C5D67D" w:rsidR="001B5040" w:rsidRPr="00DB41AD" w:rsidRDefault="008C757A" w:rsidP="001B5040">
      <w:pPr>
        <w:pStyle w:val="MDPI31text"/>
      </w:pPr>
      <w:r>
        <w:t>Previous researches proved the prediction compensation</w:t>
      </w:r>
      <w:r w:rsidR="004B5E10">
        <w:t>al</w:t>
      </w:r>
      <w:r>
        <w:t xml:space="preserve"> TE model of thermosetting polymers as adequate </w:t>
      </w:r>
      <w:r w:rsidRPr="00C04A12">
        <w:rPr>
          <w:color w:val="FF0000"/>
        </w:rPr>
        <w:t>[</w:t>
      </w:r>
      <w:r w:rsidR="00FF5206" w:rsidRPr="00C04A12">
        <w:rPr>
          <w:color w:val="FF0000"/>
        </w:rPr>
        <w:t>28</w:t>
      </w:r>
      <w:r w:rsidRPr="00C04A12">
        <w:rPr>
          <w:color w:val="FF0000"/>
        </w:rPr>
        <w:t>]</w:t>
      </w:r>
      <w:r>
        <w:t>. The main specify of compensation</w:t>
      </w:r>
      <w:r w:rsidR="009F2211">
        <w:t>al</w:t>
      </w:r>
      <w:r>
        <w:t xml:space="preserve"> model is that in two-phase structure rigid elements (domains) with linear TE divided by softer element (ITZ</w:t>
      </w:r>
      <w:r w:rsidR="009F2211">
        <w:t xml:space="preserve"> as </w:t>
      </w:r>
      <w:r w:rsidR="004838CA" w:rsidRPr="004014F7">
        <w:rPr>
          <w:color w:val="FF0000"/>
        </w:rPr>
        <w:t xml:space="preserve">polymer macromolecules’ </w:t>
      </w:r>
      <w:r w:rsidR="009F2211" w:rsidRPr="002E70E1">
        <w:rPr>
          <w:color w:val="000000" w:themeColor="text1"/>
        </w:rPr>
        <w:t>spiral shell</w:t>
      </w:r>
      <w:r>
        <w:t xml:space="preserve">) with plasticity bonds and non-linear TE. The </w:t>
      </w:r>
      <w:proofErr w:type="spellStart"/>
      <w:r>
        <w:t>Tg</w:t>
      </w:r>
      <w:proofErr w:type="spellEnd"/>
      <w:r>
        <w:t xml:space="preserve"> is the extremum of </w:t>
      </w:r>
      <w:r w:rsidR="00137F2E">
        <w:t xml:space="preserve">TE </w:t>
      </w:r>
      <w:r>
        <w:t>non-linear</w:t>
      </w:r>
      <w:r w:rsidR="00137F2E">
        <w:t xml:space="preserve"> function. Structure model is presented as a pack of spherulitic domains with spiral shell of ITZ</w:t>
      </w:r>
      <w:r w:rsidR="00D44CD9">
        <w:t xml:space="preserve"> (Fig. </w:t>
      </w:r>
      <w:r w:rsidR="000674F9">
        <w:t>7</w:t>
      </w:r>
      <w:r w:rsidR="00D44CD9">
        <w:t>)</w:t>
      </w:r>
      <w:r w:rsidR="00137F2E">
        <w:t>. All deformations of domains influence the according deformations of the shell. But domain</w:t>
      </w:r>
      <w:r w:rsidR="009F2211">
        <w:t>’s</w:t>
      </w:r>
      <w:r w:rsidR="00137F2E">
        <w:t xml:space="preserve"> expansion by</w:t>
      </w:r>
      <w:r w:rsidR="00AC5BA3">
        <w:t xml:space="preserve"> the</w:t>
      </w:r>
      <w:r w:rsidR="00137F2E">
        <w:t xml:space="preserve"> Y ace influence by the same ace shell’s compression</w:t>
      </w:r>
      <w:r w:rsidR="00AC5BA3">
        <w:t xml:space="preserve"> and shell’s tensile by the X ace</w:t>
      </w:r>
      <w:r w:rsidR="00137F2E">
        <w:t xml:space="preserve">. </w:t>
      </w:r>
      <w:r w:rsidR="008A5618">
        <w:t xml:space="preserve">The maximum expansibility is constant because of the spiral geometry: it’s maximum expansibility by Y with compressibility by X. </w:t>
      </w:r>
      <w:r w:rsidR="00137F2E">
        <w:t>It’s discovering the compensation</w:t>
      </w:r>
      <w:r w:rsidR="009F2211">
        <w:t>al</w:t>
      </w:r>
      <w:r w:rsidR="00137F2E">
        <w:t xml:space="preserve"> mechanism of TE and TE non-linear increasing under heating. </w:t>
      </w:r>
      <w:r w:rsidR="00AC5BA3">
        <w:t>Using this specify the following hypothesis appeared: polymer’s spiral shell’s tensile by X lead to stress relaxation by Y due to growing of cross-section and redistribution of tensile forces in spiral branches</w:t>
      </w:r>
      <w:r w:rsidR="000771C0">
        <w:t xml:space="preserve"> by aces X and Y</w:t>
      </w:r>
      <w:r w:rsidR="00AC5BA3">
        <w:t>.</w:t>
      </w:r>
      <w:r w:rsidR="009E4A76">
        <w:t xml:space="preserve"> </w:t>
      </w:r>
    </w:p>
    <w:p w14:paraId="36B1673B" w14:textId="77777777" w:rsidR="001B5040" w:rsidRDefault="007E2867" w:rsidP="006032AB">
      <w:pPr>
        <w:pStyle w:val="MDPI52figure"/>
        <w:jc w:val="right"/>
      </w:pPr>
      <w:r>
        <w:t xml:space="preserve"> </w:t>
      </w:r>
      <w:r w:rsidR="001B5040">
        <w:t xml:space="preserve"> </w:t>
      </w:r>
      <w:r>
        <w:rPr>
          <w:noProof/>
          <w:snapToGrid/>
          <w:lang w:val="ru-RU" w:eastAsia="ru-RU" w:bidi="ar-SA"/>
        </w:rPr>
        <w:drawing>
          <wp:inline distT="0" distB="0" distL="0" distR="0" wp14:anchorId="740183FA" wp14:editId="79310A20">
            <wp:extent cx="6332835" cy="1418492"/>
            <wp:effectExtent l="19050" t="0" r="0" b="0"/>
            <wp:docPr id="4" name="Рисунок 1" descr="D:\19 КОТТЕДЖ\Саша_институт\2022\Баркер\Полимерс_Барк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19 КОТТЕДЖ\Саша_институт\2022\Баркер\Полимерс_Баркер.jpg"/>
                    <pic:cNvPicPr>
                      <a:picLocks noChangeAspect="1" noChangeArrowheads="1"/>
                    </pic:cNvPicPr>
                  </pic:nvPicPr>
                  <pic:blipFill>
                    <a:blip r:embed="rId32" cstate="print"/>
                    <a:srcRect/>
                    <a:stretch>
                      <a:fillRect/>
                    </a:stretch>
                  </pic:blipFill>
                  <pic:spPr bwMode="auto">
                    <a:xfrm>
                      <a:off x="0" y="0"/>
                      <a:ext cx="6342872" cy="1420740"/>
                    </a:xfrm>
                    <a:prstGeom prst="rect">
                      <a:avLst/>
                    </a:prstGeom>
                    <a:noFill/>
                    <a:ln w="9525">
                      <a:noFill/>
                      <a:miter lim="800000"/>
                      <a:headEnd/>
                      <a:tailEnd/>
                    </a:ln>
                  </pic:spPr>
                </pic:pic>
              </a:graphicData>
            </a:graphic>
          </wp:inline>
        </w:drawing>
      </w:r>
    </w:p>
    <w:p w14:paraId="4ED20E8F" w14:textId="77777777" w:rsidR="001B5040" w:rsidRDefault="001B5040" w:rsidP="001B5040">
      <w:pPr>
        <w:pStyle w:val="MDPI51figurecaption"/>
        <w:ind w:left="142" w:hanging="142"/>
        <w:jc w:val="center"/>
        <w:rPr>
          <w:b/>
        </w:rPr>
      </w:pPr>
      <w:r>
        <w:rPr>
          <w:noProof/>
          <w:lang w:val="ru-RU" w:eastAsia="ru-RU" w:bidi="ar-SA"/>
        </w:rPr>
        <w:drawing>
          <wp:inline distT="0" distB="0" distL="0" distR="0" wp14:anchorId="695E54A6" wp14:editId="3EBA15A0">
            <wp:extent cx="5142321" cy="256159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211514" cy="2596058"/>
                    </a:xfrm>
                    <a:prstGeom prst="rect">
                      <a:avLst/>
                    </a:prstGeom>
                  </pic:spPr>
                </pic:pic>
              </a:graphicData>
            </a:graphic>
          </wp:inline>
        </w:drawing>
      </w:r>
    </w:p>
    <w:p w14:paraId="6B8572C4" w14:textId="0FCBF09C" w:rsidR="001B5040" w:rsidRPr="00032B45" w:rsidRDefault="001B5040" w:rsidP="00BD12C4">
      <w:pPr>
        <w:pStyle w:val="MDPI51figurecaption"/>
      </w:pPr>
      <w:r w:rsidRPr="002B77A9">
        <w:rPr>
          <w:b/>
        </w:rPr>
        <w:t xml:space="preserve">Figure </w:t>
      </w:r>
      <w:r w:rsidR="000674F9">
        <w:rPr>
          <w:b/>
        </w:rPr>
        <w:t>7</w:t>
      </w:r>
      <w:r w:rsidRPr="002B77A9">
        <w:rPr>
          <w:b/>
        </w:rPr>
        <w:t xml:space="preserve">. </w:t>
      </w:r>
      <w:r>
        <w:t>Two-phase relaxation model</w:t>
      </w:r>
      <w:r w:rsidRPr="00501DA3">
        <w:t xml:space="preserve"> of polymer </w:t>
      </w:r>
      <w:r w:rsidRPr="00BD12C4">
        <w:t>expanding</w:t>
      </w:r>
      <w:r w:rsidRPr="00501DA3">
        <w:t xml:space="preserve"> under heating</w:t>
      </w:r>
      <w:r>
        <w:t>.</w:t>
      </w:r>
    </w:p>
    <w:p w14:paraId="50688816" w14:textId="1BF95C3C" w:rsidR="000674F9" w:rsidRPr="00902591" w:rsidRDefault="00902591" w:rsidP="00D60B4B">
      <w:pPr>
        <w:pStyle w:val="MDPI31text"/>
        <w:rPr>
          <w:color w:val="70AD47" w:themeColor="accent6"/>
        </w:rPr>
      </w:pPr>
      <w:r w:rsidRPr="00902591">
        <w:rPr>
          <w:color w:val="70AD47" w:themeColor="accent6"/>
        </w:rPr>
        <w:lastRenderedPageBreak/>
        <w:t>S</w:t>
      </w:r>
      <w:r w:rsidR="000674F9" w:rsidRPr="00902591">
        <w:rPr>
          <w:color w:val="70AD47" w:themeColor="accent6"/>
        </w:rPr>
        <w:t>tructural model</w:t>
      </w:r>
      <w:r w:rsidRPr="00902591">
        <w:rPr>
          <w:color w:val="70AD47" w:themeColor="accent6"/>
        </w:rPr>
        <w:t xml:space="preserve"> (Fig. 7) proposed in previous study [28] </w:t>
      </w:r>
      <w:commentRangeStart w:id="11"/>
      <w:r w:rsidRPr="00902591">
        <w:rPr>
          <w:color w:val="70AD47" w:themeColor="accent6"/>
        </w:rPr>
        <w:t>was</w:t>
      </w:r>
      <w:commentRangeEnd w:id="11"/>
      <w:r w:rsidRPr="00902591">
        <w:rPr>
          <w:rStyle w:val="af"/>
          <w:rFonts w:eastAsia="SimSun"/>
          <w:snapToGrid/>
          <w:color w:val="70AD47" w:themeColor="accent6"/>
          <w:lang w:eastAsia="zh-CN" w:bidi="ar-SA"/>
        </w:rPr>
        <w:commentReference w:id="11"/>
      </w:r>
      <w:r w:rsidRPr="00902591">
        <w:rPr>
          <w:color w:val="70AD47" w:themeColor="accent6"/>
        </w:rPr>
        <w:t xml:space="preserve"> modified by tensile forces</w:t>
      </w:r>
      <m:oMath>
        <m:r>
          <w:rPr>
            <w:rFonts w:ascii="Cambria Math" w:hAnsi="Cambria Math"/>
          </w:rPr>
          <m:t xml:space="preserve"> </m:t>
        </m:r>
        <m:r>
          <w:rPr>
            <w:rFonts w:ascii="Cambria Math" w:hAnsi="Cambria Math"/>
          </w:rPr>
          <m:t>F</m:t>
        </m:r>
      </m:oMath>
      <w:r w:rsidRPr="00902591">
        <w:rPr>
          <w:color w:val="70AD47" w:themeColor="accent6"/>
        </w:rPr>
        <w:t xml:space="preserve"> in polymer molecules’ branch distribution</w:t>
      </w:r>
      <w:r w:rsidR="00FE5C8C" w:rsidRPr="00FE5C8C">
        <w:rPr>
          <w:color w:val="70AD47" w:themeColor="accent6"/>
        </w:rPr>
        <w:t xml:space="preserve"> </w:t>
      </w:r>
      <w:r w:rsidR="00FE5C8C">
        <w:rPr>
          <w:color w:val="70AD47" w:themeColor="accent6"/>
        </w:rPr>
        <w:t xml:space="preserve">by angle </w:t>
      </w:r>
      <m:oMath>
        <m:r>
          <w:rPr>
            <w:rFonts w:ascii="Cambria Math" w:hAnsi="Cambria Math"/>
          </w:rPr>
          <m:t>β</m:t>
        </m:r>
      </m:oMath>
      <w:r w:rsidRPr="00902591">
        <w:rPr>
          <w:color w:val="70AD47" w:themeColor="accent6"/>
        </w:rPr>
        <w:t xml:space="preserve">. </w:t>
      </w:r>
    </w:p>
    <w:p w14:paraId="7990BBD7" w14:textId="4F96347D" w:rsidR="00F52F29" w:rsidRDefault="003B6BFA" w:rsidP="00D60B4B">
      <w:pPr>
        <w:pStyle w:val="MDPI31text"/>
      </w:pPr>
      <w:r w:rsidRPr="004014F7">
        <w:rPr>
          <w:color w:val="FF0000"/>
        </w:rPr>
        <w:t>Following a</w:t>
      </w:r>
      <w:r w:rsidR="00FF5206" w:rsidRPr="004014F7">
        <w:rPr>
          <w:color w:val="FF0000"/>
        </w:rPr>
        <w:t>uthor’s</w:t>
      </w:r>
      <w:r w:rsidR="00FF5206">
        <w:t xml:space="preserve"> m</w:t>
      </w:r>
      <w:r w:rsidR="00AC5BA3">
        <w:t xml:space="preserve">ath model </w:t>
      </w:r>
      <w:r w:rsidR="00E66845">
        <w:t>is</w:t>
      </w:r>
      <w:r w:rsidR="00AC5BA3">
        <w:t xml:space="preserve"> developing from </w:t>
      </w:r>
      <w:proofErr w:type="spellStart"/>
      <w:r w:rsidR="00F52F29">
        <w:t>MoE</w:t>
      </w:r>
      <w:proofErr w:type="spellEnd"/>
      <w:r w:rsidR="00B15F4B" w:rsidRPr="00B15F4B">
        <w:t xml:space="preserve"> </w:t>
      </w:r>
      <w:r w:rsidR="00B15F4B">
        <w:t>under definite heating temperature</w:t>
      </w:r>
      <w:r w:rsidR="00F52F29">
        <w:t xml:space="preserve"> </w:t>
      </w:r>
      <w:commentRangeStart w:id="12"/>
      <w:r w:rsidR="00F52F29">
        <w:t>function</w:t>
      </w:r>
      <w:commentRangeEnd w:id="12"/>
      <w:r w:rsidR="00787804">
        <w:rPr>
          <w:rStyle w:val="af"/>
          <w:rFonts w:eastAsia="SimSun"/>
          <w:snapToGrid/>
          <w:lang w:eastAsia="zh-CN" w:bidi="ar-SA"/>
        </w:rPr>
        <w:commentReference w:id="12"/>
      </w:r>
    </w:p>
    <w:tbl>
      <w:tblPr>
        <w:tblStyle w:val="a3"/>
        <w:tblW w:w="0" w:type="auto"/>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08"/>
        <w:gridCol w:w="450"/>
      </w:tblGrid>
      <w:tr w:rsidR="00556E20" w14:paraId="470E94B3" w14:textId="77777777" w:rsidTr="00556E20">
        <w:tc>
          <w:tcPr>
            <w:tcW w:w="7706" w:type="dxa"/>
          </w:tcPr>
          <w:p w14:paraId="3C591411" w14:textId="5BBC242D" w:rsidR="00556E20" w:rsidRPr="00556E20" w:rsidRDefault="002A57D0" w:rsidP="00404555">
            <w:pPr>
              <w:pStyle w:val="MDPI39equation"/>
            </w:pPr>
            <m:oMath>
              <m:sSub>
                <m:sSubPr>
                  <m:ctrlPr>
                    <w:rPr>
                      <w:rFonts w:ascii="Cambria Math" w:hAnsi="Cambria Math"/>
                    </w:rPr>
                  </m:ctrlPr>
                </m:sSubPr>
                <m:e>
                  <m:r>
                    <w:rPr>
                      <w:rFonts w:ascii="Cambria Math" w:hAnsi="Cambria Math"/>
                    </w:rPr>
                    <m:t>E</m:t>
                  </m:r>
                </m:e>
                <m:sub>
                  <m:r>
                    <w:rPr>
                      <w:rFonts w:ascii="Cambria Math" w:hAnsi="Cambria Math"/>
                    </w:rPr>
                    <m:t>t</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σ</m:t>
                      </m:r>
                    </m:e>
                    <m:sub>
                      <m:r>
                        <w:rPr>
                          <w:rFonts w:ascii="Cambria Math" w:hAnsi="Cambria Math"/>
                        </w:rPr>
                        <m:t>t</m:t>
                      </m:r>
                    </m:sub>
                  </m:sSub>
                </m:num>
                <m:den>
                  <m:sSub>
                    <m:sSubPr>
                      <m:ctrlPr>
                        <w:rPr>
                          <w:rFonts w:ascii="Cambria Math" w:hAnsi="Cambria Math"/>
                        </w:rPr>
                      </m:ctrlPr>
                    </m:sSubPr>
                    <m:e>
                      <m:r>
                        <w:rPr>
                          <w:rFonts w:ascii="Cambria Math" w:hAnsi="Cambria Math"/>
                        </w:rPr>
                        <m:t>ε</m:t>
                      </m:r>
                    </m:e>
                    <m:sub>
                      <m:r>
                        <w:rPr>
                          <w:rFonts w:ascii="Cambria Math" w:hAnsi="Cambria Math"/>
                        </w:rPr>
                        <m:t>t</m:t>
                      </m:r>
                    </m:sub>
                  </m:sSub>
                </m:den>
              </m:f>
            </m:oMath>
            <w:r w:rsidR="00404555">
              <w:t>,</w:t>
            </w:r>
          </w:p>
        </w:tc>
        <w:tc>
          <w:tcPr>
            <w:tcW w:w="368" w:type="dxa"/>
          </w:tcPr>
          <w:p w14:paraId="40639316" w14:textId="764AF015" w:rsidR="00556E20" w:rsidRDefault="00556E20" w:rsidP="00404555">
            <w:pPr>
              <w:pStyle w:val="MDPI3aequationnumber"/>
            </w:pPr>
            <w:r>
              <w:t>(3)</w:t>
            </w:r>
          </w:p>
        </w:tc>
      </w:tr>
    </w:tbl>
    <w:p w14:paraId="02095924" w14:textId="77777777" w:rsidR="008A5618" w:rsidRDefault="002A57D0" w:rsidP="00404555">
      <w:pPr>
        <w:pStyle w:val="MDPI31text"/>
      </w:pPr>
      <m:oMath>
        <m:sSub>
          <m:sSubPr>
            <m:ctrlPr>
              <w:rPr>
                <w:rFonts w:ascii="Cambria Math" w:hAnsi="Cambria Math"/>
                <w:i/>
              </w:rPr>
            </m:ctrlPr>
          </m:sSubPr>
          <m:e>
            <m:r>
              <w:rPr>
                <w:rFonts w:ascii="Cambria Math" w:hAnsi="Cambria Math"/>
              </w:rPr>
              <m:t>σ</m:t>
            </m:r>
          </m:e>
          <m:sub>
            <m:r>
              <w:rPr>
                <w:rFonts w:ascii="Cambria Math" w:hAnsi="Cambria Math"/>
              </w:rPr>
              <m:t>t</m:t>
            </m:r>
          </m:sub>
        </m:sSub>
      </m:oMath>
      <w:r w:rsidR="00F52F29">
        <w:t xml:space="preserve"> is the stress in the spiral branch</w:t>
      </w:r>
      <w:r w:rsidR="008A5618">
        <w:t>;</w:t>
      </w:r>
    </w:p>
    <w:p w14:paraId="3BAD6995" w14:textId="765629AD" w:rsidR="00F52F29" w:rsidRDefault="002A57D0" w:rsidP="00F52F29">
      <w:pPr>
        <w:pStyle w:val="MDPI31text"/>
      </w:pPr>
      <m:oMath>
        <m:sSub>
          <m:sSubPr>
            <m:ctrlPr>
              <w:rPr>
                <w:rFonts w:ascii="Cambria Math" w:hAnsi="Cambria Math"/>
                <w:i/>
              </w:rPr>
            </m:ctrlPr>
          </m:sSubPr>
          <m:e>
            <m:r>
              <w:rPr>
                <w:rFonts w:ascii="Cambria Math" w:hAnsi="Cambria Math"/>
              </w:rPr>
              <m:t>ε</m:t>
            </m:r>
          </m:e>
          <m:sub>
            <m:r>
              <w:rPr>
                <w:rFonts w:ascii="Cambria Math" w:hAnsi="Cambria Math"/>
              </w:rPr>
              <m:t>t</m:t>
            </m:r>
          </m:sub>
        </m:sSub>
      </m:oMath>
      <w:r w:rsidR="008A5618">
        <w:t xml:space="preserve"> </w:t>
      </w:r>
      <w:r w:rsidR="00B15F4B">
        <w:t xml:space="preserve">is the </w:t>
      </w:r>
      <w:r w:rsidR="00BD12C4">
        <w:t xml:space="preserve">structure’s </w:t>
      </w:r>
      <w:r w:rsidR="008A5618">
        <w:t xml:space="preserve">relative </w:t>
      </w:r>
      <w:r w:rsidR="004838CA" w:rsidRPr="004014F7">
        <w:rPr>
          <w:color w:val="FF0000"/>
        </w:rPr>
        <w:t>tensile strain</w:t>
      </w:r>
      <w:r w:rsidR="004838CA">
        <w:t>/</w:t>
      </w:r>
      <w:r w:rsidR="008A5618">
        <w:t>deforma</w:t>
      </w:r>
      <w:r w:rsidR="00B15F4B">
        <w:t>tion</w:t>
      </w:r>
      <w:r w:rsidR="008A5618">
        <w:t xml:space="preserve"> under stress.</w:t>
      </w:r>
    </w:p>
    <w:p w14:paraId="768FBFEE" w14:textId="07B5DCA4" w:rsidR="002A7C20" w:rsidRPr="004014F7" w:rsidRDefault="002A7C20" w:rsidP="00F52F29">
      <w:pPr>
        <w:pStyle w:val="MDPI31text"/>
        <w:rPr>
          <w:color w:val="FF0000"/>
        </w:rPr>
      </w:pPr>
      <w:r w:rsidRPr="004014F7">
        <w:rPr>
          <w:color w:val="FF0000"/>
        </w:rPr>
        <w:t>The following equations are author’s development.</w:t>
      </w:r>
    </w:p>
    <w:p w14:paraId="06B8591E" w14:textId="15DA072D" w:rsidR="00B15F4B" w:rsidRDefault="00B15F4B" w:rsidP="00F52F29">
      <w:pPr>
        <w:pStyle w:val="MDPI31text"/>
      </w:pPr>
      <w:r>
        <w:t>Under tensile stress spiral’s</w:t>
      </w:r>
      <w:r w:rsidR="00653C2E">
        <w:t xml:space="preserve"> relative</w:t>
      </w:r>
      <w:r>
        <w:t xml:space="preserve"> </w:t>
      </w:r>
      <w:r w:rsidR="003B6BFA" w:rsidRPr="004014F7">
        <w:rPr>
          <w:color w:val="FF0000"/>
        </w:rPr>
        <w:t>tensile strain</w:t>
      </w:r>
      <w:r w:rsidR="003B6BFA">
        <w:t>/</w:t>
      </w:r>
      <w:r>
        <w:t>deformation</w:t>
      </w:r>
      <m:oMath>
        <m:r>
          <w:rPr>
            <w:rFonts w:ascii="Cambria Math" w:hAnsi="Cambria Math"/>
          </w:rPr>
          <m:t xml:space="preserve"> </m:t>
        </m:r>
        <m:sSub>
          <m:sSubPr>
            <m:ctrlPr>
              <w:rPr>
                <w:rFonts w:ascii="Cambria Math" w:hAnsi="Cambria Math"/>
                <w:i/>
              </w:rPr>
            </m:ctrlPr>
          </m:sSubPr>
          <m:e>
            <m:r>
              <w:rPr>
                <w:rFonts w:ascii="Cambria Math" w:hAnsi="Cambria Math"/>
              </w:rPr>
              <m:t>ε</m:t>
            </m:r>
          </m:e>
          <m:sub>
            <m:r>
              <w:rPr>
                <w:rFonts w:ascii="Cambria Math" w:hAnsi="Cambria Math"/>
              </w:rPr>
              <m:t>t</m:t>
            </m:r>
          </m:sub>
        </m:sSub>
      </m:oMath>
      <w:r>
        <w:t xml:space="preserve"> is</w:t>
      </w:r>
      <w:r w:rsidR="00653C2E">
        <w:t xml:space="preserve"> equal to the spiral’s branch’s relative deformation </w:t>
      </w:r>
      <m:oMath>
        <m:sSub>
          <m:sSubPr>
            <m:ctrlPr>
              <w:rPr>
                <w:rFonts w:ascii="Cambria Math" w:hAnsi="Cambria Math"/>
                <w:i/>
              </w:rPr>
            </m:ctrlPr>
          </m:sSubPr>
          <m:e>
            <m:r>
              <w:rPr>
                <w:rFonts w:ascii="Cambria Math" w:hAnsi="Cambria Math"/>
              </w:rPr>
              <m:t>ε</m:t>
            </m:r>
          </m:e>
          <m:sub>
            <m:r>
              <w:rPr>
                <w:rFonts w:ascii="Cambria Math" w:hAnsi="Cambria Math"/>
              </w:rPr>
              <m:t>0</m:t>
            </m:r>
          </m:sub>
        </m:sSub>
      </m:oMath>
      <w:r>
        <w:t xml:space="preserve"> </w:t>
      </w:r>
    </w:p>
    <w:tbl>
      <w:tblPr>
        <w:tblStyle w:val="a3"/>
        <w:tblW w:w="0" w:type="auto"/>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77"/>
        <w:gridCol w:w="781"/>
      </w:tblGrid>
      <w:tr w:rsidR="00404555" w14:paraId="55F2894A" w14:textId="77777777" w:rsidTr="00404555">
        <w:tc>
          <w:tcPr>
            <w:tcW w:w="7281" w:type="dxa"/>
          </w:tcPr>
          <w:p w14:paraId="0B302094" w14:textId="6482B22A" w:rsidR="00404555" w:rsidRPr="00556E20" w:rsidRDefault="002A57D0" w:rsidP="00404555">
            <w:pPr>
              <w:pStyle w:val="MDPI39equation"/>
            </w:pPr>
            <m:oMathPara>
              <m:oMathParaPr>
                <m:jc m:val="center"/>
              </m:oMathParaPr>
              <m:oMath>
                <m:sSub>
                  <m:sSubPr>
                    <m:ctrlPr>
                      <w:rPr>
                        <w:rFonts w:ascii="Cambria Math" w:hAnsi="Cambria Math"/>
                      </w:rPr>
                    </m:ctrlPr>
                  </m:sSubPr>
                  <m:e>
                    <m:r>
                      <w:rPr>
                        <w:rFonts w:ascii="Cambria Math" w:hAnsi="Cambria Math"/>
                      </w:rPr>
                      <m:t>ε</m:t>
                    </m:r>
                  </m:e>
                  <m:sub>
                    <m:r>
                      <w:rPr>
                        <w:rFonts w:ascii="Cambria Math" w:hAnsi="Cambria Math"/>
                      </w:rPr>
                      <m:t>t</m:t>
                    </m:r>
                  </m:sub>
                </m:sSub>
                <m:r>
                  <m:rPr>
                    <m:sty m:val="p"/>
                  </m:rPr>
                  <w:rPr>
                    <w:rFonts w:ascii="Cambria Math" w:hAnsi="Cambria Math"/>
                  </w:rPr>
                  <m:t>=</m:t>
                </m:r>
                <m:f>
                  <m:fPr>
                    <m:ctrlPr>
                      <w:rPr>
                        <w:rFonts w:ascii="Cambria Math" w:hAnsi="Cambria Math"/>
                      </w:rPr>
                    </m:ctrlPr>
                  </m:fPr>
                  <m:num>
                    <m:r>
                      <m:rPr>
                        <m:sty m:val="p"/>
                      </m:rPr>
                      <w:rPr>
                        <w:rFonts w:ascii="Cambria Math" w:hAnsi="Cambria Math"/>
                      </w:rPr>
                      <m:t>∆</m:t>
                    </m:r>
                    <m:r>
                      <w:rPr>
                        <w:rFonts w:ascii="Cambria Math" w:hAnsi="Cambria Math"/>
                      </w:rPr>
                      <m:t>y</m:t>
                    </m:r>
                  </m:num>
                  <m:den>
                    <m:r>
                      <w:rPr>
                        <w:rFonts w:ascii="Cambria Math" w:hAnsi="Cambria Math"/>
                      </w:rPr>
                      <m:t>y</m:t>
                    </m:r>
                  </m:den>
                </m:f>
                <m:r>
                  <m:rPr>
                    <m:sty m:val="p"/>
                  </m:rPr>
                  <w:rPr>
                    <w:rFonts w:ascii="Cambria Math" w:hAnsi="Cambria Math"/>
                  </w:rPr>
                  <m:t>=</m:t>
                </m:r>
                <m:f>
                  <m:fPr>
                    <m:ctrlPr>
                      <w:rPr>
                        <w:rFonts w:ascii="Cambria Math" w:hAnsi="Cambria Math"/>
                      </w:rPr>
                    </m:ctrlPr>
                  </m:fPr>
                  <m:num>
                    <m:r>
                      <m:rPr>
                        <m:sty m:val="p"/>
                      </m:rPr>
                      <w:rPr>
                        <w:rFonts w:ascii="Cambria Math" w:hAnsi="Cambria Math"/>
                      </w:rPr>
                      <m:t>∆</m:t>
                    </m:r>
                    <m:r>
                      <w:rPr>
                        <w:rFonts w:ascii="Cambria Math" w:hAnsi="Cambria Math"/>
                      </w:rPr>
                      <m:t>l</m:t>
                    </m:r>
                    <m:r>
                      <m:rPr>
                        <m:sty m:val="p"/>
                      </m:rPr>
                      <w:rPr>
                        <w:rFonts w:ascii="Cambria Math" w:hAnsi="Cambria Math"/>
                      </w:rPr>
                      <m:t>×</m:t>
                    </m:r>
                    <m:r>
                      <w:rPr>
                        <w:rFonts w:ascii="Cambria Math" w:hAnsi="Cambria Math"/>
                      </w:rPr>
                      <m:t>cosβ</m:t>
                    </m:r>
                  </m:num>
                  <m:den>
                    <m:r>
                      <w:rPr>
                        <w:rFonts w:ascii="Cambria Math" w:hAnsi="Cambria Math"/>
                      </w:rPr>
                      <m:t>l</m:t>
                    </m:r>
                    <m:r>
                      <m:rPr>
                        <m:sty m:val="p"/>
                      </m:rPr>
                      <w:rPr>
                        <w:rFonts w:ascii="Cambria Math" w:hAnsi="Cambria Math"/>
                      </w:rPr>
                      <m:t>×</m:t>
                    </m:r>
                    <m:r>
                      <w:rPr>
                        <w:rFonts w:ascii="Cambria Math" w:hAnsi="Cambria Math"/>
                      </w:rPr>
                      <m:t>cosβ</m:t>
                    </m:r>
                  </m:den>
                </m:f>
                <m:r>
                  <m:rPr>
                    <m:sty m:val="p"/>
                  </m:rPr>
                  <w:rPr>
                    <w:rFonts w:ascii="Cambria Math" w:hAnsi="Cambria Math"/>
                  </w:rPr>
                  <m:t>=</m:t>
                </m:r>
                <m:f>
                  <m:fPr>
                    <m:ctrlPr>
                      <w:rPr>
                        <w:rFonts w:ascii="Cambria Math" w:hAnsi="Cambria Math"/>
                      </w:rPr>
                    </m:ctrlPr>
                  </m:fPr>
                  <m:num>
                    <m:r>
                      <m:rPr>
                        <m:sty m:val="p"/>
                      </m:rPr>
                      <w:rPr>
                        <w:rFonts w:ascii="Cambria Math" w:hAnsi="Cambria Math"/>
                      </w:rPr>
                      <m:t>∆</m:t>
                    </m:r>
                    <m:r>
                      <w:rPr>
                        <w:rFonts w:ascii="Cambria Math" w:hAnsi="Cambria Math"/>
                      </w:rPr>
                      <m:t>l</m:t>
                    </m:r>
                  </m:num>
                  <m:den>
                    <m:r>
                      <w:rPr>
                        <w:rFonts w:ascii="Cambria Math" w:hAnsi="Cambria Math"/>
                      </w:rPr>
                      <m:t>l</m:t>
                    </m:r>
                  </m:den>
                </m:f>
                <m:r>
                  <m:rPr>
                    <m:sty m:val="p"/>
                  </m:rPr>
                  <w:rPr>
                    <w:rFonts w:ascii="Cambria Math" w:hAnsi="Cambria Math"/>
                  </w:rPr>
                  <m:t>=</m:t>
                </m:r>
                <m:sSub>
                  <m:sSubPr>
                    <m:ctrlPr>
                      <w:rPr>
                        <w:rFonts w:ascii="Cambria Math" w:hAnsi="Cambria Math"/>
                      </w:rPr>
                    </m:ctrlPr>
                  </m:sSubPr>
                  <m:e>
                    <m:r>
                      <w:rPr>
                        <w:rFonts w:ascii="Cambria Math" w:hAnsi="Cambria Math"/>
                      </w:rPr>
                      <m:t>ε</m:t>
                    </m:r>
                  </m:e>
                  <m:sub>
                    <m:r>
                      <m:rPr>
                        <m:sty m:val="p"/>
                      </m:rPr>
                      <w:rPr>
                        <w:rFonts w:ascii="Cambria Math" w:hAnsi="Cambria Math"/>
                      </w:rPr>
                      <m:t>0</m:t>
                    </m:r>
                  </m:sub>
                </m:sSub>
              </m:oMath>
            </m:oMathPara>
          </w:p>
        </w:tc>
        <w:tc>
          <w:tcPr>
            <w:tcW w:w="793" w:type="dxa"/>
          </w:tcPr>
          <w:p w14:paraId="505E8A75" w14:textId="246D39BE" w:rsidR="00404555" w:rsidRDefault="00404555" w:rsidP="00404555">
            <w:pPr>
              <w:pStyle w:val="MDPI3aequationnumber"/>
            </w:pPr>
            <w:r>
              <w:t>(4)</w:t>
            </w:r>
          </w:p>
        </w:tc>
      </w:tr>
    </w:tbl>
    <w:p w14:paraId="5FDE6002" w14:textId="796287A3" w:rsidR="00C3049E" w:rsidRPr="004014F7" w:rsidRDefault="00C3049E" w:rsidP="00404555">
      <w:pPr>
        <w:pStyle w:val="MDPI31text"/>
        <w:rPr>
          <w:color w:val="FF0000"/>
        </w:rPr>
      </w:pPr>
      <m:oMath>
        <m:r>
          <w:rPr>
            <w:rFonts w:ascii="Cambria Math" w:hAnsi="Cambria Math"/>
            <w:color w:val="FF0000"/>
          </w:rPr>
          <m:t>l</m:t>
        </m:r>
      </m:oMath>
      <w:r w:rsidRPr="004014F7">
        <w:rPr>
          <w:color w:val="FF0000"/>
        </w:rPr>
        <w:t xml:space="preserve"> is the length of spiral polymer molecule’s branch</w:t>
      </w:r>
      <w:r w:rsidR="004838CA" w:rsidRPr="004014F7">
        <w:rPr>
          <w:color w:val="FF0000"/>
        </w:rPr>
        <w:t xml:space="preserve"> (Fig. 8, top scheme)</w:t>
      </w:r>
      <w:r w:rsidRPr="004014F7">
        <w:rPr>
          <w:color w:val="FF0000"/>
        </w:rPr>
        <w:t>;</w:t>
      </w:r>
    </w:p>
    <w:p w14:paraId="6D0E19D6" w14:textId="19355B86" w:rsidR="002A7C20" w:rsidRPr="004014F7" w:rsidRDefault="00C3049E" w:rsidP="00653C2E">
      <w:pPr>
        <w:pStyle w:val="MDPI31text"/>
        <w:rPr>
          <w:color w:val="FF0000"/>
        </w:rPr>
      </w:pPr>
      <m:oMath>
        <m:r>
          <m:rPr>
            <m:sty m:val="p"/>
          </m:rPr>
          <w:rPr>
            <w:rFonts w:ascii="Cambria Math" w:hAnsi="Cambria Math"/>
            <w:color w:val="FF0000"/>
          </w:rPr>
          <m:t>∆</m:t>
        </m:r>
        <m:r>
          <w:rPr>
            <w:rFonts w:ascii="Cambria Math" w:hAnsi="Cambria Math"/>
            <w:color w:val="FF0000"/>
          </w:rPr>
          <m:t>l</m:t>
        </m:r>
      </m:oMath>
      <w:r w:rsidRPr="004014F7">
        <w:rPr>
          <w:color w:val="FF0000"/>
        </w:rPr>
        <w:t xml:space="preserve"> is the expansion of spiral polymer molecule’s branch</w:t>
      </w:r>
      <w:r w:rsidR="004838CA" w:rsidRPr="004014F7">
        <w:rPr>
          <w:color w:val="FF0000"/>
        </w:rPr>
        <w:t xml:space="preserve"> (Fig. 8, top scheme)</w:t>
      </w:r>
      <w:r w:rsidRPr="004014F7">
        <w:rPr>
          <w:color w:val="FF0000"/>
        </w:rPr>
        <w:t>;</w:t>
      </w:r>
    </w:p>
    <w:p w14:paraId="0A7B20B5" w14:textId="69B99CE9" w:rsidR="00C3049E" w:rsidRPr="004014F7" w:rsidRDefault="00C3049E" w:rsidP="00653C2E">
      <w:pPr>
        <w:pStyle w:val="MDPI31text"/>
        <w:rPr>
          <w:color w:val="FF0000"/>
        </w:rPr>
      </w:pPr>
      <m:oMath>
        <m:r>
          <w:rPr>
            <w:rFonts w:ascii="Cambria Math" w:hAnsi="Cambria Math"/>
            <w:color w:val="FF0000"/>
          </w:rPr>
          <m:t>β</m:t>
        </m:r>
      </m:oMath>
      <w:r w:rsidRPr="004014F7">
        <w:rPr>
          <w:color w:val="FF0000"/>
        </w:rPr>
        <w:t xml:space="preserve"> is the angle of slope of spiral polymer molecule’s branch</w:t>
      </w:r>
      <w:r w:rsidR="004838CA" w:rsidRPr="004014F7">
        <w:rPr>
          <w:color w:val="FF0000"/>
        </w:rPr>
        <w:t xml:space="preserve"> (Fig. 8, top scheme);</w:t>
      </w:r>
    </w:p>
    <w:p w14:paraId="46D72CEC" w14:textId="6F917D23" w:rsidR="00B15F4B" w:rsidRDefault="00653C2E" w:rsidP="00653C2E">
      <w:pPr>
        <w:pStyle w:val="MDPI31text"/>
      </w:pPr>
      <w:r>
        <w:t xml:space="preserve">and </w:t>
      </w:r>
      <w:proofErr w:type="spellStart"/>
      <w:r>
        <w:t>MoE</w:t>
      </w:r>
      <w:proofErr w:type="spellEnd"/>
      <w:r>
        <w:t xml:space="preserve"> under heating decreasing is related with tensile stress relaxation and redistribution in tensile and shift stresses: the more heating and X-tensile and Y-compression, the less Y-tensile and more X-shift stresses </w:t>
      </w:r>
    </w:p>
    <w:tbl>
      <w:tblPr>
        <w:tblStyle w:val="a3"/>
        <w:tblW w:w="0" w:type="auto"/>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08"/>
        <w:gridCol w:w="450"/>
      </w:tblGrid>
      <w:tr w:rsidR="00404555" w14:paraId="6307FAE8" w14:textId="77777777" w:rsidTr="00404555">
        <w:tc>
          <w:tcPr>
            <w:tcW w:w="7706" w:type="dxa"/>
          </w:tcPr>
          <w:p w14:paraId="26466508" w14:textId="56681AF3" w:rsidR="00404555" w:rsidRPr="00404555" w:rsidRDefault="002A57D0" w:rsidP="00404555">
            <w:pPr>
              <w:pStyle w:val="MDPI39equation"/>
            </w:pPr>
            <m:oMath>
              <m:sSub>
                <m:sSubPr>
                  <m:ctrlPr>
                    <w:rPr>
                      <w:rFonts w:ascii="Cambria Math" w:hAnsi="Cambria Math"/>
                    </w:rPr>
                  </m:ctrlPr>
                </m:sSubPr>
                <m:e>
                  <m:r>
                    <w:rPr>
                      <w:rFonts w:ascii="Cambria Math" w:hAnsi="Cambria Math"/>
                    </w:rPr>
                    <m:t>E</m:t>
                  </m:r>
                </m:e>
                <m:sub>
                  <m:r>
                    <w:rPr>
                      <w:rFonts w:ascii="Cambria Math" w:hAnsi="Cambria Math"/>
                    </w:rPr>
                    <m:t>t</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σ</m:t>
                      </m:r>
                    </m:e>
                    <m:sub>
                      <m:r>
                        <w:rPr>
                          <w:rFonts w:ascii="Cambria Math" w:hAnsi="Cambria Math"/>
                        </w:rPr>
                        <m:t>t</m:t>
                      </m:r>
                    </m:sub>
                  </m:sSub>
                </m:num>
                <m:den>
                  <m:sSub>
                    <m:sSubPr>
                      <m:ctrlPr>
                        <w:rPr>
                          <w:rFonts w:ascii="Cambria Math" w:hAnsi="Cambria Math"/>
                        </w:rPr>
                      </m:ctrlPr>
                    </m:sSubPr>
                    <m:e>
                      <m:r>
                        <w:rPr>
                          <w:rFonts w:ascii="Cambria Math" w:hAnsi="Cambria Math"/>
                        </w:rPr>
                        <m:t>ε</m:t>
                      </m:r>
                    </m:e>
                    <m:sub>
                      <m:r>
                        <m:rPr>
                          <m:sty m:val="p"/>
                        </m:rPr>
                        <w:rPr>
                          <w:rFonts w:ascii="Cambria Math" w:hAnsi="Cambria Math"/>
                        </w:rPr>
                        <m:t>0</m:t>
                      </m:r>
                    </m:sub>
                  </m:sSub>
                </m:den>
              </m:f>
            </m:oMath>
            <w:r w:rsidR="00404555" w:rsidRPr="00404555">
              <w:t xml:space="preserve"> .</w:t>
            </w:r>
          </w:p>
        </w:tc>
        <w:tc>
          <w:tcPr>
            <w:tcW w:w="368" w:type="dxa"/>
          </w:tcPr>
          <w:p w14:paraId="759EAAB6" w14:textId="6CEEF2B6" w:rsidR="00404555" w:rsidRDefault="00404555" w:rsidP="00404555">
            <w:pPr>
              <w:pStyle w:val="MDPI3aequationnumber"/>
            </w:pPr>
            <w:r>
              <w:t>(5)</w:t>
            </w:r>
          </w:p>
        </w:tc>
      </w:tr>
    </w:tbl>
    <w:p w14:paraId="753AFDAC" w14:textId="78A69CD7" w:rsidR="008B7C31" w:rsidRDefault="008B7C31" w:rsidP="00404555">
      <w:pPr>
        <w:pStyle w:val="MDPI31text"/>
      </w:pPr>
      <w:r>
        <w:t>Tensile stress under definite temperature is the relation between tensile force in spiral branch (</w:t>
      </w:r>
      <m:oMath>
        <m:sSub>
          <m:sSubPr>
            <m:ctrlPr>
              <w:rPr>
                <w:rFonts w:ascii="Cambria Math" w:hAnsi="Cambria Math"/>
                <w:i/>
              </w:rPr>
            </m:ctrlPr>
          </m:sSubPr>
          <m:e>
            <m:r>
              <w:rPr>
                <w:rFonts w:ascii="Cambria Math" w:hAnsi="Cambria Math"/>
              </w:rPr>
              <m:t>F</m:t>
            </m:r>
          </m:e>
          <m:sub>
            <m:r>
              <w:rPr>
                <w:rFonts w:ascii="Cambria Math" w:hAnsi="Cambria Math"/>
              </w:rPr>
              <m:t>t</m:t>
            </m:r>
          </m:sub>
        </m:sSub>
      </m:oMath>
      <w:r>
        <w:t>) and total square (</w:t>
      </w:r>
      <m:oMath>
        <m:sSub>
          <m:sSubPr>
            <m:ctrlPr>
              <w:rPr>
                <w:rFonts w:ascii="Cambria Math" w:hAnsi="Cambria Math"/>
                <w:i/>
              </w:rPr>
            </m:ctrlPr>
          </m:sSubPr>
          <m:e>
            <m:r>
              <w:rPr>
                <w:rFonts w:ascii="Cambria Math" w:hAnsi="Cambria Math"/>
              </w:rPr>
              <m:t>S</m:t>
            </m:r>
          </m:e>
          <m:sub>
            <m:r>
              <w:rPr>
                <w:rFonts w:ascii="Cambria Math" w:hAnsi="Cambria Math"/>
              </w:rPr>
              <m:t>t</m:t>
            </m:r>
          </m:sub>
        </m:sSub>
      </m:oMath>
      <w:r>
        <w:t xml:space="preserve">) of cross section </w:t>
      </w:r>
      <w:r w:rsidR="008B15E9">
        <w:t>under</w:t>
      </w:r>
      <w:r>
        <w:t xml:space="preserve"> the temperature</w:t>
      </w:r>
    </w:p>
    <w:p w14:paraId="2ADBD89F" w14:textId="77777777" w:rsidR="00404555" w:rsidRDefault="00404555" w:rsidP="00404555">
      <w:pPr>
        <w:pStyle w:val="MDPI31text"/>
      </w:pPr>
    </w:p>
    <w:tbl>
      <w:tblPr>
        <w:tblStyle w:val="a3"/>
        <w:tblW w:w="0" w:type="auto"/>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08"/>
        <w:gridCol w:w="450"/>
      </w:tblGrid>
      <w:tr w:rsidR="00F72A81" w14:paraId="359365C7" w14:textId="77777777" w:rsidTr="009D6BB0">
        <w:tc>
          <w:tcPr>
            <w:tcW w:w="7706" w:type="dxa"/>
          </w:tcPr>
          <w:p w14:paraId="017470FF" w14:textId="5AC42035" w:rsidR="00F72A81" w:rsidRPr="00404555" w:rsidRDefault="002A57D0" w:rsidP="00F72A81">
            <w:pPr>
              <w:pStyle w:val="MDPI39equation"/>
            </w:pPr>
            <m:oMath>
              <m:sSub>
                <m:sSubPr>
                  <m:ctrlPr>
                    <w:rPr>
                      <w:rFonts w:ascii="Cambria Math" w:hAnsi="Cambria Math"/>
                    </w:rPr>
                  </m:ctrlPr>
                </m:sSubPr>
                <m:e>
                  <m:r>
                    <w:rPr>
                      <w:rFonts w:ascii="Cambria Math" w:hAnsi="Cambria Math"/>
                    </w:rPr>
                    <m:t>σ</m:t>
                  </m:r>
                </m:e>
                <m:sub>
                  <m:r>
                    <w:rPr>
                      <w:rFonts w:ascii="Cambria Math" w:hAnsi="Cambria Math"/>
                    </w:rPr>
                    <m:t>t</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F</m:t>
                      </m:r>
                    </m:e>
                    <m:sub>
                      <m:r>
                        <w:rPr>
                          <w:rFonts w:ascii="Cambria Math" w:hAnsi="Cambria Math"/>
                        </w:rPr>
                        <m:t>t</m:t>
                      </m:r>
                    </m:sub>
                  </m:sSub>
                </m:num>
                <m:den>
                  <m:sSub>
                    <m:sSubPr>
                      <m:ctrlPr>
                        <w:rPr>
                          <w:rFonts w:ascii="Cambria Math" w:hAnsi="Cambria Math"/>
                        </w:rPr>
                      </m:ctrlPr>
                    </m:sSubPr>
                    <m:e>
                      <m:r>
                        <w:rPr>
                          <w:rFonts w:ascii="Cambria Math" w:hAnsi="Cambria Math"/>
                        </w:rPr>
                        <m:t>S</m:t>
                      </m:r>
                    </m:e>
                    <m:sub>
                      <m:r>
                        <w:rPr>
                          <w:rFonts w:ascii="Cambria Math" w:hAnsi="Cambria Math"/>
                        </w:rPr>
                        <m:t>t</m:t>
                      </m:r>
                    </m:sub>
                  </m:sSub>
                </m:den>
              </m:f>
              <m:r>
                <m:rPr>
                  <m:sty m:val="p"/>
                </m:rPr>
                <w:rPr>
                  <w:rFonts w:ascii="Cambria Math" w:hAnsi="Cambria Math"/>
                </w:rPr>
                <m:t>=</m:t>
              </m:r>
              <m:f>
                <m:fPr>
                  <m:ctrlPr>
                    <w:rPr>
                      <w:rFonts w:ascii="Cambria Math" w:hAnsi="Cambria Math"/>
                    </w:rPr>
                  </m:ctrlPr>
                </m:fPr>
                <m:num>
                  <m:r>
                    <w:rPr>
                      <w:rFonts w:ascii="Cambria Math" w:hAnsi="Cambria Math"/>
                    </w:rPr>
                    <m:t>F</m:t>
                  </m:r>
                  <m:r>
                    <m:rPr>
                      <m:sty m:val="p"/>
                    </m:rPr>
                    <w:rPr>
                      <w:rFonts w:ascii="Cambria Math" w:hAnsi="Cambria Math"/>
                    </w:rPr>
                    <m:t>×</m:t>
                  </m:r>
                  <m:r>
                    <w:rPr>
                      <w:rFonts w:ascii="Cambria Math" w:hAnsi="Cambria Math"/>
                    </w:rPr>
                    <m:t>sin</m:t>
                  </m:r>
                  <m:sSub>
                    <m:sSubPr>
                      <m:ctrlPr>
                        <w:rPr>
                          <w:rFonts w:ascii="Cambria Math" w:hAnsi="Cambria Math"/>
                        </w:rPr>
                      </m:ctrlPr>
                    </m:sSubPr>
                    <m:e>
                      <m:r>
                        <w:rPr>
                          <w:rFonts w:ascii="Cambria Math" w:hAnsi="Cambria Math"/>
                        </w:rPr>
                        <m:t>β</m:t>
                      </m:r>
                    </m:e>
                    <m:sub>
                      <m:r>
                        <w:rPr>
                          <w:rFonts w:ascii="Cambria Math" w:hAnsi="Cambria Math"/>
                        </w:rPr>
                        <m:t>t</m:t>
                      </m:r>
                    </m:sub>
                  </m:sSub>
                </m:num>
                <m:den>
                  <m:r>
                    <w:rPr>
                      <w:rFonts w:ascii="Cambria Math" w:hAnsi="Cambria Math"/>
                    </w:rPr>
                    <m:t>b</m:t>
                  </m:r>
                  <m:r>
                    <m:rPr>
                      <m:sty m:val="p"/>
                    </m:rPr>
                    <w:rPr>
                      <w:rFonts w:ascii="Cambria Math" w:hAnsi="Cambria Math"/>
                    </w:rPr>
                    <m:t>×</m:t>
                  </m:r>
                  <m:r>
                    <w:rPr>
                      <w:rFonts w:ascii="Cambria Math" w:hAnsi="Cambria Math"/>
                    </w:rPr>
                    <m:t>l</m:t>
                  </m:r>
                  <m:r>
                    <m:rPr>
                      <m:sty m:val="p"/>
                    </m:rPr>
                    <w:rPr>
                      <w:rFonts w:ascii="Cambria Math" w:hAnsi="Cambria Math"/>
                    </w:rPr>
                    <m:t>×</m:t>
                  </m:r>
                  <m:r>
                    <w:rPr>
                      <w:rFonts w:ascii="Cambria Math" w:hAnsi="Cambria Math"/>
                    </w:rPr>
                    <m:t>cos</m:t>
                  </m:r>
                  <m:sSub>
                    <m:sSubPr>
                      <m:ctrlPr>
                        <w:rPr>
                          <w:rFonts w:ascii="Cambria Math" w:hAnsi="Cambria Math"/>
                        </w:rPr>
                      </m:ctrlPr>
                    </m:sSubPr>
                    <m:e>
                      <m:r>
                        <w:rPr>
                          <w:rFonts w:ascii="Cambria Math" w:hAnsi="Cambria Math"/>
                        </w:rPr>
                        <m:t>β</m:t>
                      </m:r>
                    </m:e>
                    <m:sub>
                      <m:r>
                        <w:rPr>
                          <w:rFonts w:ascii="Cambria Math" w:hAnsi="Cambria Math"/>
                        </w:rPr>
                        <m:t>t</m:t>
                      </m:r>
                    </m:sub>
                  </m:sSub>
                </m:den>
              </m:f>
              <m:r>
                <m:rPr>
                  <m:sty m:val="p"/>
                </m:rPr>
                <w:rPr>
                  <w:rFonts w:ascii="Cambria Math" w:hAnsi="Cambria Math"/>
                </w:rPr>
                <m:t>=</m:t>
              </m:r>
              <m:sSub>
                <m:sSubPr>
                  <m:ctrlPr>
                    <w:rPr>
                      <w:rFonts w:ascii="Cambria Math" w:hAnsi="Cambria Math"/>
                    </w:rPr>
                  </m:ctrlPr>
                </m:sSubPr>
                <m:e>
                  <m:r>
                    <w:rPr>
                      <w:rFonts w:ascii="Cambria Math" w:hAnsi="Cambria Math"/>
                    </w:rPr>
                    <m:t>σ</m:t>
                  </m:r>
                </m:e>
                <m:sub>
                  <m:r>
                    <m:rPr>
                      <m:sty m:val="p"/>
                    </m:rPr>
                    <w:rPr>
                      <w:rFonts w:ascii="Cambria Math" w:hAnsi="Cambria Math"/>
                    </w:rPr>
                    <m:t>0</m:t>
                  </m:r>
                </m:sub>
              </m:sSub>
              <m:r>
                <m:rPr>
                  <m:sty m:val="p"/>
                </m:rPr>
                <w:rPr>
                  <w:rFonts w:ascii="Cambria Math" w:hAnsi="Cambria Math"/>
                </w:rPr>
                <m:t>×</m:t>
              </m:r>
              <m:r>
                <w:rPr>
                  <w:rFonts w:ascii="Cambria Math" w:hAnsi="Cambria Math"/>
                </w:rPr>
                <m:t>tg</m:t>
              </m:r>
              <m:sSub>
                <m:sSubPr>
                  <m:ctrlPr>
                    <w:rPr>
                      <w:rFonts w:ascii="Cambria Math" w:hAnsi="Cambria Math"/>
                    </w:rPr>
                  </m:ctrlPr>
                </m:sSubPr>
                <m:e>
                  <m:r>
                    <w:rPr>
                      <w:rFonts w:ascii="Cambria Math" w:hAnsi="Cambria Math"/>
                    </w:rPr>
                    <m:t>β</m:t>
                  </m:r>
                </m:e>
                <m:sub>
                  <m:r>
                    <w:rPr>
                      <w:rFonts w:ascii="Cambria Math" w:hAnsi="Cambria Math"/>
                    </w:rPr>
                    <m:t>t</m:t>
                  </m:r>
                </m:sub>
              </m:sSub>
            </m:oMath>
            <w:r w:rsidR="00F72A81">
              <w:t>,</w:t>
            </w:r>
          </w:p>
        </w:tc>
        <w:tc>
          <w:tcPr>
            <w:tcW w:w="368" w:type="dxa"/>
          </w:tcPr>
          <w:p w14:paraId="6B1F9491" w14:textId="78FCD0CE" w:rsidR="00F72A81" w:rsidRDefault="00F72A81" w:rsidP="00F72A81">
            <w:pPr>
              <w:pStyle w:val="MDPI3aequationnumber"/>
            </w:pPr>
            <w:r>
              <w:t>(6)</w:t>
            </w:r>
          </w:p>
        </w:tc>
      </w:tr>
    </w:tbl>
    <w:p w14:paraId="115C6B7C" w14:textId="7958E321" w:rsidR="00D44CD9" w:rsidRDefault="002A57D0" w:rsidP="00F72A81">
      <w:pPr>
        <w:pStyle w:val="MDPI31text"/>
      </w:pPr>
      <m:oMath>
        <m:sSub>
          <m:sSubPr>
            <m:ctrlPr>
              <w:rPr>
                <w:rFonts w:ascii="Cambria Math" w:hAnsi="Cambria Math"/>
                <w:i/>
              </w:rPr>
            </m:ctrlPr>
          </m:sSubPr>
          <m:e>
            <m:r>
              <w:rPr>
                <w:rFonts w:ascii="Cambria Math" w:hAnsi="Cambria Math"/>
              </w:rPr>
              <m:t>β</m:t>
            </m:r>
          </m:e>
          <m:sub>
            <m:r>
              <w:rPr>
                <w:rFonts w:ascii="Cambria Math" w:hAnsi="Cambria Math"/>
              </w:rPr>
              <m:t>t</m:t>
            </m:r>
          </m:sub>
        </m:sSub>
      </m:oMath>
      <w:r w:rsidR="00D44CD9">
        <w:t xml:space="preserve"> is the </w:t>
      </w:r>
      <w:r w:rsidR="00D44CD9" w:rsidRPr="00385413">
        <w:t xml:space="preserve">angle </w:t>
      </w:r>
      <w:r w:rsidR="00C3049E">
        <w:t xml:space="preserve">of </w:t>
      </w:r>
      <w:r w:rsidR="00C3049E" w:rsidRPr="004014F7">
        <w:rPr>
          <w:color w:val="FF0000"/>
        </w:rPr>
        <w:t xml:space="preserve">slope </w:t>
      </w:r>
      <w:r w:rsidR="00D44CD9" w:rsidRPr="004014F7">
        <w:rPr>
          <w:color w:val="FF0000"/>
        </w:rPr>
        <w:t xml:space="preserve">of </w:t>
      </w:r>
      <w:r w:rsidR="00C3049E" w:rsidRPr="004014F7">
        <w:rPr>
          <w:color w:val="FF0000"/>
        </w:rPr>
        <w:t>spiral</w:t>
      </w:r>
      <w:r w:rsidR="00C3049E">
        <w:t xml:space="preserve"> </w:t>
      </w:r>
      <w:r w:rsidR="00D44CD9">
        <w:t xml:space="preserve">polymer </w:t>
      </w:r>
      <w:r w:rsidR="00D44CD9" w:rsidRPr="004014F7">
        <w:rPr>
          <w:color w:val="FF0000"/>
        </w:rPr>
        <w:t>molecule’s branch under heating</w:t>
      </w:r>
      <w:r w:rsidR="00D44CD9">
        <w:t xml:space="preserve"> (Fig. 8</w:t>
      </w:r>
      <w:r w:rsidR="004838CA">
        <w:t xml:space="preserve">, </w:t>
      </w:r>
      <w:r w:rsidR="004838CA" w:rsidRPr="004014F7">
        <w:rPr>
          <w:color w:val="FF0000"/>
        </w:rPr>
        <w:t xml:space="preserve">the </w:t>
      </w:r>
      <w:proofErr w:type="gramStart"/>
      <w:r w:rsidR="004838CA" w:rsidRPr="004014F7">
        <w:rPr>
          <w:color w:val="FF0000"/>
        </w:rPr>
        <w:t>bottom</w:t>
      </w:r>
      <w:r w:rsidR="00D44CD9">
        <w:t>).</w:t>
      </w:r>
      <w:proofErr w:type="gramEnd"/>
    </w:p>
    <w:p w14:paraId="219436CF" w14:textId="77777777" w:rsidR="008B7C31" w:rsidRDefault="008B7C31" w:rsidP="008B7C31">
      <w:pPr>
        <w:pStyle w:val="MDPI31text"/>
      </w:pPr>
      <w:r>
        <w:t xml:space="preserve">So, the </w:t>
      </w:r>
      <w:proofErr w:type="spellStart"/>
      <w:r>
        <w:t>MoE</w:t>
      </w:r>
      <w:proofErr w:type="spellEnd"/>
      <w:r>
        <w:t xml:space="preserve"> under temperature depends on </w:t>
      </w:r>
      <w:proofErr w:type="spellStart"/>
      <w:r>
        <w:t>MoE</w:t>
      </w:r>
      <w:proofErr w:type="spellEnd"/>
      <w:r>
        <w:t xml:space="preserve"> under normal temperature</w:t>
      </w:r>
      <w:r w:rsidR="00D44CD9">
        <w:t xml:space="preserve"> (</w:t>
      </w:r>
      <m:oMath>
        <m:sSub>
          <m:sSubPr>
            <m:ctrlPr>
              <w:rPr>
                <w:rFonts w:ascii="Cambria Math" w:hAnsi="Cambria Math"/>
                <w:i/>
              </w:rPr>
            </m:ctrlPr>
          </m:sSubPr>
          <m:e>
            <m:r>
              <w:rPr>
                <w:rFonts w:ascii="Cambria Math" w:hAnsi="Cambria Math"/>
              </w:rPr>
              <m:t>E</m:t>
            </m:r>
          </m:e>
          <m:sub>
            <m:r>
              <w:rPr>
                <w:rFonts w:ascii="Cambria Math" w:hAnsi="Cambria Math"/>
              </w:rPr>
              <m:t>0</m:t>
            </m:r>
          </m:sub>
        </m:sSub>
      </m:oMath>
      <w:r w:rsidR="00D44CD9">
        <w:t>) by the following model:</w:t>
      </w:r>
    </w:p>
    <w:p w14:paraId="4E0776F8" w14:textId="77777777" w:rsidR="00D44CD9" w:rsidRPr="00F52F29" w:rsidRDefault="00D44CD9" w:rsidP="008B7C31">
      <w:pPr>
        <w:pStyle w:val="MDPI31text"/>
      </w:pPr>
    </w:p>
    <w:tbl>
      <w:tblPr>
        <w:tblStyle w:val="a3"/>
        <w:tblW w:w="0" w:type="auto"/>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08"/>
        <w:gridCol w:w="450"/>
      </w:tblGrid>
      <w:tr w:rsidR="00564E7E" w14:paraId="65CA3EEE" w14:textId="77777777" w:rsidTr="009D6BB0">
        <w:tc>
          <w:tcPr>
            <w:tcW w:w="7706" w:type="dxa"/>
          </w:tcPr>
          <w:p w14:paraId="38774C83" w14:textId="74623A2C" w:rsidR="00564E7E" w:rsidRPr="00404555" w:rsidRDefault="002A57D0" w:rsidP="00564E7E">
            <w:pPr>
              <w:pStyle w:val="MDPI39equation"/>
            </w:pPr>
            <m:oMath>
              <m:sSub>
                <m:sSubPr>
                  <m:ctrlPr>
                    <w:rPr>
                      <w:rFonts w:ascii="Cambria Math" w:hAnsi="Cambria Math"/>
                    </w:rPr>
                  </m:ctrlPr>
                </m:sSubPr>
                <m:e>
                  <m:r>
                    <w:rPr>
                      <w:rFonts w:ascii="Cambria Math" w:hAnsi="Cambria Math"/>
                    </w:rPr>
                    <m:t>E</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m:rPr>
                      <m:sty m:val="p"/>
                    </m:rPr>
                    <w:rPr>
                      <w:rFonts w:ascii="Cambria Math" w:hAnsi="Cambria Math"/>
                    </w:rPr>
                    <m:t>0</m:t>
                  </m:r>
                </m:sub>
              </m:sSub>
              <m:r>
                <m:rPr>
                  <m:sty m:val="p"/>
                </m:rPr>
                <w:rPr>
                  <w:rFonts w:ascii="Cambria Math" w:hAnsi="Cambria Math"/>
                </w:rPr>
                <m:t>×</m:t>
              </m:r>
              <m:r>
                <w:rPr>
                  <w:rFonts w:ascii="Cambria Math" w:hAnsi="Cambria Math"/>
                </w:rPr>
                <m:t>tg</m:t>
              </m:r>
              <m:sSub>
                <m:sSubPr>
                  <m:ctrlPr>
                    <w:rPr>
                      <w:rFonts w:ascii="Cambria Math" w:hAnsi="Cambria Math"/>
                    </w:rPr>
                  </m:ctrlPr>
                </m:sSubPr>
                <m:e>
                  <m:r>
                    <w:rPr>
                      <w:rFonts w:ascii="Cambria Math" w:hAnsi="Cambria Math"/>
                    </w:rPr>
                    <m:t>β</m:t>
                  </m:r>
                </m:e>
                <m:sub>
                  <m:r>
                    <w:rPr>
                      <w:rFonts w:ascii="Cambria Math" w:hAnsi="Cambria Math"/>
                    </w:rPr>
                    <m:t>t</m:t>
                  </m:r>
                </m:sub>
              </m:sSub>
            </m:oMath>
            <w:r w:rsidR="00564E7E">
              <w:t>.</w:t>
            </w:r>
          </w:p>
        </w:tc>
        <w:tc>
          <w:tcPr>
            <w:tcW w:w="368" w:type="dxa"/>
          </w:tcPr>
          <w:p w14:paraId="53BF1D0C" w14:textId="151809A1" w:rsidR="00564E7E" w:rsidRDefault="00564E7E" w:rsidP="00564E7E">
            <w:pPr>
              <w:pStyle w:val="MDPI3aequationnumber"/>
            </w:pPr>
            <w:r>
              <w:t>(7)</w:t>
            </w:r>
          </w:p>
        </w:tc>
      </w:tr>
    </w:tbl>
    <w:p w14:paraId="39349A95" w14:textId="76F775B5" w:rsidR="00CA3408" w:rsidRPr="00385413" w:rsidRDefault="00B92BC5" w:rsidP="00564E7E">
      <w:pPr>
        <w:pStyle w:val="MDPI3aequationnumber"/>
      </w:pPr>
      <w:r>
        <w:tab/>
      </w:r>
      <w:r>
        <w:tab/>
      </w:r>
      <w:r w:rsidR="00CA3408">
        <w:t>Using the equation (12) from previous CTE modelling by compensational model [</w:t>
      </w:r>
      <w:r w:rsidR="00C3049E">
        <w:t>28</w:t>
      </w:r>
      <w:r w:rsidR="00CA3408">
        <w:t>]</w:t>
      </w:r>
      <w:r w:rsidR="00CA3408" w:rsidRPr="00385413">
        <w:t xml:space="preserve"> </w:t>
      </w:r>
    </w:p>
    <w:tbl>
      <w:tblPr>
        <w:tblStyle w:val="a3"/>
        <w:tblW w:w="0" w:type="auto"/>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08"/>
        <w:gridCol w:w="450"/>
      </w:tblGrid>
      <w:tr w:rsidR="009A3E51" w14:paraId="7DA27401" w14:textId="77777777" w:rsidTr="009D6BB0">
        <w:tc>
          <w:tcPr>
            <w:tcW w:w="7706" w:type="dxa"/>
          </w:tcPr>
          <w:p w14:paraId="7EBC5E13" w14:textId="3187A222" w:rsidR="009A3E51" w:rsidRPr="00404555" w:rsidRDefault="002A57D0" w:rsidP="009D6BB0">
            <w:pPr>
              <w:pStyle w:val="MDPI39equation"/>
            </w:pPr>
            <m:oMath>
              <m:sSub>
                <m:sSubPr>
                  <m:ctrlPr>
                    <w:rPr>
                      <w:rFonts w:ascii="Cambria Math" w:hAnsi="Cambria Math"/>
                    </w:rPr>
                  </m:ctrlPr>
                </m:sSubPr>
                <m:e>
                  <m:r>
                    <w:rPr>
                      <w:rFonts w:ascii="Cambria Math" w:hAnsi="Cambria Math"/>
                    </w:rPr>
                    <m:t>E</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m:rPr>
                      <m:sty m:val="p"/>
                    </m:rPr>
                    <w:rPr>
                      <w:rFonts w:ascii="Cambria Math" w:hAnsi="Cambria Math"/>
                    </w:rPr>
                    <m:t>0</m:t>
                  </m:r>
                </m:sub>
              </m:sSub>
              <m:r>
                <m:rPr>
                  <m:sty m:val="p"/>
                </m:rPr>
                <w:rPr>
                  <w:rFonts w:ascii="Cambria Math" w:hAnsi="Cambria Math"/>
                </w:rPr>
                <m:t>×</m:t>
              </m:r>
              <m:r>
                <w:rPr>
                  <w:rFonts w:ascii="Cambria Math" w:hAnsi="Cambria Math"/>
                </w:rPr>
                <m:t>tg</m:t>
              </m:r>
              <m:d>
                <m:dPr>
                  <m:begChr m:val="["/>
                  <m:endChr m:val="]"/>
                  <m:ctrlPr>
                    <w:rPr>
                      <w:rFonts w:ascii="Cambria Math" w:hAnsi="Cambria Math"/>
                    </w:rPr>
                  </m:ctrlPr>
                </m:dPr>
                <m:e>
                  <m:r>
                    <w:rPr>
                      <w:rFonts w:ascii="Cambria Math" w:hAnsi="Cambria Math"/>
                    </w:rPr>
                    <m:t>arctg</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w:rPr>
                                  <w:rFonts w:ascii="Cambria Math" w:hAnsi="Cambria Math"/>
                                </w:rPr>
                                <m:t>α</m:t>
                              </m:r>
                            </m:e>
                            <m:sub>
                              <m:r>
                                <w:rPr>
                                  <w:rFonts w:ascii="Cambria Math" w:hAnsi="Cambria Math"/>
                                </w:rPr>
                                <m:t>t</m:t>
                              </m:r>
                            </m:sub>
                          </m:sSub>
                        </m:num>
                        <m:den>
                          <m:sSub>
                            <m:sSubPr>
                              <m:ctrlPr>
                                <w:rPr>
                                  <w:rFonts w:ascii="Cambria Math" w:hAnsi="Cambria Math"/>
                                </w:rPr>
                              </m:ctrlPr>
                            </m:sSubPr>
                            <m:e>
                              <m:r>
                                <w:rPr>
                                  <w:rFonts w:ascii="Cambria Math" w:hAnsi="Cambria Math"/>
                                </w:rPr>
                                <m:t>α</m:t>
                              </m:r>
                            </m:e>
                            <m:sub>
                              <m:r>
                                <w:rPr>
                                  <w:rFonts w:ascii="Cambria Math" w:hAnsi="Cambria Math"/>
                                </w:rPr>
                                <m:t>tg</m:t>
                              </m:r>
                            </m:sub>
                          </m:sSub>
                        </m:den>
                      </m:f>
                    </m:e>
                  </m:d>
                </m:e>
              </m:d>
              <m:r>
                <m:rPr>
                  <m:sty m:val="p"/>
                </m:rPr>
                <w:rPr>
                  <w:rFonts w:ascii="Cambria Math" w:hAnsi="Cambria Math"/>
                </w:rPr>
                <m:t>=</m:t>
              </m:r>
              <m:sSub>
                <m:sSubPr>
                  <m:ctrlPr>
                    <w:rPr>
                      <w:rFonts w:ascii="Cambria Math" w:hAnsi="Cambria Math"/>
                    </w:rPr>
                  </m:ctrlPr>
                </m:sSubPr>
                <m:e>
                  <m:r>
                    <w:rPr>
                      <w:rFonts w:ascii="Cambria Math" w:hAnsi="Cambria Math"/>
                    </w:rPr>
                    <m:t>E</m:t>
                  </m:r>
                </m:e>
                <m:sub>
                  <m:r>
                    <m:rPr>
                      <m:sty m:val="p"/>
                    </m:rPr>
                    <w:rPr>
                      <w:rFonts w:ascii="Cambria Math" w:hAnsi="Cambria Math"/>
                    </w:rPr>
                    <m:t>0</m:t>
                  </m:r>
                </m:sub>
              </m:sSub>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w:rPr>
                              <w:rFonts w:ascii="Cambria Math" w:hAnsi="Cambria Math"/>
                            </w:rPr>
                            <m:t>α</m:t>
                          </m:r>
                        </m:e>
                        <m:sub>
                          <m:r>
                            <w:rPr>
                              <w:rFonts w:ascii="Cambria Math" w:hAnsi="Cambria Math"/>
                            </w:rPr>
                            <m:t>t</m:t>
                          </m:r>
                        </m:sub>
                      </m:sSub>
                    </m:num>
                    <m:den>
                      <m:sSub>
                        <m:sSubPr>
                          <m:ctrlPr>
                            <w:rPr>
                              <w:rFonts w:ascii="Cambria Math" w:hAnsi="Cambria Math"/>
                            </w:rPr>
                          </m:ctrlPr>
                        </m:sSubPr>
                        <m:e>
                          <m:r>
                            <w:rPr>
                              <w:rFonts w:ascii="Cambria Math" w:hAnsi="Cambria Math"/>
                            </w:rPr>
                            <m:t>α</m:t>
                          </m:r>
                        </m:e>
                        <m:sub>
                          <m:r>
                            <w:rPr>
                              <w:rFonts w:ascii="Cambria Math" w:hAnsi="Cambria Math"/>
                            </w:rPr>
                            <m:t>tg</m:t>
                          </m:r>
                        </m:sub>
                      </m:sSub>
                    </m:den>
                  </m:f>
                </m:e>
              </m:d>
            </m:oMath>
            <w:r w:rsidR="009A3E51">
              <w:t>,</w:t>
            </w:r>
          </w:p>
        </w:tc>
        <w:tc>
          <w:tcPr>
            <w:tcW w:w="368" w:type="dxa"/>
          </w:tcPr>
          <w:p w14:paraId="1B71F3CB" w14:textId="747A5382" w:rsidR="009A3E51" w:rsidRDefault="009A3E51" w:rsidP="009D6BB0">
            <w:pPr>
              <w:pStyle w:val="MDPI3aequationnumber"/>
            </w:pPr>
            <w:r>
              <w:t>(8)</w:t>
            </w:r>
          </w:p>
        </w:tc>
      </w:tr>
    </w:tbl>
    <w:p w14:paraId="551C44F9" w14:textId="53DF793B" w:rsidR="0002294F" w:rsidRDefault="002A57D0" w:rsidP="009A3E51">
      <w:pPr>
        <w:pStyle w:val="MDPI31text"/>
      </w:pP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0002294F">
        <w:t xml:space="preserve"> – CTE under definite temperature;</w:t>
      </w:r>
    </w:p>
    <w:p w14:paraId="388EE3D7" w14:textId="77777777" w:rsidR="0002294F" w:rsidRPr="0002294F" w:rsidRDefault="002A57D0" w:rsidP="0002294F">
      <w:pPr>
        <w:pStyle w:val="MDPI31text"/>
      </w:pPr>
      <m:oMath>
        <m:sSub>
          <m:sSubPr>
            <m:ctrlPr>
              <w:rPr>
                <w:rFonts w:ascii="Cambria Math" w:hAnsi="Cambria Math"/>
                <w:i/>
              </w:rPr>
            </m:ctrlPr>
          </m:sSubPr>
          <m:e>
            <m:r>
              <w:rPr>
                <w:rFonts w:ascii="Cambria Math" w:hAnsi="Cambria Math"/>
              </w:rPr>
              <m:t>α</m:t>
            </m:r>
          </m:e>
          <m:sub>
            <m:r>
              <w:rPr>
                <w:rFonts w:ascii="Cambria Math" w:hAnsi="Cambria Math"/>
              </w:rPr>
              <m:t>tg</m:t>
            </m:r>
          </m:sub>
        </m:sSub>
      </m:oMath>
      <w:r w:rsidR="0002294F">
        <w:t xml:space="preserve"> – CTE under glassing temperature Tg.</w:t>
      </w:r>
    </w:p>
    <w:p w14:paraId="5CC791B6" w14:textId="77777777" w:rsidR="00D44CD9" w:rsidRDefault="00B92BC5" w:rsidP="00CA3408">
      <w:pPr>
        <w:pStyle w:val="MDPI31text"/>
      </w:pPr>
      <w:r>
        <w:t>So</w:t>
      </w:r>
      <w:r w:rsidR="00B27EF9">
        <w:t>,</w:t>
      </w:r>
      <w:r>
        <w:t xml:space="preserve"> the constant of </w:t>
      </w:r>
      <w:proofErr w:type="spellStart"/>
      <w:r>
        <w:t>MoE</w:t>
      </w:r>
      <w:proofErr w:type="spellEnd"/>
      <w:r>
        <w:t>-CTE</w:t>
      </w:r>
      <w:r w:rsidRPr="00B92BC5">
        <w:t xml:space="preserve"> </w:t>
      </w:r>
      <w:r>
        <w:t xml:space="preserve">relation is the basic normal temperature polymer ITZ shell’s </w:t>
      </w:r>
      <w:proofErr w:type="spellStart"/>
      <w:r>
        <w:t>MoE</w:t>
      </w:r>
      <w:proofErr w:type="spellEnd"/>
    </w:p>
    <w:tbl>
      <w:tblPr>
        <w:tblStyle w:val="a3"/>
        <w:tblW w:w="0" w:type="auto"/>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08"/>
        <w:gridCol w:w="450"/>
      </w:tblGrid>
      <w:tr w:rsidR="00032954" w14:paraId="62629324" w14:textId="77777777" w:rsidTr="009D6BB0">
        <w:tc>
          <w:tcPr>
            <w:tcW w:w="7706" w:type="dxa"/>
          </w:tcPr>
          <w:p w14:paraId="28CE349B" w14:textId="31822D14" w:rsidR="00032954" w:rsidRPr="00404555" w:rsidRDefault="002A57D0" w:rsidP="009D6BB0">
            <w:pPr>
              <w:pStyle w:val="MDPI39equation"/>
            </w:pPr>
            <m:oMath>
              <m:sSub>
                <m:sSubPr>
                  <m:ctrlPr>
                    <w:rPr>
                      <w:rFonts w:ascii="Cambria Math" w:hAnsi="Cambria Math"/>
                    </w:rPr>
                  </m:ctrlPr>
                </m:sSubPr>
                <m:e>
                  <m:r>
                    <w:rPr>
                      <w:rFonts w:ascii="Cambria Math" w:hAnsi="Cambria Math"/>
                    </w:rPr>
                    <m:t>E</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w:rPr>
                      <w:rFonts w:ascii="Cambria Math" w:hAnsi="Cambria Math"/>
                    </w:rPr>
                    <m:t>t</m:t>
                  </m:r>
                </m:sub>
              </m:sSub>
              <m:f>
                <m:fPr>
                  <m:ctrlPr>
                    <w:rPr>
                      <w:rFonts w:ascii="Cambria Math" w:hAnsi="Cambria Math"/>
                    </w:rPr>
                  </m:ctrlPr>
                </m:fPr>
                <m:num>
                  <m:sSub>
                    <m:sSubPr>
                      <m:ctrlPr>
                        <w:rPr>
                          <w:rFonts w:ascii="Cambria Math" w:hAnsi="Cambria Math"/>
                        </w:rPr>
                      </m:ctrlPr>
                    </m:sSubPr>
                    <m:e>
                      <m:r>
                        <w:rPr>
                          <w:rFonts w:ascii="Cambria Math" w:hAnsi="Cambria Math"/>
                        </w:rPr>
                        <m:t>α</m:t>
                      </m:r>
                    </m:e>
                    <m:sub>
                      <m:r>
                        <w:rPr>
                          <w:rFonts w:ascii="Cambria Math" w:hAnsi="Cambria Math"/>
                        </w:rPr>
                        <m:t>tg</m:t>
                      </m:r>
                    </m:sub>
                  </m:sSub>
                </m:num>
                <m:den>
                  <m:sSub>
                    <m:sSubPr>
                      <m:ctrlPr>
                        <w:rPr>
                          <w:rFonts w:ascii="Cambria Math" w:hAnsi="Cambria Math"/>
                        </w:rPr>
                      </m:ctrlPr>
                    </m:sSubPr>
                    <m:e>
                      <m:r>
                        <w:rPr>
                          <w:rFonts w:ascii="Cambria Math" w:hAnsi="Cambria Math"/>
                        </w:rPr>
                        <m:t>α</m:t>
                      </m:r>
                    </m:e>
                    <m:sub>
                      <m:r>
                        <w:rPr>
                          <w:rFonts w:ascii="Cambria Math" w:hAnsi="Cambria Math"/>
                        </w:rPr>
                        <m:t>tg</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t</m:t>
                      </m:r>
                    </m:sub>
                  </m:sSub>
                </m:den>
              </m:f>
            </m:oMath>
            <w:r w:rsidR="00032954">
              <w:t xml:space="preserve"> .</w:t>
            </w:r>
          </w:p>
        </w:tc>
        <w:tc>
          <w:tcPr>
            <w:tcW w:w="368" w:type="dxa"/>
          </w:tcPr>
          <w:p w14:paraId="09C4EA70" w14:textId="1D0898AA" w:rsidR="00032954" w:rsidRDefault="00032954" w:rsidP="009D6BB0">
            <w:pPr>
              <w:pStyle w:val="MDPI3aequationnumber"/>
            </w:pPr>
            <w:r>
              <w:t>(9)</w:t>
            </w:r>
          </w:p>
        </w:tc>
      </w:tr>
    </w:tbl>
    <w:p w14:paraId="4B562217" w14:textId="1299851C" w:rsidR="00B92BC5" w:rsidRDefault="00190C71" w:rsidP="00032954">
      <w:pPr>
        <w:pStyle w:val="MDPI31text"/>
      </w:pPr>
      <w:r>
        <w:tab/>
      </w:r>
      <w:r w:rsidR="00B92BC5">
        <w:t>For polymers under normal temperature 20</w:t>
      </w:r>
      <w:r w:rsidR="00B92BC5">
        <w:rPr>
          <w:vertAlign w:val="superscript"/>
        </w:rPr>
        <w:t>0</w:t>
      </w:r>
      <w:r w:rsidR="00B92BC5">
        <w:t>C</w:t>
      </w:r>
    </w:p>
    <w:tbl>
      <w:tblPr>
        <w:tblStyle w:val="a3"/>
        <w:tblW w:w="0" w:type="auto"/>
        <w:tblInd w:w="26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08"/>
        <w:gridCol w:w="550"/>
      </w:tblGrid>
      <w:tr w:rsidR="00032954" w14:paraId="4C933BA5" w14:textId="77777777" w:rsidTr="009D6BB0">
        <w:tc>
          <w:tcPr>
            <w:tcW w:w="7706" w:type="dxa"/>
          </w:tcPr>
          <w:p w14:paraId="30F7E83E" w14:textId="4C1BB2C0" w:rsidR="00032954" w:rsidRPr="00404555" w:rsidRDefault="002A57D0" w:rsidP="009D6BB0">
            <w:pPr>
              <w:pStyle w:val="MDPI39equation"/>
            </w:pPr>
            <m:oMath>
              <m:sSub>
                <m:sSubPr>
                  <m:ctrlPr>
                    <w:rPr>
                      <w:rFonts w:ascii="Cambria Math" w:hAnsi="Cambria Math"/>
                    </w:rPr>
                  </m:ctrlPr>
                </m:sSubPr>
                <m:e>
                  <m:r>
                    <w:rPr>
                      <w:rFonts w:ascii="Cambria Math" w:hAnsi="Cambria Math"/>
                    </w:rPr>
                    <m:t>E</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E</m:t>
                  </m:r>
                </m:e>
                <m:sub>
                  <m:r>
                    <m:rPr>
                      <m:sty m:val="p"/>
                    </m:rPr>
                    <w:rPr>
                      <w:rFonts w:ascii="Cambria Math" w:hAnsi="Cambria Math"/>
                    </w:rPr>
                    <m:t>20</m:t>
                  </m:r>
                </m:sub>
              </m:sSub>
              <m:f>
                <m:fPr>
                  <m:ctrlPr>
                    <w:rPr>
                      <w:rFonts w:ascii="Cambria Math" w:hAnsi="Cambria Math"/>
                    </w:rPr>
                  </m:ctrlPr>
                </m:fPr>
                <m:num>
                  <m:sSub>
                    <m:sSubPr>
                      <m:ctrlPr>
                        <w:rPr>
                          <w:rFonts w:ascii="Cambria Math" w:hAnsi="Cambria Math"/>
                        </w:rPr>
                      </m:ctrlPr>
                    </m:sSubPr>
                    <m:e>
                      <m:r>
                        <w:rPr>
                          <w:rFonts w:ascii="Cambria Math" w:hAnsi="Cambria Math"/>
                        </w:rPr>
                        <m:t>α</m:t>
                      </m:r>
                    </m:e>
                    <m:sub>
                      <m:r>
                        <w:rPr>
                          <w:rFonts w:ascii="Cambria Math" w:hAnsi="Cambria Math"/>
                        </w:rPr>
                        <m:t>tg</m:t>
                      </m:r>
                    </m:sub>
                  </m:sSub>
                </m:num>
                <m:den>
                  <m:sSub>
                    <m:sSubPr>
                      <m:ctrlPr>
                        <w:rPr>
                          <w:rFonts w:ascii="Cambria Math" w:hAnsi="Cambria Math"/>
                        </w:rPr>
                      </m:ctrlPr>
                    </m:sSubPr>
                    <m:e>
                      <m:r>
                        <w:rPr>
                          <w:rFonts w:ascii="Cambria Math" w:hAnsi="Cambria Math"/>
                        </w:rPr>
                        <m:t>α</m:t>
                      </m:r>
                    </m:e>
                    <m:sub>
                      <m:r>
                        <w:rPr>
                          <w:rFonts w:ascii="Cambria Math" w:hAnsi="Cambria Math"/>
                        </w:rPr>
                        <m:t>tg</m:t>
                      </m:r>
                    </m:sub>
                  </m:sSub>
                  <m:r>
                    <m:rPr>
                      <m:sty m:val="p"/>
                    </m:rPr>
                    <w:rPr>
                      <w:rFonts w:ascii="Cambria Math" w:hAnsi="Cambria Math"/>
                    </w:rPr>
                    <m:t>-</m:t>
                  </m:r>
                  <m:sSub>
                    <m:sSubPr>
                      <m:ctrlPr>
                        <w:rPr>
                          <w:rFonts w:ascii="Cambria Math" w:hAnsi="Cambria Math"/>
                        </w:rPr>
                      </m:ctrlPr>
                    </m:sSubPr>
                    <m:e>
                      <m:r>
                        <w:rPr>
                          <w:rFonts w:ascii="Cambria Math" w:hAnsi="Cambria Math"/>
                        </w:rPr>
                        <m:t>α</m:t>
                      </m:r>
                    </m:e>
                    <m:sub>
                      <m:r>
                        <m:rPr>
                          <m:sty m:val="p"/>
                        </m:rPr>
                        <w:rPr>
                          <w:rFonts w:ascii="Cambria Math" w:hAnsi="Cambria Math"/>
                        </w:rPr>
                        <m:t>20</m:t>
                      </m:r>
                    </m:sub>
                  </m:sSub>
                </m:den>
              </m:f>
            </m:oMath>
            <w:r w:rsidR="00032954">
              <w:t xml:space="preserve">. </w:t>
            </w:r>
            <w:r w:rsidR="00032954">
              <w:tab/>
            </w:r>
          </w:p>
        </w:tc>
        <w:tc>
          <w:tcPr>
            <w:tcW w:w="368" w:type="dxa"/>
          </w:tcPr>
          <w:p w14:paraId="31956D6A" w14:textId="032ACB54" w:rsidR="00032954" w:rsidRDefault="00032954" w:rsidP="009D6BB0">
            <w:pPr>
              <w:pStyle w:val="MDPI3aequationnumber"/>
            </w:pPr>
            <w:r>
              <w:t>(10)</w:t>
            </w:r>
          </w:p>
        </w:tc>
      </w:tr>
    </w:tbl>
    <w:p w14:paraId="761CA82E" w14:textId="77777777" w:rsidR="008C757A" w:rsidRDefault="001D6ED6" w:rsidP="00032954">
      <w:pPr>
        <w:pStyle w:val="MDPI31text"/>
      </w:pPr>
      <w:r>
        <w:t xml:space="preserve">That is the searching function </w:t>
      </w:r>
      <w:proofErr w:type="spellStart"/>
      <w:r>
        <w:t>MoE</w:t>
      </w:r>
      <w:proofErr w:type="spellEnd"/>
      <w:r>
        <w:t xml:space="preserve">=f(CTE) and relaxation model of </w:t>
      </w:r>
      <w:proofErr w:type="spellStart"/>
      <w:r>
        <w:t>MoE</w:t>
      </w:r>
      <w:proofErr w:type="spellEnd"/>
      <w:r>
        <w:t>-CTE relation. Further investigation was devoted to the approbation of Barker’s and author’s relaxation models.</w:t>
      </w:r>
    </w:p>
    <w:p w14:paraId="446CDCE1" w14:textId="77777777" w:rsidR="00941D0F" w:rsidRPr="0000388A" w:rsidRDefault="00941D0F" w:rsidP="00941D0F">
      <w:pPr>
        <w:pStyle w:val="MDPI22heading2"/>
        <w:spacing w:before="240"/>
      </w:pPr>
      <w:r w:rsidRPr="0000388A">
        <w:lastRenderedPageBreak/>
        <w:t>3.</w:t>
      </w:r>
      <w:r>
        <w:t>3</w:t>
      </w:r>
      <w:r w:rsidRPr="0000388A">
        <w:t xml:space="preserve">. </w:t>
      </w:r>
      <w:r>
        <w:t>Testing of relations’ MoE-CTE models</w:t>
      </w:r>
    </w:p>
    <w:p w14:paraId="1F627A6F" w14:textId="77777777" w:rsidR="00941D0F" w:rsidRDefault="00941D0F" w:rsidP="00D60B4B">
      <w:pPr>
        <w:pStyle w:val="MDPI31text"/>
      </w:pPr>
    </w:p>
    <w:p w14:paraId="1FFFADDF" w14:textId="4F923AE5" w:rsidR="007B2E86" w:rsidRDefault="001D6ED6" w:rsidP="001D6ED6">
      <w:pPr>
        <w:pStyle w:val="MDPI31text"/>
      </w:pPr>
      <w:r>
        <w:t xml:space="preserve">The TE and </w:t>
      </w:r>
      <w:proofErr w:type="spellStart"/>
      <w:r>
        <w:t>MoE</w:t>
      </w:r>
      <w:proofErr w:type="spellEnd"/>
      <w:r>
        <w:t xml:space="preserve"> data processing included determination of CTE</w:t>
      </w:r>
      <w:r w:rsidR="007B2E86">
        <w:t xml:space="preserve"> (</w:t>
      </w: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007B2E86">
        <w:t>)</w:t>
      </w:r>
      <w:r>
        <w:t xml:space="preserve"> and </w:t>
      </w:r>
      <w:proofErr w:type="spellStart"/>
      <w:r>
        <w:t>MoE</w:t>
      </w:r>
      <w:proofErr w:type="spellEnd"/>
      <w:r w:rsidR="007B2E86">
        <w:t xml:space="preserve"> (</w:t>
      </w:r>
      <m:oMath>
        <m:sSub>
          <m:sSubPr>
            <m:ctrlPr>
              <w:rPr>
                <w:rFonts w:ascii="Cambria Math" w:hAnsi="Cambria Math"/>
                <w:i/>
              </w:rPr>
            </m:ctrlPr>
          </m:sSubPr>
          <m:e>
            <m:r>
              <w:rPr>
                <w:rFonts w:ascii="Cambria Math" w:hAnsi="Cambria Math"/>
              </w:rPr>
              <m:t>E</m:t>
            </m:r>
          </m:e>
          <m:sub>
            <m:r>
              <w:rPr>
                <w:rFonts w:ascii="Cambria Math" w:hAnsi="Cambria Math"/>
              </w:rPr>
              <m:t>t</m:t>
            </m:r>
          </m:sub>
        </m:sSub>
      </m:oMath>
      <w:r w:rsidR="007B2E86">
        <w:t xml:space="preserve">) </w:t>
      </w:r>
      <w:r>
        <w:t>values under the same character temperatures</w:t>
      </w:r>
      <w:r w:rsidR="00031BEA">
        <w:t xml:space="preserve"> by Fig. 4, 5, 6, 7</w:t>
      </w:r>
      <w:r>
        <w:t>.</w:t>
      </w:r>
      <w:r w:rsidR="007B2E86">
        <w:t xml:space="preserve"> After that the calculation</w:t>
      </w:r>
      <w:r w:rsidR="00031BEA">
        <w:t>s</w:t>
      </w:r>
      <w:r w:rsidR="007B2E86">
        <w:t xml:space="preserve"> by Barker’s (1) and author’s relaxation (9) models w</w:t>
      </w:r>
      <w:r w:rsidR="00031BEA">
        <w:t>ere</w:t>
      </w:r>
      <w:r w:rsidR="007B2E86">
        <w:t xml:space="preserve"> made. To value accuracy of models</w:t>
      </w:r>
      <w:r w:rsidR="00993F2A">
        <w:t>,</w:t>
      </w:r>
      <w:r w:rsidR="007B2E86">
        <w:t xml:space="preserve"> the variation coefficient</w:t>
      </w:r>
      <w:r w:rsidR="00993F2A">
        <w:t xml:space="preserve"> </w:t>
      </w:r>
      <m:oMath>
        <m:sSub>
          <m:sSubPr>
            <m:ctrlPr>
              <w:rPr>
                <w:rFonts w:ascii="Cambria Math" w:hAnsi="Cambria Math"/>
                <w:i/>
              </w:rPr>
            </m:ctrlPr>
          </m:sSubPr>
          <m:e>
            <m:r>
              <w:rPr>
                <w:rFonts w:ascii="Cambria Math" w:hAnsi="Cambria Math"/>
              </w:rPr>
              <m:t>C</m:t>
            </m:r>
          </m:e>
          <m:sub>
            <m:r>
              <w:rPr>
                <w:rFonts w:ascii="Cambria Math" w:hAnsi="Cambria Math"/>
              </w:rPr>
              <m:t>v</m:t>
            </m:r>
          </m:sub>
        </m:sSub>
      </m:oMath>
      <w:r w:rsidR="007B2E86">
        <w:t xml:space="preserve"> </w:t>
      </w:r>
      <w:r w:rsidR="00993F2A">
        <w:t xml:space="preserve">for every composition </w:t>
      </w:r>
      <w:r w:rsidR="007B2E86">
        <w:t>was determined by</w:t>
      </w:r>
    </w:p>
    <w:p w14:paraId="2EBE0AAC" w14:textId="77777777" w:rsidR="00993F2A" w:rsidRDefault="002A57D0" w:rsidP="00BD12C4">
      <w:pPr>
        <w:pStyle w:val="MDPI3aequationnumber"/>
      </w:pPr>
      <m:oMath>
        <m:sSub>
          <m:sSubPr>
            <m:ctrlPr>
              <w:rPr>
                <w:rFonts w:ascii="Cambria Math" w:hAnsi="Cambria Math"/>
              </w:rPr>
            </m:ctrlPr>
          </m:sSubPr>
          <m:e>
            <m:r>
              <w:rPr>
                <w:rFonts w:ascii="Cambria Math" w:hAnsi="Cambria Math"/>
              </w:rPr>
              <m:t>C</m:t>
            </m:r>
          </m:e>
          <m:sub>
            <m:r>
              <w:rPr>
                <w:rFonts w:ascii="Cambria Math" w:hAnsi="Cambria Math"/>
              </w:rPr>
              <m:t>v</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S</m:t>
                </m:r>
              </m:e>
              <m:sub>
                <m:r>
                  <w:rPr>
                    <w:rFonts w:ascii="Cambria Math" w:hAnsi="Cambria Math"/>
                  </w:rPr>
                  <m:t>y</m:t>
                </m:r>
              </m:sub>
            </m:sSub>
          </m:num>
          <m:den>
            <m:acc>
              <m:accPr>
                <m:chr m:val="̅"/>
                <m:ctrlPr>
                  <w:rPr>
                    <w:rFonts w:ascii="Cambria Math" w:hAnsi="Cambria Math"/>
                  </w:rPr>
                </m:ctrlPr>
              </m:accPr>
              <m:e>
                <m:r>
                  <w:rPr>
                    <w:rFonts w:ascii="Cambria Math" w:hAnsi="Cambria Math"/>
                  </w:rPr>
                  <m:t>y</m:t>
                </m:r>
              </m:e>
            </m:acc>
          </m:den>
        </m:f>
        <m:r>
          <m:rPr>
            <m:sty m:val="p"/>
          </m:rPr>
          <w:rPr>
            <w:rFonts w:ascii="Cambria Math" w:hAnsi="Cambria Math"/>
          </w:rPr>
          <m:t>100%</m:t>
        </m:r>
      </m:oMath>
      <w:r w:rsidR="00993F2A">
        <w:t>,</w:t>
      </w:r>
      <w:r w:rsidR="00993F2A">
        <w:tab/>
      </w:r>
      <w:r w:rsidR="00993F2A">
        <w:tab/>
      </w:r>
      <w:r w:rsidR="00993F2A">
        <w:tab/>
      </w:r>
      <w:r w:rsidR="00993F2A">
        <w:tab/>
      </w:r>
      <w:r w:rsidR="00993F2A">
        <w:tab/>
      </w:r>
      <w:r w:rsidR="00993F2A">
        <w:tab/>
        <w:t>(11)</w:t>
      </w:r>
    </w:p>
    <w:p w14:paraId="4BAC26F9" w14:textId="77777777" w:rsidR="00993F2A" w:rsidRDefault="002A57D0" w:rsidP="00993F2A">
      <w:pPr>
        <w:pStyle w:val="MDPI31text"/>
      </w:pPr>
      <m:oMath>
        <m:acc>
          <m:accPr>
            <m:chr m:val="̅"/>
            <m:ctrlPr>
              <w:rPr>
                <w:rFonts w:ascii="Cambria Math" w:hAnsi="Cambria Math"/>
                <w:i/>
              </w:rPr>
            </m:ctrlPr>
          </m:accPr>
          <m:e>
            <m:r>
              <w:rPr>
                <w:rFonts w:ascii="Cambria Math" w:hAnsi="Cambria Math"/>
              </w:rPr>
              <m:t>y</m:t>
            </m:r>
          </m:e>
        </m:acc>
      </m:oMath>
      <w:r w:rsidR="00993F2A">
        <w:t xml:space="preserve"> – average arithmetical;</w:t>
      </w:r>
    </w:p>
    <w:p w14:paraId="26600B08" w14:textId="77777777" w:rsidR="00993F2A" w:rsidRDefault="002A57D0" w:rsidP="00993F2A">
      <w:pPr>
        <w:pStyle w:val="MDPI31text"/>
      </w:pPr>
      <m:oMath>
        <m:sSub>
          <m:sSubPr>
            <m:ctrlPr>
              <w:rPr>
                <w:rFonts w:ascii="Cambria Math" w:hAnsi="Cambria Math"/>
                <w:i/>
              </w:rPr>
            </m:ctrlPr>
          </m:sSubPr>
          <m:e>
            <m:r>
              <w:rPr>
                <w:rFonts w:ascii="Cambria Math" w:hAnsi="Cambria Math"/>
              </w:rPr>
              <m:t>S</m:t>
            </m:r>
          </m:e>
          <m:sub>
            <m:r>
              <w:rPr>
                <w:rFonts w:ascii="Cambria Math" w:hAnsi="Cambria Math"/>
              </w:rPr>
              <m:t>y</m:t>
            </m:r>
          </m:sub>
        </m:sSub>
        <m:r>
          <w:rPr>
            <w:rFonts w:ascii="Cambria Math" w:hAnsi="Cambria Math"/>
          </w:rPr>
          <m:t>=</m:t>
        </m:r>
        <m:rad>
          <m:radPr>
            <m:degHide m:val="1"/>
            <m:ctrlPr>
              <w:rPr>
                <w:rFonts w:ascii="Cambria Math" w:hAnsi="Cambria Math"/>
                <w:i/>
              </w:rPr>
            </m:ctrlPr>
          </m:radPr>
          <m:deg/>
          <m:e>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r>
                  <w:rPr>
                    <w:rFonts w:ascii="Cambria Math" w:hAnsi="Cambria Math"/>
                  </w:rPr>
                  <m:t>(</m:t>
                </m:r>
                <m:acc>
                  <m:accPr>
                    <m:chr m:val="̅"/>
                    <m:ctrlPr>
                      <w:rPr>
                        <w:rFonts w:ascii="Cambria Math" w:hAnsi="Cambria Math"/>
                        <w:i/>
                      </w:rPr>
                    </m:ctrlPr>
                  </m:accPr>
                  <m:e>
                    <m:r>
                      <w:rPr>
                        <w:rFonts w:ascii="Cambria Math" w:hAnsi="Cambria Math"/>
                      </w:rPr>
                      <m:t>y</m:t>
                    </m:r>
                  </m:e>
                </m:acc>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i</m:t>
                    </m:r>
                  </m:sub>
                </m:sSub>
                <m:sSup>
                  <m:sSupPr>
                    <m:ctrlPr>
                      <w:rPr>
                        <w:rFonts w:ascii="Cambria Math" w:hAnsi="Cambria Math"/>
                        <w:i/>
                      </w:rPr>
                    </m:ctrlPr>
                  </m:sSupPr>
                  <m:e>
                    <m:r>
                      <w:rPr>
                        <w:rFonts w:ascii="Cambria Math" w:hAnsi="Cambria Math"/>
                      </w:rPr>
                      <m:t>)</m:t>
                    </m:r>
                  </m:e>
                  <m:sup>
                    <m:r>
                      <w:rPr>
                        <w:rFonts w:ascii="Cambria Math" w:hAnsi="Cambria Math"/>
                      </w:rPr>
                      <m:t>2</m:t>
                    </m:r>
                  </m:sup>
                </m:sSup>
              </m:e>
            </m:nary>
          </m:e>
        </m:rad>
      </m:oMath>
      <w:r w:rsidR="00993F2A">
        <w:t xml:space="preserve"> is average square variation.</w:t>
      </w:r>
    </w:p>
    <w:p w14:paraId="26B28E27" w14:textId="77777777" w:rsidR="00DE521D" w:rsidRPr="00DE521D" w:rsidRDefault="00DA042B" w:rsidP="0048092B">
      <w:pPr>
        <w:pStyle w:val="MDPI41tablecaption"/>
        <w:jc w:val="left"/>
      </w:pPr>
      <w:r w:rsidRPr="0048092B">
        <w:rPr>
          <w:b/>
        </w:rPr>
        <w:t xml:space="preserve">Table </w:t>
      </w:r>
      <w:r>
        <w:rPr>
          <w:b/>
        </w:rPr>
        <w:t>2</w:t>
      </w:r>
      <w:r w:rsidRPr="0048092B">
        <w:rPr>
          <w:b/>
        </w:rPr>
        <w:t xml:space="preserve">. </w:t>
      </w:r>
      <w:r>
        <w:t xml:space="preserve">Results of calculation of </w:t>
      </w:r>
      <w:proofErr w:type="spellStart"/>
      <w:r>
        <w:t>MoE</w:t>
      </w:r>
      <w:proofErr w:type="spellEnd"/>
      <w:r>
        <w:t>-CTE relation models’ parameters and accuracies</w:t>
      </w:r>
      <w:r w:rsidR="0048092B">
        <w:t>.</w:t>
      </w:r>
    </w:p>
    <w:tbl>
      <w:tblPr>
        <w:tblW w:w="10206" w:type="dxa"/>
        <w:jc w:val="center"/>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1134"/>
        <w:gridCol w:w="1701"/>
        <w:gridCol w:w="993"/>
        <w:gridCol w:w="850"/>
        <w:gridCol w:w="992"/>
        <w:gridCol w:w="851"/>
        <w:gridCol w:w="142"/>
        <w:gridCol w:w="708"/>
        <w:gridCol w:w="142"/>
        <w:gridCol w:w="709"/>
        <w:gridCol w:w="992"/>
        <w:gridCol w:w="992"/>
      </w:tblGrid>
      <w:tr w:rsidR="00657DE5" w:rsidRPr="002B77A9" w14:paraId="32C16743" w14:textId="77777777" w:rsidTr="00074AF1">
        <w:trPr>
          <w:jc w:val="center"/>
        </w:trPr>
        <w:tc>
          <w:tcPr>
            <w:tcW w:w="1134" w:type="dxa"/>
            <w:vMerge w:val="restart"/>
            <w:tcBorders>
              <w:top w:val="single" w:sz="8" w:space="0" w:color="auto"/>
            </w:tcBorders>
          </w:tcPr>
          <w:p w14:paraId="2B04484F" w14:textId="77777777" w:rsidR="00657DE5" w:rsidRPr="002B77A9" w:rsidRDefault="00657DE5" w:rsidP="00D100BE">
            <w:pPr>
              <w:pStyle w:val="MDPI42tablebody"/>
              <w:autoSpaceDE w:val="0"/>
              <w:autoSpaceDN w:val="0"/>
              <w:spacing w:line="240" w:lineRule="auto"/>
              <w:rPr>
                <w:b/>
                <w:bCs/>
              </w:rPr>
            </w:pPr>
            <w:r w:rsidRPr="002B77A9">
              <w:rPr>
                <w:b/>
                <w:bCs/>
              </w:rPr>
              <w:t>Composition</w:t>
            </w:r>
          </w:p>
        </w:tc>
        <w:tc>
          <w:tcPr>
            <w:tcW w:w="1701" w:type="dxa"/>
            <w:vMerge w:val="restart"/>
            <w:tcBorders>
              <w:top w:val="single" w:sz="8" w:space="0" w:color="auto"/>
            </w:tcBorders>
            <w:shd w:val="clear" w:color="auto" w:fill="auto"/>
            <w:noWrap/>
            <w:vAlign w:val="center"/>
            <w:hideMark/>
          </w:tcPr>
          <w:p w14:paraId="5E56C5E1" w14:textId="77777777" w:rsidR="00657DE5" w:rsidRPr="002B77A9" w:rsidRDefault="00657DE5" w:rsidP="00D100BE">
            <w:pPr>
              <w:pStyle w:val="MDPI42tablebody"/>
              <w:autoSpaceDE w:val="0"/>
              <w:autoSpaceDN w:val="0"/>
              <w:spacing w:line="240" w:lineRule="auto"/>
              <w:rPr>
                <w:b/>
                <w:bCs/>
              </w:rPr>
            </w:pPr>
            <w:r>
              <w:rPr>
                <w:b/>
                <w:bCs/>
              </w:rPr>
              <w:t>Parameter/Function</w:t>
            </w:r>
          </w:p>
        </w:tc>
        <w:tc>
          <w:tcPr>
            <w:tcW w:w="4536" w:type="dxa"/>
            <w:gridSpan w:val="6"/>
            <w:tcBorders>
              <w:top w:val="single" w:sz="8" w:space="0" w:color="auto"/>
              <w:bottom w:val="single" w:sz="4" w:space="0" w:color="auto"/>
            </w:tcBorders>
            <w:shd w:val="clear" w:color="auto" w:fill="auto"/>
            <w:noWrap/>
            <w:vAlign w:val="center"/>
            <w:hideMark/>
          </w:tcPr>
          <w:p w14:paraId="41F23802" w14:textId="77777777" w:rsidR="00657DE5" w:rsidRPr="002B77A9" w:rsidRDefault="00657DE5" w:rsidP="00D100BE">
            <w:pPr>
              <w:pStyle w:val="MDPI42tablebody"/>
              <w:autoSpaceDE w:val="0"/>
              <w:autoSpaceDN w:val="0"/>
              <w:spacing w:line="240" w:lineRule="auto"/>
              <w:rPr>
                <w:b/>
                <w:bCs/>
              </w:rPr>
            </w:pPr>
            <w:r w:rsidRPr="002B77A9">
              <w:rPr>
                <w:b/>
                <w:bCs/>
              </w:rPr>
              <w:t>T,</w:t>
            </w:r>
            <w:r>
              <w:rPr>
                <w:b/>
                <w:bCs/>
              </w:rPr>
              <w:t xml:space="preserve"> </w:t>
            </w:r>
            <w:r w:rsidRPr="002B77A9">
              <w:rPr>
                <w:b/>
                <w:bCs/>
                <w:vertAlign w:val="superscript"/>
              </w:rPr>
              <w:t>0</w:t>
            </w:r>
            <w:r w:rsidRPr="002B77A9">
              <w:rPr>
                <w:b/>
                <w:bCs/>
              </w:rPr>
              <w:t>C</w:t>
            </w:r>
          </w:p>
          <w:p w14:paraId="045B7474" w14:textId="77777777" w:rsidR="00657DE5" w:rsidRPr="002B77A9" w:rsidRDefault="00657DE5" w:rsidP="00D100BE">
            <w:pPr>
              <w:pStyle w:val="MDPI42tablebody"/>
              <w:autoSpaceDE w:val="0"/>
              <w:autoSpaceDN w:val="0"/>
              <w:spacing w:line="240" w:lineRule="auto"/>
              <w:rPr>
                <w:b/>
                <w:bCs/>
              </w:rPr>
            </w:pPr>
          </w:p>
        </w:tc>
        <w:tc>
          <w:tcPr>
            <w:tcW w:w="851" w:type="dxa"/>
            <w:gridSpan w:val="2"/>
            <w:tcBorders>
              <w:top w:val="single" w:sz="8" w:space="0" w:color="auto"/>
            </w:tcBorders>
          </w:tcPr>
          <w:p w14:paraId="438F43CF" w14:textId="77777777" w:rsidR="00657DE5" w:rsidRDefault="00657DE5" w:rsidP="00D100BE">
            <w:pPr>
              <w:pStyle w:val="MDPI42tablebody"/>
              <w:autoSpaceDE w:val="0"/>
              <w:autoSpaceDN w:val="0"/>
              <w:spacing w:line="240" w:lineRule="auto"/>
              <w:rPr>
                <w:b/>
                <w:bCs/>
              </w:rPr>
            </w:pPr>
          </w:p>
        </w:tc>
        <w:tc>
          <w:tcPr>
            <w:tcW w:w="992" w:type="dxa"/>
            <w:vMerge w:val="restart"/>
            <w:tcBorders>
              <w:top w:val="single" w:sz="8" w:space="0" w:color="auto"/>
            </w:tcBorders>
            <w:shd w:val="clear" w:color="auto" w:fill="auto"/>
            <w:noWrap/>
            <w:vAlign w:val="center"/>
            <w:hideMark/>
          </w:tcPr>
          <w:p w14:paraId="6A29227B" w14:textId="77777777" w:rsidR="00657DE5" w:rsidRPr="002B77A9" w:rsidRDefault="00657DE5" w:rsidP="00D100BE">
            <w:pPr>
              <w:pStyle w:val="MDPI42tablebody"/>
              <w:autoSpaceDE w:val="0"/>
              <w:autoSpaceDN w:val="0"/>
              <w:spacing w:line="240" w:lineRule="auto"/>
              <w:rPr>
                <w:b/>
                <w:bCs/>
              </w:rPr>
            </w:pPr>
            <w:r>
              <w:rPr>
                <w:b/>
                <w:bCs/>
              </w:rPr>
              <w:t>Average</w:t>
            </w:r>
          </w:p>
        </w:tc>
        <w:tc>
          <w:tcPr>
            <w:tcW w:w="992" w:type="dxa"/>
            <w:vMerge w:val="restart"/>
            <w:tcBorders>
              <w:top w:val="single" w:sz="8" w:space="0" w:color="auto"/>
            </w:tcBorders>
            <w:shd w:val="clear" w:color="auto" w:fill="auto"/>
            <w:noWrap/>
            <w:vAlign w:val="center"/>
            <w:hideMark/>
          </w:tcPr>
          <w:p w14:paraId="471CB10F" w14:textId="77777777" w:rsidR="00657DE5" w:rsidRPr="00D100BE" w:rsidRDefault="00657DE5" w:rsidP="00D100BE">
            <w:pPr>
              <w:pStyle w:val="MDPI42tablebody"/>
              <w:autoSpaceDE w:val="0"/>
              <w:autoSpaceDN w:val="0"/>
              <w:spacing w:line="240" w:lineRule="auto"/>
              <w:rPr>
                <w:b/>
                <w:bCs/>
              </w:rPr>
            </w:pPr>
            <w:proofErr w:type="spellStart"/>
            <w:r>
              <w:rPr>
                <w:b/>
                <w:bCs/>
              </w:rPr>
              <w:t>C</w:t>
            </w:r>
            <w:r>
              <w:rPr>
                <w:b/>
                <w:bCs/>
                <w:vertAlign w:val="subscript"/>
              </w:rPr>
              <w:t>v</w:t>
            </w:r>
            <w:proofErr w:type="spellEnd"/>
            <w:r>
              <w:rPr>
                <w:b/>
                <w:bCs/>
              </w:rPr>
              <w:t>, %</w:t>
            </w:r>
          </w:p>
        </w:tc>
      </w:tr>
      <w:tr w:rsidR="00657DE5" w:rsidRPr="002B77A9" w14:paraId="6E0DA762" w14:textId="77777777" w:rsidTr="00074AF1">
        <w:trPr>
          <w:jc w:val="center"/>
        </w:trPr>
        <w:tc>
          <w:tcPr>
            <w:tcW w:w="1134" w:type="dxa"/>
            <w:vMerge/>
          </w:tcPr>
          <w:p w14:paraId="40A354E0" w14:textId="77777777" w:rsidR="00657DE5" w:rsidRPr="002B77A9" w:rsidRDefault="00657DE5" w:rsidP="00657DE5">
            <w:pPr>
              <w:pStyle w:val="MDPI42tablebody"/>
              <w:autoSpaceDE w:val="0"/>
              <w:autoSpaceDN w:val="0"/>
              <w:spacing w:line="240" w:lineRule="auto"/>
            </w:pPr>
          </w:p>
        </w:tc>
        <w:tc>
          <w:tcPr>
            <w:tcW w:w="1701" w:type="dxa"/>
            <w:vMerge/>
            <w:shd w:val="clear" w:color="auto" w:fill="auto"/>
            <w:noWrap/>
            <w:vAlign w:val="center"/>
            <w:hideMark/>
          </w:tcPr>
          <w:p w14:paraId="54FBDF8E" w14:textId="77777777" w:rsidR="00657DE5" w:rsidRPr="002B77A9" w:rsidRDefault="00657DE5" w:rsidP="00657DE5">
            <w:pPr>
              <w:pStyle w:val="MDPI42tablebody"/>
              <w:autoSpaceDE w:val="0"/>
              <w:autoSpaceDN w:val="0"/>
              <w:spacing w:line="240" w:lineRule="auto"/>
            </w:pPr>
          </w:p>
        </w:tc>
        <w:tc>
          <w:tcPr>
            <w:tcW w:w="993" w:type="dxa"/>
            <w:tcBorders>
              <w:top w:val="single" w:sz="4" w:space="0" w:color="auto"/>
            </w:tcBorders>
            <w:shd w:val="clear" w:color="auto" w:fill="auto"/>
            <w:noWrap/>
            <w:hideMark/>
          </w:tcPr>
          <w:p w14:paraId="5DBC1DAE" w14:textId="77777777" w:rsidR="00657DE5" w:rsidRPr="002B77A9" w:rsidRDefault="00657DE5" w:rsidP="00657DE5">
            <w:pPr>
              <w:pStyle w:val="MDPI42tablebody"/>
              <w:autoSpaceDE w:val="0"/>
              <w:autoSpaceDN w:val="0"/>
              <w:spacing w:line="240" w:lineRule="auto"/>
            </w:pPr>
            <w:r w:rsidRPr="00C85028">
              <w:t>2</w:t>
            </w:r>
            <w:r>
              <w:t>0</w:t>
            </w:r>
          </w:p>
        </w:tc>
        <w:tc>
          <w:tcPr>
            <w:tcW w:w="850" w:type="dxa"/>
            <w:tcBorders>
              <w:top w:val="single" w:sz="4" w:space="0" w:color="auto"/>
            </w:tcBorders>
            <w:shd w:val="clear" w:color="auto" w:fill="auto"/>
            <w:noWrap/>
            <w:hideMark/>
          </w:tcPr>
          <w:p w14:paraId="14CB86E9" w14:textId="77777777" w:rsidR="00657DE5" w:rsidRPr="002B77A9" w:rsidRDefault="00657DE5" w:rsidP="00657DE5">
            <w:pPr>
              <w:pStyle w:val="MDPI42tablebody"/>
              <w:autoSpaceDE w:val="0"/>
              <w:autoSpaceDN w:val="0"/>
              <w:spacing w:line="240" w:lineRule="auto"/>
            </w:pPr>
            <w:r w:rsidRPr="00C85028">
              <w:t>75</w:t>
            </w:r>
          </w:p>
        </w:tc>
        <w:tc>
          <w:tcPr>
            <w:tcW w:w="992" w:type="dxa"/>
            <w:tcBorders>
              <w:top w:val="single" w:sz="4" w:space="0" w:color="auto"/>
            </w:tcBorders>
            <w:shd w:val="clear" w:color="auto" w:fill="auto"/>
            <w:noWrap/>
            <w:hideMark/>
          </w:tcPr>
          <w:p w14:paraId="5F03654B" w14:textId="77777777" w:rsidR="00657DE5" w:rsidRPr="002B77A9" w:rsidRDefault="00657DE5" w:rsidP="00657DE5">
            <w:pPr>
              <w:pStyle w:val="MDPI42tablebody"/>
              <w:autoSpaceDE w:val="0"/>
              <w:autoSpaceDN w:val="0"/>
              <w:spacing w:line="240" w:lineRule="auto"/>
            </w:pPr>
            <w:r w:rsidRPr="00C85028">
              <w:t>100</w:t>
            </w:r>
          </w:p>
        </w:tc>
        <w:tc>
          <w:tcPr>
            <w:tcW w:w="993" w:type="dxa"/>
            <w:gridSpan w:val="2"/>
            <w:tcBorders>
              <w:top w:val="single" w:sz="4" w:space="0" w:color="auto"/>
            </w:tcBorders>
            <w:shd w:val="clear" w:color="auto" w:fill="auto"/>
            <w:noWrap/>
            <w:hideMark/>
          </w:tcPr>
          <w:p w14:paraId="2051E77B" w14:textId="77777777" w:rsidR="00657DE5" w:rsidRPr="002B77A9" w:rsidRDefault="00657DE5" w:rsidP="00657DE5">
            <w:pPr>
              <w:pStyle w:val="MDPI42tablebody"/>
              <w:autoSpaceDE w:val="0"/>
              <w:autoSpaceDN w:val="0"/>
              <w:spacing w:line="240" w:lineRule="auto"/>
            </w:pPr>
            <w:r w:rsidRPr="00C85028">
              <w:t>130</w:t>
            </w:r>
          </w:p>
        </w:tc>
        <w:tc>
          <w:tcPr>
            <w:tcW w:w="850" w:type="dxa"/>
            <w:gridSpan w:val="2"/>
            <w:tcBorders>
              <w:top w:val="single" w:sz="4" w:space="0" w:color="auto"/>
            </w:tcBorders>
            <w:shd w:val="clear" w:color="auto" w:fill="auto"/>
            <w:noWrap/>
            <w:hideMark/>
          </w:tcPr>
          <w:p w14:paraId="012A2F7B" w14:textId="77777777" w:rsidR="00657DE5" w:rsidRPr="002B77A9" w:rsidRDefault="00657DE5" w:rsidP="00657DE5">
            <w:pPr>
              <w:pStyle w:val="MDPI42tablebody"/>
              <w:autoSpaceDE w:val="0"/>
              <w:autoSpaceDN w:val="0"/>
              <w:spacing w:line="240" w:lineRule="auto"/>
            </w:pPr>
            <w:r w:rsidRPr="00C85028">
              <w:t>160</w:t>
            </w:r>
          </w:p>
        </w:tc>
        <w:tc>
          <w:tcPr>
            <w:tcW w:w="709" w:type="dxa"/>
          </w:tcPr>
          <w:p w14:paraId="4A6C3456" w14:textId="77777777" w:rsidR="00657DE5" w:rsidRPr="008959CE" w:rsidRDefault="002A57D0" w:rsidP="00657DE5">
            <w:pPr>
              <w:pStyle w:val="MDPI42tablebody"/>
              <w:autoSpaceDE w:val="0"/>
              <w:autoSpaceDN w:val="0"/>
              <w:spacing w:line="240" w:lineRule="auto"/>
            </w:pPr>
            <m:oMathPara>
              <m:oMath>
                <m:sSub>
                  <m:sSubPr>
                    <m:ctrlPr>
                      <w:rPr>
                        <w:rFonts w:ascii="Cambria Math" w:hAnsi="Cambria Math"/>
                        <w:i/>
                      </w:rPr>
                    </m:ctrlPr>
                  </m:sSubPr>
                  <m:e>
                    <m:r>
                      <w:rPr>
                        <w:rFonts w:ascii="Cambria Math" w:hAnsi="Cambria Math"/>
                      </w:rPr>
                      <m:t>α</m:t>
                    </m:r>
                  </m:e>
                  <m:sub>
                    <m:r>
                      <w:rPr>
                        <w:rFonts w:ascii="Cambria Math" w:hAnsi="Cambria Math"/>
                      </w:rPr>
                      <m:t>tg</m:t>
                    </m:r>
                  </m:sub>
                </m:sSub>
              </m:oMath>
            </m:oMathPara>
          </w:p>
        </w:tc>
        <w:tc>
          <w:tcPr>
            <w:tcW w:w="992" w:type="dxa"/>
            <w:vMerge/>
            <w:shd w:val="clear" w:color="auto" w:fill="auto"/>
            <w:noWrap/>
            <w:hideMark/>
          </w:tcPr>
          <w:p w14:paraId="342098FE" w14:textId="77777777" w:rsidR="00657DE5" w:rsidRPr="002B77A9" w:rsidRDefault="00657DE5" w:rsidP="00657DE5">
            <w:pPr>
              <w:pStyle w:val="MDPI42tablebody"/>
              <w:autoSpaceDE w:val="0"/>
              <w:autoSpaceDN w:val="0"/>
              <w:spacing w:line="240" w:lineRule="auto"/>
            </w:pPr>
          </w:p>
        </w:tc>
        <w:tc>
          <w:tcPr>
            <w:tcW w:w="992" w:type="dxa"/>
            <w:vMerge/>
            <w:shd w:val="clear" w:color="auto" w:fill="auto"/>
            <w:noWrap/>
            <w:hideMark/>
          </w:tcPr>
          <w:p w14:paraId="619A0DBB" w14:textId="77777777" w:rsidR="00657DE5" w:rsidRPr="002B77A9" w:rsidRDefault="00657DE5" w:rsidP="00657DE5">
            <w:pPr>
              <w:pStyle w:val="MDPI42tablebody"/>
              <w:autoSpaceDE w:val="0"/>
              <w:autoSpaceDN w:val="0"/>
              <w:spacing w:line="240" w:lineRule="auto"/>
            </w:pPr>
          </w:p>
        </w:tc>
      </w:tr>
      <w:tr w:rsidR="00657DE5" w:rsidRPr="002B77A9" w14:paraId="3D5605E9" w14:textId="77777777" w:rsidTr="00074AF1">
        <w:trPr>
          <w:jc w:val="center"/>
        </w:trPr>
        <w:tc>
          <w:tcPr>
            <w:tcW w:w="1134" w:type="dxa"/>
            <w:vMerge w:val="restart"/>
            <w:vAlign w:val="center"/>
          </w:tcPr>
          <w:p w14:paraId="1CDB3C63" w14:textId="77777777" w:rsidR="00657DE5" w:rsidRPr="002B77A9" w:rsidRDefault="00657DE5" w:rsidP="00DC44C3">
            <w:pPr>
              <w:pStyle w:val="MDPI42tablebody"/>
              <w:autoSpaceDE w:val="0"/>
              <w:autoSpaceDN w:val="0"/>
              <w:spacing w:line="240" w:lineRule="auto"/>
            </w:pPr>
            <w:r w:rsidRPr="002B77A9">
              <w:t xml:space="preserve">EP </w:t>
            </w:r>
          </w:p>
          <w:p w14:paraId="21A85717" w14:textId="77777777" w:rsidR="00657DE5" w:rsidRPr="002B77A9" w:rsidRDefault="00657DE5" w:rsidP="00DC44C3">
            <w:pPr>
              <w:pStyle w:val="MDPI42tablebody"/>
              <w:autoSpaceDE w:val="0"/>
              <w:autoSpaceDN w:val="0"/>
              <w:spacing w:line="240" w:lineRule="auto"/>
            </w:pPr>
          </w:p>
        </w:tc>
        <w:tc>
          <w:tcPr>
            <w:tcW w:w="1701" w:type="dxa"/>
            <w:shd w:val="clear" w:color="auto" w:fill="auto"/>
            <w:noWrap/>
            <w:vAlign w:val="center"/>
            <w:hideMark/>
          </w:tcPr>
          <w:p w14:paraId="5221DEE0" w14:textId="77777777" w:rsidR="00657DE5" w:rsidRPr="00140800" w:rsidRDefault="002A57D0" w:rsidP="00DC44C3">
            <w:pPr>
              <w:pStyle w:val="MDPI42tablebody"/>
              <w:autoSpaceDE w:val="0"/>
              <w:autoSpaceDN w:val="0"/>
              <w:spacing w:line="240" w:lineRule="auto"/>
            </w:pPr>
            <m:oMath>
              <m:sSub>
                <m:sSubPr>
                  <m:ctrlPr>
                    <w:rPr>
                      <w:rFonts w:ascii="Cambria Math" w:hAnsi="Cambria Math"/>
                      <w:i/>
                    </w:rPr>
                  </m:ctrlPr>
                </m:sSubPr>
                <m:e>
                  <m:r>
                    <w:rPr>
                      <w:rFonts w:ascii="Cambria Math" w:hAnsi="Cambria Math"/>
                    </w:rPr>
                    <m:t>E</m:t>
                  </m:r>
                </m:e>
                <m:sub>
                  <m:r>
                    <w:rPr>
                      <w:rFonts w:ascii="Cambria Math" w:hAnsi="Cambria Math"/>
                    </w:rPr>
                    <m:t>t</m:t>
                  </m:r>
                </m:sub>
              </m:sSub>
            </m:oMath>
            <w:r w:rsidR="00657DE5">
              <w:t>, MPa</w:t>
            </w:r>
          </w:p>
        </w:tc>
        <w:tc>
          <w:tcPr>
            <w:tcW w:w="993" w:type="dxa"/>
            <w:shd w:val="clear" w:color="auto" w:fill="auto"/>
            <w:noWrap/>
            <w:hideMark/>
          </w:tcPr>
          <w:p w14:paraId="78702930" w14:textId="77777777" w:rsidR="00657DE5" w:rsidRPr="002B77A9" w:rsidRDefault="00657DE5" w:rsidP="00DC44C3">
            <w:pPr>
              <w:pStyle w:val="MDPI42tablebody"/>
              <w:autoSpaceDE w:val="0"/>
              <w:autoSpaceDN w:val="0"/>
              <w:spacing w:line="240" w:lineRule="auto"/>
            </w:pPr>
            <w:r w:rsidRPr="00440DB1">
              <w:t>3300</w:t>
            </w:r>
          </w:p>
        </w:tc>
        <w:tc>
          <w:tcPr>
            <w:tcW w:w="850" w:type="dxa"/>
            <w:shd w:val="clear" w:color="auto" w:fill="auto"/>
            <w:noWrap/>
            <w:hideMark/>
          </w:tcPr>
          <w:p w14:paraId="01E91346" w14:textId="77777777" w:rsidR="00657DE5" w:rsidRPr="002B77A9" w:rsidRDefault="00657DE5" w:rsidP="00DC44C3">
            <w:pPr>
              <w:pStyle w:val="MDPI42tablebody"/>
              <w:autoSpaceDE w:val="0"/>
              <w:autoSpaceDN w:val="0"/>
              <w:spacing w:line="240" w:lineRule="auto"/>
            </w:pPr>
            <w:r w:rsidRPr="00440DB1">
              <w:t>2700</w:t>
            </w:r>
          </w:p>
        </w:tc>
        <w:tc>
          <w:tcPr>
            <w:tcW w:w="992" w:type="dxa"/>
            <w:shd w:val="clear" w:color="auto" w:fill="auto"/>
            <w:noWrap/>
            <w:hideMark/>
          </w:tcPr>
          <w:p w14:paraId="65950938" w14:textId="77777777" w:rsidR="00657DE5" w:rsidRPr="002B77A9" w:rsidRDefault="00657DE5" w:rsidP="00DC44C3">
            <w:pPr>
              <w:pStyle w:val="MDPI42tablebody"/>
              <w:autoSpaceDE w:val="0"/>
              <w:autoSpaceDN w:val="0"/>
              <w:spacing w:line="240" w:lineRule="auto"/>
            </w:pPr>
            <w:r w:rsidRPr="00440DB1">
              <w:t>1700</w:t>
            </w:r>
          </w:p>
        </w:tc>
        <w:tc>
          <w:tcPr>
            <w:tcW w:w="993" w:type="dxa"/>
            <w:gridSpan w:val="2"/>
            <w:shd w:val="clear" w:color="auto" w:fill="auto"/>
            <w:noWrap/>
            <w:hideMark/>
          </w:tcPr>
          <w:p w14:paraId="218F8A4E" w14:textId="77777777" w:rsidR="00657DE5" w:rsidRPr="002B77A9" w:rsidRDefault="00657DE5" w:rsidP="00DC44C3">
            <w:pPr>
              <w:pStyle w:val="MDPI42tablebody"/>
              <w:autoSpaceDE w:val="0"/>
              <w:autoSpaceDN w:val="0"/>
              <w:spacing w:line="240" w:lineRule="auto"/>
            </w:pPr>
            <w:r w:rsidRPr="00440DB1">
              <w:t>164</w:t>
            </w:r>
          </w:p>
        </w:tc>
        <w:tc>
          <w:tcPr>
            <w:tcW w:w="850" w:type="dxa"/>
            <w:gridSpan w:val="2"/>
            <w:shd w:val="clear" w:color="auto" w:fill="auto"/>
            <w:noWrap/>
            <w:hideMark/>
          </w:tcPr>
          <w:p w14:paraId="1AB99E77" w14:textId="77777777" w:rsidR="00657DE5" w:rsidRPr="002B77A9" w:rsidRDefault="00657DE5" w:rsidP="00DC44C3">
            <w:pPr>
              <w:pStyle w:val="MDPI42tablebody"/>
              <w:autoSpaceDE w:val="0"/>
              <w:autoSpaceDN w:val="0"/>
              <w:spacing w:line="240" w:lineRule="auto"/>
            </w:pPr>
            <w:r w:rsidRPr="00440DB1">
              <w:t>0</w:t>
            </w:r>
          </w:p>
        </w:tc>
        <w:tc>
          <w:tcPr>
            <w:tcW w:w="709" w:type="dxa"/>
          </w:tcPr>
          <w:p w14:paraId="5E0103AF" w14:textId="77777777" w:rsidR="00657DE5" w:rsidRPr="002B77A9" w:rsidRDefault="00657DE5" w:rsidP="00DC44C3">
            <w:pPr>
              <w:pStyle w:val="MDPI42tablebody"/>
              <w:autoSpaceDE w:val="0"/>
              <w:autoSpaceDN w:val="0"/>
              <w:spacing w:line="240" w:lineRule="auto"/>
            </w:pPr>
            <w:r>
              <w:t>-</w:t>
            </w:r>
          </w:p>
        </w:tc>
        <w:tc>
          <w:tcPr>
            <w:tcW w:w="992" w:type="dxa"/>
            <w:shd w:val="clear" w:color="auto" w:fill="auto"/>
            <w:noWrap/>
            <w:vAlign w:val="center"/>
            <w:hideMark/>
          </w:tcPr>
          <w:p w14:paraId="67F74336" w14:textId="77777777" w:rsidR="00657DE5" w:rsidRPr="002B77A9" w:rsidRDefault="00657DE5" w:rsidP="00DC44C3">
            <w:pPr>
              <w:pStyle w:val="MDPI42tablebody"/>
              <w:autoSpaceDE w:val="0"/>
              <w:autoSpaceDN w:val="0"/>
              <w:spacing w:line="240" w:lineRule="auto"/>
            </w:pPr>
            <w:r>
              <w:t>-</w:t>
            </w:r>
          </w:p>
        </w:tc>
        <w:tc>
          <w:tcPr>
            <w:tcW w:w="992" w:type="dxa"/>
            <w:shd w:val="clear" w:color="auto" w:fill="auto"/>
            <w:noWrap/>
            <w:vAlign w:val="center"/>
            <w:hideMark/>
          </w:tcPr>
          <w:p w14:paraId="13DA6B60" w14:textId="77777777" w:rsidR="00657DE5" w:rsidRPr="002B77A9" w:rsidRDefault="00657DE5" w:rsidP="00DC44C3">
            <w:pPr>
              <w:pStyle w:val="MDPI42tablebody"/>
              <w:autoSpaceDE w:val="0"/>
              <w:autoSpaceDN w:val="0"/>
              <w:spacing w:line="240" w:lineRule="auto"/>
            </w:pPr>
            <w:r>
              <w:t>-</w:t>
            </w:r>
          </w:p>
        </w:tc>
      </w:tr>
      <w:tr w:rsidR="00657DE5" w:rsidRPr="002B77A9" w14:paraId="44C6378D" w14:textId="77777777" w:rsidTr="00074AF1">
        <w:trPr>
          <w:jc w:val="center"/>
        </w:trPr>
        <w:tc>
          <w:tcPr>
            <w:tcW w:w="1134" w:type="dxa"/>
            <w:vMerge/>
            <w:vAlign w:val="center"/>
          </w:tcPr>
          <w:p w14:paraId="282D92CA" w14:textId="77777777" w:rsidR="00657DE5" w:rsidRPr="002B77A9" w:rsidRDefault="00657DE5" w:rsidP="00DC44C3">
            <w:pPr>
              <w:pStyle w:val="MDPI42tablebody"/>
              <w:autoSpaceDE w:val="0"/>
              <w:autoSpaceDN w:val="0"/>
              <w:spacing w:line="240" w:lineRule="auto"/>
            </w:pPr>
          </w:p>
        </w:tc>
        <w:tc>
          <w:tcPr>
            <w:tcW w:w="1701" w:type="dxa"/>
            <w:shd w:val="clear" w:color="auto" w:fill="auto"/>
            <w:noWrap/>
            <w:vAlign w:val="center"/>
            <w:hideMark/>
          </w:tcPr>
          <w:p w14:paraId="77650C5F" w14:textId="77777777" w:rsidR="00657DE5" w:rsidRPr="00140800" w:rsidRDefault="002A57D0" w:rsidP="00DC44C3">
            <w:pPr>
              <w:pStyle w:val="MDPI42tablebody"/>
              <w:autoSpaceDE w:val="0"/>
              <w:autoSpaceDN w:val="0"/>
              <w:spacing w:line="240" w:lineRule="auto"/>
              <w:rPr>
                <w:vertAlign w:val="superscript"/>
              </w:rPr>
            </w:pP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00657DE5">
              <w:t>, K</w:t>
            </w:r>
            <w:r w:rsidR="00657DE5">
              <w:rPr>
                <w:vertAlign w:val="superscript"/>
              </w:rPr>
              <w:t>-1</w:t>
            </w:r>
            <w:r w:rsidR="00657DE5">
              <w:t>, 10</w:t>
            </w:r>
            <w:r w:rsidR="00657DE5">
              <w:rPr>
                <w:vertAlign w:val="superscript"/>
              </w:rPr>
              <w:t>6</w:t>
            </w:r>
          </w:p>
        </w:tc>
        <w:tc>
          <w:tcPr>
            <w:tcW w:w="993" w:type="dxa"/>
            <w:shd w:val="clear" w:color="auto" w:fill="auto"/>
            <w:noWrap/>
            <w:hideMark/>
          </w:tcPr>
          <w:p w14:paraId="7A98932B" w14:textId="77777777" w:rsidR="00657DE5" w:rsidRPr="002B77A9" w:rsidRDefault="00657DE5" w:rsidP="00DC44C3">
            <w:pPr>
              <w:pStyle w:val="MDPI42tablebody"/>
              <w:autoSpaceDE w:val="0"/>
              <w:autoSpaceDN w:val="0"/>
              <w:spacing w:line="240" w:lineRule="auto"/>
            </w:pPr>
            <w:r w:rsidRPr="00DE1553">
              <w:t>21,0</w:t>
            </w:r>
          </w:p>
        </w:tc>
        <w:tc>
          <w:tcPr>
            <w:tcW w:w="850" w:type="dxa"/>
            <w:shd w:val="clear" w:color="auto" w:fill="auto"/>
            <w:noWrap/>
            <w:hideMark/>
          </w:tcPr>
          <w:p w14:paraId="4A52BFCC" w14:textId="77777777" w:rsidR="00657DE5" w:rsidRPr="002B77A9" w:rsidRDefault="00657DE5" w:rsidP="00DC44C3">
            <w:pPr>
              <w:pStyle w:val="MDPI42tablebody"/>
              <w:autoSpaceDE w:val="0"/>
              <w:autoSpaceDN w:val="0"/>
              <w:spacing w:line="240" w:lineRule="auto"/>
            </w:pPr>
            <w:r w:rsidRPr="00DE1553">
              <w:t>26,0</w:t>
            </w:r>
          </w:p>
        </w:tc>
        <w:tc>
          <w:tcPr>
            <w:tcW w:w="992" w:type="dxa"/>
            <w:shd w:val="clear" w:color="auto" w:fill="auto"/>
            <w:noWrap/>
            <w:hideMark/>
          </w:tcPr>
          <w:p w14:paraId="6394D398" w14:textId="77777777" w:rsidR="00657DE5" w:rsidRPr="002B77A9" w:rsidRDefault="00657DE5" w:rsidP="00DC44C3">
            <w:pPr>
              <w:pStyle w:val="MDPI42tablebody"/>
              <w:autoSpaceDE w:val="0"/>
              <w:autoSpaceDN w:val="0"/>
              <w:spacing w:line="240" w:lineRule="auto"/>
            </w:pPr>
            <w:r w:rsidRPr="00DE1553">
              <w:t>38,0</w:t>
            </w:r>
          </w:p>
        </w:tc>
        <w:tc>
          <w:tcPr>
            <w:tcW w:w="993" w:type="dxa"/>
            <w:gridSpan w:val="2"/>
            <w:shd w:val="clear" w:color="auto" w:fill="auto"/>
            <w:noWrap/>
            <w:hideMark/>
          </w:tcPr>
          <w:p w14:paraId="5F8649EE" w14:textId="77777777" w:rsidR="00657DE5" w:rsidRPr="002B77A9" w:rsidRDefault="00657DE5" w:rsidP="00DC44C3">
            <w:pPr>
              <w:pStyle w:val="MDPI42tablebody"/>
              <w:autoSpaceDE w:val="0"/>
              <w:autoSpaceDN w:val="0"/>
              <w:spacing w:line="240" w:lineRule="auto"/>
            </w:pPr>
            <w:r w:rsidRPr="00DE1553">
              <w:t>57,0</w:t>
            </w:r>
          </w:p>
        </w:tc>
        <w:tc>
          <w:tcPr>
            <w:tcW w:w="850" w:type="dxa"/>
            <w:gridSpan w:val="2"/>
            <w:shd w:val="clear" w:color="auto" w:fill="auto"/>
            <w:noWrap/>
            <w:hideMark/>
          </w:tcPr>
          <w:p w14:paraId="3DCF15E3" w14:textId="77777777" w:rsidR="00657DE5" w:rsidRPr="002B77A9" w:rsidRDefault="00657DE5" w:rsidP="00DC44C3">
            <w:pPr>
              <w:pStyle w:val="MDPI42tablebody"/>
              <w:autoSpaceDE w:val="0"/>
              <w:autoSpaceDN w:val="0"/>
              <w:spacing w:line="240" w:lineRule="auto"/>
            </w:pPr>
            <w:r w:rsidRPr="00DE1553">
              <w:t>125,9</w:t>
            </w:r>
          </w:p>
        </w:tc>
        <w:tc>
          <w:tcPr>
            <w:tcW w:w="709" w:type="dxa"/>
          </w:tcPr>
          <w:p w14:paraId="4C878AEB" w14:textId="77777777" w:rsidR="00657DE5" w:rsidRPr="002B77A9" w:rsidRDefault="00657DE5" w:rsidP="00DC44C3">
            <w:pPr>
              <w:pStyle w:val="MDPI42tablebody"/>
              <w:autoSpaceDE w:val="0"/>
              <w:autoSpaceDN w:val="0"/>
              <w:spacing w:line="240" w:lineRule="auto"/>
            </w:pPr>
            <w:r w:rsidRPr="00DE1553">
              <w:t>128,0</w:t>
            </w:r>
          </w:p>
        </w:tc>
        <w:tc>
          <w:tcPr>
            <w:tcW w:w="992" w:type="dxa"/>
            <w:shd w:val="clear" w:color="auto" w:fill="auto"/>
            <w:noWrap/>
            <w:vAlign w:val="center"/>
            <w:hideMark/>
          </w:tcPr>
          <w:p w14:paraId="06E930F7" w14:textId="77777777" w:rsidR="00657DE5" w:rsidRPr="002B77A9" w:rsidRDefault="002B5BA8" w:rsidP="00DC44C3">
            <w:pPr>
              <w:pStyle w:val="MDPI42tablebody"/>
              <w:autoSpaceDE w:val="0"/>
              <w:autoSpaceDN w:val="0"/>
              <w:spacing w:line="240" w:lineRule="auto"/>
            </w:pPr>
            <w:r>
              <w:t>-</w:t>
            </w:r>
          </w:p>
        </w:tc>
        <w:tc>
          <w:tcPr>
            <w:tcW w:w="992" w:type="dxa"/>
            <w:shd w:val="clear" w:color="auto" w:fill="auto"/>
            <w:noWrap/>
            <w:vAlign w:val="center"/>
            <w:hideMark/>
          </w:tcPr>
          <w:p w14:paraId="3B08342B" w14:textId="77777777" w:rsidR="00657DE5" w:rsidRPr="002B77A9" w:rsidRDefault="00657DE5" w:rsidP="00DC44C3">
            <w:pPr>
              <w:pStyle w:val="MDPI42tablebody"/>
              <w:autoSpaceDE w:val="0"/>
              <w:autoSpaceDN w:val="0"/>
              <w:spacing w:line="240" w:lineRule="auto"/>
            </w:pPr>
            <w:r>
              <w:t>-</w:t>
            </w:r>
          </w:p>
        </w:tc>
      </w:tr>
      <w:tr w:rsidR="00657DE5" w:rsidRPr="002B77A9" w14:paraId="78029EEE" w14:textId="77777777" w:rsidTr="00074AF1">
        <w:trPr>
          <w:jc w:val="center"/>
        </w:trPr>
        <w:tc>
          <w:tcPr>
            <w:tcW w:w="1134" w:type="dxa"/>
            <w:vMerge/>
            <w:vAlign w:val="center"/>
          </w:tcPr>
          <w:p w14:paraId="034E0593" w14:textId="77777777" w:rsidR="00657DE5" w:rsidRPr="002B77A9" w:rsidRDefault="00657DE5" w:rsidP="00DC44C3">
            <w:pPr>
              <w:pStyle w:val="MDPI42tablebody"/>
              <w:autoSpaceDE w:val="0"/>
              <w:autoSpaceDN w:val="0"/>
              <w:spacing w:line="240" w:lineRule="auto"/>
            </w:pPr>
          </w:p>
        </w:tc>
        <w:tc>
          <w:tcPr>
            <w:tcW w:w="1701" w:type="dxa"/>
            <w:shd w:val="clear" w:color="auto" w:fill="auto"/>
            <w:noWrap/>
            <w:vAlign w:val="center"/>
            <w:hideMark/>
          </w:tcPr>
          <w:p w14:paraId="63389AB6" w14:textId="77777777" w:rsidR="00657DE5" w:rsidRPr="00140800" w:rsidRDefault="00657DE5" w:rsidP="00DC44C3">
            <w:pPr>
              <w:pStyle w:val="MDPI42tablebody"/>
              <w:autoSpaceDE w:val="0"/>
              <w:autoSpaceDN w:val="0"/>
              <w:spacing w:line="240" w:lineRule="auto"/>
              <w:rPr>
                <w:vertAlign w:val="superscript"/>
              </w:rPr>
            </w:pPr>
            <m:oMath>
              <m:r>
                <w:rPr>
                  <w:rFonts w:ascii="Cambria Math" w:hAnsi="Cambria Math"/>
                </w:rPr>
                <m:t>E</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oMath>
            <w:r>
              <w:t>, MPa</w:t>
            </w:r>
            <w:r>
              <w:rPr>
                <w:vertAlign w:val="superscript"/>
              </w:rPr>
              <w:t>.</w:t>
            </w:r>
            <w:r>
              <w:t>K</w:t>
            </w:r>
            <w:r>
              <w:rPr>
                <w:vertAlign w:val="superscript"/>
              </w:rPr>
              <w:t>2</w:t>
            </w:r>
          </w:p>
        </w:tc>
        <w:tc>
          <w:tcPr>
            <w:tcW w:w="993" w:type="dxa"/>
            <w:shd w:val="clear" w:color="auto" w:fill="auto"/>
            <w:noWrap/>
            <w:hideMark/>
          </w:tcPr>
          <w:p w14:paraId="0D942ECF" w14:textId="77777777" w:rsidR="00657DE5" w:rsidRPr="002B77A9" w:rsidRDefault="00657DE5" w:rsidP="00DC44C3">
            <w:pPr>
              <w:pStyle w:val="MDPI42tablebody"/>
              <w:autoSpaceDE w:val="0"/>
              <w:autoSpaceDN w:val="0"/>
              <w:spacing w:line="240" w:lineRule="auto"/>
            </w:pPr>
            <w:r w:rsidRPr="00824A3B">
              <w:t>1455300</w:t>
            </w:r>
          </w:p>
        </w:tc>
        <w:tc>
          <w:tcPr>
            <w:tcW w:w="850" w:type="dxa"/>
            <w:shd w:val="clear" w:color="auto" w:fill="auto"/>
            <w:noWrap/>
            <w:hideMark/>
          </w:tcPr>
          <w:p w14:paraId="08D47AE4" w14:textId="77777777" w:rsidR="00657DE5" w:rsidRPr="002B77A9" w:rsidRDefault="00657DE5" w:rsidP="00DC44C3">
            <w:pPr>
              <w:pStyle w:val="MDPI42tablebody"/>
              <w:autoSpaceDE w:val="0"/>
              <w:autoSpaceDN w:val="0"/>
              <w:spacing w:line="240" w:lineRule="auto"/>
            </w:pPr>
            <w:r w:rsidRPr="00824A3B">
              <w:t>1825200</w:t>
            </w:r>
          </w:p>
        </w:tc>
        <w:tc>
          <w:tcPr>
            <w:tcW w:w="992" w:type="dxa"/>
            <w:shd w:val="clear" w:color="auto" w:fill="auto"/>
            <w:noWrap/>
            <w:hideMark/>
          </w:tcPr>
          <w:p w14:paraId="5A7B3F70" w14:textId="77777777" w:rsidR="00657DE5" w:rsidRPr="002B77A9" w:rsidRDefault="00657DE5" w:rsidP="00DC44C3">
            <w:pPr>
              <w:pStyle w:val="MDPI42tablebody"/>
              <w:autoSpaceDE w:val="0"/>
              <w:autoSpaceDN w:val="0"/>
              <w:spacing w:line="240" w:lineRule="auto"/>
            </w:pPr>
            <w:r w:rsidRPr="00824A3B">
              <w:t>2454800</w:t>
            </w:r>
          </w:p>
        </w:tc>
        <w:tc>
          <w:tcPr>
            <w:tcW w:w="993" w:type="dxa"/>
            <w:gridSpan w:val="2"/>
            <w:shd w:val="clear" w:color="auto" w:fill="auto"/>
            <w:noWrap/>
            <w:hideMark/>
          </w:tcPr>
          <w:p w14:paraId="453D97E2" w14:textId="77777777" w:rsidR="00657DE5" w:rsidRPr="002B77A9" w:rsidRDefault="00657DE5" w:rsidP="00DC44C3">
            <w:pPr>
              <w:pStyle w:val="MDPI42tablebody"/>
              <w:autoSpaceDE w:val="0"/>
              <w:autoSpaceDN w:val="0"/>
              <w:spacing w:line="240" w:lineRule="auto"/>
            </w:pPr>
            <w:r w:rsidRPr="00824A3B">
              <w:t>532836</w:t>
            </w:r>
          </w:p>
        </w:tc>
        <w:tc>
          <w:tcPr>
            <w:tcW w:w="850" w:type="dxa"/>
            <w:gridSpan w:val="2"/>
            <w:shd w:val="clear" w:color="auto" w:fill="auto"/>
            <w:noWrap/>
            <w:hideMark/>
          </w:tcPr>
          <w:p w14:paraId="66F89E07" w14:textId="77777777" w:rsidR="00657DE5" w:rsidRPr="002B77A9" w:rsidRDefault="00657DE5" w:rsidP="00DC44C3">
            <w:pPr>
              <w:pStyle w:val="MDPI42tablebody"/>
              <w:autoSpaceDE w:val="0"/>
              <w:autoSpaceDN w:val="0"/>
              <w:spacing w:line="240" w:lineRule="auto"/>
            </w:pPr>
            <w:r w:rsidRPr="00824A3B">
              <w:t>0</w:t>
            </w:r>
          </w:p>
        </w:tc>
        <w:tc>
          <w:tcPr>
            <w:tcW w:w="709" w:type="dxa"/>
          </w:tcPr>
          <w:p w14:paraId="6AD36615" w14:textId="77777777" w:rsidR="00657DE5" w:rsidRPr="002B77A9" w:rsidRDefault="00657DE5" w:rsidP="00DC44C3">
            <w:pPr>
              <w:pStyle w:val="MDPI42tablebody"/>
              <w:autoSpaceDE w:val="0"/>
              <w:autoSpaceDN w:val="0"/>
              <w:spacing w:line="240" w:lineRule="auto"/>
            </w:pPr>
            <w:r>
              <w:t>-</w:t>
            </w:r>
          </w:p>
        </w:tc>
        <w:tc>
          <w:tcPr>
            <w:tcW w:w="992" w:type="dxa"/>
            <w:shd w:val="clear" w:color="auto" w:fill="auto"/>
            <w:noWrap/>
            <w:vAlign w:val="center"/>
            <w:hideMark/>
          </w:tcPr>
          <w:p w14:paraId="4B0010EA" w14:textId="77777777" w:rsidR="00657DE5" w:rsidRPr="002B77A9" w:rsidRDefault="00657DE5" w:rsidP="00DC44C3">
            <w:pPr>
              <w:pStyle w:val="MDPI42tablebody"/>
              <w:autoSpaceDE w:val="0"/>
              <w:autoSpaceDN w:val="0"/>
              <w:spacing w:line="240" w:lineRule="auto"/>
            </w:pPr>
            <w:r w:rsidRPr="00824A3B">
              <w:t>191176</w:t>
            </w:r>
            <w:r>
              <w:t>7</w:t>
            </w:r>
          </w:p>
        </w:tc>
        <w:tc>
          <w:tcPr>
            <w:tcW w:w="992" w:type="dxa"/>
            <w:shd w:val="clear" w:color="auto" w:fill="auto"/>
            <w:noWrap/>
            <w:vAlign w:val="center"/>
            <w:hideMark/>
          </w:tcPr>
          <w:p w14:paraId="5C95C064" w14:textId="77777777" w:rsidR="00657DE5" w:rsidRPr="002B77A9" w:rsidRDefault="00657DE5" w:rsidP="00DC44C3">
            <w:pPr>
              <w:pStyle w:val="MDPI42tablebody"/>
              <w:autoSpaceDE w:val="0"/>
              <w:autoSpaceDN w:val="0"/>
              <w:spacing w:line="240" w:lineRule="auto"/>
            </w:pPr>
            <w:r>
              <w:t>37</w:t>
            </w:r>
          </w:p>
        </w:tc>
      </w:tr>
      <w:tr w:rsidR="00657DE5" w:rsidRPr="002B77A9" w14:paraId="4ABE1997" w14:textId="77777777" w:rsidTr="00074AF1">
        <w:trPr>
          <w:jc w:val="center"/>
        </w:trPr>
        <w:tc>
          <w:tcPr>
            <w:tcW w:w="1134" w:type="dxa"/>
            <w:vMerge/>
            <w:vAlign w:val="center"/>
          </w:tcPr>
          <w:p w14:paraId="1798122A" w14:textId="77777777" w:rsidR="00657DE5" w:rsidRPr="002B77A9" w:rsidRDefault="00657DE5" w:rsidP="00657DE5">
            <w:pPr>
              <w:pStyle w:val="MDPI42tablebody"/>
              <w:autoSpaceDE w:val="0"/>
              <w:autoSpaceDN w:val="0"/>
              <w:spacing w:line="240" w:lineRule="auto"/>
            </w:pPr>
          </w:p>
        </w:tc>
        <w:tc>
          <w:tcPr>
            <w:tcW w:w="1701" w:type="dxa"/>
            <w:tcBorders>
              <w:bottom w:val="single" w:sz="4" w:space="0" w:color="auto"/>
            </w:tcBorders>
            <w:shd w:val="clear" w:color="auto" w:fill="auto"/>
            <w:noWrap/>
            <w:vAlign w:val="center"/>
            <w:hideMark/>
          </w:tcPr>
          <w:p w14:paraId="3FFD98EB" w14:textId="77777777" w:rsidR="00657DE5" w:rsidRPr="002B77A9" w:rsidRDefault="002A57D0" w:rsidP="00657DE5">
            <w:pPr>
              <w:pStyle w:val="MDPI42tablebody"/>
              <w:autoSpaceDE w:val="0"/>
              <w:autoSpaceDN w:val="0"/>
              <w:spacing w:line="240" w:lineRule="auto"/>
            </w:pPr>
            <m:oMath>
              <m:sSub>
                <m:sSubPr>
                  <m:ctrlPr>
                    <w:rPr>
                      <w:rFonts w:ascii="Cambria Math" w:hAnsi="Cambria Math"/>
                      <w:i/>
                      <w:szCs w:val="22"/>
                    </w:rPr>
                  </m:ctrlPr>
                </m:sSubPr>
                <m:e>
                  <m:r>
                    <w:rPr>
                      <w:rFonts w:ascii="Cambria Math" w:hAnsi="Cambria Math"/>
                    </w:rPr>
                    <m:t>E</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t</m:t>
                  </m:r>
                </m:sub>
              </m:sSub>
              <m:f>
                <m:fPr>
                  <m:ctrlPr>
                    <w:rPr>
                      <w:rFonts w:ascii="Cambria Math" w:hAnsi="Cambria Math"/>
                      <w:i/>
                      <w:szCs w:val="22"/>
                    </w:rPr>
                  </m:ctrlPr>
                </m:fPr>
                <m:num>
                  <m:sSub>
                    <m:sSubPr>
                      <m:ctrlPr>
                        <w:rPr>
                          <w:rFonts w:ascii="Cambria Math" w:hAnsi="Cambria Math"/>
                          <w:i/>
                        </w:rPr>
                      </m:ctrlPr>
                    </m:sSubPr>
                    <m:e>
                      <m:r>
                        <w:rPr>
                          <w:rFonts w:ascii="Cambria Math" w:hAnsi="Cambria Math"/>
                        </w:rPr>
                        <m:t>α</m:t>
                      </m:r>
                    </m:e>
                    <m:sub>
                      <m:r>
                        <w:rPr>
                          <w:rFonts w:ascii="Cambria Math" w:hAnsi="Cambria Math"/>
                        </w:rPr>
                        <m:t>tg</m:t>
                      </m:r>
                    </m:sub>
                  </m:sSub>
                </m:num>
                <m:den>
                  <m:sSub>
                    <m:sSubPr>
                      <m:ctrlPr>
                        <w:rPr>
                          <w:rFonts w:ascii="Cambria Math" w:hAnsi="Cambria Math"/>
                          <w:i/>
                        </w:rPr>
                      </m:ctrlPr>
                    </m:sSubPr>
                    <m:e>
                      <m:r>
                        <w:rPr>
                          <w:rFonts w:ascii="Cambria Math" w:hAnsi="Cambria Math"/>
                        </w:rPr>
                        <m:t>α</m:t>
                      </m:r>
                    </m:e>
                    <m:sub>
                      <m:r>
                        <w:rPr>
                          <w:rFonts w:ascii="Cambria Math" w:hAnsi="Cambria Math"/>
                        </w:rPr>
                        <m:t>tg</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t</m:t>
                      </m:r>
                    </m:sub>
                  </m:sSub>
                </m:den>
              </m:f>
            </m:oMath>
            <w:r w:rsidR="00657DE5">
              <w:rPr>
                <w:szCs w:val="22"/>
              </w:rPr>
              <w:t>, MPa</w:t>
            </w:r>
          </w:p>
        </w:tc>
        <w:tc>
          <w:tcPr>
            <w:tcW w:w="993" w:type="dxa"/>
            <w:tcBorders>
              <w:bottom w:val="single" w:sz="4" w:space="0" w:color="auto"/>
            </w:tcBorders>
            <w:shd w:val="clear" w:color="auto" w:fill="auto"/>
            <w:noWrap/>
            <w:hideMark/>
          </w:tcPr>
          <w:p w14:paraId="7EE04A08" w14:textId="77777777" w:rsidR="00657DE5" w:rsidRPr="002B77A9" w:rsidRDefault="00657DE5" w:rsidP="00657DE5">
            <w:pPr>
              <w:pStyle w:val="MDPI42tablebody"/>
              <w:autoSpaceDE w:val="0"/>
              <w:autoSpaceDN w:val="0"/>
              <w:spacing w:line="240" w:lineRule="auto"/>
            </w:pPr>
            <w:r w:rsidRPr="00397F13">
              <w:t>3948</w:t>
            </w:r>
          </w:p>
        </w:tc>
        <w:tc>
          <w:tcPr>
            <w:tcW w:w="850" w:type="dxa"/>
            <w:tcBorders>
              <w:bottom w:val="single" w:sz="4" w:space="0" w:color="auto"/>
            </w:tcBorders>
            <w:shd w:val="clear" w:color="auto" w:fill="auto"/>
            <w:noWrap/>
            <w:hideMark/>
          </w:tcPr>
          <w:p w14:paraId="7D850CDD" w14:textId="77777777" w:rsidR="00657DE5" w:rsidRPr="002B77A9" w:rsidRDefault="00657DE5" w:rsidP="00657DE5">
            <w:pPr>
              <w:pStyle w:val="MDPI42tablebody"/>
              <w:autoSpaceDE w:val="0"/>
              <w:autoSpaceDN w:val="0"/>
              <w:spacing w:line="240" w:lineRule="auto"/>
            </w:pPr>
            <w:r w:rsidRPr="00397F13">
              <w:t>3388</w:t>
            </w:r>
          </w:p>
        </w:tc>
        <w:tc>
          <w:tcPr>
            <w:tcW w:w="992" w:type="dxa"/>
            <w:tcBorders>
              <w:bottom w:val="single" w:sz="4" w:space="0" w:color="auto"/>
            </w:tcBorders>
            <w:shd w:val="clear" w:color="auto" w:fill="auto"/>
            <w:noWrap/>
            <w:hideMark/>
          </w:tcPr>
          <w:p w14:paraId="744B7324" w14:textId="77777777" w:rsidR="00657DE5" w:rsidRPr="002B77A9" w:rsidRDefault="00657DE5" w:rsidP="00657DE5">
            <w:pPr>
              <w:pStyle w:val="MDPI42tablebody"/>
              <w:autoSpaceDE w:val="0"/>
              <w:autoSpaceDN w:val="0"/>
              <w:spacing w:line="240" w:lineRule="auto"/>
            </w:pPr>
            <w:r w:rsidRPr="00397F13">
              <w:t>2418</w:t>
            </w:r>
          </w:p>
        </w:tc>
        <w:tc>
          <w:tcPr>
            <w:tcW w:w="993" w:type="dxa"/>
            <w:gridSpan w:val="2"/>
            <w:tcBorders>
              <w:bottom w:val="single" w:sz="4" w:space="0" w:color="auto"/>
            </w:tcBorders>
            <w:shd w:val="clear" w:color="auto" w:fill="auto"/>
            <w:noWrap/>
            <w:hideMark/>
          </w:tcPr>
          <w:p w14:paraId="0D8D2BD6" w14:textId="77777777" w:rsidR="00657DE5" w:rsidRPr="002B77A9" w:rsidRDefault="00657DE5" w:rsidP="00657DE5">
            <w:pPr>
              <w:pStyle w:val="MDPI42tablebody"/>
              <w:autoSpaceDE w:val="0"/>
              <w:autoSpaceDN w:val="0"/>
              <w:spacing w:line="240" w:lineRule="auto"/>
            </w:pPr>
            <w:r w:rsidRPr="00397F13">
              <w:t>167</w:t>
            </w:r>
          </w:p>
        </w:tc>
        <w:tc>
          <w:tcPr>
            <w:tcW w:w="850" w:type="dxa"/>
            <w:gridSpan w:val="2"/>
            <w:tcBorders>
              <w:bottom w:val="single" w:sz="4" w:space="0" w:color="auto"/>
            </w:tcBorders>
            <w:shd w:val="clear" w:color="auto" w:fill="auto"/>
            <w:noWrap/>
            <w:hideMark/>
          </w:tcPr>
          <w:p w14:paraId="7BD758AD" w14:textId="77777777" w:rsidR="00657DE5" w:rsidRPr="002B77A9" w:rsidRDefault="00657DE5" w:rsidP="00657DE5">
            <w:pPr>
              <w:pStyle w:val="MDPI42tablebody"/>
              <w:autoSpaceDE w:val="0"/>
              <w:autoSpaceDN w:val="0"/>
              <w:spacing w:line="240" w:lineRule="auto"/>
            </w:pPr>
            <w:r w:rsidRPr="00397F13">
              <w:t>0</w:t>
            </w:r>
          </w:p>
        </w:tc>
        <w:tc>
          <w:tcPr>
            <w:tcW w:w="709" w:type="dxa"/>
            <w:tcBorders>
              <w:bottom w:val="single" w:sz="4" w:space="0" w:color="auto"/>
            </w:tcBorders>
          </w:tcPr>
          <w:p w14:paraId="0F71DDEF" w14:textId="77777777" w:rsidR="00657DE5" w:rsidRPr="002B77A9" w:rsidRDefault="00657DE5" w:rsidP="00657DE5">
            <w:pPr>
              <w:pStyle w:val="MDPI42tablebody"/>
              <w:autoSpaceDE w:val="0"/>
              <w:autoSpaceDN w:val="0"/>
              <w:spacing w:line="240" w:lineRule="auto"/>
            </w:pPr>
            <w:r>
              <w:t>-</w:t>
            </w:r>
          </w:p>
        </w:tc>
        <w:tc>
          <w:tcPr>
            <w:tcW w:w="992" w:type="dxa"/>
            <w:tcBorders>
              <w:bottom w:val="single" w:sz="4" w:space="0" w:color="auto"/>
            </w:tcBorders>
            <w:shd w:val="clear" w:color="auto" w:fill="auto"/>
            <w:noWrap/>
            <w:hideMark/>
          </w:tcPr>
          <w:p w14:paraId="1E5BE1AF" w14:textId="77777777" w:rsidR="00657DE5" w:rsidRPr="002B77A9" w:rsidRDefault="00657DE5" w:rsidP="00657DE5">
            <w:pPr>
              <w:pStyle w:val="MDPI42tablebody"/>
              <w:autoSpaceDE w:val="0"/>
              <w:autoSpaceDN w:val="0"/>
              <w:spacing w:line="240" w:lineRule="auto"/>
            </w:pPr>
            <w:r w:rsidRPr="00397F13">
              <w:t>3</w:t>
            </w:r>
            <w:r>
              <w:t>251</w:t>
            </w:r>
          </w:p>
        </w:tc>
        <w:tc>
          <w:tcPr>
            <w:tcW w:w="992" w:type="dxa"/>
            <w:tcBorders>
              <w:bottom w:val="single" w:sz="4" w:space="0" w:color="auto"/>
            </w:tcBorders>
            <w:shd w:val="clear" w:color="auto" w:fill="auto"/>
            <w:noWrap/>
            <w:vAlign w:val="center"/>
            <w:hideMark/>
          </w:tcPr>
          <w:p w14:paraId="45EDB178" w14:textId="77777777" w:rsidR="00657DE5" w:rsidRPr="002B77A9" w:rsidRDefault="00657DE5" w:rsidP="00657DE5">
            <w:pPr>
              <w:pStyle w:val="MDPI42tablebody"/>
              <w:autoSpaceDE w:val="0"/>
              <w:autoSpaceDN w:val="0"/>
              <w:spacing w:line="240" w:lineRule="auto"/>
            </w:pPr>
            <w:r>
              <w:t>34</w:t>
            </w:r>
          </w:p>
        </w:tc>
      </w:tr>
      <w:tr w:rsidR="00657DE5" w:rsidRPr="002B77A9" w14:paraId="06EF4D08" w14:textId="77777777" w:rsidTr="00074AF1">
        <w:trPr>
          <w:jc w:val="center"/>
        </w:trPr>
        <w:tc>
          <w:tcPr>
            <w:tcW w:w="1134" w:type="dxa"/>
            <w:vMerge w:val="restart"/>
            <w:vAlign w:val="center"/>
          </w:tcPr>
          <w:p w14:paraId="79E89D41" w14:textId="77777777" w:rsidR="00657DE5" w:rsidRPr="002B77A9" w:rsidRDefault="00657DE5" w:rsidP="00657DE5">
            <w:pPr>
              <w:pStyle w:val="MDPI42tablebody"/>
              <w:autoSpaceDE w:val="0"/>
              <w:autoSpaceDN w:val="0"/>
              <w:spacing w:line="240" w:lineRule="auto"/>
            </w:pPr>
            <w:r w:rsidRPr="002B77A9">
              <w:t>EP</w:t>
            </w:r>
            <w:r>
              <w:t>/TR</w:t>
            </w:r>
            <w:r w:rsidRPr="002B77A9">
              <w:t xml:space="preserve"> </w:t>
            </w:r>
          </w:p>
          <w:p w14:paraId="6BE5B9ED" w14:textId="77777777" w:rsidR="00657DE5" w:rsidRPr="002B77A9" w:rsidRDefault="00657DE5" w:rsidP="00657DE5">
            <w:pPr>
              <w:pStyle w:val="MDPI42tablebody"/>
              <w:autoSpaceDE w:val="0"/>
              <w:autoSpaceDN w:val="0"/>
              <w:spacing w:line="240" w:lineRule="auto"/>
            </w:pPr>
          </w:p>
        </w:tc>
        <w:tc>
          <w:tcPr>
            <w:tcW w:w="1701" w:type="dxa"/>
            <w:tcBorders>
              <w:top w:val="single" w:sz="4" w:space="0" w:color="auto"/>
              <w:bottom w:val="single" w:sz="4" w:space="0" w:color="auto"/>
              <w:right w:val="nil"/>
            </w:tcBorders>
            <w:shd w:val="clear" w:color="auto" w:fill="auto"/>
            <w:noWrap/>
            <w:vAlign w:val="center"/>
            <w:hideMark/>
          </w:tcPr>
          <w:p w14:paraId="671AA7EA" w14:textId="77777777" w:rsidR="00657DE5" w:rsidRPr="00140800" w:rsidRDefault="002A57D0" w:rsidP="00657DE5">
            <w:pPr>
              <w:pStyle w:val="MDPI42tablebody"/>
              <w:autoSpaceDE w:val="0"/>
              <w:autoSpaceDN w:val="0"/>
              <w:spacing w:line="240" w:lineRule="auto"/>
            </w:pPr>
            <m:oMath>
              <m:sSub>
                <m:sSubPr>
                  <m:ctrlPr>
                    <w:rPr>
                      <w:rFonts w:ascii="Cambria Math" w:hAnsi="Cambria Math"/>
                      <w:i/>
                    </w:rPr>
                  </m:ctrlPr>
                </m:sSubPr>
                <m:e>
                  <m:r>
                    <w:rPr>
                      <w:rFonts w:ascii="Cambria Math" w:hAnsi="Cambria Math"/>
                    </w:rPr>
                    <m:t>E</m:t>
                  </m:r>
                </m:e>
                <m:sub>
                  <m:r>
                    <w:rPr>
                      <w:rFonts w:ascii="Cambria Math" w:hAnsi="Cambria Math"/>
                    </w:rPr>
                    <m:t>t</m:t>
                  </m:r>
                </m:sub>
              </m:sSub>
            </m:oMath>
            <w:r w:rsidR="00657DE5">
              <w:t>, MPa</w:t>
            </w:r>
          </w:p>
        </w:tc>
        <w:tc>
          <w:tcPr>
            <w:tcW w:w="993" w:type="dxa"/>
            <w:tcBorders>
              <w:top w:val="single" w:sz="4" w:space="0" w:color="auto"/>
              <w:left w:val="nil"/>
              <w:bottom w:val="single" w:sz="4" w:space="0" w:color="auto"/>
              <w:right w:val="nil"/>
            </w:tcBorders>
            <w:shd w:val="clear" w:color="auto" w:fill="auto"/>
            <w:noWrap/>
            <w:hideMark/>
          </w:tcPr>
          <w:p w14:paraId="04A8AEBA" w14:textId="77777777" w:rsidR="00657DE5" w:rsidRPr="00DC44C3" w:rsidRDefault="00657DE5" w:rsidP="00657DE5">
            <w:pPr>
              <w:pStyle w:val="MDPI42tablebody"/>
              <w:autoSpaceDE w:val="0"/>
              <w:autoSpaceDN w:val="0"/>
              <w:spacing w:line="240" w:lineRule="auto"/>
              <w:rPr>
                <w:rFonts w:ascii="Cambria Math" w:hAnsi="Cambria Math"/>
                <w:oMath/>
              </w:rPr>
            </w:pPr>
            <w:r w:rsidRPr="007F61B6">
              <w:t>3200</w:t>
            </w:r>
          </w:p>
        </w:tc>
        <w:tc>
          <w:tcPr>
            <w:tcW w:w="850" w:type="dxa"/>
            <w:tcBorders>
              <w:top w:val="single" w:sz="4" w:space="0" w:color="auto"/>
              <w:left w:val="nil"/>
              <w:bottom w:val="single" w:sz="4" w:space="0" w:color="auto"/>
              <w:right w:val="nil"/>
            </w:tcBorders>
            <w:shd w:val="clear" w:color="auto" w:fill="auto"/>
            <w:noWrap/>
            <w:hideMark/>
          </w:tcPr>
          <w:p w14:paraId="5643CC91" w14:textId="77777777" w:rsidR="00657DE5" w:rsidRPr="002B77A9" w:rsidRDefault="00657DE5" w:rsidP="00657DE5">
            <w:pPr>
              <w:pStyle w:val="MDPI42tablebody"/>
              <w:autoSpaceDE w:val="0"/>
              <w:autoSpaceDN w:val="0"/>
              <w:spacing w:line="240" w:lineRule="auto"/>
            </w:pPr>
            <w:r w:rsidRPr="007F61B6">
              <w:t>2920</w:t>
            </w:r>
          </w:p>
        </w:tc>
        <w:tc>
          <w:tcPr>
            <w:tcW w:w="992" w:type="dxa"/>
            <w:tcBorders>
              <w:top w:val="single" w:sz="4" w:space="0" w:color="auto"/>
              <w:left w:val="nil"/>
              <w:bottom w:val="single" w:sz="4" w:space="0" w:color="auto"/>
              <w:right w:val="nil"/>
            </w:tcBorders>
            <w:shd w:val="clear" w:color="auto" w:fill="auto"/>
            <w:noWrap/>
            <w:hideMark/>
          </w:tcPr>
          <w:p w14:paraId="020BBCF5" w14:textId="77777777" w:rsidR="00657DE5" w:rsidRPr="002B77A9" w:rsidRDefault="00657DE5" w:rsidP="00657DE5">
            <w:pPr>
              <w:pStyle w:val="MDPI42tablebody"/>
              <w:autoSpaceDE w:val="0"/>
              <w:autoSpaceDN w:val="0"/>
              <w:spacing w:line="240" w:lineRule="auto"/>
            </w:pPr>
            <w:r w:rsidRPr="007F61B6">
              <w:t>2500</w:t>
            </w:r>
          </w:p>
        </w:tc>
        <w:tc>
          <w:tcPr>
            <w:tcW w:w="993" w:type="dxa"/>
            <w:gridSpan w:val="2"/>
            <w:tcBorders>
              <w:top w:val="single" w:sz="4" w:space="0" w:color="auto"/>
              <w:left w:val="nil"/>
              <w:bottom w:val="single" w:sz="4" w:space="0" w:color="auto"/>
              <w:right w:val="nil"/>
            </w:tcBorders>
            <w:shd w:val="clear" w:color="auto" w:fill="auto"/>
            <w:noWrap/>
            <w:hideMark/>
          </w:tcPr>
          <w:p w14:paraId="175CB429" w14:textId="77777777" w:rsidR="00657DE5" w:rsidRPr="002B77A9" w:rsidRDefault="00657DE5" w:rsidP="00657DE5">
            <w:pPr>
              <w:pStyle w:val="MDPI42tablebody"/>
              <w:autoSpaceDE w:val="0"/>
              <w:autoSpaceDN w:val="0"/>
              <w:spacing w:line="240" w:lineRule="auto"/>
            </w:pPr>
            <w:r w:rsidRPr="007F61B6">
              <w:t>1924</w:t>
            </w:r>
          </w:p>
        </w:tc>
        <w:tc>
          <w:tcPr>
            <w:tcW w:w="850" w:type="dxa"/>
            <w:gridSpan w:val="2"/>
            <w:tcBorders>
              <w:top w:val="single" w:sz="4" w:space="0" w:color="auto"/>
              <w:left w:val="nil"/>
              <w:bottom w:val="single" w:sz="4" w:space="0" w:color="auto"/>
              <w:right w:val="nil"/>
            </w:tcBorders>
            <w:shd w:val="clear" w:color="auto" w:fill="auto"/>
            <w:noWrap/>
            <w:hideMark/>
          </w:tcPr>
          <w:p w14:paraId="5A78425E" w14:textId="77777777" w:rsidR="00657DE5" w:rsidRPr="002B77A9" w:rsidRDefault="00657DE5" w:rsidP="00657DE5">
            <w:pPr>
              <w:pStyle w:val="MDPI42tablebody"/>
              <w:autoSpaceDE w:val="0"/>
              <w:autoSpaceDN w:val="0"/>
              <w:spacing w:line="240" w:lineRule="auto"/>
            </w:pPr>
            <w:r w:rsidRPr="007F61B6">
              <w:t>354</w:t>
            </w:r>
          </w:p>
        </w:tc>
        <w:tc>
          <w:tcPr>
            <w:tcW w:w="709" w:type="dxa"/>
            <w:tcBorders>
              <w:top w:val="single" w:sz="4" w:space="0" w:color="auto"/>
              <w:left w:val="nil"/>
              <w:bottom w:val="single" w:sz="4" w:space="0" w:color="auto"/>
              <w:right w:val="nil"/>
            </w:tcBorders>
          </w:tcPr>
          <w:p w14:paraId="5296E6D7" w14:textId="77777777" w:rsidR="00657DE5" w:rsidRPr="002B77A9" w:rsidRDefault="00657DE5" w:rsidP="00657DE5">
            <w:pPr>
              <w:pStyle w:val="MDPI42tablebody"/>
              <w:autoSpaceDE w:val="0"/>
              <w:autoSpaceDN w:val="0"/>
              <w:spacing w:line="240" w:lineRule="auto"/>
            </w:pPr>
            <w:r>
              <w:t>-</w:t>
            </w:r>
          </w:p>
        </w:tc>
        <w:tc>
          <w:tcPr>
            <w:tcW w:w="992" w:type="dxa"/>
            <w:tcBorders>
              <w:top w:val="single" w:sz="4" w:space="0" w:color="auto"/>
              <w:left w:val="nil"/>
              <w:bottom w:val="single" w:sz="4" w:space="0" w:color="auto"/>
              <w:right w:val="nil"/>
            </w:tcBorders>
            <w:shd w:val="clear" w:color="auto" w:fill="auto"/>
            <w:noWrap/>
            <w:vAlign w:val="center"/>
            <w:hideMark/>
          </w:tcPr>
          <w:p w14:paraId="0222A605" w14:textId="77777777" w:rsidR="00657DE5" w:rsidRPr="002B77A9" w:rsidRDefault="00E97AB0" w:rsidP="00657DE5">
            <w:pPr>
              <w:pStyle w:val="MDPI42tablebody"/>
              <w:autoSpaceDE w:val="0"/>
              <w:autoSpaceDN w:val="0"/>
              <w:spacing w:line="240" w:lineRule="auto"/>
            </w:pPr>
            <w:r>
              <w:t>-</w:t>
            </w:r>
          </w:p>
        </w:tc>
        <w:tc>
          <w:tcPr>
            <w:tcW w:w="992" w:type="dxa"/>
            <w:tcBorders>
              <w:top w:val="single" w:sz="4" w:space="0" w:color="auto"/>
              <w:left w:val="nil"/>
              <w:bottom w:val="single" w:sz="4" w:space="0" w:color="auto"/>
              <w:right w:val="nil"/>
            </w:tcBorders>
            <w:shd w:val="clear" w:color="auto" w:fill="auto"/>
            <w:noWrap/>
            <w:vAlign w:val="center"/>
            <w:hideMark/>
          </w:tcPr>
          <w:p w14:paraId="0647AE1D" w14:textId="77777777" w:rsidR="00657DE5" w:rsidRPr="002B77A9" w:rsidRDefault="001A26F8" w:rsidP="00657DE5">
            <w:pPr>
              <w:pStyle w:val="MDPI42tablebody"/>
              <w:autoSpaceDE w:val="0"/>
              <w:autoSpaceDN w:val="0"/>
              <w:spacing w:line="240" w:lineRule="auto"/>
            </w:pPr>
            <w:r>
              <w:t>-</w:t>
            </w:r>
          </w:p>
        </w:tc>
      </w:tr>
      <w:tr w:rsidR="00657DE5" w:rsidRPr="002B77A9" w14:paraId="3D513F34" w14:textId="77777777" w:rsidTr="00074AF1">
        <w:trPr>
          <w:jc w:val="center"/>
        </w:trPr>
        <w:tc>
          <w:tcPr>
            <w:tcW w:w="1134" w:type="dxa"/>
            <w:vMerge/>
            <w:vAlign w:val="center"/>
          </w:tcPr>
          <w:p w14:paraId="256AE2BF" w14:textId="77777777" w:rsidR="00657DE5" w:rsidRPr="002B77A9" w:rsidRDefault="00657DE5" w:rsidP="00657DE5">
            <w:pPr>
              <w:pStyle w:val="MDPI42tablebody"/>
              <w:autoSpaceDE w:val="0"/>
              <w:autoSpaceDN w:val="0"/>
              <w:spacing w:line="240" w:lineRule="auto"/>
            </w:pPr>
          </w:p>
        </w:tc>
        <w:tc>
          <w:tcPr>
            <w:tcW w:w="1701" w:type="dxa"/>
            <w:tcBorders>
              <w:top w:val="single" w:sz="4" w:space="0" w:color="auto"/>
              <w:bottom w:val="single" w:sz="4" w:space="0" w:color="auto"/>
              <w:right w:val="nil"/>
            </w:tcBorders>
            <w:shd w:val="clear" w:color="auto" w:fill="auto"/>
            <w:noWrap/>
            <w:vAlign w:val="center"/>
            <w:hideMark/>
          </w:tcPr>
          <w:p w14:paraId="10898279" w14:textId="77777777" w:rsidR="00657DE5" w:rsidRPr="00DC44C3" w:rsidRDefault="002A57D0" w:rsidP="00657DE5">
            <w:pPr>
              <w:pStyle w:val="MDPI42tablebody"/>
              <w:autoSpaceDE w:val="0"/>
              <w:autoSpaceDN w:val="0"/>
              <w:spacing w:line="240" w:lineRule="auto"/>
            </w:pP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00657DE5">
              <w:t>, K</w:t>
            </w:r>
            <w:r w:rsidR="00657DE5">
              <w:rPr>
                <w:vertAlign w:val="superscript"/>
              </w:rPr>
              <w:t>-1</w:t>
            </w:r>
            <w:r w:rsidR="00657DE5">
              <w:t>, 10</w:t>
            </w:r>
            <w:r w:rsidR="00657DE5">
              <w:rPr>
                <w:vertAlign w:val="superscript"/>
              </w:rPr>
              <w:t>6</w:t>
            </w:r>
          </w:p>
        </w:tc>
        <w:tc>
          <w:tcPr>
            <w:tcW w:w="993" w:type="dxa"/>
            <w:tcBorders>
              <w:top w:val="single" w:sz="4" w:space="0" w:color="auto"/>
              <w:left w:val="nil"/>
              <w:bottom w:val="single" w:sz="4" w:space="0" w:color="auto"/>
              <w:right w:val="nil"/>
            </w:tcBorders>
            <w:shd w:val="clear" w:color="auto" w:fill="auto"/>
            <w:noWrap/>
            <w:hideMark/>
          </w:tcPr>
          <w:p w14:paraId="065F1AAD" w14:textId="77777777" w:rsidR="00657DE5" w:rsidRPr="00DC44C3" w:rsidRDefault="00657DE5" w:rsidP="00657DE5">
            <w:pPr>
              <w:pStyle w:val="MDPI42tablebody"/>
              <w:autoSpaceDE w:val="0"/>
              <w:autoSpaceDN w:val="0"/>
              <w:spacing w:line="240" w:lineRule="auto"/>
              <w:rPr>
                <w:rFonts w:ascii="Cambria Math" w:hAnsi="Cambria Math"/>
                <w:oMath/>
              </w:rPr>
            </w:pPr>
            <w:r w:rsidRPr="00FB5634">
              <w:t>36,0</w:t>
            </w:r>
          </w:p>
        </w:tc>
        <w:tc>
          <w:tcPr>
            <w:tcW w:w="850" w:type="dxa"/>
            <w:tcBorders>
              <w:top w:val="single" w:sz="4" w:space="0" w:color="auto"/>
              <w:left w:val="nil"/>
              <w:bottom w:val="single" w:sz="4" w:space="0" w:color="auto"/>
              <w:right w:val="nil"/>
            </w:tcBorders>
            <w:shd w:val="clear" w:color="auto" w:fill="auto"/>
            <w:noWrap/>
            <w:hideMark/>
          </w:tcPr>
          <w:p w14:paraId="098F139A" w14:textId="77777777" w:rsidR="00657DE5" w:rsidRPr="002B77A9" w:rsidRDefault="00657DE5" w:rsidP="00657DE5">
            <w:pPr>
              <w:pStyle w:val="MDPI42tablebody"/>
              <w:autoSpaceDE w:val="0"/>
              <w:autoSpaceDN w:val="0"/>
              <w:spacing w:line="240" w:lineRule="auto"/>
            </w:pPr>
            <w:r w:rsidRPr="00FB5634">
              <w:t>40,0</w:t>
            </w:r>
          </w:p>
        </w:tc>
        <w:tc>
          <w:tcPr>
            <w:tcW w:w="992" w:type="dxa"/>
            <w:tcBorders>
              <w:top w:val="single" w:sz="4" w:space="0" w:color="auto"/>
              <w:left w:val="nil"/>
              <w:bottom w:val="single" w:sz="4" w:space="0" w:color="auto"/>
              <w:right w:val="nil"/>
            </w:tcBorders>
            <w:shd w:val="clear" w:color="auto" w:fill="auto"/>
            <w:noWrap/>
            <w:hideMark/>
          </w:tcPr>
          <w:p w14:paraId="50EFA9A0" w14:textId="77777777" w:rsidR="00657DE5" w:rsidRPr="002B77A9" w:rsidRDefault="00657DE5" w:rsidP="00657DE5">
            <w:pPr>
              <w:pStyle w:val="MDPI42tablebody"/>
              <w:autoSpaceDE w:val="0"/>
              <w:autoSpaceDN w:val="0"/>
              <w:spacing w:line="240" w:lineRule="auto"/>
            </w:pPr>
            <w:r w:rsidRPr="00FB5634">
              <w:t>42,6</w:t>
            </w:r>
          </w:p>
        </w:tc>
        <w:tc>
          <w:tcPr>
            <w:tcW w:w="993" w:type="dxa"/>
            <w:gridSpan w:val="2"/>
            <w:tcBorders>
              <w:top w:val="single" w:sz="4" w:space="0" w:color="auto"/>
              <w:left w:val="nil"/>
              <w:bottom w:val="single" w:sz="4" w:space="0" w:color="auto"/>
              <w:right w:val="nil"/>
            </w:tcBorders>
            <w:shd w:val="clear" w:color="auto" w:fill="auto"/>
            <w:noWrap/>
            <w:hideMark/>
          </w:tcPr>
          <w:p w14:paraId="154B3F30" w14:textId="77777777" w:rsidR="00657DE5" w:rsidRPr="002B77A9" w:rsidRDefault="00657DE5" w:rsidP="00657DE5">
            <w:pPr>
              <w:pStyle w:val="MDPI42tablebody"/>
              <w:autoSpaceDE w:val="0"/>
              <w:autoSpaceDN w:val="0"/>
              <w:spacing w:line="240" w:lineRule="auto"/>
            </w:pPr>
            <w:r w:rsidRPr="00FB5634">
              <w:t>50,4</w:t>
            </w:r>
          </w:p>
        </w:tc>
        <w:tc>
          <w:tcPr>
            <w:tcW w:w="850" w:type="dxa"/>
            <w:gridSpan w:val="2"/>
            <w:tcBorders>
              <w:top w:val="single" w:sz="4" w:space="0" w:color="auto"/>
              <w:left w:val="nil"/>
              <w:bottom w:val="single" w:sz="4" w:space="0" w:color="auto"/>
              <w:right w:val="nil"/>
            </w:tcBorders>
            <w:shd w:val="clear" w:color="auto" w:fill="auto"/>
            <w:noWrap/>
            <w:hideMark/>
          </w:tcPr>
          <w:p w14:paraId="02C3C2AC" w14:textId="77777777" w:rsidR="00657DE5" w:rsidRPr="002B77A9" w:rsidRDefault="00657DE5" w:rsidP="00657DE5">
            <w:pPr>
              <w:pStyle w:val="MDPI42tablebody"/>
              <w:autoSpaceDE w:val="0"/>
              <w:autoSpaceDN w:val="0"/>
              <w:spacing w:line="240" w:lineRule="auto"/>
            </w:pPr>
            <w:r w:rsidRPr="00FB5634">
              <w:t>54,0</w:t>
            </w:r>
          </w:p>
        </w:tc>
        <w:tc>
          <w:tcPr>
            <w:tcW w:w="709" w:type="dxa"/>
            <w:tcBorders>
              <w:top w:val="single" w:sz="4" w:space="0" w:color="auto"/>
              <w:left w:val="nil"/>
              <w:bottom w:val="single" w:sz="4" w:space="0" w:color="auto"/>
              <w:right w:val="nil"/>
            </w:tcBorders>
          </w:tcPr>
          <w:p w14:paraId="2B0FF6BC" w14:textId="77777777" w:rsidR="00657DE5" w:rsidRPr="002B77A9" w:rsidRDefault="00657DE5" w:rsidP="00657DE5">
            <w:pPr>
              <w:pStyle w:val="MDPI42tablebody"/>
              <w:autoSpaceDE w:val="0"/>
              <w:autoSpaceDN w:val="0"/>
              <w:spacing w:line="240" w:lineRule="auto"/>
            </w:pPr>
            <w:r w:rsidRPr="00FB5634">
              <w:t>79,3</w:t>
            </w:r>
          </w:p>
        </w:tc>
        <w:tc>
          <w:tcPr>
            <w:tcW w:w="992" w:type="dxa"/>
            <w:tcBorders>
              <w:top w:val="single" w:sz="4" w:space="0" w:color="auto"/>
              <w:left w:val="nil"/>
              <w:bottom w:val="single" w:sz="4" w:space="0" w:color="auto"/>
              <w:right w:val="nil"/>
            </w:tcBorders>
            <w:shd w:val="clear" w:color="auto" w:fill="auto"/>
            <w:noWrap/>
            <w:vAlign w:val="center"/>
            <w:hideMark/>
          </w:tcPr>
          <w:p w14:paraId="1E795142" w14:textId="77777777" w:rsidR="00657DE5" w:rsidRPr="002B77A9" w:rsidRDefault="00657DE5" w:rsidP="00657DE5">
            <w:pPr>
              <w:pStyle w:val="MDPI42tablebody"/>
              <w:autoSpaceDE w:val="0"/>
              <w:autoSpaceDN w:val="0"/>
              <w:spacing w:line="240" w:lineRule="auto"/>
            </w:pPr>
            <w:r>
              <w:t>-</w:t>
            </w:r>
          </w:p>
        </w:tc>
        <w:tc>
          <w:tcPr>
            <w:tcW w:w="992" w:type="dxa"/>
            <w:tcBorders>
              <w:top w:val="single" w:sz="4" w:space="0" w:color="auto"/>
              <w:left w:val="nil"/>
              <w:bottom w:val="single" w:sz="4" w:space="0" w:color="auto"/>
              <w:right w:val="nil"/>
            </w:tcBorders>
            <w:shd w:val="clear" w:color="auto" w:fill="auto"/>
            <w:noWrap/>
            <w:vAlign w:val="center"/>
            <w:hideMark/>
          </w:tcPr>
          <w:p w14:paraId="2F2F1BFB" w14:textId="77777777" w:rsidR="00657DE5" w:rsidRPr="002B77A9" w:rsidRDefault="001A26F8" w:rsidP="00657DE5">
            <w:pPr>
              <w:pStyle w:val="MDPI42tablebody"/>
              <w:autoSpaceDE w:val="0"/>
              <w:autoSpaceDN w:val="0"/>
              <w:spacing w:line="240" w:lineRule="auto"/>
            </w:pPr>
            <w:r>
              <w:t>-</w:t>
            </w:r>
          </w:p>
        </w:tc>
      </w:tr>
      <w:tr w:rsidR="00657DE5" w:rsidRPr="002B77A9" w14:paraId="122F27F2" w14:textId="77777777" w:rsidTr="00074AF1">
        <w:trPr>
          <w:jc w:val="center"/>
        </w:trPr>
        <w:tc>
          <w:tcPr>
            <w:tcW w:w="1134" w:type="dxa"/>
            <w:vMerge/>
            <w:vAlign w:val="center"/>
          </w:tcPr>
          <w:p w14:paraId="70F2919E" w14:textId="77777777" w:rsidR="00657DE5" w:rsidRPr="002B77A9" w:rsidRDefault="00657DE5" w:rsidP="00657DE5">
            <w:pPr>
              <w:pStyle w:val="MDPI42tablebody"/>
              <w:autoSpaceDE w:val="0"/>
              <w:autoSpaceDN w:val="0"/>
              <w:spacing w:line="240" w:lineRule="auto"/>
            </w:pPr>
          </w:p>
        </w:tc>
        <w:tc>
          <w:tcPr>
            <w:tcW w:w="1701" w:type="dxa"/>
            <w:tcBorders>
              <w:top w:val="single" w:sz="4" w:space="0" w:color="auto"/>
              <w:bottom w:val="single" w:sz="4" w:space="0" w:color="auto"/>
              <w:right w:val="nil"/>
            </w:tcBorders>
            <w:shd w:val="clear" w:color="auto" w:fill="auto"/>
            <w:noWrap/>
            <w:vAlign w:val="center"/>
            <w:hideMark/>
          </w:tcPr>
          <w:p w14:paraId="24C95189" w14:textId="77777777" w:rsidR="00657DE5" w:rsidRPr="00DC44C3" w:rsidRDefault="00657DE5" w:rsidP="00657DE5">
            <w:pPr>
              <w:pStyle w:val="MDPI42tablebody"/>
              <w:autoSpaceDE w:val="0"/>
              <w:autoSpaceDN w:val="0"/>
              <w:spacing w:line="240" w:lineRule="auto"/>
            </w:pPr>
            <m:oMath>
              <m:r>
                <w:rPr>
                  <w:rFonts w:ascii="Cambria Math" w:hAnsi="Cambria Math"/>
                </w:rPr>
                <m:t>E</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oMath>
            <w:r>
              <w:t>, MPa</w:t>
            </w:r>
            <w:r>
              <w:rPr>
                <w:vertAlign w:val="superscript"/>
              </w:rPr>
              <w:t>.</w:t>
            </w:r>
            <w:r>
              <w:t>K</w:t>
            </w:r>
            <w:r>
              <w:rPr>
                <w:vertAlign w:val="superscript"/>
              </w:rPr>
              <w:t>2</w:t>
            </w:r>
          </w:p>
        </w:tc>
        <w:tc>
          <w:tcPr>
            <w:tcW w:w="993" w:type="dxa"/>
            <w:tcBorders>
              <w:top w:val="single" w:sz="4" w:space="0" w:color="auto"/>
              <w:left w:val="nil"/>
              <w:bottom w:val="single" w:sz="4" w:space="0" w:color="auto"/>
              <w:right w:val="nil"/>
            </w:tcBorders>
            <w:shd w:val="clear" w:color="auto" w:fill="auto"/>
            <w:noWrap/>
            <w:hideMark/>
          </w:tcPr>
          <w:p w14:paraId="5A49C76A" w14:textId="77777777" w:rsidR="00657DE5" w:rsidRPr="00DC44C3" w:rsidRDefault="00657DE5" w:rsidP="00657DE5">
            <w:pPr>
              <w:pStyle w:val="MDPI42tablebody"/>
              <w:autoSpaceDE w:val="0"/>
              <w:autoSpaceDN w:val="0"/>
              <w:spacing w:line="240" w:lineRule="auto"/>
              <w:rPr>
                <w:rFonts w:ascii="Cambria Math" w:hAnsi="Cambria Math"/>
                <w:oMath/>
              </w:rPr>
            </w:pPr>
            <w:r w:rsidRPr="005F5FDF">
              <w:t>4147200</w:t>
            </w:r>
          </w:p>
        </w:tc>
        <w:tc>
          <w:tcPr>
            <w:tcW w:w="850" w:type="dxa"/>
            <w:tcBorders>
              <w:top w:val="single" w:sz="4" w:space="0" w:color="auto"/>
              <w:left w:val="nil"/>
              <w:bottom w:val="single" w:sz="4" w:space="0" w:color="auto"/>
              <w:right w:val="nil"/>
            </w:tcBorders>
            <w:shd w:val="clear" w:color="auto" w:fill="auto"/>
            <w:noWrap/>
            <w:hideMark/>
          </w:tcPr>
          <w:p w14:paraId="5B7414C2" w14:textId="77777777" w:rsidR="00657DE5" w:rsidRPr="002B77A9" w:rsidRDefault="00657DE5" w:rsidP="00657DE5">
            <w:pPr>
              <w:pStyle w:val="MDPI42tablebody"/>
              <w:autoSpaceDE w:val="0"/>
              <w:autoSpaceDN w:val="0"/>
              <w:spacing w:line="240" w:lineRule="auto"/>
            </w:pPr>
            <w:r w:rsidRPr="005F5FDF">
              <w:t>4672000</w:t>
            </w:r>
          </w:p>
        </w:tc>
        <w:tc>
          <w:tcPr>
            <w:tcW w:w="992" w:type="dxa"/>
            <w:tcBorders>
              <w:top w:val="single" w:sz="4" w:space="0" w:color="auto"/>
              <w:left w:val="nil"/>
              <w:bottom w:val="single" w:sz="4" w:space="0" w:color="auto"/>
              <w:right w:val="nil"/>
            </w:tcBorders>
            <w:shd w:val="clear" w:color="auto" w:fill="auto"/>
            <w:noWrap/>
            <w:hideMark/>
          </w:tcPr>
          <w:p w14:paraId="0F4D3BDC" w14:textId="77777777" w:rsidR="00657DE5" w:rsidRPr="002B77A9" w:rsidRDefault="00657DE5" w:rsidP="00657DE5">
            <w:pPr>
              <w:pStyle w:val="MDPI42tablebody"/>
              <w:autoSpaceDE w:val="0"/>
              <w:autoSpaceDN w:val="0"/>
              <w:spacing w:line="240" w:lineRule="auto"/>
            </w:pPr>
            <w:r w:rsidRPr="005F5FDF">
              <w:t>4536900</w:t>
            </w:r>
          </w:p>
        </w:tc>
        <w:tc>
          <w:tcPr>
            <w:tcW w:w="993" w:type="dxa"/>
            <w:gridSpan w:val="2"/>
            <w:tcBorders>
              <w:top w:val="single" w:sz="4" w:space="0" w:color="auto"/>
              <w:left w:val="nil"/>
              <w:bottom w:val="single" w:sz="4" w:space="0" w:color="auto"/>
              <w:right w:val="nil"/>
            </w:tcBorders>
            <w:shd w:val="clear" w:color="auto" w:fill="auto"/>
            <w:noWrap/>
            <w:hideMark/>
          </w:tcPr>
          <w:p w14:paraId="20FE112F" w14:textId="77777777" w:rsidR="00657DE5" w:rsidRPr="002B77A9" w:rsidRDefault="00657DE5" w:rsidP="00657DE5">
            <w:pPr>
              <w:pStyle w:val="MDPI42tablebody"/>
              <w:autoSpaceDE w:val="0"/>
              <w:autoSpaceDN w:val="0"/>
              <w:spacing w:line="240" w:lineRule="auto"/>
            </w:pPr>
            <w:r w:rsidRPr="005F5FDF">
              <w:t>4887267</w:t>
            </w:r>
          </w:p>
        </w:tc>
        <w:tc>
          <w:tcPr>
            <w:tcW w:w="850" w:type="dxa"/>
            <w:gridSpan w:val="2"/>
            <w:tcBorders>
              <w:top w:val="single" w:sz="4" w:space="0" w:color="auto"/>
              <w:left w:val="nil"/>
              <w:bottom w:val="single" w:sz="4" w:space="0" w:color="auto"/>
              <w:right w:val="nil"/>
            </w:tcBorders>
            <w:shd w:val="clear" w:color="auto" w:fill="auto"/>
            <w:noWrap/>
            <w:hideMark/>
          </w:tcPr>
          <w:p w14:paraId="4DE5FCA2" w14:textId="77777777" w:rsidR="00657DE5" w:rsidRPr="002B77A9" w:rsidRDefault="00657DE5" w:rsidP="00657DE5">
            <w:pPr>
              <w:pStyle w:val="MDPI42tablebody"/>
              <w:autoSpaceDE w:val="0"/>
              <w:autoSpaceDN w:val="0"/>
              <w:spacing w:line="240" w:lineRule="auto"/>
            </w:pPr>
            <w:r w:rsidRPr="005F5FDF">
              <w:t>1032264</w:t>
            </w:r>
          </w:p>
        </w:tc>
        <w:tc>
          <w:tcPr>
            <w:tcW w:w="709" w:type="dxa"/>
            <w:tcBorders>
              <w:top w:val="single" w:sz="4" w:space="0" w:color="auto"/>
              <w:left w:val="nil"/>
              <w:bottom w:val="single" w:sz="4" w:space="0" w:color="auto"/>
              <w:right w:val="nil"/>
            </w:tcBorders>
          </w:tcPr>
          <w:p w14:paraId="0B19B469" w14:textId="77777777" w:rsidR="00657DE5" w:rsidRPr="002B77A9" w:rsidRDefault="00657DE5" w:rsidP="00657DE5">
            <w:pPr>
              <w:pStyle w:val="MDPI42tablebody"/>
              <w:autoSpaceDE w:val="0"/>
              <w:autoSpaceDN w:val="0"/>
              <w:spacing w:line="240" w:lineRule="auto"/>
            </w:pPr>
            <w:r>
              <w:t>-</w:t>
            </w:r>
          </w:p>
        </w:tc>
        <w:tc>
          <w:tcPr>
            <w:tcW w:w="992" w:type="dxa"/>
            <w:tcBorders>
              <w:top w:val="single" w:sz="4" w:space="0" w:color="auto"/>
              <w:left w:val="nil"/>
              <w:bottom w:val="single" w:sz="4" w:space="0" w:color="auto"/>
              <w:right w:val="nil"/>
            </w:tcBorders>
            <w:shd w:val="clear" w:color="auto" w:fill="auto"/>
            <w:noWrap/>
            <w:vAlign w:val="center"/>
            <w:hideMark/>
          </w:tcPr>
          <w:p w14:paraId="742AE6A6" w14:textId="77777777" w:rsidR="00657DE5" w:rsidRPr="002B77A9" w:rsidRDefault="00657DE5" w:rsidP="00657DE5">
            <w:pPr>
              <w:pStyle w:val="MDPI42tablebody"/>
              <w:autoSpaceDE w:val="0"/>
              <w:autoSpaceDN w:val="0"/>
              <w:spacing w:line="240" w:lineRule="auto"/>
            </w:pPr>
            <w:r w:rsidRPr="005F5FDF">
              <w:t>4560841</w:t>
            </w:r>
          </w:p>
        </w:tc>
        <w:tc>
          <w:tcPr>
            <w:tcW w:w="992" w:type="dxa"/>
            <w:tcBorders>
              <w:top w:val="single" w:sz="4" w:space="0" w:color="auto"/>
              <w:left w:val="nil"/>
              <w:bottom w:val="single" w:sz="4" w:space="0" w:color="auto"/>
              <w:right w:val="nil"/>
            </w:tcBorders>
            <w:shd w:val="clear" w:color="auto" w:fill="auto"/>
            <w:noWrap/>
            <w:vAlign w:val="center"/>
            <w:hideMark/>
          </w:tcPr>
          <w:p w14:paraId="2CDF6B96" w14:textId="77777777" w:rsidR="00657DE5" w:rsidRPr="002B77A9" w:rsidRDefault="001A26F8" w:rsidP="00657DE5">
            <w:pPr>
              <w:pStyle w:val="MDPI42tablebody"/>
              <w:autoSpaceDE w:val="0"/>
              <w:autoSpaceDN w:val="0"/>
              <w:spacing w:line="240" w:lineRule="auto"/>
            </w:pPr>
            <w:r>
              <w:t>12</w:t>
            </w:r>
          </w:p>
        </w:tc>
      </w:tr>
      <w:tr w:rsidR="001A26F8" w:rsidRPr="002B77A9" w14:paraId="1972F57D" w14:textId="77777777" w:rsidTr="00074AF1">
        <w:trPr>
          <w:jc w:val="center"/>
        </w:trPr>
        <w:tc>
          <w:tcPr>
            <w:tcW w:w="1134" w:type="dxa"/>
            <w:vMerge/>
            <w:vAlign w:val="center"/>
          </w:tcPr>
          <w:p w14:paraId="361C2936" w14:textId="77777777" w:rsidR="001A26F8" w:rsidRPr="002B77A9" w:rsidRDefault="001A26F8" w:rsidP="001A26F8">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7165BC3B" w14:textId="77777777" w:rsidR="001A26F8" w:rsidRPr="002B77A9" w:rsidRDefault="002A57D0" w:rsidP="001A26F8">
            <w:pPr>
              <w:pStyle w:val="MDPI42tablebody"/>
              <w:autoSpaceDE w:val="0"/>
              <w:autoSpaceDN w:val="0"/>
              <w:spacing w:line="240" w:lineRule="auto"/>
            </w:pPr>
            <m:oMath>
              <m:sSub>
                <m:sSubPr>
                  <m:ctrlPr>
                    <w:rPr>
                      <w:rFonts w:ascii="Cambria Math" w:hAnsi="Cambria Math"/>
                      <w:i/>
                      <w:szCs w:val="22"/>
                    </w:rPr>
                  </m:ctrlPr>
                </m:sSubPr>
                <m:e>
                  <m:r>
                    <w:rPr>
                      <w:rFonts w:ascii="Cambria Math" w:hAnsi="Cambria Math"/>
                    </w:rPr>
                    <m:t>E</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t</m:t>
                  </m:r>
                </m:sub>
              </m:sSub>
              <m:f>
                <m:fPr>
                  <m:ctrlPr>
                    <w:rPr>
                      <w:rFonts w:ascii="Cambria Math" w:hAnsi="Cambria Math"/>
                      <w:i/>
                      <w:szCs w:val="22"/>
                    </w:rPr>
                  </m:ctrlPr>
                </m:fPr>
                <m:num>
                  <m:sSub>
                    <m:sSubPr>
                      <m:ctrlPr>
                        <w:rPr>
                          <w:rFonts w:ascii="Cambria Math" w:hAnsi="Cambria Math"/>
                          <w:i/>
                        </w:rPr>
                      </m:ctrlPr>
                    </m:sSubPr>
                    <m:e>
                      <m:r>
                        <w:rPr>
                          <w:rFonts w:ascii="Cambria Math" w:hAnsi="Cambria Math"/>
                        </w:rPr>
                        <m:t>α</m:t>
                      </m:r>
                    </m:e>
                    <m:sub>
                      <m:r>
                        <w:rPr>
                          <w:rFonts w:ascii="Cambria Math" w:hAnsi="Cambria Math"/>
                        </w:rPr>
                        <m:t>tg</m:t>
                      </m:r>
                    </m:sub>
                  </m:sSub>
                </m:num>
                <m:den>
                  <m:sSub>
                    <m:sSubPr>
                      <m:ctrlPr>
                        <w:rPr>
                          <w:rFonts w:ascii="Cambria Math" w:hAnsi="Cambria Math"/>
                          <w:i/>
                        </w:rPr>
                      </m:ctrlPr>
                    </m:sSubPr>
                    <m:e>
                      <m:r>
                        <w:rPr>
                          <w:rFonts w:ascii="Cambria Math" w:hAnsi="Cambria Math"/>
                        </w:rPr>
                        <m:t>α</m:t>
                      </m:r>
                    </m:e>
                    <m:sub>
                      <m:r>
                        <w:rPr>
                          <w:rFonts w:ascii="Cambria Math" w:hAnsi="Cambria Math"/>
                        </w:rPr>
                        <m:t>tg</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t</m:t>
                      </m:r>
                    </m:sub>
                  </m:sSub>
                </m:den>
              </m:f>
            </m:oMath>
            <w:r w:rsidR="001A26F8">
              <w:rPr>
                <w:szCs w:val="22"/>
              </w:rPr>
              <w:t>, MPa</w:t>
            </w:r>
          </w:p>
        </w:tc>
        <w:tc>
          <w:tcPr>
            <w:tcW w:w="993" w:type="dxa"/>
            <w:tcBorders>
              <w:top w:val="single" w:sz="4" w:space="0" w:color="auto"/>
              <w:left w:val="nil"/>
              <w:bottom w:val="single" w:sz="8" w:space="0" w:color="auto"/>
              <w:right w:val="nil"/>
            </w:tcBorders>
            <w:shd w:val="clear" w:color="auto" w:fill="auto"/>
            <w:noWrap/>
            <w:hideMark/>
          </w:tcPr>
          <w:p w14:paraId="66F30570" w14:textId="77777777" w:rsidR="001A26F8" w:rsidRPr="00DC44C3" w:rsidRDefault="001A26F8" w:rsidP="001A26F8">
            <w:pPr>
              <w:pStyle w:val="MDPI42tablebody"/>
              <w:autoSpaceDE w:val="0"/>
              <w:autoSpaceDN w:val="0"/>
              <w:spacing w:line="240" w:lineRule="auto"/>
              <w:rPr>
                <w:rFonts w:ascii="Cambria Math" w:hAnsi="Cambria Math"/>
                <w:oMath/>
              </w:rPr>
            </w:pPr>
            <w:r w:rsidRPr="00FF75A9">
              <w:t>5861</w:t>
            </w:r>
          </w:p>
        </w:tc>
        <w:tc>
          <w:tcPr>
            <w:tcW w:w="850" w:type="dxa"/>
            <w:tcBorders>
              <w:top w:val="single" w:sz="4" w:space="0" w:color="auto"/>
              <w:left w:val="nil"/>
              <w:bottom w:val="single" w:sz="8" w:space="0" w:color="auto"/>
              <w:right w:val="nil"/>
            </w:tcBorders>
            <w:shd w:val="clear" w:color="auto" w:fill="auto"/>
            <w:noWrap/>
            <w:hideMark/>
          </w:tcPr>
          <w:p w14:paraId="14248A02" w14:textId="77777777" w:rsidR="001A26F8" w:rsidRPr="002B77A9" w:rsidRDefault="001A26F8" w:rsidP="001A26F8">
            <w:pPr>
              <w:pStyle w:val="MDPI42tablebody"/>
              <w:autoSpaceDE w:val="0"/>
              <w:autoSpaceDN w:val="0"/>
              <w:spacing w:line="240" w:lineRule="auto"/>
            </w:pPr>
            <w:r w:rsidRPr="00FF75A9">
              <w:t>5892</w:t>
            </w:r>
          </w:p>
        </w:tc>
        <w:tc>
          <w:tcPr>
            <w:tcW w:w="992" w:type="dxa"/>
            <w:tcBorders>
              <w:top w:val="single" w:sz="4" w:space="0" w:color="auto"/>
              <w:left w:val="nil"/>
              <w:bottom w:val="single" w:sz="8" w:space="0" w:color="auto"/>
              <w:right w:val="nil"/>
            </w:tcBorders>
            <w:shd w:val="clear" w:color="auto" w:fill="auto"/>
            <w:noWrap/>
            <w:hideMark/>
          </w:tcPr>
          <w:p w14:paraId="58CF2CEA" w14:textId="77777777" w:rsidR="001A26F8" w:rsidRPr="002B77A9" w:rsidRDefault="001A26F8" w:rsidP="001A26F8">
            <w:pPr>
              <w:pStyle w:val="MDPI42tablebody"/>
              <w:autoSpaceDE w:val="0"/>
              <w:autoSpaceDN w:val="0"/>
              <w:spacing w:line="240" w:lineRule="auto"/>
            </w:pPr>
            <w:r w:rsidRPr="00FF75A9">
              <w:t>5402</w:t>
            </w:r>
          </w:p>
        </w:tc>
        <w:tc>
          <w:tcPr>
            <w:tcW w:w="993" w:type="dxa"/>
            <w:gridSpan w:val="2"/>
            <w:tcBorders>
              <w:top w:val="single" w:sz="4" w:space="0" w:color="auto"/>
              <w:left w:val="nil"/>
              <w:bottom w:val="single" w:sz="8" w:space="0" w:color="auto"/>
              <w:right w:val="nil"/>
            </w:tcBorders>
            <w:shd w:val="clear" w:color="auto" w:fill="auto"/>
            <w:noWrap/>
            <w:hideMark/>
          </w:tcPr>
          <w:p w14:paraId="1EFB0412" w14:textId="77777777" w:rsidR="001A26F8" w:rsidRPr="002B77A9" w:rsidRDefault="001A26F8" w:rsidP="001A26F8">
            <w:pPr>
              <w:pStyle w:val="MDPI42tablebody"/>
              <w:autoSpaceDE w:val="0"/>
              <w:autoSpaceDN w:val="0"/>
              <w:spacing w:line="240" w:lineRule="auto"/>
            </w:pPr>
            <w:r w:rsidRPr="00FF75A9">
              <w:t>5279</w:t>
            </w:r>
          </w:p>
        </w:tc>
        <w:tc>
          <w:tcPr>
            <w:tcW w:w="850" w:type="dxa"/>
            <w:gridSpan w:val="2"/>
            <w:tcBorders>
              <w:top w:val="single" w:sz="4" w:space="0" w:color="auto"/>
              <w:left w:val="nil"/>
              <w:bottom w:val="single" w:sz="8" w:space="0" w:color="auto"/>
              <w:right w:val="nil"/>
            </w:tcBorders>
            <w:shd w:val="clear" w:color="auto" w:fill="auto"/>
            <w:noWrap/>
            <w:hideMark/>
          </w:tcPr>
          <w:p w14:paraId="1ED7F212" w14:textId="77777777" w:rsidR="001A26F8" w:rsidRPr="002B77A9" w:rsidRDefault="001A26F8" w:rsidP="001A26F8">
            <w:pPr>
              <w:pStyle w:val="MDPI42tablebody"/>
              <w:autoSpaceDE w:val="0"/>
              <w:autoSpaceDN w:val="0"/>
              <w:spacing w:line="240" w:lineRule="auto"/>
            </w:pPr>
            <w:r w:rsidRPr="00FF75A9">
              <w:t>360</w:t>
            </w:r>
          </w:p>
        </w:tc>
        <w:tc>
          <w:tcPr>
            <w:tcW w:w="709" w:type="dxa"/>
            <w:tcBorders>
              <w:top w:val="single" w:sz="4" w:space="0" w:color="auto"/>
              <w:left w:val="nil"/>
              <w:bottom w:val="single" w:sz="8" w:space="0" w:color="auto"/>
              <w:right w:val="nil"/>
            </w:tcBorders>
          </w:tcPr>
          <w:p w14:paraId="5D6E539C" w14:textId="77777777" w:rsidR="001A26F8" w:rsidRPr="002B77A9" w:rsidRDefault="001A26F8" w:rsidP="001A26F8">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6C8A74EA" w14:textId="77777777" w:rsidR="001A26F8" w:rsidRPr="002B77A9" w:rsidRDefault="001A26F8" w:rsidP="001A26F8">
            <w:pPr>
              <w:pStyle w:val="MDPI42tablebody"/>
              <w:autoSpaceDE w:val="0"/>
              <w:autoSpaceDN w:val="0"/>
              <w:spacing w:line="240" w:lineRule="auto"/>
            </w:pPr>
            <w:r w:rsidRPr="00FF75A9">
              <w:t>5608</w:t>
            </w:r>
          </w:p>
        </w:tc>
        <w:tc>
          <w:tcPr>
            <w:tcW w:w="992" w:type="dxa"/>
            <w:tcBorders>
              <w:top w:val="single" w:sz="4" w:space="0" w:color="auto"/>
              <w:left w:val="nil"/>
              <w:bottom w:val="single" w:sz="8" w:space="0" w:color="auto"/>
              <w:right w:val="nil"/>
            </w:tcBorders>
            <w:shd w:val="clear" w:color="auto" w:fill="auto"/>
            <w:noWrap/>
            <w:vAlign w:val="center"/>
            <w:hideMark/>
          </w:tcPr>
          <w:p w14:paraId="16B42EC5" w14:textId="77777777" w:rsidR="001A26F8" w:rsidRPr="002B77A9" w:rsidRDefault="001A26F8" w:rsidP="001A26F8">
            <w:pPr>
              <w:pStyle w:val="MDPI42tablebody"/>
              <w:autoSpaceDE w:val="0"/>
              <w:autoSpaceDN w:val="0"/>
              <w:spacing w:line="240" w:lineRule="auto"/>
            </w:pPr>
            <w:r>
              <w:t>10</w:t>
            </w:r>
          </w:p>
        </w:tc>
      </w:tr>
      <w:tr w:rsidR="00031BEA" w:rsidRPr="002B77A9" w14:paraId="7AB9992A" w14:textId="77777777" w:rsidTr="00031BEA">
        <w:trPr>
          <w:jc w:val="center"/>
        </w:trPr>
        <w:tc>
          <w:tcPr>
            <w:tcW w:w="1134" w:type="dxa"/>
            <w:vMerge w:val="restart"/>
            <w:vAlign w:val="center"/>
          </w:tcPr>
          <w:p w14:paraId="11F31304" w14:textId="77777777" w:rsidR="00031BEA" w:rsidRPr="002B77A9" w:rsidRDefault="00031BEA" w:rsidP="00031BEA">
            <w:pPr>
              <w:pStyle w:val="MDPI42tablebody"/>
              <w:autoSpaceDE w:val="0"/>
              <w:autoSpaceDN w:val="0"/>
              <w:spacing w:line="240" w:lineRule="auto"/>
            </w:pPr>
            <w:r w:rsidRPr="002B77A9">
              <w:t>EP</w:t>
            </w:r>
            <w:r>
              <w:t>+FA</w:t>
            </w:r>
            <w:r w:rsidRPr="002B77A9">
              <w:t xml:space="preserve"> </w:t>
            </w:r>
          </w:p>
          <w:p w14:paraId="352D39A0"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2308794E" w14:textId="7FC67E30" w:rsidR="00031BEA" w:rsidRPr="00140800" w:rsidRDefault="002A57D0" w:rsidP="00031BEA">
            <w:pPr>
              <w:pStyle w:val="MDPI42tablebody"/>
              <w:autoSpaceDE w:val="0"/>
              <w:autoSpaceDN w:val="0"/>
              <w:spacing w:line="240" w:lineRule="auto"/>
            </w:pPr>
            <m:oMath>
              <m:sSub>
                <m:sSubPr>
                  <m:ctrlPr>
                    <w:rPr>
                      <w:rFonts w:ascii="Cambria Math" w:hAnsi="Cambria Math"/>
                      <w:i/>
                    </w:rPr>
                  </m:ctrlPr>
                </m:sSubPr>
                <m:e>
                  <m:r>
                    <w:rPr>
                      <w:rFonts w:ascii="Cambria Math" w:hAnsi="Cambria Math"/>
                    </w:rPr>
                    <m:t>E</m:t>
                  </m:r>
                </m:e>
                <m:sub>
                  <m:r>
                    <w:rPr>
                      <w:rFonts w:ascii="Cambria Math" w:hAnsi="Cambria Math"/>
                    </w:rPr>
                    <m:t>t</m:t>
                  </m:r>
                </m:sub>
              </m:sSub>
            </m:oMath>
            <w:r w:rsidR="00031BEA">
              <w:t>, MPa</w:t>
            </w:r>
          </w:p>
        </w:tc>
        <w:tc>
          <w:tcPr>
            <w:tcW w:w="993" w:type="dxa"/>
            <w:tcBorders>
              <w:top w:val="single" w:sz="4" w:space="0" w:color="auto"/>
              <w:left w:val="nil"/>
              <w:bottom w:val="single" w:sz="8" w:space="0" w:color="auto"/>
              <w:right w:val="nil"/>
            </w:tcBorders>
            <w:shd w:val="clear" w:color="auto" w:fill="auto"/>
            <w:noWrap/>
            <w:hideMark/>
          </w:tcPr>
          <w:p w14:paraId="1722786F"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8750</m:t>
                </m:r>
              </m:oMath>
            </m:oMathPara>
          </w:p>
        </w:tc>
        <w:tc>
          <w:tcPr>
            <w:tcW w:w="850" w:type="dxa"/>
            <w:tcBorders>
              <w:top w:val="single" w:sz="4" w:space="0" w:color="auto"/>
              <w:left w:val="nil"/>
              <w:bottom w:val="single" w:sz="8" w:space="0" w:color="auto"/>
              <w:right w:val="nil"/>
            </w:tcBorders>
            <w:shd w:val="clear" w:color="auto" w:fill="auto"/>
            <w:noWrap/>
            <w:hideMark/>
          </w:tcPr>
          <w:p w14:paraId="2072FEA9" w14:textId="77777777" w:rsidR="00031BEA" w:rsidRPr="002B77A9" w:rsidRDefault="00031BEA" w:rsidP="00031BEA">
            <w:pPr>
              <w:pStyle w:val="MDPI42tablebody"/>
              <w:autoSpaceDE w:val="0"/>
              <w:autoSpaceDN w:val="0"/>
              <w:spacing w:line="240" w:lineRule="auto"/>
            </w:pPr>
            <w:r w:rsidRPr="0001095E">
              <w:t>8000</w:t>
            </w:r>
          </w:p>
        </w:tc>
        <w:tc>
          <w:tcPr>
            <w:tcW w:w="992" w:type="dxa"/>
            <w:tcBorders>
              <w:top w:val="single" w:sz="4" w:space="0" w:color="auto"/>
              <w:left w:val="nil"/>
              <w:bottom w:val="single" w:sz="8" w:space="0" w:color="auto"/>
              <w:right w:val="nil"/>
            </w:tcBorders>
            <w:shd w:val="clear" w:color="auto" w:fill="auto"/>
            <w:noWrap/>
            <w:hideMark/>
          </w:tcPr>
          <w:p w14:paraId="76A0660B" w14:textId="77777777" w:rsidR="00031BEA" w:rsidRPr="002B77A9" w:rsidRDefault="00031BEA" w:rsidP="00031BEA">
            <w:pPr>
              <w:pStyle w:val="MDPI42tablebody"/>
              <w:autoSpaceDE w:val="0"/>
              <w:autoSpaceDN w:val="0"/>
              <w:spacing w:line="240" w:lineRule="auto"/>
            </w:pPr>
            <w:r w:rsidRPr="0001095E">
              <w:t>5760</w:t>
            </w:r>
          </w:p>
        </w:tc>
        <w:tc>
          <w:tcPr>
            <w:tcW w:w="993" w:type="dxa"/>
            <w:gridSpan w:val="2"/>
            <w:tcBorders>
              <w:top w:val="single" w:sz="4" w:space="0" w:color="auto"/>
              <w:left w:val="nil"/>
              <w:bottom w:val="single" w:sz="8" w:space="0" w:color="auto"/>
              <w:right w:val="nil"/>
            </w:tcBorders>
            <w:shd w:val="clear" w:color="auto" w:fill="auto"/>
            <w:noWrap/>
            <w:hideMark/>
          </w:tcPr>
          <w:p w14:paraId="0277AD3C" w14:textId="77777777" w:rsidR="00031BEA" w:rsidRPr="002B77A9" w:rsidRDefault="00031BEA" w:rsidP="00031BEA">
            <w:pPr>
              <w:pStyle w:val="MDPI42tablebody"/>
              <w:autoSpaceDE w:val="0"/>
              <w:autoSpaceDN w:val="0"/>
              <w:spacing w:line="240" w:lineRule="auto"/>
            </w:pPr>
            <w:r w:rsidRPr="0001095E">
              <w:t>180</w:t>
            </w:r>
          </w:p>
        </w:tc>
        <w:tc>
          <w:tcPr>
            <w:tcW w:w="850" w:type="dxa"/>
            <w:gridSpan w:val="2"/>
            <w:tcBorders>
              <w:top w:val="single" w:sz="4" w:space="0" w:color="auto"/>
              <w:left w:val="nil"/>
              <w:bottom w:val="single" w:sz="8" w:space="0" w:color="auto"/>
              <w:right w:val="nil"/>
            </w:tcBorders>
            <w:shd w:val="clear" w:color="auto" w:fill="auto"/>
            <w:noWrap/>
            <w:hideMark/>
          </w:tcPr>
          <w:p w14:paraId="443D8660" w14:textId="77777777" w:rsidR="00031BEA" w:rsidRPr="002B77A9" w:rsidRDefault="00031BEA" w:rsidP="00031BEA">
            <w:pPr>
              <w:pStyle w:val="MDPI42tablebody"/>
              <w:autoSpaceDE w:val="0"/>
              <w:autoSpaceDN w:val="0"/>
              <w:spacing w:line="240" w:lineRule="auto"/>
            </w:pPr>
            <w:r w:rsidRPr="0001095E">
              <w:t>0</w:t>
            </w:r>
          </w:p>
        </w:tc>
        <w:tc>
          <w:tcPr>
            <w:tcW w:w="709" w:type="dxa"/>
            <w:tcBorders>
              <w:top w:val="single" w:sz="4" w:space="0" w:color="auto"/>
              <w:left w:val="nil"/>
              <w:bottom w:val="single" w:sz="8" w:space="0" w:color="auto"/>
              <w:right w:val="nil"/>
            </w:tcBorders>
          </w:tcPr>
          <w:p w14:paraId="0758F7D5"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7B286085"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vAlign w:val="center"/>
            <w:hideMark/>
          </w:tcPr>
          <w:p w14:paraId="570BCCB8" w14:textId="77777777" w:rsidR="00031BEA" w:rsidRPr="002B77A9" w:rsidRDefault="00031BEA" w:rsidP="00031BEA">
            <w:pPr>
              <w:pStyle w:val="MDPI42tablebody"/>
              <w:autoSpaceDE w:val="0"/>
              <w:autoSpaceDN w:val="0"/>
              <w:spacing w:line="240" w:lineRule="auto"/>
            </w:pPr>
            <w:r>
              <w:t>-</w:t>
            </w:r>
          </w:p>
        </w:tc>
      </w:tr>
      <w:tr w:rsidR="00031BEA" w:rsidRPr="002B77A9" w14:paraId="42B41C65" w14:textId="77777777" w:rsidTr="00031BEA">
        <w:trPr>
          <w:jc w:val="center"/>
        </w:trPr>
        <w:tc>
          <w:tcPr>
            <w:tcW w:w="1134" w:type="dxa"/>
            <w:vMerge/>
            <w:vAlign w:val="center"/>
          </w:tcPr>
          <w:p w14:paraId="3D35D6CB"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557E115F" w14:textId="4D5BA5E2" w:rsidR="00031BEA" w:rsidRPr="00DC44C3" w:rsidRDefault="002A57D0" w:rsidP="00031BEA">
            <w:pPr>
              <w:pStyle w:val="MDPI42tablebody"/>
              <w:autoSpaceDE w:val="0"/>
              <w:autoSpaceDN w:val="0"/>
              <w:spacing w:line="240" w:lineRule="auto"/>
            </w:pP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00031BEA">
              <w:t>, K</w:t>
            </w:r>
            <w:r w:rsidR="00031BEA">
              <w:rPr>
                <w:vertAlign w:val="superscript"/>
              </w:rPr>
              <w:t>-1</w:t>
            </w:r>
            <w:r w:rsidR="00031BEA">
              <w:t>, 10</w:t>
            </w:r>
            <w:r w:rsidR="00031BEA">
              <w:rPr>
                <w:vertAlign w:val="superscript"/>
              </w:rPr>
              <w:t>6</w:t>
            </w:r>
          </w:p>
        </w:tc>
        <w:tc>
          <w:tcPr>
            <w:tcW w:w="993" w:type="dxa"/>
            <w:tcBorders>
              <w:top w:val="single" w:sz="4" w:space="0" w:color="auto"/>
              <w:left w:val="nil"/>
              <w:bottom w:val="single" w:sz="8" w:space="0" w:color="auto"/>
              <w:right w:val="nil"/>
            </w:tcBorders>
            <w:shd w:val="clear" w:color="auto" w:fill="auto"/>
            <w:noWrap/>
            <w:hideMark/>
          </w:tcPr>
          <w:p w14:paraId="606D4B5E"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55,0</m:t>
                </m:r>
              </m:oMath>
            </m:oMathPara>
          </w:p>
        </w:tc>
        <w:tc>
          <w:tcPr>
            <w:tcW w:w="850" w:type="dxa"/>
            <w:tcBorders>
              <w:top w:val="single" w:sz="4" w:space="0" w:color="auto"/>
              <w:left w:val="nil"/>
              <w:bottom w:val="single" w:sz="8" w:space="0" w:color="auto"/>
              <w:right w:val="nil"/>
            </w:tcBorders>
            <w:shd w:val="clear" w:color="auto" w:fill="auto"/>
            <w:noWrap/>
            <w:hideMark/>
          </w:tcPr>
          <w:p w14:paraId="5BF13787" w14:textId="77777777" w:rsidR="00031BEA" w:rsidRPr="002B77A9" w:rsidRDefault="00031BEA" w:rsidP="00031BEA">
            <w:pPr>
              <w:pStyle w:val="MDPI42tablebody"/>
              <w:autoSpaceDE w:val="0"/>
              <w:autoSpaceDN w:val="0"/>
              <w:spacing w:line="240" w:lineRule="auto"/>
            </w:pPr>
            <w:r w:rsidRPr="005464A3">
              <w:t>60,0</w:t>
            </w:r>
          </w:p>
        </w:tc>
        <w:tc>
          <w:tcPr>
            <w:tcW w:w="992" w:type="dxa"/>
            <w:tcBorders>
              <w:top w:val="single" w:sz="4" w:space="0" w:color="auto"/>
              <w:left w:val="nil"/>
              <w:bottom w:val="single" w:sz="8" w:space="0" w:color="auto"/>
              <w:right w:val="nil"/>
            </w:tcBorders>
            <w:shd w:val="clear" w:color="auto" w:fill="auto"/>
            <w:noWrap/>
            <w:hideMark/>
          </w:tcPr>
          <w:p w14:paraId="4FEC22D7" w14:textId="77777777" w:rsidR="00031BEA" w:rsidRPr="002B77A9" w:rsidRDefault="00031BEA" w:rsidP="00031BEA">
            <w:pPr>
              <w:pStyle w:val="MDPI42tablebody"/>
              <w:autoSpaceDE w:val="0"/>
              <w:autoSpaceDN w:val="0"/>
              <w:spacing w:line="240" w:lineRule="auto"/>
            </w:pPr>
            <w:r w:rsidRPr="005464A3">
              <w:t>73,0</w:t>
            </w:r>
          </w:p>
        </w:tc>
        <w:tc>
          <w:tcPr>
            <w:tcW w:w="993" w:type="dxa"/>
            <w:gridSpan w:val="2"/>
            <w:tcBorders>
              <w:top w:val="single" w:sz="4" w:space="0" w:color="auto"/>
              <w:left w:val="nil"/>
              <w:bottom w:val="single" w:sz="8" w:space="0" w:color="auto"/>
              <w:right w:val="nil"/>
            </w:tcBorders>
            <w:shd w:val="clear" w:color="auto" w:fill="auto"/>
            <w:noWrap/>
            <w:hideMark/>
          </w:tcPr>
          <w:p w14:paraId="3101620E" w14:textId="77777777" w:rsidR="00031BEA" w:rsidRPr="002B77A9" w:rsidRDefault="00031BEA" w:rsidP="00031BEA">
            <w:pPr>
              <w:pStyle w:val="MDPI42tablebody"/>
              <w:autoSpaceDE w:val="0"/>
              <w:autoSpaceDN w:val="0"/>
              <w:spacing w:line="240" w:lineRule="auto"/>
            </w:pPr>
            <w:r w:rsidRPr="005464A3">
              <w:t>100,0</w:t>
            </w:r>
          </w:p>
        </w:tc>
        <w:tc>
          <w:tcPr>
            <w:tcW w:w="850" w:type="dxa"/>
            <w:gridSpan w:val="2"/>
            <w:tcBorders>
              <w:top w:val="single" w:sz="4" w:space="0" w:color="auto"/>
              <w:left w:val="nil"/>
              <w:bottom w:val="single" w:sz="8" w:space="0" w:color="auto"/>
              <w:right w:val="nil"/>
            </w:tcBorders>
            <w:shd w:val="clear" w:color="auto" w:fill="auto"/>
            <w:noWrap/>
            <w:hideMark/>
          </w:tcPr>
          <w:p w14:paraId="1D1B85A9" w14:textId="77777777" w:rsidR="00031BEA" w:rsidRPr="002B77A9" w:rsidRDefault="00031BEA" w:rsidP="00031BEA">
            <w:pPr>
              <w:pStyle w:val="MDPI42tablebody"/>
              <w:autoSpaceDE w:val="0"/>
              <w:autoSpaceDN w:val="0"/>
              <w:spacing w:line="240" w:lineRule="auto"/>
            </w:pPr>
            <w:r w:rsidRPr="005464A3">
              <w:t>125,9</w:t>
            </w:r>
          </w:p>
        </w:tc>
        <w:tc>
          <w:tcPr>
            <w:tcW w:w="709" w:type="dxa"/>
            <w:tcBorders>
              <w:top w:val="single" w:sz="4" w:space="0" w:color="auto"/>
              <w:left w:val="nil"/>
              <w:bottom w:val="single" w:sz="8" w:space="0" w:color="auto"/>
              <w:right w:val="nil"/>
            </w:tcBorders>
          </w:tcPr>
          <w:p w14:paraId="43E35E50" w14:textId="77777777" w:rsidR="00031BEA" w:rsidRPr="002B77A9" w:rsidRDefault="00031BEA" w:rsidP="00031BEA">
            <w:pPr>
              <w:pStyle w:val="MDPI42tablebody"/>
              <w:autoSpaceDE w:val="0"/>
              <w:autoSpaceDN w:val="0"/>
              <w:spacing w:line="240" w:lineRule="auto"/>
            </w:pPr>
            <w:r w:rsidRPr="005464A3">
              <w:t>208,0</w:t>
            </w:r>
          </w:p>
        </w:tc>
        <w:tc>
          <w:tcPr>
            <w:tcW w:w="992" w:type="dxa"/>
            <w:tcBorders>
              <w:top w:val="single" w:sz="4" w:space="0" w:color="auto"/>
              <w:left w:val="nil"/>
              <w:bottom w:val="single" w:sz="8" w:space="0" w:color="auto"/>
              <w:right w:val="nil"/>
            </w:tcBorders>
            <w:shd w:val="clear" w:color="auto" w:fill="auto"/>
            <w:noWrap/>
            <w:hideMark/>
          </w:tcPr>
          <w:p w14:paraId="04A60C91"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vAlign w:val="center"/>
            <w:hideMark/>
          </w:tcPr>
          <w:p w14:paraId="713CC08F" w14:textId="77777777" w:rsidR="00031BEA" w:rsidRPr="002B77A9" w:rsidRDefault="00031BEA" w:rsidP="00031BEA">
            <w:pPr>
              <w:pStyle w:val="MDPI42tablebody"/>
              <w:autoSpaceDE w:val="0"/>
              <w:autoSpaceDN w:val="0"/>
              <w:spacing w:line="240" w:lineRule="auto"/>
            </w:pPr>
            <w:r>
              <w:t>-</w:t>
            </w:r>
          </w:p>
        </w:tc>
      </w:tr>
      <w:tr w:rsidR="00031BEA" w:rsidRPr="002B77A9" w14:paraId="7EDB60B6" w14:textId="77777777" w:rsidTr="00031BEA">
        <w:trPr>
          <w:jc w:val="center"/>
        </w:trPr>
        <w:tc>
          <w:tcPr>
            <w:tcW w:w="1134" w:type="dxa"/>
            <w:vMerge/>
            <w:vAlign w:val="center"/>
          </w:tcPr>
          <w:p w14:paraId="12B21EA5"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564E4C26" w14:textId="6C88E6AB" w:rsidR="00031BEA" w:rsidRPr="00DC44C3" w:rsidRDefault="00031BEA" w:rsidP="00031BEA">
            <w:pPr>
              <w:pStyle w:val="MDPI42tablebody"/>
              <w:autoSpaceDE w:val="0"/>
              <w:autoSpaceDN w:val="0"/>
              <w:spacing w:line="240" w:lineRule="auto"/>
            </w:pPr>
            <m:oMath>
              <m:r>
                <w:rPr>
                  <w:rFonts w:ascii="Cambria Math" w:hAnsi="Cambria Math"/>
                </w:rPr>
                <m:t>E</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oMath>
            <w:r>
              <w:t>, MPa</w:t>
            </w:r>
            <w:r>
              <w:rPr>
                <w:vertAlign w:val="superscript"/>
              </w:rPr>
              <w:t>.</w:t>
            </w:r>
            <w:r>
              <w:t>K</w:t>
            </w:r>
            <w:r>
              <w:rPr>
                <w:vertAlign w:val="superscript"/>
              </w:rPr>
              <w:t>2</w:t>
            </w:r>
          </w:p>
        </w:tc>
        <w:tc>
          <w:tcPr>
            <w:tcW w:w="993" w:type="dxa"/>
            <w:tcBorders>
              <w:top w:val="single" w:sz="4" w:space="0" w:color="auto"/>
              <w:left w:val="nil"/>
              <w:bottom w:val="single" w:sz="8" w:space="0" w:color="auto"/>
              <w:right w:val="nil"/>
            </w:tcBorders>
            <w:shd w:val="clear" w:color="auto" w:fill="auto"/>
            <w:noWrap/>
            <w:hideMark/>
          </w:tcPr>
          <w:p w14:paraId="14CC2E17"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26468750</m:t>
                </m:r>
              </m:oMath>
            </m:oMathPara>
          </w:p>
        </w:tc>
        <w:tc>
          <w:tcPr>
            <w:tcW w:w="850" w:type="dxa"/>
            <w:tcBorders>
              <w:top w:val="single" w:sz="4" w:space="0" w:color="auto"/>
              <w:left w:val="nil"/>
              <w:bottom w:val="single" w:sz="8" w:space="0" w:color="auto"/>
              <w:right w:val="nil"/>
            </w:tcBorders>
            <w:shd w:val="clear" w:color="auto" w:fill="auto"/>
            <w:noWrap/>
            <w:hideMark/>
          </w:tcPr>
          <w:p w14:paraId="7810EB7D" w14:textId="77777777" w:rsidR="00031BEA" w:rsidRPr="002B77A9" w:rsidRDefault="00031BEA" w:rsidP="00031BEA">
            <w:pPr>
              <w:pStyle w:val="MDPI42tablebody"/>
              <w:autoSpaceDE w:val="0"/>
              <w:autoSpaceDN w:val="0"/>
              <w:spacing w:line="240" w:lineRule="auto"/>
            </w:pPr>
            <w:r w:rsidRPr="00E41C9E">
              <w:t>28800000</w:t>
            </w:r>
          </w:p>
        </w:tc>
        <w:tc>
          <w:tcPr>
            <w:tcW w:w="992" w:type="dxa"/>
            <w:tcBorders>
              <w:top w:val="single" w:sz="4" w:space="0" w:color="auto"/>
              <w:left w:val="nil"/>
              <w:bottom w:val="single" w:sz="8" w:space="0" w:color="auto"/>
              <w:right w:val="nil"/>
            </w:tcBorders>
            <w:shd w:val="clear" w:color="auto" w:fill="auto"/>
            <w:noWrap/>
            <w:hideMark/>
          </w:tcPr>
          <w:p w14:paraId="3C271106" w14:textId="77777777" w:rsidR="00031BEA" w:rsidRPr="002B77A9" w:rsidRDefault="00031BEA" w:rsidP="00031BEA">
            <w:pPr>
              <w:pStyle w:val="MDPI42tablebody"/>
              <w:autoSpaceDE w:val="0"/>
              <w:autoSpaceDN w:val="0"/>
              <w:spacing w:line="240" w:lineRule="auto"/>
            </w:pPr>
            <w:r w:rsidRPr="00E41C9E">
              <w:t>30695040</w:t>
            </w:r>
          </w:p>
        </w:tc>
        <w:tc>
          <w:tcPr>
            <w:tcW w:w="993" w:type="dxa"/>
            <w:gridSpan w:val="2"/>
            <w:tcBorders>
              <w:top w:val="single" w:sz="4" w:space="0" w:color="auto"/>
              <w:left w:val="nil"/>
              <w:bottom w:val="single" w:sz="8" w:space="0" w:color="auto"/>
              <w:right w:val="nil"/>
            </w:tcBorders>
            <w:shd w:val="clear" w:color="auto" w:fill="auto"/>
            <w:noWrap/>
            <w:hideMark/>
          </w:tcPr>
          <w:p w14:paraId="41C4DB56" w14:textId="77777777" w:rsidR="00031BEA" w:rsidRPr="002B77A9" w:rsidRDefault="00031BEA" w:rsidP="00031BEA">
            <w:pPr>
              <w:pStyle w:val="MDPI42tablebody"/>
              <w:autoSpaceDE w:val="0"/>
              <w:autoSpaceDN w:val="0"/>
              <w:spacing w:line="240" w:lineRule="auto"/>
            </w:pPr>
            <w:r w:rsidRPr="00E41C9E">
              <w:t>1800000</w:t>
            </w:r>
          </w:p>
        </w:tc>
        <w:tc>
          <w:tcPr>
            <w:tcW w:w="850" w:type="dxa"/>
            <w:gridSpan w:val="2"/>
            <w:tcBorders>
              <w:top w:val="single" w:sz="4" w:space="0" w:color="auto"/>
              <w:left w:val="nil"/>
              <w:bottom w:val="single" w:sz="8" w:space="0" w:color="auto"/>
              <w:right w:val="nil"/>
            </w:tcBorders>
            <w:shd w:val="clear" w:color="auto" w:fill="auto"/>
            <w:noWrap/>
            <w:hideMark/>
          </w:tcPr>
          <w:p w14:paraId="381F4903" w14:textId="77777777" w:rsidR="00031BEA" w:rsidRPr="002B77A9" w:rsidRDefault="00031BEA" w:rsidP="00031BEA">
            <w:pPr>
              <w:pStyle w:val="MDPI42tablebody"/>
              <w:autoSpaceDE w:val="0"/>
              <w:autoSpaceDN w:val="0"/>
              <w:spacing w:line="240" w:lineRule="auto"/>
            </w:pPr>
            <w:r w:rsidRPr="00E41C9E">
              <w:t>0</w:t>
            </w:r>
          </w:p>
        </w:tc>
        <w:tc>
          <w:tcPr>
            <w:tcW w:w="709" w:type="dxa"/>
            <w:tcBorders>
              <w:top w:val="single" w:sz="4" w:space="0" w:color="auto"/>
              <w:left w:val="nil"/>
              <w:bottom w:val="single" w:sz="8" w:space="0" w:color="auto"/>
              <w:right w:val="nil"/>
            </w:tcBorders>
          </w:tcPr>
          <w:p w14:paraId="2340B89B"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04F6D4D9" w14:textId="77777777" w:rsidR="00031BEA" w:rsidRPr="002B77A9" w:rsidRDefault="00031BEA" w:rsidP="00031BEA">
            <w:pPr>
              <w:pStyle w:val="MDPI42tablebody"/>
              <w:autoSpaceDE w:val="0"/>
              <w:autoSpaceDN w:val="0"/>
              <w:spacing w:line="240" w:lineRule="auto"/>
            </w:pPr>
            <w:r w:rsidRPr="00E41C9E">
              <w:t>28654597</w:t>
            </w:r>
          </w:p>
        </w:tc>
        <w:tc>
          <w:tcPr>
            <w:tcW w:w="992" w:type="dxa"/>
            <w:tcBorders>
              <w:top w:val="single" w:sz="4" w:space="0" w:color="auto"/>
              <w:left w:val="nil"/>
              <w:bottom w:val="single" w:sz="8" w:space="0" w:color="auto"/>
              <w:right w:val="nil"/>
            </w:tcBorders>
            <w:shd w:val="clear" w:color="auto" w:fill="auto"/>
            <w:noWrap/>
            <w:vAlign w:val="center"/>
            <w:hideMark/>
          </w:tcPr>
          <w:p w14:paraId="0C5047B3" w14:textId="77777777" w:rsidR="00031BEA" w:rsidRPr="002B77A9" w:rsidRDefault="00031BEA" w:rsidP="00031BEA">
            <w:pPr>
              <w:pStyle w:val="MDPI42tablebody"/>
              <w:autoSpaceDE w:val="0"/>
              <w:autoSpaceDN w:val="0"/>
              <w:spacing w:line="240" w:lineRule="auto"/>
            </w:pPr>
            <w:r>
              <w:t>10</w:t>
            </w:r>
          </w:p>
        </w:tc>
      </w:tr>
      <w:tr w:rsidR="00031BEA" w:rsidRPr="002B77A9" w14:paraId="48B894C5" w14:textId="77777777" w:rsidTr="00031BEA">
        <w:trPr>
          <w:jc w:val="center"/>
        </w:trPr>
        <w:tc>
          <w:tcPr>
            <w:tcW w:w="1134" w:type="dxa"/>
            <w:vMerge/>
            <w:vAlign w:val="center"/>
          </w:tcPr>
          <w:p w14:paraId="411A1948"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2148C00A" w14:textId="12CAEA57" w:rsidR="00031BEA" w:rsidRPr="002B77A9" w:rsidRDefault="002A57D0" w:rsidP="00031BEA">
            <w:pPr>
              <w:pStyle w:val="MDPI42tablebody"/>
              <w:autoSpaceDE w:val="0"/>
              <w:autoSpaceDN w:val="0"/>
              <w:spacing w:line="240" w:lineRule="auto"/>
            </w:pPr>
            <m:oMath>
              <m:sSub>
                <m:sSubPr>
                  <m:ctrlPr>
                    <w:rPr>
                      <w:rFonts w:ascii="Cambria Math" w:hAnsi="Cambria Math"/>
                      <w:i/>
                      <w:szCs w:val="22"/>
                    </w:rPr>
                  </m:ctrlPr>
                </m:sSubPr>
                <m:e>
                  <m:r>
                    <w:rPr>
                      <w:rFonts w:ascii="Cambria Math" w:hAnsi="Cambria Math"/>
                    </w:rPr>
                    <m:t>E</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t</m:t>
                  </m:r>
                </m:sub>
              </m:sSub>
              <m:f>
                <m:fPr>
                  <m:ctrlPr>
                    <w:rPr>
                      <w:rFonts w:ascii="Cambria Math" w:hAnsi="Cambria Math"/>
                      <w:i/>
                      <w:szCs w:val="22"/>
                    </w:rPr>
                  </m:ctrlPr>
                </m:fPr>
                <m:num>
                  <m:sSub>
                    <m:sSubPr>
                      <m:ctrlPr>
                        <w:rPr>
                          <w:rFonts w:ascii="Cambria Math" w:hAnsi="Cambria Math"/>
                          <w:i/>
                        </w:rPr>
                      </m:ctrlPr>
                    </m:sSubPr>
                    <m:e>
                      <m:r>
                        <w:rPr>
                          <w:rFonts w:ascii="Cambria Math" w:hAnsi="Cambria Math"/>
                        </w:rPr>
                        <m:t>α</m:t>
                      </m:r>
                    </m:e>
                    <m:sub>
                      <m:r>
                        <w:rPr>
                          <w:rFonts w:ascii="Cambria Math" w:hAnsi="Cambria Math"/>
                        </w:rPr>
                        <m:t>tg</m:t>
                      </m:r>
                    </m:sub>
                  </m:sSub>
                </m:num>
                <m:den>
                  <m:sSub>
                    <m:sSubPr>
                      <m:ctrlPr>
                        <w:rPr>
                          <w:rFonts w:ascii="Cambria Math" w:hAnsi="Cambria Math"/>
                          <w:i/>
                        </w:rPr>
                      </m:ctrlPr>
                    </m:sSubPr>
                    <m:e>
                      <m:r>
                        <w:rPr>
                          <w:rFonts w:ascii="Cambria Math" w:hAnsi="Cambria Math"/>
                        </w:rPr>
                        <m:t>α</m:t>
                      </m:r>
                    </m:e>
                    <m:sub>
                      <m:r>
                        <w:rPr>
                          <w:rFonts w:ascii="Cambria Math" w:hAnsi="Cambria Math"/>
                        </w:rPr>
                        <m:t>tg</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t</m:t>
                      </m:r>
                    </m:sub>
                  </m:sSub>
                </m:den>
              </m:f>
            </m:oMath>
            <w:r w:rsidR="00031BEA">
              <w:rPr>
                <w:szCs w:val="22"/>
              </w:rPr>
              <w:t>, MPa</w:t>
            </w:r>
          </w:p>
        </w:tc>
        <w:tc>
          <w:tcPr>
            <w:tcW w:w="993" w:type="dxa"/>
            <w:tcBorders>
              <w:top w:val="single" w:sz="4" w:space="0" w:color="auto"/>
              <w:left w:val="nil"/>
              <w:bottom w:val="single" w:sz="8" w:space="0" w:color="auto"/>
              <w:right w:val="nil"/>
            </w:tcBorders>
            <w:shd w:val="clear" w:color="auto" w:fill="auto"/>
            <w:noWrap/>
            <w:hideMark/>
          </w:tcPr>
          <w:p w14:paraId="7EFC1426"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11895</m:t>
                </m:r>
              </m:oMath>
            </m:oMathPara>
          </w:p>
        </w:tc>
        <w:tc>
          <w:tcPr>
            <w:tcW w:w="850" w:type="dxa"/>
            <w:tcBorders>
              <w:top w:val="single" w:sz="4" w:space="0" w:color="auto"/>
              <w:left w:val="nil"/>
              <w:bottom w:val="single" w:sz="8" w:space="0" w:color="auto"/>
              <w:right w:val="nil"/>
            </w:tcBorders>
            <w:shd w:val="clear" w:color="auto" w:fill="auto"/>
            <w:noWrap/>
            <w:hideMark/>
          </w:tcPr>
          <w:p w14:paraId="279DF1D0" w14:textId="77777777" w:rsidR="00031BEA" w:rsidRPr="002B77A9" w:rsidRDefault="00031BEA" w:rsidP="00031BEA">
            <w:pPr>
              <w:pStyle w:val="MDPI42tablebody"/>
              <w:autoSpaceDE w:val="0"/>
              <w:autoSpaceDN w:val="0"/>
              <w:spacing w:line="240" w:lineRule="auto"/>
            </w:pPr>
            <w:r w:rsidRPr="00080FBF">
              <w:t>11243</w:t>
            </w:r>
          </w:p>
        </w:tc>
        <w:tc>
          <w:tcPr>
            <w:tcW w:w="992" w:type="dxa"/>
            <w:tcBorders>
              <w:top w:val="single" w:sz="4" w:space="0" w:color="auto"/>
              <w:left w:val="nil"/>
              <w:bottom w:val="single" w:sz="8" w:space="0" w:color="auto"/>
              <w:right w:val="nil"/>
            </w:tcBorders>
            <w:shd w:val="clear" w:color="auto" w:fill="auto"/>
            <w:noWrap/>
            <w:hideMark/>
          </w:tcPr>
          <w:p w14:paraId="715283B7" w14:textId="77777777" w:rsidR="00031BEA" w:rsidRPr="002B77A9" w:rsidRDefault="00031BEA" w:rsidP="00031BEA">
            <w:pPr>
              <w:pStyle w:val="MDPI42tablebody"/>
              <w:autoSpaceDE w:val="0"/>
              <w:autoSpaceDN w:val="0"/>
              <w:spacing w:line="240" w:lineRule="auto"/>
            </w:pPr>
            <w:r w:rsidRPr="00080FBF">
              <w:t>8875</w:t>
            </w:r>
          </w:p>
        </w:tc>
        <w:tc>
          <w:tcPr>
            <w:tcW w:w="993" w:type="dxa"/>
            <w:gridSpan w:val="2"/>
            <w:tcBorders>
              <w:top w:val="single" w:sz="4" w:space="0" w:color="auto"/>
              <w:left w:val="nil"/>
              <w:bottom w:val="single" w:sz="8" w:space="0" w:color="auto"/>
              <w:right w:val="nil"/>
            </w:tcBorders>
            <w:shd w:val="clear" w:color="auto" w:fill="auto"/>
            <w:noWrap/>
            <w:hideMark/>
          </w:tcPr>
          <w:p w14:paraId="0593E471" w14:textId="77777777" w:rsidR="00031BEA" w:rsidRPr="002B77A9" w:rsidRDefault="00031BEA" w:rsidP="00031BEA">
            <w:pPr>
              <w:pStyle w:val="MDPI42tablebody"/>
              <w:autoSpaceDE w:val="0"/>
              <w:autoSpaceDN w:val="0"/>
              <w:spacing w:line="240" w:lineRule="auto"/>
            </w:pPr>
            <w:r w:rsidRPr="00080FBF">
              <w:t>347</w:t>
            </w:r>
          </w:p>
        </w:tc>
        <w:tc>
          <w:tcPr>
            <w:tcW w:w="850" w:type="dxa"/>
            <w:gridSpan w:val="2"/>
            <w:tcBorders>
              <w:top w:val="single" w:sz="4" w:space="0" w:color="auto"/>
              <w:left w:val="nil"/>
              <w:bottom w:val="single" w:sz="8" w:space="0" w:color="auto"/>
              <w:right w:val="nil"/>
            </w:tcBorders>
            <w:shd w:val="clear" w:color="auto" w:fill="auto"/>
            <w:noWrap/>
            <w:hideMark/>
          </w:tcPr>
          <w:p w14:paraId="15AF7854" w14:textId="77777777" w:rsidR="00031BEA" w:rsidRPr="002B77A9" w:rsidRDefault="00031BEA" w:rsidP="00031BEA">
            <w:pPr>
              <w:pStyle w:val="MDPI42tablebody"/>
              <w:autoSpaceDE w:val="0"/>
              <w:autoSpaceDN w:val="0"/>
              <w:spacing w:line="240" w:lineRule="auto"/>
            </w:pPr>
            <w:r w:rsidRPr="00080FBF">
              <w:t>0</w:t>
            </w:r>
          </w:p>
        </w:tc>
        <w:tc>
          <w:tcPr>
            <w:tcW w:w="709" w:type="dxa"/>
            <w:tcBorders>
              <w:top w:val="single" w:sz="4" w:space="0" w:color="auto"/>
              <w:left w:val="nil"/>
              <w:bottom w:val="single" w:sz="8" w:space="0" w:color="auto"/>
              <w:right w:val="nil"/>
            </w:tcBorders>
          </w:tcPr>
          <w:p w14:paraId="07A7E79D"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4F6D353F" w14:textId="77777777" w:rsidR="00031BEA" w:rsidRPr="002B77A9" w:rsidRDefault="00031BEA" w:rsidP="00031BEA">
            <w:pPr>
              <w:pStyle w:val="MDPI42tablebody"/>
              <w:autoSpaceDE w:val="0"/>
              <w:autoSpaceDN w:val="0"/>
              <w:spacing w:line="240" w:lineRule="auto"/>
            </w:pPr>
            <w:r w:rsidRPr="00080FBF">
              <w:t>10671</w:t>
            </w:r>
          </w:p>
        </w:tc>
        <w:tc>
          <w:tcPr>
            <w:tcW w:w="992" w:type="dxa"/>
            <w:tcBorders>
              <w:top w:val="single" w:sz="4" w:space="0" w:color="auto"/>
              <w:left w:val="nil"/>
              <w:bottom w:val="single" w:sz="8" w:space="0" w:color="auto"/>
              <w:right w:val="nil"/>
            </w:tcBorders>
            <w:shd w:val="clear" w:color="auto" w:fill="auto"/>
            <w:noWrap/>
            <w:vAlign w:val="center"/>
            <w:hideMark/>
          </w:tcPr>
          <w:p w14:paraId="2BA0891B" w14:textId="77777777" w:rsidR="00031BEA" w:rsidRPr="002B77A9" w:rsidRDefault="00031BEA" w:rsidP="00031BEA">
            <w:pPr>
              <w:pStyle w:val="MDPI42tablebody"/>
              <w:autoSpaceDE w:val="0"/>
              <w:autoSpaceDN w:val="0"/>
              <w:spacing w:line="240" w:lineRule="auto"/>
            </w:pPr>
            <w:r>
              <w:t>21</w:t>
            </w:r>
          </w:p>
        </w:tc>
      </w:tr>
      <w:tr w:rsidR="00031BEA" w:rsidRPr="002B77A9" w14:paraId="4FC28530" w14:textId="77777777" w:rsidTr="00031BEA">
        <w:trPr>
          <w:jc w:val="center"/>
        </w:trPr>
        <w:tc>
          <w:tcPr>
            <w:tcW w:w="1134" w:type="dxa"/>
            <w:vMerge w:val="restart"/>
            <w:vAlign w:val="center"/>
          </w:tcPr>
          <w:p w14:paraId="4A08A659" w14:textId="77777777" w:rsidR="00031BEA" w:rsidRPr="002B77A9" w:rsidRDefault="00031BEA" w:rsidP="00031BEA">
            <w:pPr>
              <w:pStyle w:val="MDPI42tablebody"/>
              <w:autoSpaceDE w:val="0"/>
              <w:autoSpaceDN w:val="0"/>
              <w:spacing w:line="240" w:lineRule="auto"/>
            </w:pPr>
            <w:r w:rsidRPr="002B77A9">
              <w:t>EP</w:t>
            </w:r>
            <w:r>
              <w:t>+FA/TR</w:t>
            </w:r>
            <w:r w:rsidRPr="002B77A9">
              <w:t xml:space="preserve"> </w:t>
            </w:r>
          </w:p>
          <w:p w14:paraId="48E275B4"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32CA5E45" w14:textId="43680A22" w:rsidR="00031BEA" w:rsidRPr="00140800" w:rsidRDefault="002A57D0" w:rsidP="00031BEA">
            <w:pPr>
              <w:pStyle w:val="MDPI42tablebody"/>
              <w:autoSpaceDE w:val="0"/>
              <w:autoSpaceDN w:val="0"/>
              <w:spacing w:line="240" w:lineRule="auto"/>
            </w:pPr>
            <m:oMath>
              <m:sSub>
                <m:sSubPr>
                  <m:ctrlPr>
                    <w:rPr>
                      <w:rFonts w:ascii="Cambria Math" w:hAnsi="Cambria Math"/>
                      <w:i/>
                    </w:rPr>
                  </m:ctrlPr>
                </m:sSubPr>
                <m:e>
                  <m:r>
                    <w:rPr>
                      <w:rFonts w:ascii="Cambria Math" w:hAnsi="Cambria Math"/>
                    </w:rPr>
                    <m:t>E</m:t>
                  </m:r>
                </m:e>
                <m:sub>
                  <m:r>
                    <w:rPr>
                      <w:rFonts w:ascii="Cambria Math" w:hAnsi="Cambria Math"/>
                    </w:rPr>
                    <m:t>t</m:t>
                  </m:r>
                </m:sub>
              </m:sSub>
            </m:oMath>
            <w:r w:rsidR="00031BEA">
              <w:t>, MPa</w:t>
            </w:r>
          </w:p>
        </w:tc>
        <w:tc>
          <w:tcPr>
            <w:tcW w:w="993" w:type="dxa"/>
            <w:tcBorders>
              <w:top w:val="single" w:sz="4" w:space="0" w:color="auto"/>
              <w:left w:val="nil"/>
              <w:bottom w:val="single" w:sz="8" w:space="0" w:color="auto"/>
              <w:right w:val="nil"/>
            </w:tcBorders>
            <w:shd w:val="clear" w:color="auto" w:fill="auto"/>
            <w:noWrap/>
            <w:hideMark/>
          </w:tcPr>
          <w:p w14:paraId="188F5BC7"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7870</m:t>
                </m:r>
              </m:oMath>
            </m:oMathPara>
          </w:p>
        </w:tc>
        <w:tc>
          <w:tcPr>
            <w:tcW w:w="850" w:type="dxa"/>
            <w:tcBorders>
              <w:top w:val="single" w:sz="4" w:space="0" w:color="auto"/>
              <w:left w:val="nil"/>
              <w:bottom w:val="single" w:sz="8" w:space="0" w:color="auto"/>
              <w:right w:val="nil"/>
            </w:tcBorders>
            <w:shd w:val="clear" w:color="auto" w:fill="auto"/>
            <w:noWrap/>
            <w:hideMark/>
          </w:tcPr>
          <w:p w14:paraId="4EC0AB8C"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7320</m:t>
                </m:r>
              </m:oMath>
            </m:oMathPara>
          </w:p>
        </w:tc>
        <w:tc>
          <w:tcPr>
            <w:tcW w:w="992" w:type="dxa"/>
            <w:tcBorders>
              <w:top w:val="single" w:sz="4" w:space="0" w:color="auto"/>
              <w:left w:val="nil"/>
              <w:bottom w:val="single" w:sz="8" w:space="0" w:color="auto"/>
              <w:right w:val="nil"/>
            </w:tcBorders>
            <w:shd w:val="clear" w:color="auto" w:fill="auto"/>
            <w:noWrap/>
            <w:hideMark/>
          </w:tcPr>
          <w:p w14:paraId="5081F3EC" w14:textId="77777777" w:rsidR="00031BEA" w:rsidRPr="002B77A9" w:rsidRDefault="00031BEA" w:rsidP="00031BEA">
            <w:pPr>
              <w:pStyle w:val="MDPI42tablebody"/>
              <w:autoSpaceDE w:val="0"/>
              <w:autoSpaceDN w:val="0"/>
              <w:spacing w:line="240" w:lineRule="auto"/>
            </w:pPr>
            <w:r w:rsidRPr="00440138">
              <w:t>7070</w:t>
            </w:r>
          </w:p>
        </w:tc>
        <w:tc>
          <w:tcPr>
            <w:tcW w:w="993" w:type="dxa"/>
            <w:gridSpan w:val="2"/>
            <w:tcBorders>
              <w:top w:val="single" w:sz="4" w:space="0" w:color="auto"/>
              <w:left w:val="nil"/>
              <w:bottom w:val="single" w:sz="8" w:space="0" w:color="auto"/>
              <w:right w:val="nil"/>
            </w:tcBorders>
            <w:shd w:val="clear" w:color="auto" w:fill="auto"/>
            <w:noWrap/>
            <w:hideMark/>
          </w:tcPr>
          <w:p w14:paraId="24778B50" w14:textId="77777777" w:rsidR="00031BEA" w:rsidRPr="002B77A9" w:rsidRDefault="00031BEA" w:rsidP="00031BEA">
            <w:pPr>
              <w:pStyle w:val="MDPI42tablebody"/>
              <w:autoSpaceDE w:val="0"/>
              <w:autoSpaceDN w:val="0"/>
              <w:spacing w:line="240" w:lineRule="auto"/>
            </w:pPr>
            <w:r w:rsidRPr="00440138">
              <w:t>6200</w:t>
            </w:r>
          </w:p>
        </w:tc>
        <w:tc>
          <w:tcPr>
            <w:tcW w:w="850" w:type="dxa"/>
            <w:gridSpan w:val="2"/>
            <w:tcBorders>
              <w:top w:val="single" w:sz="4" w:space="0" w:color="auto"/>
              <w:left w:val="nil"/>
              <w:bottom w:val="single" w:sz="8" w:space="0" w:color="auto"/>
              <w:right w:val="nil"/>
            </w:tcBorders>
            <w:shd w:val="clear" w:color="auto" w:fill="auto"/>
            <w:noWrap/>
            <w:hideMark/>
          </w:tcPr>
          <w:p w14:paraId="19284917" w14:textId="77777777" w:rsidR="00031BEA" w:rsidRPr="002B77A9" w:rsidRDefault="00031BEA" w:rsidP="00031BEA">
            <w:pPr>
              <w:pStyle w:val="MDPI42tablebody"/>
              <w:autoSpaceDE w:val="0"/>
              <w:autoSpaceDN w:val="0"/>
              <w:spacing w:line="240" w:lineRule="auto"/>
            </w:pPr>
            <w:r w:rsidRPr="00440138">
              <w:t>1000</w:t>
            </w:r>
          </w:p>
        </w:tc>
        <w:tc>
          <w:tcPr>
            <w:tcW w:w="709" w:type="dxa"/>
            <w:tcBorders>
              <w:top w:val="single" w:sz="4" w:space="0" w:color="auto"/>
              <w:left w:val="nil"/>
              <w:bottom w:val="single" w:sz="8" w:space="0" w:color="auto"/>
              <w:right w:val="nil"/>
            </w:tcBorders>
          </w:tcPr>
          <w:p w14:paraId="3988C6B5"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4F3BCEF1"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vAlign w:val="center"/>
            <w:hideMark/>
          </w:tcPr>
          <w:p w14:paraId="447ECE70" w14:textId="77777777" w:rsidR="00031BEA" w:rsidRPr="002B77A9" w:rsidRDefault="00031BEA" w:rsidP="00031BEA">
            <w:pPr>
              <w:pStyle w:val="MDPI42tablebody"/>
              <w:autoSpaceDE w:val="0"/>
              <w:autoSpaceDN w:val="0"/>
              <w:spacing w:line="240" w:lineRule="auto"/>
            </w:pPr>
            <w:r>
              <w:t>-</w:t>
            </w:r>
          </w:p>
        </w:tc>
      </w:tr>
      <w:tr w:rsidR="00031BEA" w:rsidRPr="002B77A9" w14:paraId="6828DE47" w14:textId="77777777" w:rsidTr="00031BEA">
        <w:trPr>
          <w:jc w:val="center"/>
        </w:trPr>
        <w:tc>
          <w:tcPr>
            <w:tcW w:w="1134" w:type="dxa"/>
            <w:vMerge/>
            <w:vAlign w:val="center"/>
          </w:tcPr>
          <w:p w14:paraId="747C6EDB"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64B5C164" w14:textId="4D09E84D" w:rsidR="00031BEA" w:rsidRPr="00DC44C3" w:rsidRDefault="002A57D0" w:rsidP="00031BEA">
            <w:pPr>
              <w:pStyle w:val="MDPI42tablebody"/>
              <w:autoSpaceDE w:val="0"/>
              <w:autoSpaceDN w:val="0"/>
              <w:spacing w:line="240" w:lineRule="auto"/>
            </w:pP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00031BEA">
              <w:t>, K</w:t>
            </w:r>
            <w:r w:rsidR="00031BEA">
              <w:rPr>
                <w:vertAlign w:val="superscript"/>
              </w:rPr>
              <w:t>-1</w:t>
            </w:r>
            <w:r w:rsidR="00031BEA">
              <w:t>, 10</w:t>
            </w:r>
            <w:r w:rsidR="00031BEA">
              <w:rPr>
                <w:vertAlign w:val="superscript"/>
              </w:rPr>
              <w:t>6</w:t>
            </w:r>
          </w:p>
        </w:tc>
        <w:tc>
          <w:tcPr>
            <w:tcW w:w="993" w:type="dxa"/>
            <w:tcBorders>
              <w:top w:val="single" w:sz="4" w:space="0" w:color="auto"/>
              <w:left w:val="nil"/>
              <w:bottom w:val="single" w:sz="8" w:space="0" w:color="auto"/>
              <w:right w:val="nil"/>
            </w:tcBorders>
            <w:shd w:val="clear" w:color="auto" w:fill="auto"/>
            <w:noWrap/>
            <w:hideMark/>
          </w:tcPr>
          <w:p w14:paraId="2BC900A8"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50,0</m:t>
                </m:r>
              </m:oMath>
            </m:oMathPara>
          </w:p>
        </w:tc>
        <w:tc>
          <w:tcPr>
            <w:tcW w:w="850" w:type="dxa"/>
            <w:tcBorders>
              <w:top w:val="single" w:sz="4" w:space="0" w:color="auto"/>
              <w:left w:val="nil"/>
              <w:bottom w:val="single" w:sz="8" w:space="0" w:color="auto"/>
              <w:right w:val="nil"/>
            </w:tcBorders>
            <w:shd w:val="clear" w:color="auto" w:fill="auto"/>
            <w:noWrap/>
            <w:hideMark/>
          </w:tcPr>
          <w:p w14:paraId="592AF303"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54,0</m:t>
                </m:r>
              </m:oMath>
            </m:oMathPara>
          </w:p>
        </w:tc>
        <w:tc>
          <w:tcPr>
            <w:tcW w:w="992" w:type="dxa"/>
            <w:tcBorders>
              <w:top w:val="single" w:sz="4" w:space="0" w:color="auto"/>
              <w:left w:val="nil"/>
              <w:bottom w:val="single" w:sz="8" w:space="0" w:color="auto"/>
              <w:right w:val="nil"/>
            </w:tcBorders>
            <w:shd w:val="clear" w:color="auto" w:fill="auto"/>
            <w:noWrap/>
            <w:hideMark/>
          </w:tcPr>
          <w:p w14:paraId="5FB9ACF4" w14:textId="77777777" w:rsidR="00031BEA" w:rsidRPr="002B77A9" w:rsidRDefault="00031BEA" w:rsidP="00031BEA">
            <w:pPr>
              <w:pStyle w:val="MDPI42tablebody"/>
              <w:autoSpaceDE w:val="0"/>
              <w:autoSpaceDN w:val="0"/>
              <w:spacing w:line="240" w:lineRule="auto"/>
            </w:pPr>
            <w:r w:rsidRPr="00F62053">
              <w:t>60,0</w:t>
            </w:r>
          </w:p>
        </w:tc>
        <w:tc>
          <w:tcPr>
            <w:tcW w:w="993" w:type="dxa"/>
            <w:gridSpan w:val="2"/>
            <w:tcBorders>
              <w:top w:val="single" w:sz="4" w:space="0" w:color="auto"/>
              <w:left w:val="nil"/>
              <w:bottom w:val="single" w:sz="8" w:space="0" w:color="auto"/>
              <w:right w:val="nil"/>
            </w:tcBorders>
            <w:shd w:val="clear" w:color="auto" w:fill="auto"/>
            <w:noWrap/>
            <w:hideMark/>
          </w:tcPr>
          <w:p w14:paraId="712CF7EF" w14:textId="77777777" w:rsidR="00031BEA" w:rsidRPr="002B77A9" w:rsidRDefault="00031BEA" w:rsidP="00031BEA">
            <w:pPr>
              <w:pStyle w:val="MDPI42tablebody"/>
              <w:autoSpaceDE w:val="0"/>
              <w:autoSpaceDN w:val="0"/>
              <w:spacing w:line="240" w:lineRule="auto"/>
            </w:pPr>
            <w:r w:rsidRPr="00F62053">
              <w:t>63,8</w:t>
            </w:r>
          </w:p>
        </w:tc>
        <w:tc>
          <w:tcPr>
            <w:tcW w:w="850" w:type="dxa"/>
            <w:gridSpan w:val="2"/>
            <w:tcBorders>
              <w:top w:val="single" w:sz="4" w:space="0" w:color="auto"/>
              <w:left w:val="nil"/>
              <w:bottom w:val="single" w:sz="8" w:space="0" w:color="auto"/>
              <w:right w:val="nil"/>
            </w:tcBorders>
            <w:shd w:val="clear" w:color="auto" w:fill="auto"/>
            <w:noWrap/>
            <w:hideMark/>
          </w:tcPr>
          <w:p w14:paraId="65309038" w14:textId="77777777" w:rsidR="00031BEA" w:rsidRPr="002B77A9" w:rsidRDefault="00031BEA" w:rsidP="00031BEA">
            <w:pPr>
              <w:pStyle w:val="MDPI42tablebody"/>
              <w:autoSpaceDE w:val="0"/>
              <w:autoSpaceDN w:val="0"/>
              <w:spacing w:line="240" w:lineRule="auto"/>
            </w:pPr>
            <w:r w:rsidRPr="00F62053">
              <w:t>70,0</w:t>
            </w:r>
          </w:p>
        </w:tc>
        <w:tc>
          <w:tcPr>
            <w:tcW w:w="709" w:type="dxa"/>
            <w:tcBorders>
              <w:top w:val="single" w:sz="4" w:space="0" w:color="auto"/>
              <w:left w:val="nil"/>
              <w:bottom w:val="single" w:sz="8" w:space="0" w:color="auto"/>
              <w:right w:val="nil"/>
            </w:tcBorders>
          </w:tcPr>
          <w:p w14:paraId="1319B30D" w14:textId="77777777" w:rsidR="00031BEA" w:rsidRPr="002B77A9" w:rsidRDefault="00031BEA" w:rsidP="00031BEA">
            <w:pPr>
              <w:pStyle w:val="MDPI42tablebody"/>
              <w:autoSpaceDE w:val="0"/>
              <w:autoSpaceDN w:val="0"/>
              <w:spacing w:line="240" w:lineRule="auto"/>
            </w:pPr>
            <w:r w:rsidRPr="00F62053">
              <w:t>110,0</w:t>
            </w:r>
          </w:p>
        </w:tc>
        <w:tc>
          <w:tcPr>
            <w:tcW w:w="992" w:type="dxa"/>
            <w:tcBorders>
              <w:top w:val="single" w:sz="4" w:space="0" w:color="auto"/>
              <w:left w:val="nil"/>
              <w:bottom w:val="single" w:sz="8" w:space="0" w:color="auto"/>
              <w:right w:val="nil"/>
            </w:tcBorders>
            <w:shd w:val="clear" w:color="auto" w:fill="auto"/>
            <w:noWrap/>
            <w:hideMark/>
          </w:tcPr>
          <w:p w14:paraId="5BF6B31E"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vAlign w:val="center"/>
            <w:hideMark/>
          </w:tcPr>
          <w:p w14:paraId="224264FC" w14:textId="77777777" w:rsidR="00031BEA" w:rsidRPr="002B77A9" w:rsidRDefault="00031BEA" w:rsidP="00031BEA">
            <w:pPr>
              <w:pStyle w:val="MDPI42tablebody"/>
              <w:autoSpaceDE w:val="0"/>
              <w:autoSpaceDN w:val="0"/>
              <w:spacing w:line="240" w:lineRule="auto"/>
            </w:pPr>
            <w:r>
              <w:t>-</w:t>
            </w:r>
          </w:p>
        </w:tc>
      </w:tr>
      <w:tr w:rsidR="00031BEA" w:rsidRPr="002B77A9" w14:paraId="327F02A0" w14:textId="77777777" w:rsidTr="00031BEA">
        <w:trPr>
          <w:jc w:val="center"/>
        </w:trPr>
        <w:tc>
          <w:tcPr>
            <w:tcW w:w="1134" w:type="dxa"/>
            <w:vMerge/>
            <w:vAlign w:val="center"/>
          </w:tcPr>
          <w:p w14:paraId="02E4359E"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07E9B07D" w14:textId="7502F0AA" w:rsidR="00031BEA" w:rsidRPr="00DC44C3" w:rsidRDefault="00031BEA" w:rsidP="00031BEA">
            <w:pPr>
              <w:pStyle w:val="MDPI42tablebody"/>
              <w:autoSpaceDE w:val="0"/>
              <w:autoSpaceDN w:val="0"/>
              <w:spacing w:line="240" w:lineRule="auto"/>
            </w:pPr>
            <m:oMath>
              <m:r>
                <w:rPr>
                  <w:rFonts w:ascii="Cambria Math" w:hAnsi="Cambria Math"/>
                </w:rPr>
                <m:t>E</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oMath>
            <w:r>
              <w:t>, MPa</w:t>
            </w:r>
            <w:r>
              <w:rPr>
                <w:vertAlign w:val="superscript"/>
              </w:rPr>
              <w:t>.</w:t>
            </w:r>
            <w:r>
              <w:t>K</w:t>
            </w:r>
            <w:r>
              <w:rPr>
                <w:vertAlign w:val="superscript"/>
              </w:rPr>
              <w:t>2</w:t>
            </w:r>
          </w:p>
        </w:tc>
        <w:tc>
          <w:tcPr>
            <w:tcW w:w="993" w:type="dxa"/>
            <w:tcBorders>
              <w:top w:val="single" w:sz="4" w:space="0" w:color="auto"/>
              <w:left w:val="nil"/>
              <w:bottom w:val="single" w:sz="8" w:space="0" w:color="auto"/>
              <w:right w:val="nil"/>
            </w:tcBorders>
            <w:shd w:val="clear" w:color="auto" w:fill="auto"/>
            <w:noWrap/>
            <w:hideMark/>
          </w:tcPr>
          <w:p w14:paraId="2B2466D5"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19675000</m:t>
                </m:r>
              </m:oMath>
            </m:oMathPara>
          </w:p>
        </w:tc>
        <w:tc>
          <w:tcPr>
            <w:tcW w:w="850" w:type="dxa"/>
            <w:tcBorders>
              <w:top w:val="single" w:sz="4" w:space="0" w:color="auto"/>
              <w:left w:val="nil"/>
              <w:bottom w:val="single" w:sz="8" w:space="0" w:color="auto"/>
              <w:right w:val="nil"/>
            </w:tcBorders>
            <w:shd w:val="clear" w:color="auto" w:fill="auto"/>
            <w:noWrap/>
            <w:hideMark/>
          </w:tcPr>
          <w:p w14:paraId="2E89C56C"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21345120</m:t>
                </m:r>
              </m:oMath>
            </m:oMathPara>
          </w:p>
        </w:tc>
        <w:tc>
          <w:tcPr>
            <w:tcW w:w="992" w:type="dxa"/>
            <w:tcBorders>
              <w:top w:val="single" w:sz="4" w:space="0" w:color="auto"/>
              <w:left w:val="nil"/>
              <w:bottom w:val="single" w:sz="8" w:space="0" w:color="auto"/>
              <w:right w:val="nil"/>
            </w:tcBorders>
            <w:shd w:val="clear" w:color="auto" w:fill="auto"/>
            <w:noWrap/>
            <w:hideMark/>
          </w:tcPr>
          <w:p w14:paraId="766798D6" w14:textId="77777777" w:rsidR="00031BEA" w:rsidRPr="002B77A9" w:rsidRDefault="00031BEA" w:rsidP="00031BEA">
            <w:pPr>
              <w:pStyle w:val="MDPI42tablebody"/>
              <w:autoSpaceDE w:val="0"/>
              <w:autoSpaceDN w:val="0"/>
              <w:spacing w:line="240" w:lineRule="auto"/>
            </w:pPr>
            <w:r w:rsidRPr="002E1D98">
              <w:t>25452000</w:t>
            </w:r>
          </w:p>
        </w:tc>
        <w:tc>
          <w:tcPr>
            <w:tcW w:w="993" w:type="dxa"/>
            <w:gridSpan w:val="2"/>
            <w:tcBorders>
              <w:top w:val="single" w:sz="4" w:space="0" w:color="auto"/>
              <w:left w:val="nil"/>
              <w:bottom w:val="single" w:sz="8" w:space="0" w:color="auto"/>
              <w:right w:val="nil"/>
            </w:tcBorders>
            <w:shd w:val="clear" w:color="auto" w:fill="auto"/>
            <w:noWrap/>
            <w:hideMark/>
          </w:tcPr>
          <w:p w14:paraId="7F5F2EB4" w14:textId="77777777" w:rsidR="00031BEA" w:rsidRPr="002B77A9" w:rsidRDefault="00031BEA" w:rsidP="00031BEA">
            <w:pPr>
              <w:pStyle w:val="MDPI42tablebody"/>
              <w:autoSpaceDE w:val="0"/>
              <w:autoSpaceDN w:val="0"/>
              <w:spacing w:line="240" w:lineRule="auto"/>
            </w:pPr>
            <w:r w:rsidRPr="002E1D98">
              <w:t>25236728</w:t>
            </w:r>
          </w:p>
        </w:tc>
        <w:tc>
          <w:tcPr>
            <w:tcW w:w="850" w:type="dxa"/>
            <w:gridSpan w:val="2"/>
            <w:tcBorders>
              <w:top w:val="single" w:sz="4" w:space="0" w:color="auto"/>
              <w:left w:val="nil"/>
              <w:bottom w:val="single" w:sz="8" w:space="0" w:color="auto"/>
              <w:right w:val="nil"/>
            </w:tcBorders>
            <w:shd w:val="clear" w:color="auto" w:fill="auto"/>
            <w:noWrap/>
            <w:hideMark/>
          </w:tcPr>
          <w:p w14:paraId="018FB9A3" w14:textId="77777777" w:rsidR="00031BEA" w:rsidRPr="002B77A9" w:rsidRDefault="00031BEA" w:rsidP="00031BEA">
            <w:pPr>
              <w:pStyle w:val="MDPI42tablebody"/>
              <w:autoSpaceDE w:val="0"/>
              <w:autoSpaceDN w:val="0"/>
              <w:spacing w:line="240" w:lineRule="auto"/>
            </w:pPr>
            <w:r w:rsidRPr="002E1D98">
              <w:t>4900000</w:t>
            </w:r>
          </w:p>
        </w:tc>
        <w:tc>
          <w:tcPr>
            <w:tcW w:w="709" w:type="dxa"/>
            <w:tcBorders>
              <w:top w:val="single" w:sz="4" w:space="0" w:color="auto"/>
              <w:left w:val="nil"/>
              <w:bottom w:val="single" w:sz="8" w:space="0" w:color="auto"/>
              <w:right w:val="nil"/>
            </w:tcBorders>
          </w:tcPr>
          <w:p w14:paraId="01D15AA4"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578EF070" w14:textId="77777777" w:rsidR="00031BEA" w:rsidRPr="002B77A9" w:rsidRDefault="00031BEA" w:rsidP="00031BEA">
            <w:pPr>
              <w:pStyle w:val="MDPI42tablebody"/>
              <w:autoSpaceDE w:val="0"/>
              <w:autoSpaceDN w:val="0"/>
              <w:spacing w:line="240" w:lineRule="auto"/>
            </w:pPr>
            <w:r w:rsidRPr="002E1D98">
              <w:t>22927212</w:t>
            </w:r>
          </w:p>
        </w:tc>
        <w:tc>
          <w:tcPr>
            <w:tcW w:w="992" w:type="dxa"/>
            <w:tcBorders>
              <w:top w:val="single" w:sz="4" w:space="0" w:color="auto"/>
              <w:left w:val="nil"/>
              <w:bottom w:val="single" w:sz="8" w:space="0" w:color="auto"/>
              <w:right w:val="nil"/>
            </w:tcBorders>
            <w:shd w:val="clear" w:color="auto" w:fill="auto"/>
            <w:noWrap/>
            <w:vAlign w:val="center"/>
            <w:hideMark/>
          </w:tcPr>
          <w:p w14:paraId="21AADA22" w14:textId="77777777" w:rsidR="00031BEA" w:rsidRPr="002B77A9" w:rsidRDefault="00031BEA" w:rsidP="00031BEA">
            <w:pPr>
              <w:pStyle w:val="MDPI42tablebody"/>
              <w:autoSpaceDE w:val="0"/>
              <w:autoSpaceDN w:val="0"/>
              <w:spacing w:line="240" w:lineRule="auto"/>
            </w:pPr>
            <w:r>
              <w:t>22</w:t>
            </w:r>
          </w:p>
        </w:tc>
      </w:tr>
      <w:tr w:rsidR="00031BEA" w:rsidRPr="002B77A9" w14:paraId="483D8F93" w14:textId="77777777" w:rsidTr="00031BEA">
        <w:trPr>
          <w:jc w:val="center"/>
        </w:trPr>
        <w:tc>
          <w:tcPr>
            <w:tcW w:w="1134" w:type="dxa"/>
            <w:vMerge/>
            <w:vAlign w:val="center"/>
          </w:tcPr>
          <w:p w14:paraId="4D947769"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53B5D554" w14:textId="486696B3" w:rsidR="00031BEA" w:rsidRPr="002B77A9" w:rsidRDefault="002A57D0" w:rsidP="00031BEA">
            <w:pPr>
              <w:pStyle w:val="MDPI42tablebody"/>
              <w:autoSpaceDE w:val="0"/>
              <w:autoSpaceDN w:val="0"/>
              <w:spacing w:line="240" w:lineRule="auto"/>
            </w:pPr>
            <m:oMath>
              <m:sSub>
                <m:sSubPr>
                  <m:ctrlPr>
                    <w:rPr>
                      <w:rFonts w:ascii="Cambria Math" w:hAnsi="Cambria Math"/>
                      <w:i/>
                      <w:szCs w:val="22"/>
                    </w:rPr>
                  </m:ctrlPr>
                </m:sSubPr>
                <m:e>
                  <m:r>
                    <w:rPr>
                      <w:rFonts w:ascii="Cambria Math" w:hAnsi="Cambria Math"/>
                    </w:rPr>
                    <m:t>E</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t</m:t>
                  </m:r>
                </m:sub>
              </m:sSub>
              <m:f>
                <m:fPr>
                  <m:ctrlPr>
                    <w:rPr>
                      <w:rFonts w:ascii="Cambria Math" w:hAnsi="Cambria Math"/>
                      <w:i/>
                      <w:szCs w:val="22"/>
                    </w:rPr>
                  </m:ctrlPr>
                </m:fPr>
                <m:num>
                  <m:sSub>
                    <m:sSubPr>
                      <m:ctrlPr>
                        <w:rPr>
                          <w:rFonts w:ascii="Cambria Math" w:hAnsi="Cambria Math"/>
                          <w:i/>
                        </w:rPr>
                      </m:ctrlPr>
                    </m:sSubPr>
                    <m:e>
                      <m:r>
                        <w:rPr>
                          <w:rFonts w:ascii="Cambria Math" w:hAnsi="Cambria Math"/>
                        </w:rPr>
                        <m:t>α</m:t>
                      </m:r>
                    </m:e>
                    <m:sub>
                      <m:r>
                        <w:rPr>
                          <w:rFonts w:ascii="Cambria Math" w:hAnsi="Cambria Math"/>
                        </w:rPr>
                        <m:t>tg</m:t>
                      </m:r>
                    </m:sub>
                  </m:sSub>
                </m:num>
                <m:den>
                  <m:sSub>
                    <m:sSubPr>
                      <m:ctrlPr>
                        <w:rPr>
                          <w:rFonts w:ascii="Cambria Math" w:hAnsi="Cambria Math"/>
                          <w:i/>
                        </w:rPr>
                      </m:ctrlPr>
                    </m:sSubPr>
                    <m:e>
                      <m:r>
                        <w:rPr>
                          <w:rFonts w:ascii="Cambria Math" w:hAnsi="Cambria Math"/>
                        </w:rPr>
                        <m:t>α</m:t>
                      </m:r>
                    </m:e>
                    <m:sub>
                      <m:r>
                        <w:rPr>
                          <w:rFonts w:ascii="Cambria Math" w:hAnsi="Cambria Math"/>
                        </w:rPr>
                        <m:t>tg</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t</m:t>
                      </m:r>
                    </m:sub>
                  </m:sSub>
                </m:den>
              </m:f>
            </m:oMath>
            <w:r w:rsidR="00031BEA">
              <w:rPr>
                <w:szCs w:val="22"/>
              </w:rPr>
              <w:t>, MPa</w:t>
            </w:r>
          </w:p>
        </w:tc>
        <w:tc>
          <w:tcPr>
            <w:tcW w:w="993" w:type="dxa"/>
            <w:tcBorders>
              <w:top w:val="single" w:sz="4" w:space="0" w:color="auto"/>
              <w:left w:val="nil"/>
              <w:bottom w:val="single" w:sz="8" w:space="0" w:color="auto"/>
              <w:right w:val="nil"/>
            </w:tcBorders>
            <w:shd w:val="clear" w:color="auto" w:fill="auto"/>
            <w:noWrap/>
            <w:hideMark/>
          </w:tcPr>
          <w:p w14:paraId="01C5DDB9"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14428</m:t>
                </m:r>
              </m:oMath>
            </m:oMathPara>
          </w:p>
        </w:tc>
        <w:tc>
          <w:tcPr>
            <w:tcW w:w="850" w:type="dxa"/>
            <w:tcBorders>
              <w:top w:val="single" w:sz="4" w:space="0" w:color="auto"/>
              <w:left w:val="nil"/>
              <w:bottom w:val="single" w:sz="8" w:space="0" w:color="auto"/>
              <w:right w:val="nil"/>
            </w:tcBorders>
            <w:shd w:val="clear" w:color="auto" w:fill="auto"/>
            <w:noWrap/>
            <w:hideMark/>
          </w:tcPr>
          <w:p w14:paraId="1ED7AC65"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14379</m:t>
                </m:r>
              </m:oMath>
            </m:oMathPara>
          </w:p>
        </w:tc>
        <w:tc>
          <w:tcPr>
            <w:tcW w:w="992" w:type="dxa"/>
            <w:tcBorders>
              <w:top w:val="single" w:sz="4" w:space="0" w:color="auto"/>
              <w:left w:val="nil"/>
              <w:bottom w:val="single" w:sz="8" w:space="0" w:color="auto"/>
              <w:right w:val="nil"/>
            </w:tcBorders>
            <w:shd w:val="clear" w:color="auto" w:fill="auto"/>
            <w:noWrap/>
            <w:hideMark/>
          </w:tcPr>
          <w:p w14:paraId="52FD5C49" w14:textId="77777777" w:rsidR="00031BEA" w:rsidRPr="002B77A9" w:rsidRDefault="00031BEA" w:rsidP="00031BEA">
            <w:pPr>
              <w:pStyle w:val="MDPI42tablebody"/>
              <w:autoSpaceDE w:val="0"/>
              <w:autoSpaceDN w:val="0"/>
              <w:spacing w:line="240" w:lineRule="auto"/>
            </w:pPr>
            <w:r w:rsidRPr="00E743CC">
              <w:t>15554</w:t>
            </w:r>
          </w:p>
        </w:tc>
        <w:tc>
          <w:tcPr>
            <w:tcW w:w="993" w:type="dxa"/>
            <w:gridSpan w:val="2"/>
            <w:tcBorders>
              <w:top w:val="single" w:sz="4" w:space="0" w:color="auto"/>
              <w:left w:val="nil"/>
              <w:bottom w:val="single" w:sz="8" w:space="0" w:color="auto"/>
              <w:right w:val="nil"/>
            </w:tcBorders>
            <w:shd w:val="clear" w:color="auto" w:fill="auto"/>
            <w:noWrap/>
            <w:hideMark/>
          </w:tcPr>
          <w:p w14:paraId="5CCA32D6" w14:textId="77777777" w:rsidR="00031BEA" w:rsidRPr="002B77A9" w:rsidRDefault="00031BEA" w:rsidP="00031BEA">
            <w:pPr>
              <w:pStyle w:val="MDPI42tablebody"/>
              <w:autoSpaceDE w:val="0"/>
              <w:autoSpaceDN w:val="0"/>
              <w:spacing w:line="240" w:lineRule="auto"/>
            </w:pPr>
            <w:r w:rsidRPr="00E743CC">
              <w:t>14762</w:t>
            </w:r>
          </w:p>
        </w:tc>
        <w:tc>
          <w:tcPr>
            <w:tcW w:w="850" w:type="dxa"/>
            <w:gridSpan w:val="2"/>
            <w:tcBorders>
              <w:top w:val="single" w:sz="4" w:space="0" w:color="auto"/>
              <w:left w:val="nil"/>
              <w:bottom w:val="single" w:sz="8" w:space="0" w:color="auto"/>
              <w:right w:val="nil"/>
            </w:tcBorders>
            <w:shd w:val="clear" w:color="auto" w:fill="auto"/>
            <w:noWrap/>
            <w:hideMark/>
          </w:tcPr>
          <w:p w14:paraId="540D1F2C" w14:textId="77777777" w:rsidR="00031BEA" w:rsidRPr="002B77A9" w:rsidRDefault="00031BEA" w:rsidP="00031BEA">
            <w:pPr>
              <w:pStyle w:val="MDPI42tablebody"/>
              <w:autoSpaceDE w:val="0"/>
              <w:autoSpaceDN w:val="0"/>
              <w:spacing w:line="240" w:lineRule="auto"/>
            </w:pPr>
            <w:r w:rsidRPr="00E743CC">
              <w:t>1009</w:t>
            </w:r>
          </w:p>
        </w:tc>
        <w:tc>
          <w:tcPr>
            <w:tcW w:w="709" w:type="dxa"/>
            <w:tcBorders>
              <w:top w:val="single" w:sz="4" w:space="0" w:color="auto"/>
              <w:left w:val="nil"/>
              <w:bottom w:val="single" w:sz="8" w:space="0" w:color="auto"/>
              <w:right w:val="nil"/>
            </w:tcBorders>
          </w:tcPr>
          <w:p w14:paraId="1671B640"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236971DE" w14:textId="77777777" w:rsidR="00031BEA" w:rsidRPr="002B77A9" w:rsidRDefault="00031BEA" w:rsidP="00031BEA">
            <w:pPr>
              <w:pStyle w:val="MDPI42tablebody"/>
              <w:autoSpaceDE w:val="0"/>
              <w:autoSpaceDN w:val="0"/>
              <w:spacing w:line="240" w:lineRule="auto"/>
            </w:pPr>
            <w:r w:rsidRPr="00E743CC">
              <w:t>14781</w:t>
            </w:r>
          </w:p>
        </w:tc>
        <w:tc>
          <w:tcPr>
            <w:tcW w:w="992" w:type="dxa"/>
            <w:tcBorders>
              <w:top w:val="single" w:sz="4" w:space="0" w:color="auto"/>
              <w:left w:val="nil"/>
              <w:bottom w:val="single" w:sz="8" w:space="0" w:color="auto"/>
              <w:right w:val="nil"/>
            </w:tcBorders>
            <w:shd w:val="clear" w:color="auto" w:fill="auto"/>
            <w:noWrap/>
            <w:vAlign w:val="center"/>
            <w:hideMark/>
          </w:tcPr>
          <w:p w14:paraId="1F422977" w14:textId="77777777" w:rsidR="00031BEA" w:rsidRPr="002B77A9" w:rsidRDefault="00031BEA" w:rsidP="00031BEA">
            <w:pPr>
              <w:pStyle w:val="MDPI42tablebody"/>
              <w:autoSpaceDE w:val="0"/>
              <w:autoSpaceDN w:val="0"/>
              <w:spacing w:line="240" w:lineRule="auto"/>
            </w:pPr>
            <w:r>
              <w:t>6</w:t>
            </w:r>
          </w:p>
        </w:tc>
      </w:tr>
      <w:tr w:rsidR="00031BEA" w:rsidRPr="002B77A9" w14:paraId="14900AE3" w14:textId="77777777" w:rsidTr="00031BEA">
        <w:trPr>
          <w:jc w:val="center"/>
        </w:trPr>
        <w:tc>
          <w:tcPr>
            <w:tcW w:w="1134" w:type="dxa"/>
            <w:vMerge w:val="restart"/>
            <w:vAlign w:val="center"/>
          </w:tcPr>
          <w:p w14:paraId="413A07B9" w14:textId="77777777" w:rsidR="00031BEA" w:rsidRPr="002B77A9" w:rsidRDefault="00031BEA" w:rsidP="00031BEA">
            <w:pPr>
              <w:pStyle w:val="MDPI42tablebody"/>
              <w:autoSpaceDE w:val="0"/>
              <w:autoSpaceDN w:val="0"/>
              <w:spacing w:line="240" w:lineRule="auto"/>
            </w:pPr>
            <w:r w:rsidRPr="002B77A9">
              <w:t>EP</w:t>
            </w:r>
            <w:r>
              <w:t>+T23</w:t>
            </w:r>
          </w:p>
          <w:p w14:paraId="6A472995"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4713301D" w14:textId="71970A1C" w:rsidR="00031BEA" w:rsidRPr="00140800" w:rsidRDefault="002A57D0" w:rsidP="00031BEA">
            <w:pPr>
              <w:pStyle w:val="MDPI42tablebody"/>
              <w:autoSpaceDE w:val="0"/>
              <w:autoSpaceDN w:val="0"/>
              <w:spacing w:line="240" w:lineRule="auto"/>
            </w:pPr>
            <m:oMath>
              <m:sSub>
                <m:sSubPr>
                  <m:ctrlPr>
                    <w:rPr>
                      <w:rFonts w:ascii="Cambria Math" w:hAnsi="Cambria Math"/>
                      <w:i/>
                    </w:rPr>
                  </m:ctrlPr>
                </m:sSubPr>
                <m:e>
                  <m:r>
                    <w:rPr>
                      <w:rFonts w:ascii="Cambria Math" w:hAnsi="Cambria Math"/>
                    </w:rPr>
                    <m:t>E</m:t>
                  </m:r>
                </m:e>
                <m:sub>
                  <m:r>
                    <w:rPr>
                      <w:rFonts w:ascii="Cambria Math" w:hAnsi="Cambria Math"/>
                    </w:rPr>
                    <m:t>t</m:t>
                  </m:r>
                </m:sub>
              </m:sSub>
            </m:oMath>
            <w:r w:rsidR="00031BEA">
              <w:t>, MPa</w:t>
            </w:r>
          </w:p>
        </w:tc>
        <w:tc>
          <w:tcPr>
            <w:tcW w:w="993" w:type="dxa"/>
            <w:tcBorders>
              <w:top w:val="single" w:sz="4" w:space="0" w:color="auto"/>
              <w:left w:val="nil"/>
              <w:bottom w:val="single" w:sz="8" w:space="0" w:color="auto"/>
              <w:right w:val="nil"/>
            </w:tcBorders>
            <w:shd w:val="clear" w:color="auto" w:fill="auto"/>
            <w:noWrap/>
            <w:hideMark/>
          </w:tcPr>
          <w:p w14:paraId="4629B375"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15490</m:t>
                </m:r>
              </m:oMath>
            </m:oMathPara>
          </w:p>
        </w:tc>
        <w:tc>
          <w:tcPr>
            <w:tcW w:w="850" w:type="dxa"/>
            <w:tcBorders>
              <w:top w:val="single" w:sz="4" w:space="0" w:color="auto"/>
              <w:left w:val="nil"/>
              <w:bottom w:val="single" w:sz="8" w:space="0" w:color="auto"/>
              <w:right w:val="nil"/>
            </w:tcBorders>
            <w:shd w:val="clear" w:color="auto" w:fill="auto"/>
            <w:noWrap/>
            <w:hideMark/>
          </w:tcPr>
          <w:p w14:paraId="48D6710F"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14000</m:t>
                </m:r>
              </m:oMath>
            </m:oMathPara>
          </w:p>
        </w:tc>
        <w:tc>
          <w:tcPr>
            <w:tcW w:w="992" w:type="dxa"/>
            <w:tcBorders>
              <w:top w:val="single" w:sz="4" w:space="0" w:color="auto"/>
              <w:left w:val="nil"/>
              <w:bottom w:val="single" w:sz="8" w:space="0" w:color="auto"/>
              <w:right w:val="nil"/>
            </w:tcBorders>
            <w:shd w:val="clear" w:color="auto" w:fill="auto"/>
            <w:noWrap/>
            <w:hideMark/>
          </w:tcPr>
          <w:p w14:paraId="65BC3951"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13400</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00EFD5B6" w14:textId="77777777" w:rsidR="00031BEA" w:rsidRPr="002B77A9" w:rsidRDefault="00031BEA" w:rsidP="00031BEA">
            <w:pPr>
              <w:pStyle w:val="MDPI42tablebody"/>
              <w:autoSpaceDE w:val="0"/>
              <w:autoSpaceDN w:val="0"/>
              <w:spacing w:line="240" w:lineRule="auto"/>
            </w:pPr>
            <w:r w:rsidRPr="00DD34A7">
              <w:t>9000</w:t>
            </w:r>
          </w:p>
        </w:tc>
        <w:tc>
          <w:tcPr>
            <w:tcW w:w="850" w:type="dxa"/>
            <w:gridSpan w:val="2"/>
            <w:tcBorders>
              <w:top w:val="single" w:sz="4" w:space="0" w:color="auto"/>
              <w:left w:val="nil"/>
              <w:bottom w:val="single" w:sz="8" w:space="0" w:color="auto"/>
              <w:right w:val="nil"/>
            </w:tcBorders>
            <w:shd w:val="clear" w:color="auto" w:fill="auto"/>
            <w:noWrap/>
            <w:hideMark/>
          </w:tcPr>
          <w:p w14:paraId="0BE64F35" w14:textId="77777777" w:rsidR="00031BEA" w:rsidRPr="002B77A9" w:rsidRDefault="00031BEA" w:rsidP="00031BEA">
            <w:pPr>
              <w:pStyle w:val="MDPI42tablebody"/>
              <w:autoSpaceDE w:val="0"/>
              <w:autoSpaceDN w:val="0"/>
              <w:spacing w:line="240" w:lineRule="auto"/>
            </w:pPr>
            <w:r w:rsidRPr="00DD34A7">
              <w:t>3560</w:t>
            </w:r>
          </w:p>
        </w:tc>
        <w:tc>
          <w:tcPr>
            <w:tcW w:w="709" w:type="dxa"/>
            <w:tcBorders>
              <w:top w:val="single" w:sz="4" w:space="0" w:color="auto"/>
              <w:left w:val="nil"/>
              <w:bottom w:val="single" w:sz="8" w:space="0" w:color="auto"/>
              <w:right w:val="nil"/>
            </w:tcBorders>
          </w:tcPr>
          <w:p w14:paraId="1D795E8D"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542D1256"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vAlign w:val="center"/>
            <w:hideMark/>
          </w:tcPr>
          <w:p w14:paraId="60255DE5" w14:textId="77777777" w:rsidR="00031BEA" w:rsidRPr="002B77A9" w:rsidRDefault="00031BEA" w:rsidP="00031BEA">
            <w:pPr>
              <w:pStyle w:val="MDPI42tablebody"/>
              <w:autoSpaceDE w:val="0"/>
              <w:autoSpaceDN w:val="0"/>
              <w:spacing w:line="240" w:lineRule="auto"/>
            </w:pPr>
            <w:r>
              <w:t>-</w:t>
            </w:r>
          </w:p>
        </w:tc>
      </w:tr>
      <w:tr w:rsidR="00031BEA" w:rsidRPr="002B77A9" w14:paraId="22CF60C7" w14:textId="77777777" w:rsidTr="00031BEA">
        <w:trPr>
          <w:jc w:val="center"/>
        </w:trPr>
        <w:tc>
          <w:tcPr>
            <w:tcW w:w="1134" w:type="dxa"/>
            <w:vMerge/>
            <w:vAlign w:val="center"/>
          </w:tcPr>
          <w:p w14:paraId="74FE6121"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5DE137CE" w14:textId="2523FF9B" w:rsidR="00031BEA" w:rsidRPr="00DC44C3" w:rsidRDefault="002A57D0" w:rsidP="00031BEA">
            <w:pPr>
              <w:pStyle w:val="MDPI42tablebody"/>
              <w:autoSpaceDE w:val="0"/>
              <w:autoSpaceDN w:val="0"/>
              <w:spacing w:line="240" w:lineRule="auto"/>
            </w:pP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00031BEA">
              <w:t>, K</w:t>
            </w:r>
            <w:r w:rsidR="00031BEA">
              <w:rPr>
                <w:vertAlign w:val="superscript"/>
              </w:rPr>
              <w:t>-1</w:t>
            </w:r>
            <w:r w:rsidR="00031BEA">
              <w:t>, 10</w:t>
            </w:r>
            <w:r w:rsidR="00031BEA">
              <w:rPr>
                <w:vertAlign w:val="superscript"/>
              </w:rPr>
              <w:t>6</w:t>
            </w:r>
          </w:p>
        </w:tc>
        <w:tc>
          <w:tcPr>
            <w:tcW w:w="993" w:type="dxa"/>
            <w:tcBorders>
              <w:top w:val="single" w:sz="4" w:space="0" w:color="auto"/>
              <w:left w:val="nil"/>
              <w:bottom w:val="single" w:sz="8" w:space="0" w:color="auto"/>
              <w:right w:val="nil"/>
            </w:tcBorders>
            <w:shd w:val="clear" w:color="auto" w:fill="auto"/>
            <w:noWrap/>
            <w:hideMark/>
          </w:tcPr>
          <w:p w14:paraId="2426CDC1"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10,0</m:t>
                </m:r>
              </m:oMath>
            </m:oMathPara>
          </w:p>
        </w:tc>
        <w:tc>
          <w:tcPr>
            <w:tcW w:w="850" w:type="dxa"/>
            <w:tcBorders>
              <w:top w:val="single" w:sz="4" w:space="0" w:color="auto"/>
              <w:left w:val="nil"/>
              <w:bottom w:val="single" w:sz="8" w:space="0" w:color="auto"/>
              <w:right w:val="nil"/>
            </w:tcBorders>
            <w:shd w:val="clear" w:color="auto" w:fill="auto"/>
            <w:noWrap/>
            <w:hideMark/>
          </w:tcPr>
          <w:p w14:paraId="7FB01883"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11,0</m:t>
                </m:r>
              </m:oMath>
            </m:oMathPara>
          </w:p>
        </w:tc>
        <w:tc>
          <w:tcPr>
            <w:tcW w:w="992" w:type="dxa"/>
            <w:tcBorders>
              <w:top w:val="single" w:sz="4" w:space="0" w:color="auto"/>
              <w:left w:val="nil"/>
              <w:bottom w:val="single" w:sz="8" w:space="0" w:color="auto"/>
              <w:right w:val="nil"/>
            </w:tcBorders>
            <w:shd w:val="clear" w:color="auto" w:fill="auto"/>
            <w:noWrap/>
            <w:hideMark/>
          </w:tcPr>
          <w:p w14:paraId="21A94AA9"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12,5</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76A1EC9D" w14:textId="77777777" w:rsidR="00031BEA" w:rsidRPr="002B77A9" w:rsidRDefault="00031BEA" w:rsidP="00031BEA">
            <w:pPr>
              <w:pStyle w:val="MDPI42tablebody"/>
              <w:autoSpaceDE w:val="0"/>
              <w:autoSpaceDN w:val="0"/>
              <w:spacing w:line="240" w:lineRule="auto"/>
            </w:pPr>
            <w:r w:rsidRPr="0010056B">
              <w:t>10,2</w:t>
            </w:r>
          </w:p>
        </w:tc>
        <w:tc>
          <w:tcPr>
            <w:tcW w:w="850" w:type="dxa"/>
            <w:gridSpan w:val="2"/>
            <w:tcBorders>
              <w:top w:val="single" w:sz="4" w:space="0" w:color="auto"/>
              <w:left w:val="nil"/>
              <w:bottom w:val="single" w:sz="8" w:space="0" w:color="auto"/>
              <w:right w:val="nil"/>
            </w:tcBorders>
            <w:shd w:val="clear" w:color="auto" w:fill="auto"/>
            <w:noWrap/>
            <w:hideMark/>
          </w:tcPr>
          <w:p w14:paraId="3CFF3E38" w14:textId="77777777" w:rsidR="00031BEA" w:rsidRPr="002B77A9" w:rsidRDefault="00031BEA" w:rsidP="00031BEA">
            <w:pPr>
              <w:pStyle w:val="MDPI42tablebody"/>
              <w:autoSpaceDE w:val="0"/>
              <w:autoSpaceDN w:val="0"/>
              <w:spacing w:line="240" w:lineRule="auto"/>
            </w:pPr>
            <w:r w:rsidRPr="0010056B">
              <w:t>8,30</w:t>
            </w:r>
          </w:p>
        </w:tc>
        <w:tc>
          <w:tcPr>
            <w:tcW w:w="709" w:type="dxa"/>
            <w:tcBorders>
              <w:top w:val="single" w:sz="4" w:space="0" w:color="auto"/>
              <w:left w:val="nil"/>
              <w:bottom w:val="single" w:sz="8" w:space="0" w:color="auto"/>
              <w:right w:val="nil"/>
            </w:tcBorders>
          </w:tcPr>
          <w:p w14:paraId="2702B580" w14:textId="77777777" w:rsidR="00031BEA" w:rsidRPr="002B77A9" w:rsidRDefault="00031BEA" w:rsidP="00031BEA">
            <w:pPr>
              <w:pStyle w:val="MDPI42tablebody"/>
              <w:autoSpaceDE w:val="0"/>
              <w:autoSpaceDN w:val="0"/>
              <w:spacing w:line="240" w:lineRule="auto"/>
            </w:pPr>
            <w:r w:rsidRPr="0010056B">
              <w:t>22,0</w:t>
            </w:r>
          </w:p>
        </w:tc>
        <w:tc>
          <w:tcPr>
            <w:tcW w:w="992" w:type="dxa"/>
            <w:tcBorders>
              <w:top w:val="single" w:sz="4" w:space="0" w:color="auto"/>
              <w:left w:val="nil"/>
              <w:bottom w:val="single" w:sz="8" w:space="0" w:color="auto"/>
              <w:right w:val="nil"/>
            </w:tcBorders>
            <w:shd w:val="clear" w:color="auto" w:fill="auto"/>
            <w:noWrap/>
            <w:hideMark/>
          </w:tcPr>
          <w:p w14:paraId="2DF9AA18"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vAlign w:val="center"/>
            <w:hideMark/>
          </w:tcPr>
          <w:p w14:paraId="5DFF3634" w14:textId="77777777" w:rsidR="00031BEA" w:rsidRPr="002B77A9" w:rsidRDefault="00031BEA" w:rsidP="00031BEA">
            <w:pPr>
              <w:pStyle w:val="MDPI42tablebody"/>
              <w:autoSpaceDE w:val="0"/>
              <w:autoSpaceDN w:val="0"/>
              <w:spacing w:line="240" w:lineRule="auto"/>
            </w:pPr>
            <w:r>
              <w:t>-</w:t>
            </w:r>
          </w:p>
        </w:tc>
      </w:tr>
      <w:tr w:rsidR="00031BEA" w:rsidRPr="002B77A9" w14:paraId="579A99E1" w14:textId="77777777" w:rsidTr="00031BEA">
        <w:trPr>
          <w:jc w:val="center"/>
        </w:trPr>
        <w:tc>
          <w:tcPr>
            <w:tcW w:w="1134" w:type="dxa"/>
            <w:vMerge/>
            <w:vAlign w:val="center"/>
          </w:tcPr>
          <w:p w14:paraId="08C07DC0"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5BA4DEDA" w14:textId="4F80E06A" w:rsidR="00031BEA" w:rsidRPr="00DC44C3" w:rsidRDefault="00031BEA" w:rsidP="00031BEA">
            <w:pPr>
              <w:pStyle w:val="MDPI42tablebody"/>
              <w:autoSpaceDE w:val="0"/>
              <w:autoSpaceDN w:val="0"/>
              <w:spacing w:line="240" w:lineRule="auto"/>
            </w:pPr>
            <m:oMath>
              <m:r>
                <w:rPr>
                  <w:rFonts w:ascii="Cambria Math" w:hAnsi="Cambria Math"/>
                </w:rPr>
                <m:t>E</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oMath>
            <w:r>
              <w:t>, MPa</w:t>
            </w:r>
            <w:r>
              <w:rPr>
                <w:vertAlign w:val="superscript"/>
              </w:rPr>
              <w:t>.</w:t>
            </w:r>
            <w:r>
              <w:t>K</w:t>
            </w:r>
            <w:r>
              <w:rPr>
                <w:vertAlign w:val="superscript"/>
              </w:rPr>
              <w:t>2</w:t>
            </w:r>
          </w:p>
        </w:tc>
        <w:tc>
          <w:tcPr>
            <w:tcW w:w="993" w:type="dxa"/>
            <w:tcBorders>
              <w:top w:val="single" w:sz="4" w:space="0" w:color="auto"/>
              <w:left w:val="nil"/>
              <w:bottom w:val="single" w:sz="8" w:space="0" w:color="auto"/>
              <w:right w:val="nil"/>
            </w:tcBorders>
            <w:shd w:val="clear" w:color="auto" w:fill="auto"/>
            <w:noWrap/>
            <w:hideMark/>
          </w:tcPr>
          <w:p w14:paraId="5F06428F"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1549000</m:t>
                </m:r>
              </m:oMath>
            </m:oMathPara>
          </w:p>
        </w:tc>
        <w:tc>
          <w:tcPr>
            <w:tcW w:w="850" w:type="dxa"/>
            <w:tcBorders>
              <w:top w:val="single" w:sz="4" w:space="0" w:color="auto"/>
              <w:left w:val="nil"/>
              <w:bottom w:val="single" w:sz="8" w:space="0" w:color="auto"/>
              <w:right w:val="nil"/>
            </w:tcBorders>
            <w:shd w:val="clear" w:color="auto" w:fill="auto"/>
            <w:noWrap/>
            <w:hideMark/>
          </w:tcPr>
          <w:p w14:paraId="0E346156"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1694000</m:t>
                </m:r>
              </m:oMath>
            </m:oMathPara>
          </w:p>
        </w:tc>
        <w:tc>
          <w:tcPr>
            <w:tcW w:w="992" w:type="dxa"/>
            <w:tcBorders>
              <w:top w:val="single" w:sz="4" w:space="0" w:color="auto"/>
              <w:left w:val="nil"/>
              <w:bottom w:val="single" w:sz="8" w:space="0" w:color="auto"/>
              <w:right w:val="nil"/>
            </w:tcBorders>
            <w:shd w:val="clear" w:color="auto" w:fill="auto"/>
            <w:noWrap/>
            <w:hideMark/>
          </w:tcPr>
          <w:p w14:paraId="0A86DD9D"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2093750</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72F07A71" w14:textId="77777777" w:rsidR="00031BEA" w:rsidRPr="002B77A9" w:rsidRDefault="00031BEA" w:rsidP="00031BEA">
            <w:pPr>
              <w:pStyle w:val="MDPI42tablebody"/>
              <w:autoSpaceDE w:val="0"/>
              <w:autoSpaceDN w:val="0"/>
              <w:spacing w:line="240" w:lineRule="auto"/>
            </w:pPr>
            <w:r w:rsidRPr="000D6026">
              <w:t>936360</w:t>
            </w:r>
          </w:p>
        </w:tc>
        <w:tc>
          <w:tcPr>
            <w:tcW w:w="850" w:type="dxa"/>
            <w:gridSpan w:val="2"/>
            <w:tcBorders>
              <w:top w:val="single" w:sz="4" w:space="0" w:color="auto"/>
              <w:left w:val="nil"/>
              <w:bottom w:val="single" w:sz="8" w:space="0" w:color="auto"/>
              <w:right w:val="nil"/>
            </w:tcBorders>
            <w:shd w:val="clear" w:color="auto" w:fill="auto"/>
            <w:noWrap/>
            <w:hideMark/>
          </w:tcPr>
          <w:p w14:paraId="0E9639EA" w14:textId="77777777" w:rsidR="00031BEA" w:rsidRPr="002B77A9" w:rsidRDefault="00031BEA" w:rsidP="00031BEA">
            <w:pPr>
              <w:pStyle w:val="MDPI42tablebody"/>
              <w:autoSpaceDE w:val="0"/>
              <w:autoSpaceDN w:val="0"/>
              <w:spacing w:line="240" w:lineRule="auto"/>
            </w:pPr>
            <w:r w:rsidRPr="000D6026">
              <w:t>245248</w:t>
            </w:r>
          </w:p>
        </w:tc>
        <w:tc>
          <w:tcPr>
            <w:tcW w:w="709" w:type="dxa"/>
            <w:tcBorders>
              <w:top w:val="single" w:sz="4" w:space="0" w:color="auto"/>
              <w:left w:val="nil"/>
              <w:bottom w:val="single" w:sz="8" w:space="0" w:color="auto"/>
              <w:right w:val="nil"/>
            </w:tcBorders>
          </w:tcPr>
          <w:p w14:paraId="34387909"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75881C7E" w14:textId="77777777" w:rsidR="00031BEA" w:rsidRPr="002B77A9" w:rsidRDefault="00031BEA" w:rsidP="00031BEA">
            <w:pPr>
              <w:pStyle w:val="MDPI42tablebody"/>
              <w:autoSpaceDE w:val="0"/>
              <w:autoSpaceDN w:val="0"/>
              <w:spacing w:line="240" w:lineRule="auto"/>
            </w:pPr>
            <w:r w:rsidRPr="000D6026">
              <w:t>1778917</w:t>
            </w:r>
          </w:p>
        </w:tc>
        <w:tc>
          <w:tcPr>
            <w:tcW w:w="992" w:type="dxa"/>
            <w:tcBorders>
              <w:top w:val="single" w:sz="4" w:space="0" w:color="auto"/>
              <w:left w:val="nil"/>
              <w:bottom w:val="single" w:sz="8" w:space="0" w:color="auto"/>
              <w:right w:val="nil"/>
            </w:tcBorders>
            <w:shd w:val="clear" w:color="auto" w:fill="auto"/>
            <w:noWrap/>
            <w:vAlign w:val="center"/>
            <w:hideMark/>
          </w:tcPr>
          <w:p w14:paraId="01B9FFE5" w14:textId="77777777" w:rsidR="00031BEA" w:rsidRPr="002B77A9" w:rsidRDefault="00031BEA" w:rsidP="00031BEA">
            <w:pPr>
              <w:pStyle w:val="MDPI42tablebody"/>
              <w:autoSpaceDE w:val="0"/>
              <w:autoSpaceDN w:val="0"/>
              <w:spacing w:line="240" w:lineRule="auto"/>
            </w:pPr>
            <w:r>
              <w:t>22</w:t>
            </w:r>
          </w:p>
        </w:tc>
      </w:tr>
      <w:tr w:rsidR="00031BEA" w:rsidRPr="002B77A9" w14:paraId="3C178090" w14:textId="77777777" w:rsidTr="00031BEA">
        <w:trPr>
          <w:jc w:val="center"/>
        </w:trPr>
        <w:tc>
          <w:tcPr>
            <w:tcW w:w="1134" w:type="dxa"/>
            <w:vMerge/>
            <w:vAlign w:val="center"/>
          </w:tcPr>
          <w:p w14:paraId="610E3497"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79046C41" w14:textId="6D77AC2B" w:rsidR="00031BEA" w:rsidRPr="002B77A9" w:rsidRDefault="002A57D0" w:rsidP="00031BEA">
            <w:pPr>
              <w:pStyle w:val="MDPI42tablebody"/>
              <w:autoSpaceDE w:val="0"/>
              <w:autoSpaceDN w:val="0"/>
              <w:spacing w:line="240" w:lineRule="auto"/>
            </w:pPr>
            <m:oMath>
              <m:sSub>
                <m:sSubPr>
                  <m:ctrlPr>
                    <w:rPr>
                      <w:rFonts w:ascii="Cambria Math" w:hAnsi="Cambria Math"/>
                      <w:i/>
                      <w:szCs w:val="22"/>
                    </w:rPr>
                  </m:ctrlPr>
                </m:sSubPr>
                <m:e>
                  <m:r>
                    <w:rPr>
                      <w:rFonts w:ascii="Cambria Math" w:hAnsi="Cambria Math"/>
                    </w:rPr>
                    <m:t>E</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t</m:t>
                  </m:r>
                </m:sub>
              </m:sSub>
              <m:f>
                <m:fPr>
                  <m:ctrlPr>
                    <w:rPr>
                      <w:rFonts w:ascii="Cambria Math" w:hAnsi="Cambria Math"/>
                      <w:i/>
                      <w:szCs w:val="22"/>
                    </w:rPr>
                  </m:ctrlPr>
                </m:fPr>
                <m:num>
                  <m:sSub>
                    <m:sSubPr>
                      <m:ctrlPr>
                        <w:rPr>
                          <w:rFonts w:ascii="Cambria Math" w:hAnsi="Cambria Math"/>
                          <w:i/>
                        </w:rPr>
                      </m:ctrlPr>
                    </m:sSubPr>
                    <m:e>
                      <m:r>
                        <w:rPr>
                          <w:rFonts w:ascii="Cambria Math" w:hAnsi="Cambria Math"/>
                        </w:rPr>
                        <m:t>α</m:t>
                      </m:r>
                    </m:e>
                    <m:sub>
                      <m:r>
                        <w:rPr>
                          <w:rFonts w:ascii="Cambria Math" w:hAnsi="Cambria Math"/>
                        </w:rPr>
                        <m:t>tg</m:t>
                      </m:r>
                    </m:sub>
                  </m:sSub>
                </m:num>
                <m:den>
                  <m:sSub>
                    <m:sSubPr>
                      <m:ctrlPr>
                        <w:rPr>
                          <w:rFonts w:ascii="Cambria Math" w:hAnsi="Cambria Math"/>
                          <w:i/>
                        </w:rPr>
                      </m:ctrlPr>
                    </m:sSubPr>
                    <m:e>
                      <m:r>
                        <w:rPr>
                          <w:rFonts w:ascii="Cambria Math" w:hAnsi="Cambria Math"/>
                        </w:rPr>
                        <m:t>α</m:t>
                      </m:r>
                    </m:e>
                    <m:sub>
                      <m:r>
                        <w:rPr>
                          <w:rFonts w:ascii="Cambria Math" w:hAnsi="Cambria Math"/>
                        </w:rPr>
                        <m:t>tg</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t</m:t>
                      </m:r>
                    </m:sub>
                  </m:sSub>
                </m:den>
              </m:f>
            </m:oMath>
            <w:r w:rsidR="00031BEA">
              <w:rPr>
                <w:szCs w:val="22"/>
              </w:rPr>
              <w:t>, MPa</w:t>
            </w:r>
          </w:p>
        </w:tc>
        <w:tc>
          <w:tcPr>
            <w:tcW w:w="993" w:type="dxa"/>
            <w:tcBorders>
              <w:top w:val="single" w:sz="4" w:space="0" w:color="auto"/>
              <w:left w:val="nil"/>
              <w:bottom w:val="single" w:sz="8" w:space="0" w:color="auto"/>
              <w:right w:val="nil"/>
            </w:tcBorders>
            <w:shd w:val="clear" w:color="auto" w:fill="auto"/>
            <w:noWrap/>
            <w:hideMark/>
          </w:tcPr>
          <w:p w14:paraId="39B9ECEE"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28398</m:t>
                </m:r>
              </m:oMath>
            </m:oMathPara>
          </w:p>
        </w:tc>
        <w:tc>
          <w:tcPr>
            <w:tcW w:w="850" w:type="dxa"/>
            <w:tcBorders>
              <w:top w:val="single" w:sz="4" w:space="0" w:color="auto"/>
              <w:left w:val="nil"/>
              <w:bottom w:val="single" w:sz="8" w:space="0" w:color="auto"/>
              <w:right w:val="nil"/>
            </w:tcBorders>
            <w:shd w:val="clear" w:color="auto" w:fill="auto"/>
            <w:noWrap/>
            <w:hideMark/>
          </w:tcPr>
          <w:p w14:paraId="2CC32EEB"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28000</m:t>
                </m:r>
              </m:oMath>
            </m:oMathPara>
          </w:p>
        </w:tc>
        <w:tc>
          <w:tcPr>
            <w:tcW w:w="992" w:type="dxa"/>
            <w:tcBorders>
              <w:top w:val="single" w:sz="4" w:space="0" w:color="auto"/>
              <w:left w:val="nil"/>
              <w:bottom w:val="single" w:sz="8" w:space="0" w:color="auto"/>
              <w:right w:val="nil"/>
            </w:tcBorders>
            <w:shd w:val="clear" w:color="auto" w:fill="auto"/>
            <w:noWrap/>
            <w:hideMark/>
          </w:tcPr>
          <w:p w14:paraId="56EBB9A6"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31032</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2C3DEBB3" w14:textId="77777777" w:rsidR="00031BEA" w:rsidRPr="002B77A9" w:rsidRDefault="00031BEA" w:rsidP="00031BEA">
            <w:pPr>
              <w:pStyle w:val="MDPI42tablebody"/>
              <w:autoSpaceDE w:val="0"/>
              <w:autoSpaceDN w:val="0"/>
              <w:spacing w:line="240" w:lineRule="auto"/>
            </w:pPr>
            <w:r w:rsidRPr="00655793">
              <w:t>16780</w:t>
            </w:r>
          </w:p>
        </w:tc>
        <w:tc>
          <w:tcPr>
            <w:tcW w:w="850" w:type="dxa"/>
            <w:gridSpan w:val="2"/>
            <w:tcBorders>
              <w:top w:val="single" w:sz="4" w:space="0" w:color="auto"/>
              <w:left w:val="nil"/>
              <w:bottom w:val="single" w:sz="8" w:space="0" w:color="auto"/>
              <w:right w:val="nil"/>
            </w:tcBorders>
            <w:shd w:val="clear" w:color="auto" w:fill="auto"/>
            <w:noWrap/>
            <w:hideMark/>
          </w:tcPr>
          <w:p w14:paraId="5E87F610" w14:textId="77777777" w:rsidR="00031BEA" w:rsidRPr="002B77A9" w:rsidRDefault="00031BEA" w:rsidP="00031BEA">
            <w:pPr>
              <w:pStyle w:val="MDPI42tablebody"/>
              <w:autoSpaceDE w:val="0"/>
              <w:autoSpaceDN w:val="0"/>
              <w:spacing w:line="240" w:lineRule="auto"/>
            </w:pPr>
            <w:r w:rsidRPr="00655793">
              <w:t>3562</w:t>
            </w:r>
          </w:p>
        </w:tc>
        <w:tc>
          <w:tcPr>
            <w:tcW w:w="709" w:type="dxa"/>
            <w:tcBorders>
              <w:top w:val="single" w:sz="4" w:space="0" w:color="auto"/>
              <w:left w:val="nil"/>
              <w:bottom w:val="single" w:sz="8" w:space="0" w:color="auto"/>
              <w:right w:val="nil"/>
            </w:tcBorders>
          </w:tcPr>
          <w:p w14:paraId="20F79AF5"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560065FF" w14:textId="77777777" w:rsidR="00031BEA" w:rsidRPr="002B77A9" w:rsidRDefault="00031BEA" w:rsidP="00031BEA">
            <w:pPr>
              <w:pStyle w:val="MDPI42tablebody"/>
              <w:autoSpaceDE w:val="0"/>
              <w:autoSpaceDN w:val="0"/>
              <w:spacing w:line="240" w:lineRule="auto"/>
            </w:pPr>
            <w:r w:rsidRPr="00655793">
              <w:t>29143</w:t>
            </w:r>
          </w:p>
        </w:tc>
        <w:tc>
          <w:tcPr>
            <w:tcW w:w="992" w:type="dxa"/>
            <w:tcBorders>
              <w:top w:val="single" w:sz="4" w:space="0" w:color="auto"/>
              <w:left w:val="nil"/>
              <w:bottom w:val="single" w:sz="8" w:space="0" w:color="auto"/>
              <w:right w:val="nil"/>
            </w:tcBorders>
            <w:shd w:val="clear" w:color="auto" w:fill="auto"/>
            <w:noWrap/>
            <w:vAlign w:val="center"/>
            <w:hideMark/>
          </w:tcPr>
          <w:p w14:paraId="6855BBEE" w14:textId="77777777" w:rsidR="00031BEA" w:rsidRPr="002B77A9" w:rsidRDefault="00031BEA" w:rsidP="00031BEA">
            <w:pPr>
              <w:pStyle w:val="MDPI42tablebody"/>
              <w:autoSpaceDE w:val="0"/>
              <w:autoSpaceDN w:val="0"/>
              <w:spacing w:line="240" w:lineRule="auto"/>
            </w:pPr>
            <w:r>
              <w:t>8</w:t>
            </w:r>
          </w:p>
        </w:tc>
      </w:tr>
      <w:tr w:rsidR="00031BEA" w:rsidRPr="002B77A9" w14:paraId="1B36ED38" w14:textId="77777777" w:rsidTr="00031BEA">
        <w:trPr>
          <w:jc w:val="center"/>
        </w:trPr>
        <w:tc>
          <w:tcPr>
            <w:tcW w:w="1134" w:type="dxa"/>
            <w:vMerge w:val="restart"/>
            <w:vAlign w:val="center"/>
          </w:tcPr>
          <w:p w14:paraId="120C0122" w14:textId="77777777" w:rsidR="00031BEA" w:rsidRPr="002B77A9" w:rsidRDefault="00031BEA" w:rsidP="00031BEA">
            <w:pPr>
              <w:pStyle w:val="MDPI42tablebody"/>
              <w:autoSpaceDE w:val="0"/>
              <w:autoSpaceDN w:val="0"/>
              <w:spacing w:line="240" w:lineRule="auto"/>
            </w:pPr>
            <w:r w:rsidRPr="002B77A9">
              <w:t>EP</w:t>
            </w:r>
            <w:r>
              <w:t>+T23/TR</w:t>
            </w:r>
          </w:p>
          <w:p w14:paraId="71942E4B"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5CC0F53F" w14:textId="31CA0931" w:rsidR="00031BEA" w:rsidRPr="00140800" w:rsidRDefault="002A57D0" w:rsidP="00031BEA">
            <w:pPr>
              <w:pStyle w:val="MDPI42tablebody"/>
              <w:autoSpaceDE w:val="0"/>
              <w:autoSpaceDN w:val="0"/>
              <w:spacing w:line="240" w:lineRule="auto"/>
            </w:pPr>
            <m:oMath>
              <m:sSub>
                <m:sSubPr>
                  <m:ctrlPr>
                    <w:rPr>
                      <w:rFonts w:ascii="Cambria Math" w:hAnsi="Cambria Math"/>
                      <w:i/>
                    </w:rPr>
                  </m:ctrlPr>
                </m:sSubPr>
                <m:e>
                  <m:r>
                    <w:rPr>
                      <w:rFonts w:ascii="Cambria Math" w:hAnsi="Cambria Math"/>
                    </w:rPr>
                    <m:t>E</m:t>
                  </m:r>
                </m:e>
                <m:sub>
                  <m:r>
                    <w:rPr>
                      <w:rFonts w:ascii="Cambria Math" w:hAnsi="Cambria Math"/>
                    </w:rPr>
                    <m:t>t</m:t>
                  </m:r>
                </m:sub>
              </m:sSub>
            </m:oMath>
            <w:r w:rsidR="00031BEA">
              <w:t>, MPa</w:t>
            </w:r>
          </w:p>
        </w:tc>
        <w:tc>
          <w:tcPr>
            <w:tcW w:w="993" w:type="dxa"/>
            <w:tcBorders>
              <w:top w:val="single" w:sz="4" w:space="0" w:color="auto"/>
              <w:left w:val="nil"/>
              <w:bottom w:val="single" w:sz="8" w:space="0" w:color="auto"/>
              <w:right w:val="nil"/>
            </w:tcBorders>
            <w:shd w:val="clear" w:color="auto" w:fill="auto"/>
            <w:noWrap/>
            <w:hideMark/>
          </w:tcPr>
          <w:p w14:paraId="718D516B"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21500</m:t>
                </m:r>
              </m:oMath>
            </m:oMathPara>
          </w:p>
        </w:tc>
        <w:tc>
          <w:tcPr>
            <w:tcW w:w="850" w:type="dxa"/>
            <w:tcBorders>
              <w:top w:val="single" w:sz="4" w:space="0" w:color="auto"/>
              <w:left w:val="nil"/>
              <w:bottom w:val="single" w:sz="8" w:space="0" w:color="auto"/>
              <w:right w:val="nil"/>
            </w:tcBorders>
            <w:shd w:val="clear" w:color="auto" w:fill="auto"/>
            <w:noWrap/>
            <w:hideMark/>
          </w:tcPr>
          <w:p w14:paraId="5579666A"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21000</m:t>
                </m:r>
              </m:oMath>
            </m:oMathPara>
          </w:p>
        </w:tc>
        <w:tc>
          <w:tcPr>
            <w:tcW w:w="992" w:type="dxa"/>
            <w:tcBorders>
              <w:top w:val="single" w:sz="4" w:space="0" w:color="auto"/>
              <w:left w:val="nil"/>
              <w:bottom w:val="single" w:sz="8" w:space="0" w:color="auto"/>
              <w:right w:val="nil"/>
            </w:tcBorders>
            <w:shd w:val="clear" w:color="auto" w:fill="auto"/>
            <w:noWrap/>
            <w:hideMark/>
          </w:tcPr>
          <w:p w14:paraId="2D5AC3C1"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20000</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0E149563"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15800</m:t>
                </m:r>
              </m:oMath>
            </m:oMathPara>
          </w:p>
        </w:tc>
        <w:tc>
          <w:tcPr>
            <w:tcW w:w="850" w:type="dxa"/>
            <w:gridSpan w:val="2"/>
            <w:tcBorders>
              <w:top w:val="single" w:sz="4" w:space="0" w:color="auto"/>
              <w:left w:val="nil"/>
              <w:bottom w:val="single" w:sz="8" w:space="0" w:color="auto"/>
              <w:right w:val="nil"/>
            </w:tcBorders>
            <w:shd w:val="clear" w:color="auto" w:fill="auto"/>
            <w:noWrap/>
            <w:hideMark/>
          </w:tcPr>
          <w:p w14:paraId="46B3BB60" w14:textId="77777777" w:rsidR="00031BEA" w:rsidRPr="002B77A9" w:rsidRDefault="00031BEA" w:rsidP="00031BEA">
            <w:pPr>
              <w:pStyle w:val="MDPI42tablebody"/>
              <w:autoSpaceDE w:val="0"/>
              <w:autoSpaceDN w:val="0"/>
              <w:spacing w:line="240" w:lineRule="auto"/>
            </w:pPr>
            <w:r w:rsidRPr="00F46000">
              <w:t>11700</w:t>
            </w:r>
          </w:p>
        </w:tc>
        <w:tc>
          <w:tcPr>
            <w:tcW w:w="709" w:type="dxa"/>
            <w:tcBorders>
              <w:top w:val="single" w:sz="4" w:space="0" w:color="auto"/>
              <w:left w:val="nil"/>
              <w:bottom w:val="single" w:sz="8" w:space="0" w:color="auto"/>
              <w:right w:val="nil"/>
            </w:tcBorders>
          </w:tcPr>
          <w:p w14:paraId="7828257E"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373347E3"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vAlign w:val="center"/>
            <w:hideMark/>
          </w:tcPr>
          <w:p w14:paraId="4559A5B5" w14:textId="77777777" w:rsidR="00031BEA" w:rsidRPr="002B77A9" w:rsidRDefault="00031BEA" w:rsidP="00031BEA">
            <w:pPr>
              <w:pStyle w:val="MDPI42tablebody"/>
              <w:autoSpaceDE w:val="0"/>
              <w:autoSpaceDN w:val="0"/>
              <w:spacing w:line="240" w:lineRule="auto"/>
            </w:pPr>
            <w:r>
              <w:t>-</w:t>
            </w:r>
          </w:p>
        </w:tc>
      </w:tr>
      <w:tr w:rsidR="00031BEA" w:rsidRPr="002B77A9" w14:paraId="4FB23534" w14:textId="77777777" w:rsidTr="00031BEA">
        <w:trPr>
          <w:jc w:val="center"/>
        </w:trPr>
        <w:tc>
          <w:tcPr>
            <w:tcW w:w="1134" w:type="dxa"/>
            <w:vMerge/>
            <w:vAlign w:val="center"/>
          </w:tcPr>
          <w:p w14:paraId="2537365E"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522D7064" w14:textId="66DC50B3" w:rsidR="00031BEA" w:rsidRPr="00DC44C3" w:rsidRDefault="002A57D0" w:rsidP="00031BEA">
            <w:pPr>
              <w:pStyle w:val="MDPI42tablebody"/>
              <w:autoSpaceDE w:val="0"/>
              <w:autoSpaceDN w:val="0"/>
              <w:spacing w:line="240" w:lineRule="auto"/>
            </w:pP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00031BEA">
              <w:t>, K</w:t>
            </w:r>
            <w:r w:rsidR="00031BEA">
              <w:rPr>
                <w:vertAlign w:val="superscript"/>
              </w:rPr>
              <w:t>-1</w:t>
            </w:r>
            <w:r w:rsidR="00031BEA">
              <w:t>, 10</w:t>
            </w:r>
            <w:r w:rsidR="00031BEA">
              <w:rPr>
                <w:vertAlign w:val="superscript"/>
              </w:rPr>
              <w:t>6</w:t>
            </w:r>
          </w:p>
        </w:tc>
        <w:tc>
          <w:tcPr>
            <w:tcW w:w="993" w:type="dxa"/>
            <w:tcBorders>
              <w:top w:val="single" w:sz="4" w:space="0" w:color="auto"/>
              <w:left w:val="nil"/>
              <w:bottom w:val="single" w:sz="8" w:space="0" w:color="auto"/>
              <w:right w:val="nil"/>
            </w:tcBorders>
            <w:shd w:val="clear" w:color="auto" w:fill="auto"/>
            <w:noWrap/>
            <w:hideMark/>
          </w:tcPr>
          <w:p w14:paraId="343D87AB"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9,5</m:t>
                </m:r>
              </m:oMath>
            </m:oMathPara>
          </w:p>
        </w:tc>
        <w:tc>
          <w:tcPr>
            <w:tcW w:w="850" w:type="dxa"/>
            <w:tcBorders>
              <w:top w:val="single" w:sz="4" w:space="0" w:color="auto"/>
              <w:left w:val="nil"/>
              <w:bottom w:val="single" w:sz="8" w:space="0" w:color="auto"/>
              <w:right w:val="nil"/>
            </w:tcBorders>
            <w:shd w:val="clear" w:color="auto" w:fill="auto"/>
            <w:noWrap/>
            <w:hideMark/>
          </w:tcPr>
          <w:p w14:paraId="378A6EB5"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10,0</m:t>
                </m:r>
              </m:oMath>
            </m:oMathPara>
          </w:p>
        </w:tc>
        <w:tc>
          <w:tcPr>
            <w:tcW w:w="992" w:type="dxa"/>
            <w:tcBorders>
              <w:top w:val="single" w:sz="4" w:space="0" w:color="auto"/>
              <w:left w:val="nil"/>
              <w:bottom w:val="single" w:sz="8" w:space="0" w:color="auto"/>
              <w:right w:val="nil"/>
            </w:tcBorders>
            <w:shd w:val="clear" w:color="auto" w:fill="auto"/>
            <w:noWrap/>
            <w:hideMark/>
          </w:tcPr>
          <w:p w14:paraId="54C5E973"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12,0</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4799B67F"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13,8</m:t>
                </m:r>
              </m:oMath>
            </m:oMathPara>
          </w:p>
        </w:tc>
        <w:tc>
          <w:tcPr>
            <w:tcW w:w="850" w:type="dxa"/>
            <w:gridSpan w:val="2"/>
            <w:tcBorders>
              <w:top w:val="single" w:sz="4" w:space="0" w:color="auto"/>
              <w:left w:val="nil"/>
              <w:bottom w:val="single" w:sz="8" w:space="0" w:color="auto"/>
              <w:right w:val="nil"/>
            </w:tcBorders>
            <w:shd w:val="clear" w:color="auto" w:fill="auto"/>
            <w:noWrap/>
            <w:hideMark/>
          </w:tcPr>
          <w:p w14:paraId="6EFAF82E" w14:textId="77777777" w:rsidR="00031BEA" w:rsidRPr="002B77A9" w:rsidRDefault="00031BEA" w:rsidP="00031BEA">
            <w:pPr>
              <w:pStyle w:val="MDPI42tablebody"/>
              <w:autoSpaceDE w:val="0"/>
              <w:autoSpaceDN w:val="0"/>
              <w:spacing w:line="240" w:lineRule="auto"/>
            </w:pPr>
            <w:r w:rsidRPr="00E928B7">
              <w:t>13,3</w:t>
            </w:r>
          </w:p>
        </w:tc>
        <w:tc>
          <w:tcPr>
            <w:tcW w:w="709" w:type="dxa"/>
            <w:tcBorders>
              <w:top w:val="single" w:sz="4" w:space="0" w:color="auto"/>
              <w:left w:val="nil"/>
              <w:bottom w:val="single" w:sz="8" w:space="0" w:color="auto"/>
              <w:right w:val="nil"/>
            </w:tcBorders>
          </w:tcPr>
          <w:p w14:paraId="2D0FF8F2" w14:textId="77777777" w:rsidR="00031BEA" w:rsidRPr="002B77A9" w:rsidRDefault="00031BEA" w:rsidP="00031BEA">
            <w:pPr>
              <w:pStyle w:val="MDPI42tablebody"/>
              <w:autoSpaceDE w:val="0"/>
              <w:autoSpaceDN w:val="0"/>
              <w:spacing w:line="240" w:lineRule="auto"/>
            </w:pPr>
            <w:r w:rsidRPr="00E928B7">
              <w:t>19,4</w:t>
            </w:r>
          </w:p>
        </w:tc>
        <w:tc>
          <w:tcPr>
            <w:tcW w:w="992" w:type="dxa"/>
            <w:tcBorders>
              <w:top w:val="single" w:sz="4" w:space="0" w:color="auto"/>
              <w:left w:val="nil"/>
              <w:bottom w:val="single" w:sz="8" w:space="0" w:color="auto"/>
              <w:right w:val="nil"/>
            </w:tcBorders>
            <w:shd w:val="clear" w:color="auto" w:fill="auto"/>
            <w:noWrap/>
            <w:hideMark/>
          </w:tcPr>
          <w:p w14:paraId="58CE15AF"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vAlign w:val="center"/>
            <w:hideMark/>
          </w:tcPr>
          <w:p w14:paraId="7522B622" w14:textId="77777777" w:rsidR="00031BEA" w:rsidRPr="002B77A9" w:rsidRDefault="00031BEA" w:rsidP="00031BEA">
            <w:pPr>
              <w:pStyle w:val="MDPI42tablebody"/>
              <w:autoSpaceDE w:val="0"/>
              <w:autoSpaceDN w:val="0"/>
              <w:spacing w:line="240" w:lineRule="auto"/>
            </w:pPr>
            <w:r>
              <w:t>-</w:t>
            </w:r>
          </w:p>
        </w:tc>
      </w:tr>
      <w:tr w:rsidR="00031BEA" w:rsidRPr="002B77A9" w14:paraId="18A97480" w14:textId="77777777" w:rsidTr="00031BEA">
        <w:trPr>
          <w:jc w:val="center"/>
        </w:trPr>
        <w:tc>
          <w:tcPr>
            <w:tcW w:w="1134" w:type="dxa"/>
            <w:vMerge/>
            <w:vAlign w:val="center"/>
          </w:tcPr>
          <w:p w14:paraId="02AFF9AA"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3409A635" w14:textId="771617B6" w:rsidR="00031BEA" w:rsidRPr="00DC44C3" w:rsidRDefault="00031BEA" w:rsidP="00031BEA">
            <w:pPr>
              <w:pStyle w:val="MDPI42tablebody"/>
              <w:autoSpaceDE w:val="0"/>
              <w:autoSpaceDN w:val="0"/>
              <w:spacing w:line="240" w:lineRule="auto"/>
            </w:pPr>
            <m:oMath>
              <m:r>
                <w:rPr>
                  <w:rFonts w:ascii="Cambria Math" w:hAnsi="Cambria Math"/>
                </w:rPr>
                <m:t>E</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oMath>
            <w:r>
              <w:t>, MPa</w:t>
            </w:r>
            <w:r>
              <w:rPr>
                <w:vertAlign w:val="superscript"/>
              </w:rPr>
              <w:t>.</w:t>
            </w:r>
            <w:r>
              <w:t>K</w:t>
            </w:r>
            <w:r>
              <w:rPr>
                <w:vertAlign w:val="superscript"/>
              </w:rPr>
              <w:t>2</w:t>
            </w:r>
          </w:p>
        </w:tc>
        <w:tc>
          <w:tcPr>
            <w:tcW w:w="993" w:type="dxa"/>
            <w:tcBorders>
              <w:top w:val="single" w:sz="4" w:space="0" w:color="auto"/>
              <w:left w:val="nil"/>
              <w:bottom w:val="single" w:sz="8" w:space="0" w:color="auto"/>
              <w:right w:val="nil"/>
            </w:tcBorders>
            <w:shd w:val="clear" w:color="auto" w:fill="auto"/>
            <w:noWrap/>
            <w:hideMark/>
          </w:tcPr>
          <w:p w14:paraId="713A029D"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1940375</m:t>
                </m:r>
              </m:oMath>
            </m:oMathPara>
          </w:p>
        </w:tc>
        <w:tc>
          <w:tcPr>
            <w:tcW w:w="850" w:type="dxa"/>
            <w:tcBorders>
              <w:top w:val="single" w:sz="4" w:space="0" w:color="auto"/>
              <w:left w:val="nil"/>
              <w:bottom w:val="single" w:sz="8" w:space="0" w:color="auto"/>
              <w:right w:val="nil"/>
            </w:tcBorders>
            <w:shd w:val="clear" w:color="auto" w:fill="auto"/>
            <w:noWrap/>
            <w:hideMark/>
          </w:tcPr>
          <w:p w14:paraId="59833D31"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2100000</m:t>
                </m:r>
              </m:oMath>
            </m:oMathPara>
          </w:p>
        </w:tc>
        <w:tc>
          <w:tcPr>
            <w:tcW w:w="992" w:type="dxa"/>
            <w:tcBorders>
              <w:top w:val="single" w:sz="4" w:space="0" w:color="auto"/>
              <w:left w:val="nil"/>
              <w:bottom w:val="single" w:sz="8" w:space="0" w:color="auto"/>
              <w:right w:val="nil"/>
            </w:tcBorders>
            <w:shd w:val="clear" w:color="auto" w:fill="auto"/>
            <w:noWrap/>
            <w:hideMark/>
          </w:tcPr>
          <w:p w14:paraId="1ACF59E5"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2880000</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1FB8588C"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3008952</m:t>
                </m:r>
              </m:oMath>
            </m:oMathPara>
          </w:p>
        </w:tc>
        <w:tc>
          <w:tcPr>
            <w:tcW w:w="850" w:type="dxa"/>
            <w:gridSpan w:val="2"/>
            <w:tcBorders>
              <w:top w:val="single" w:sz="4" w:space="0" w:color="auto"/>
              <w:left w:val="nil"/>
              <w:bottom w:val="single" w:sz="8" w:space="0" w:color="auto"/>
              <w:right w:val="nil"/>
            </w:tcBorders>
            <w:shd w:val="clear" w:color="auto" w:fill="auto"/>
            <w:noWrap/>
            <w:hideMark/>
          </w:tcPr>
          <w:p w14:paraId="7E29A8BB" w14:textId="77777777" w:rsidR="00031BEA" w:rsidRPr="002B77A9" w:rsidRDefault="00031BEA" w:rsidP="00031BEA">
            <w:pPr>
              <w:pStyle w:val="MDPI42tablebody"/>
              <w:autoSpaceDE w:val="0"/>
              <w:autoSpaceDN w:val="0"/>
              <w:spacing w:line="240" w:lineRule="auto"/>
            </w:pPr>
            <w:r w:rsidRPr="00326191">
              <w:t>2069613</w:t>
            </w:r>
          </w:p>
        </w:tc>
        <w:tc>
          <w:tcPr>
            <w:tcW w:w="709" w:type="dxa"/>
            <w:tcBorders>
              <w:top w:val="single" w:sz="4" w:space="0" w:color="auto"/>
              <w:left w:val="nil"/>
              <w:bottom w:val="single" w:sz="8" w:space="0" w:color="auto"/>
              <w:right w:val="nil"/>
            </w:tcBorders>
          </w:tcPr>
          <w:p w14:paraId="1F3AFEC7"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354CE10D" w14:textId="77777777" w:rsidR="00031BEA" w:rsidRPr="002B77A9" w:rsidRDefault="00031BEA" w:rsidP="00031BEA">
            <w:pPr>
              <w:pStyle w:val="MDPI42tablebody"/>
              <w:autoSpaceDE w:val="0"/>
              <w:autoSpaceDN w:val="0"/>
              <w:spacing w:line="240" w:lineRule="auto"/>
            </w:pPr>
            <w:r w:rsidRPr="00326191">
              <w:t>2482331</w:t>
            </w:r>
          </w:p>
        </w:tc>
        <w:tc>
          <w:tcPr>
            <w:tcW w:w="992" w:type="dxa"/>
            <w:tcBorders>
              <w:top w:val="single" w:sz="4" w:space="0" w:color="auto"/>
              <w:left w:val="nil"/>
              <w:bottom w:val="single" w:sz="8" w:space="0" w:color="auto"/>
              <w:right w:val="nil"/>
            </w:tcBorders>
            <w:shd w:val="clear" w:color="auto" w:fill="auto"/>
            <w:noWrap/>
            <w:vAlign w:val="center"/>
            <w:hideMark/>
          </w:tcPr>
          <w:p w14:paraId="61627182" w14:textId="77777777" w:rsidR="00031BEA" w:rsidRPr="002B77A9" w:rsidRDefault="00031BEA" w:rsidP="00031BEA">
            <w:pPr>
              <w:pStyle w:val="MDPI42tablebody"/>
              <w:autoSpaceDE w:val="0"/>
              <w:autoSpaceDN w:val="0"/>
              <w:spacing w:line="240" w:lineRule="auto"/>
            </w:pPr>
            <w:r>
              <w:t>38</w:t>
            </w:r>
          </w:p>
        </w:tc>
      </w:tr>
      <w:tr w:rsidR="00031BEA" w:rsidRPr="002B77A9" w14:paraId="2B8230FA" w14:textId="77777777" w:rsidTr="00031BEA">
        <w:trPr>
          <w:jc w:val="center"/>
        </w:trPr>
        <w:tc>
          <w:tcPr>
            <w:tcW w:w="1134" w:type="dxa"/>
            <w:vMerge/>
            <w:vAlign w:val="center"/>
          </w:tcPr>
          <w:p w14:paraId="37E71809"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3791DA53" w14:textId="6C7A0CA3" w:rsidR="00031BEA" w:rsidRPr="002B77A9" w:rsidRDefault="002A57D0" w:rsidP="00031BEA">
            <w:pPr>
              <w:pStyle w:val="MDPI42tablebody"/>
              <w:autoSpaceDE w:val="0"/>
              <w:autoSpaceDN w:val="0"/>
              <w:spacing w:line="240" w:lineRule="auto"/>
            </w:pPr>
            <m:oMath>
              <m:sSub>
                <m:sSubPr>
                  <m:ctrlPr>
                    <w:rPr>
                      <w:rFonts w:ascii="Cambria Math" w:hAnsi="Cambria Math"/>
                      <w:i/>
                      <w:szCs w:val="22"/>
                    </w:rPr>
                  </m:ctrlPr>
                </m:sSubPr>
                <m:e>
                  <m:r>
                    <w:rPr>
                      <w:rFonts w:ascii="Cambria Math" w:hAnsi="Cambria Math"/>
                    </w:rPr>
                    <m:t>E</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t</m:t>
                  </m:r>
                </m:sub>
              </m:sSub>
              <m:f>
                <m:fPr>
                  <m:ctrlPr>
                    <w:rPr>
                      <w:rFonts w:ascii="Cambria Math" w:hAnsi="Cambria Math"/>
                      <w:i/>
                      <w:szCs w:val="22"/>
                    </w:rPr>
                  </m:ctrlPr>
                </m:fPr>
                <m:num>
                  <m:sSub>
                    <m:sSubPr>
                      <m:ctrlPr>
                        <w:rPr>
                          <w:rFonts w:ascii="Cambria Math" w:hAnsi="Cambria Math"/>
                          <w:i/>
                        </w:rPr>
                      </m:ctrlPr>
                    </m:sSubPr>
                    <m:e>
                      <m:r>
                        <w:rPr>
                          <w:rFonts w:ascii="Cambria Math" w:hAnsi="Cambria Math"/>
                        </w:rPr>
                        <m:t>α</m:t>
                      </m:r>
                    </m:e>
                    <m:sub>
                      <m:r>
                        <w:rPr>
                          <w:rFonts w:ascii="Cambria Math" w:hAnsi="Cambria Math"/>
                        </w:rPr>
                        <m:t>tg</m:t>
                      </m:r>
                    </m:sub>
                  </m:sSub>
                </m:num>
                <m:den>
                  <m:sSub>
                    <m:sSubPr>
                      <m:ctrlPr>
                        <w:rPr>
                          <w:rFonts w:ascii="Cambria Math" w:hAnsi="Cambria Math"/>
                          <w:i/>
                        </w:rPr>
                      </m:ctrlPr>
                    </m:sSubPr>
                    <m:e>
                      <m:r>
                        <w:rPr>
                          <w:rFonts w:ascii="Cambria Math" w:hAnsi="Cambria Math"/>
                        </w:rPr>
                        <m:t>α</m:t>
                      </m:r>
                    </m:e>
                    <m:sub>
                      <m:r>
                        <w:rPr>
                          <w:rFonts w:ascii="Cambria Math" w:hAnsi="Cambria Math"/>
                        </w:rPr>
                        <m:t>tg</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t</m:t>
                      </m:r>
                    </m:sub>
                  </m:sSub>
                </m:den>
              </m:f>
            </m:oMath>
            <w:r w:rsidR="00031BEA">
              <w:rPr>
                <w:szCs w:val="22"/>
              </w:rPr>
              <w:t>, MPa</w:t>
            </w:r>
          </w:p>
        </w:tc>
        <w:tc>
          <w:tcPr>
            <w:tcW w:w="993" w:type="dxa"/>
            <w:tcBorders>
              <w:top w:val="single" w:sz="4" w:space="0" w:color="auto"/>
              <w:left w:val="nil"/>
              <w:bottom w:val="single" w:sz="8" w:space="0" w:color="auto"/>
              <w:right w:val="nil"/>
            </w:tcBorders>
            <w:shd w:val="clear" w:color="auto" w:fill="auto"/>
            <w:noWrap/>
            <w:hideMark/>
          </w:tcPr>
          <w:p w14:paraId="71717FCF"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42131</m:t>
                </m:r>
              </m:oMath>
            </m:oMathPara>
          </w:p>
        </w:tc>
        <w:tc>
          <w:tcPr>
            <w:tcW w:w="850" w:type="dxa"/>
            <w:tcBorders>
              <w:top w:val="single" w:sz="4" w:space="0" w:color="auto"/>
              <w:left w:val="nil"/>
              <w:bottom w:val="single" w:sz="8" w:space="0" w:color="auto"/>
              <w:right w:val="nil"/>
            </w:tcBorders>
            <w:shd w:val="clear" w:color="auto" w:fill="auto"/>
            <w:noWrap/>
            <w:hideMark/>
          </w:tcPr>
          <w:p w14:paraId="2A412A5A"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43340</m:t>
                </m:r>
              </m:oMath>
            </m:oMathPara>
          </w:p>
        </w:tc>
        <w:tc>
          <w:tcPr>
            <w:tcW w:w="992" w:type="dxa"/>
            <w:tcBorders>
              <w:top w:val="single" w:sz="4" w:space="0" w:color="auto"/>
              <w:left w:val="nil"/>
              <w:bottom w:val="single" w:sz="8" w:space="0" w:color="auto"/>
              <w:right w:val="nil"/>
            </w:tcBorders>
            <w:shd w:val="clear" w:color="auto" w:fill="auto"/>
            <w:noWrap/>
            <w:hideMark/>
          </w:tcPr>
          <w:p w14:paraId="210285CE"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52432</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78D3F1C5"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54736</m:t>
                </m:r>
              </m:oMath>
            </m:oMathPara>
          </w:p>
        </w:tc>
        <w:tc>
          <w:tcPr>
            <w:tcW w:w="850" w:type="dxa"/>
            <w:gridSpan w:val="2"/>
            <w:tcBorders>
              <w:top w:val="single" w:sz="4" w:space="0" w:color="auto"/>
              <w:left w:val="nil"/>
              <w:bottom w:val="single" w:sz="8" w:space="0" w:color="auto"/>
              <w:right w:val="nil"/>
            </w:tcBorders>
            <w:shd w:val="clear" w:color="auto" w:fill="auto"/>
            <w:noWrap/>
            <w:hideMark/>
          </w:tcPr>
          <w:p w14:paraId="75EF0CC6" w14:textId="77777777" w:rsidR="00031BEA" w:rsidRPr="002B77A9" w:rsidRDefault="00031BEA" w:rsidP="00031BEA">
            <w:pPr>
              <w:pStyle w:val="MDPI42tablebody"/>
              <w:autoSpaceDE w:val="0"/>
              <w:autoSpaceDN w:val="0"/>
              <w:spacing w:line="240" w:lineRule="auto"/>
            </w:pPr>
            <w:r w:rsidRPr="00783521">
              <w:t>11707</w:t>
            </w:r>
          </w:p>
        </w:tc>
        <w:tc>
          <w:tcPr>
            <w:tcW w:w="709" w:type="dxa"/>
            <w:tcBorders>
              <w:top w:val="single" w:sz="4" w:space="0" w:color="auto"/>
              <w:left w:val="nil"/>
              <w:bottom w:val="single" w:sz="8" w:space="0" w:color="auto"/>
              <w:right w:val="nil"/>
            </w:tcBorders>
          </w:tcPr>
          <w:p w14:paraId="6EC9EBA8"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5362833E" w14:textId="77777777" w:rsidR="00031BEA" w:rsidRPr="002B77A9" w:rsidRDefault="00031BEA" w:rsidP="00031BEA">
            <w:pPr>
              <w:pStyle w:val="MDPI42tablebody"/>
              <w:autoSpaceDE w:val="0"/>
              <w:autoSpaceDN w:val="0"/>
              <w:spacing w:line="240" w:lineRule="auto"/>
            </w:pPr>
            <w:r w:rsidRPr="00783521">
              <w:t>48160</w:t>
            </w:r>
          </w:p>
        </w:tc>
        <w:tc>
          <w:tcPr>
            <w:tcW w:w="992" w:type="dxa"/>
            <w:tcBorders>
              <w:top w:val="single" w:sz="4" w:space="0" w:color="auto"/>
              <w:left w:val="nil"/>
              <w:bottom w:val="single" w:sz="8" w:space="0" w:color="auto"/>
              <w:right w:val="nil"/>
            </w:tcBorders>
            <w:shd w:val="clear" w:color="auto" w:fill="auto"/>
            <w:noWrap/>
            <w:vAlign w:val="center"/>
            <w:hideMark/>
          </w:tcPr>
          <w:p w14:paraId="0551BB11" w14:textId="77777777" w:rsidR="00031BEA" w:rsidRPr="002B77A9" w:rsidRDefault="00031BEA" w:rsidP="00031BEA">
            <w:pPr>
              <w:pStyle w:val="MDPI42tablebody"/>
              <w:autoSpaceDE w:val="0"/>
              <w:autoSpaceDN w:val="0"/>
              <w:spacing w:line="240" w:lineRule="auto"/>
            </w:pPr>
            <w:r>
              <w:t>23</w:t>
            </w:r>
          </w:p>
        </w:tc>
      </w:tr>
      <w:tr w:rsidR="00031BEA" w:rsidRPr="002B77A9" w14:paraId="198D9633" w14:textId="77777777" w:rsidTr="00031BEA">
        <w:trPr>
          <w:jc w:val="center"/>
        </w:trPr>
        <w:tc>
          <w:tcPr>
            <w:tcW w:w="1134" w:type="dxa"/>
            <w:vMerge w:val="restart"/>
            <w:vAlign w:val="center"/>
          </w:tcPr>
          <w:p w14:paraId="75A458CC" w14:textId="77777777" w:rsidR="00031BEA" w:rsidRPr="002B77A9" w:rsidRDefault="00031BEA" w:rsidP="00031BEA">
            <w:pPr>
              <w:pStyle w:val="MDPI42tablebody"/>
              <w:autoSpaceDE w:val="0"/>
              <w:autoSpaceDN w:val="0"/>
              <w:spacing w:line="240" w:lineRule="auto"/>
            </w:pPr>
            <w:r w:rsidRPr="002B77A9">
              <w:t>EP</w:t>
            </w:r>
            <w:r>
              <w:t>+T23+FA</w:t>
            </w:r>
          </w:p>
          <w:p w14:paraId="3CEF72C9"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4913596B" w14:textId="6471BF67" w:rsidR="00031BEA" w:rsidRPr="00140800" w:rsidRDefault="002A57D0" w:rsidP="00031BEA">
            <w:pPr>
              <w:pStyle w:val="MDPI42tablebody"/>
              <w:autoSpaceDE w:val="0"/>
              <w:autoSpaceDN w:val="0"/>
              <w:spacing w:line="240" w:lineRule="auto"/>
            </w:pPr>
            <m:oMath>
              <m:sSub>
                <m:sSubPr>
                  <m:ctrlPr>
                    <w:rPr>
                      <w:rFonts w:ascii="Cambria Math" w:hAnsi="Cambria Math"/>
                      <w:i/>
                    </w:rPr>
                  </m:ctrlPr>
                </m:sSubPr>
                <m:e>
                  <m:r>
                    <w:rPr>
                      <w:rFonts w:ascii="Cambria Math" w:hAnsi="Cambria Math"/>
                    </w:rPr>
                    <m:t>E</m:t>
                  </m:r>
                </m:e>
                <m:sub>
                  <m:r>
                    <w:rPr>
                      <w:rFonts w:ascii="Cambria Math" w:hAnsi="Cambria Math"/>
                    </w:rPr>
                    <m:t>t</m:t>
                  </m:r>
                </m:sub>
              </m:sSub>
            </m:oMath>
            <w:r w:rsidR="00031BEA">
              <w:t>, MPa</w:t>
            </w:r>
          </w:p>
        </w:tc>
        <w:tc>
          <w:tcPr>
            <w:tcW w:w="993" w:type="dxa"/>
            <w:tcBorders>
              <w:top w:val="single" w:sz="4" w:space="0" w:color="auto"/>
              <w:left w:val="nil"/>
              <w:bottom w:val="single" w:sz="8" w:space="0" w:color="auto"/>
              <w:right w:val="nil"/>
            </w:tcBorders>
            <w:shd w:val="clear" w:color="auto" w:fill="auto"/>
            <w:noWrap/>
            <w:hideMark/>
          </w:tcPr>
          <w:p w14:paraId="065A33E5"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23330</m:t>
                </m:r>
              </m:oMath>
            </m:oMathPara>
          </w:p>
        </w:tc>
        <w:tc>
          <w:tcPr>
            <w:tcW w:w="850" w:type="dxa"/>
            <w:tcBorders>
              <w:top w:val="single" w:sz="4" w:space="0" w:color="auto"/>
              <w:left w:val="nil"/>
              <w:bottom w:val="single" w:sz="8" w:space="0" w:color="auto"/>
              <w:right w:val="nil"/>
            </w:tcBorders>
            <w:shd w:val="clear" w:color="auto" w:fill="auto"/>
            <w:noWrap/>
            <w:hideMark/>
          </w:tcPr>
          <w:p w14:paraId="4D857962"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23330</m:t>
                </m:r>
              </m:oMath>
            </m:oMathPara>
          </w:p>
        </w:tc>
        <w:tc>
          <w:tcPr>
            <w:tcW w:w="992" w:type="dxa"/>
            <w:tcBorders>
              <w:top w:val="single" w:sz="4" w:space="0" w:color="auto"/>
              <w:left w:val="nil"/>
              <w:bottom w:val="single" w:sz="8" w:space="0" w:color="auto"/>
              <w:right w:val="nil"/>
            </w:tcBorders>
            <w:shd w:val="clear" w:color="auto" w:fill="auto"/>
            <w:noWrap/>
            <w:hideMark/>
          </w:tcPr>
          <w:p w14:paraId="148E905A"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21250</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3C4487D0"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10330</m:t>
                </m:r>
              </m:oMath>
            </m:oMathPara>
          </w:p>
        </w:tc>
        <w:tc>
          <w:tcPr>
            <w:tcW w:w="850" w:type="dxa"/>
            <w:gridSpan w:val="2"/>
            <w:tcBorders>
              <w:top w:val="single" w:sz="4" w:space="0" w:color="auto"/>
              <w:left w:val="nil"/>
              <w:bottom w:val="single" w:sz="8" w:space="0" w:color="auto"/>
              <w:right w:val="nil"/>
            </w:tcBorders>
            <w:shd w:val="clear" w:color="auto" w:fill="auto"/>
            <w:noWrap/>
            <w:hideMark/>
          </w:tcPr>
          <w:p w14:paraId="2C1B1C77"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6500</m:t>
                </m:r>
              </m:oMath>
            </m:oMathPara>
          </w:p>
        </w:tc>
        <w:tc>
          <w:tcPr>
            <w:tcW w:w="709" w:type="dxa"/>
            <w:tcBorders>
              <w:top w:val="single" w:sz="4" w:space="0" w:color="auto"/>
              <w:left w:val="nil"/>
              <w:bottom w:val="single" w:sz="8" w:space="0" w:color="auto"/>
              <w:right w:val="nil"/>
            </w:tcBorders>
          </w:tcPr>
          <w:p w14:paraId="271FDC45"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0C521125"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vAlign w:val="center"/>
            <w:hideMark/>
          </w:tcPr>
          <w:p w14:paraId="43687642" w14:textId="77777777" w:rsidR="00031BEA" w:rsidRPr="002B77A9" w:rsidRDefault="00031BEA" w:rsidP="00031BEA">
            <w:pPr>
              <w:pStyle w:val="MDPI42tablebody"/>
              <w:autoSpaceDE w:val="0"/>
              <w:autoSpaceDN w:val="0"/>
              <w:spacing w:line="240" w:lineRule="auto"/>
            </w:pPr>
            <w:r>
              <w:t>-</w:t>
            </w:r>
          </w:p>
        </w:tc>
      </w:tr>
      <w:tr w:rsidR="00031BEA" w:rsidRPr="002B77A9" w14:paraId="05DF6C89" w14:textId="77777777" w:rsidTr="00031BEA">
        <w:trPr>
          <w:jc w:val="center"/>
        </w:trPr>
        <w:tc>
          <w:tcPr>
            <w:tcW w:w="1134" w:type="dxa"/>
            <w:vMerge/>
            <w:vAlign w:val="center"/>
          </w:tcPr>
          <w:p w14:paraId="67C7DC4C"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795B2B2B" w14:textId="018A9A60" w:rsidR="00031BEA" w:rsidRPr="00DC44C3" w:rsidRDefault="002A57D0" w:rsidP="00031BEA">
            <w:pPr>
              <w:pStyle w:val="MDPI42tablebody"/>
              <w:autoSpaceDE w:val="0"/>
              <w:autoSpaceDN w:val="0"/>
              <w:spacing w:line="240" w:lineRule="auto"/>
            </w:pP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00031BEA">
              <w:t>, K</w:t>
            </w:r>
            <w:r w:rsidR="00031BEA">
              <w:rPr>
                <w:vertAlign w:val="superscript"/>
              </w:rPr>
              <w:t>-1</w:t>
            </w:r>
            <w:r w:rsidR="00031BEA">
              <w:t>, 10</w:t>
            </w:r>
            <w:r w:rsidR="00031BEA">
              <w:rPr>
                <w:vertAlign w:val="superscript"/>
              </w:rPr>
              <w:t>6</w:t>
            </w:r>
          </w:p>
        </w:tc>
        <w:tc>
          <w:tcPr>
            <w:tcW w:w="993" w:type="dxa"/>
            <w:tcBorders>
              <w:top w:val="single" w:sz="4" w:space="0" w:color="auto"/>
              <w:left w:val="nil"/>
              <w:bottom w:val="single" w:sz="8" w:space="0" w:color="auto"/>
              <w:right w:val="nil"/>
            </w:tcBorders>
            <w:shd w:val="clear" w:color="auto" w:fill="auto"/>
            <w:noWrap/>
            <w:hideMark/>
          </w:tcPr>
          <w:p w14:paraId="39940F7A"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16,0</m:t>
                </m:r>
              </m:oMath>
            </m:oMathPara>
          </w:p>
        </w:tc>
        <w:tc>
          <w:tcPr>
            <w:tcW w:w="850" w:type="dxa"/>
            <w:tcBorders>
              <w:top w:val="single" w:sz="4" w:space="0" w:color="auto"/>
              <w:left w:val="nil"/>
              <w:bottom w:val="single" w:sz="8" w:space="0" w:color="auto"/>
              <w:right w:val="nil"/>
            </w:tcBorders>
            <w:shd w:val="clear" w:color="auto" w:fill="auto"/>
            <w:noWrap/>
            <w:hideMark/>
          </w:tcPr>
          <w:p w14:paraId="002282BB"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17,0</m:t>
                </m:r>
              </m:oMath>
            </m:oMathPara>
          </w:p>
        </w:tc>
        <w:tc>
          <w:tcPr>
            <w:tcW w:w="992" w:type="dxa"/>
            <w:tcBorders>
              <w:top w:val="single" w:sz="4" w:space="0" w:color="auto"/>
              <w:left w:val="nil"/>
              <w:bottom w:val="single" w:sz="8" w:space="0" w:color="auto"/>
              <w:right w:val="nil"/>
            </w:tcBorders>
            <w:shd w:val="clear" w:color="auto" w:fill="auto"/>
            <w:noWrap/>
            <w:hideMark/>
          </w:tcPr>
          <w:p w14:paraId="46FDF761"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18,0</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18082DF7"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14,0</m:t>
                </m:r>
              </m:oMath>
            </m:oMathPara>
          </w:p>
        </w:tc>
        <w:tc>
          <w:tcPr>
            <w:tcW w:w="850" w:type="dxa"/>
            <w:gridSpan w:val="2"/>
            <w:tcBorders>
              <w:top w:val="single" w:sz="4" w:space="0" w:color="auto"/>
              <w:left w:val="nil"/>
              <w:bottom w:val="single" w:sz="8" w:space="0" w:color="auto"/>
              <w:right w:val="nil"/>
            </w:tcBorders>
            <w:shd w:val="clear" w:color="auto" w:fill="auto"/>
            <w:noWrap/>
            <w:hideMark/>
          </w:tcPr>
          <w:p w14:paraId="0CD829E9"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11,7</m:t>
                </m:r>
              </m:oMath>
            </m:oMathPara>
          </w:p>
        </w:tc>
        <w:tc>
          <w:tcPr>
            <w:tcW w:w="709" w:type="dxa"/>
            <w:tcBorders>
              <w:top w:val="single" w:sz="4" w:space="0" w:color="auto"/>
              <w:left w:val="nil"/>
              <w:bottom w:val="single" w:sz="8" w:space="0" w:color="auto"/>
              <w:right w:val="nil"/>
            </w:tcBorders>
          </w:tcPr>
          <w:p w14:paraId="5BCC8691" w14:textId="77777777" w:rsidR="00031BEA" w:rsidRPr="002B77A9" w:rsidRDefault="00031BEA" w:rsidP="00031BEA">
            <w:pPr>
              <w:pStyle w:val="MDPI42tablebody"/>
              <w:autoSpaceDE w:val="0"/>
              <w:autoSpaceDN w:val="0"/>
              <w:spacing w:line="240" w:lineRule="auto"/>
            </w:pPr>
            <w:r w:rsidRPr="00791CEF">
              <w:t>22,9</w:t>
            </w:r>
          </w:p>
        </w:tc>
        <w:tc>
          <w:tcPr>
            <w:tcW w:w="992" w:type="dxa"/>
            <w:tcBorders>
              <w:top w:val="single" w:sz="4" w:space="0" w:color="auto"/>
              <w:left w:val="nil"/>
              <w:bottom w:val="single" w:sz="8" w:space="0" w:color="auto"/>
              <w:right w:val="nil"/>
            </w:tcBorders>
            <w:shd w:val="clear" w:color="auto" w:fill="auto"/>
            <w:noWrap/>
            <w:hideMark/>
          </w:tcPr>
          <w:p w14:paraId="505347FC"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vAlign w:val="center"/>
            <w:hideMark/>
          </w:tcPr>
          <w:p w14:paraId="25FD6A30" w14:textId="77777777" w:rsidR="00031BEA" w:rsidRPr="002B77A9" w:rsidRDefault="00031BEA" w:rsidP="00031BEA">
            <w:pPr>
              <w:pStyle w:val="MDPI42tablebody"/>
              <w:autoSpaceDE w:val="0"/>
              <w:autoSpaceDN w:val="0"/>
              <w:spacing w:line="240" w:lineRule="auto"/>
            </w:pPr>
            <w:r>
              <w:t>-</w:t>
            </w:r>
          </w:p>
        </w:tc>
      </w:tr>
      <w:tr w:rsidR="00031BEA" w:rsidRPr="002B77A9" w14:paraId="735892CA" w14:textId="77777777" w:rsidTr="00031BEA">
        <w:trPr>
          <w:jc w:val="center"/>
        </w:trPr>
        <w:tc>
          <w:tcPr>
            <w:tcW w:w="1134" w:type="dxa"/>
            <w:vMerge/>
            <w:vAlign w:val="center"/>
          </w:tcPr>
          <w:p w14:paraId="675386FA"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0A6E2267" w14:textId="66C04D21" w:rsidR="00031BEA" w:rsidRPr="00DC44C3" w:rsidRDefault="00031BEA" w:rsidP="00031BEA">
            <w:pPr>
              <w:pStyle w:val="MDPI42tablebody"/>
              <w:autoSpaceDE w:val="0"/>
              <w:autoSpaceDN w:val="0"/>
              <w:spacing w:line="240" w:lineRule="auto"/>
            </w:pPr>
            <m:oMath>
              <m:r>
                <w:rPr>
                  <w:rFonts w:ascii="Cambria Math" w:hAnsi="Cambria Math"/>
                </w:rPr>
                <m:t>E</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oMath>
            <w:r>
              <w:t>, MPa</w:t>
            </w:r>
            <w:r>
              <w:rPr>
                <w:vertAlign w:val="superscript"/>
              </w:rPr>
              <w:t>.</w:t>
            </w:r>
            <w:r>
              <w:t>K</w:t>
            </w:r>
            <w:r>
              <w:rPr>
                <w:vertAlign w:val="superscript"/>
              </w:rPr>
              <w:t>2</w:t>
            </w:r>
          </w:p>
        </w:tc>
        <w:tc>
          <w:tcPr>
            <w:tcW w:w="993" w:type="dxa"/>
            <w:tcBorders>
              <w:top w:val="single" w:sz="4" w:space="0" w:color="auto"/>
              <w:left w:val="nil"/>
              <w:bottom w:val="single" w:sz="8" w:space="0" w:color="auto"/>
              <w:right w:val="nil"/>
            </w:tcBorders>
            <w:shd w:val="clear" w:color="auto" w:fill="auto"/>
            <w:noWrap/>
            <w:hideMark/>
          </w:tcPr>
          <w:p w14:paraId="3E2A8D61"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5972480</m:t>
                </m:r>
              </m:oMath>
            </m:oMathPara>
          </w:p>
        </w:tc>
        <w:tc>
          <w:tcPr>
            <w:tcW w:w="850" w:type="dxa"/>
            <w:tcBorders>
              <w:top w:val="single" w:sz="4" w:space="0" w:color="auto"/>
              <w:left w:val="nil"/>
              <w:bottom w:val="single" w:sz="8" w:space="0" w:color="auto"/>
              <w:right w:val="nil"/>
            </w:tcBorders>
            <w:shd w:val="clear" w:color="auto" w:fill="auto"/>
            <w:noWrap/>
            <w:hideMark/>
          </w:tcPr>
          <w:p w14:paraId="017E926A"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6742370</m:t>
                </m:r>
              </m:oMath>
            </m:oMathPara>
          </w:p>
        </w:tc>
        <w:tc>
          <w:tcPr>
            <w:tcW w:w="992" w:type="dxa"/>
            <w:tcBorders>
              <w:top w:val="single" w:sz="4" w:space="0" w:color="auto"/>
              <w:left w:val="nil"/>
              <w:bottom w:val="single" w:sz="8" w:space="0" w:color="auto"/>
              <w:right w:val="nil"/>
            </w:tcBorders>
            <w:shd w:val="clear" w:color="auto" w:fill="auto"/>
            <w:noWrap/>
            <w:hideMark/>
          </w:tcPr>
          <w:p w14:paraId="6FC3AD9E"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6885000</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40E880AF"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2024680</m:t>
                </m:r>
              </m:oMath>
            </m:oMathPara>
          </w:p>
        </w:tc>
        <w:tc>
          <w:tcPr>
            <w:tcW w:w="850" w:type="dxa"/>
            <w:gridSpan w:val="2"/>
            <w:tcBorders>
              <w:top w:val="single" w:sz="4" w:space="0" w:color="auto"/>
              <w:left w:val="nil"/>
              <w:bottom w:val="single" w:sz="8" w:space="0" w:color="auto"/>
              <w:right w:val="nil"/>
            </w:tcBorders>
            <w:shd w:val="clear" w:color="auto" w:fill="auto"/>
            <w:noWrap/>
            <w:hideMark/>
          </w:tcPr>
          <w:p w14:paraId="329D8960"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889785</m:t>
                </m:r>
              </m:oMath>
            </m:oMathPara>
          </w:p>
        </w:tc>
        <w:tc>
          <w:tcPr>
            <w:tcW w:w="709" w:type="dxa"/>
            <w:tcBorders>
              <w:top w:val="single" w:sz="4" w:space="0" w:color="auto"/>
              <w:left w:val="nil"/>
              <w:bottom w:val="single" w:sz="8" w:space="0" w:color="auto"/>
              <w:right w:val="nil"/>
            </w:tcBorders>
          </w:tcPr>
          <w:p w14:paraId="60ABEC82"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3E9D1FC0" w14:textId="77777777" w:rsidR="00031BEA" w:rsidRPr="002B77A9" w:rsidRDefault="00031BEA" w:rsidP="00031BEA">
            <w:pPr>
              <w:pStyle w:val="MDPI42tablebody"/>
              <w:autoSpaceDE w:val="0"/>
              <w:autoSpaceDN w:val="0"/>
              <w:spacing w:line="240" w:lineRule="auto"/>
            </w:pPr>
            <w:r w:rsidRPr="004401A3">
              <w:t>6533283</w:t>
            </w:r>
          </w:p>
        </w:tc>
        <w:tc>
          <w:tcPr>
            <w:tcW w:w="992" w:type="dxa"/>
            <w:tcBorders>
              <w:top w:val="single" w:sz="4" w:space="0" w:color="auto"/>
              <w:left w:val="nil"/>
              <w:bottom w:val="single" w:sz="8" w:space="0" w:color="auto"/>
              <w:right w:val="nil"/>
            </w:tcBorders>
            <w:shd w:val="clear" w:color="auto" w:fill="auto"/>
            <w:noWrap/>
            <w:vAlign w:val="center"/>
            <w:hideMark/>
          </w:tcPr>
          <w:p w14:paraId="2CD7F180" w14:textId="77777777" w:rsidR="00031BEA" w:rsidRPr="002B77A9" w:rsidRDefault="00031BEA" w:rsidP="00031BEA">
            <w:pPr>
              <w:pStyle w:val="MDPI42tablebody"/>
              <w:autoSpaceDE w:val="0"/>
              <w:autoSpaceDN w:val="0"/>
              <w:spacing w:line="240" w:lineRule="auto"/>
            </w:pPr>
            <w:r>
              <w:t>11</w:t>
            </w:r>
          </w:p>
        </w:tc>
      </w:tr>
      <w:tr w:rsidR="00031BEA" w:rsidRPr="002B77A9" w14:paraId="66B78148" w14:textId="77777777" w:rsidTr="00031BEA">
        <w:trPr>
          <w:jc w:val="center"/>
        </w:trPr>
        <w:tc>
          <w:tcPr>
            <w:tcW w:w="1134" w:type="dxa"/>
            <w:vMerge/>
            <w:vAlign w:val="center"/>
          </w:tcPr>
          <w:p w14:paraId="280440AD" w14:textId="77777777" w:rsidR="00031BEA" w:rsidRPr="002B77A9" w:rsidRDefault="00031BEA" w:rsidP="00031BEA">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4631F8E6" w14:textId="2EB75DE3" w:rsidR="00031BEA" w:rsidRPr="002B77A9" w:rsidRDefault="002A57D0" w:rsidP="00031BEA">
            <w:pPr>
              <w:pStyle w:val="MDPI42tablebody"/>
              <w:autoSpaceDE w:val="0"/>
              <w:autoSpaceDN w:val="0"/>
              <w:spacing w:line="240" w:lineRule="auto"/>
            </w:pPr>
            <m:oMath>
              <m:sSub>
                <m:sSubPr>
                  <m:ctrlPr>
                    <w:rPr>
                      <w:rFonts w:ascii="Cambria Math" w:hAnsi="Cambria Math"/>
                      <w:i/>
                      <w:szCs w:val="22"/>
                    </w:rPr>
                  </m:ctrlPr>
                </m:sSubPr>
                <m:e>
                  <m:r>
                    <w:rPr>
                      <w:rFonts w:ascii="Cambria Math" w:hAnsi="Cambria Math"/>
                    </w:rPr>
                    <m:t>E</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t</m:t>
                  </m:r>
                </m:sub>
              </m:sSub>
              <m:f>
                <m:fPr>
                  <m:ctrlPr>
                    <w:rPr>
                      <w:rFonts w:ascii="Cambria Math" w:hAnsi="Cambria Math"/>
                      <w:i/>
                      <w:szCs w:val="22"/>
                    </w:rPr>
                  </m:ctrlPr>
                </m:fPr>
                <m:num>
                  <m:sSub>
                    <m:sSubPr>
                      <m:ctrlPr>
                        <w:rPr>
                          <w:rFonts w:ascii="Cambria Math" w:hAnsi="Cambria Math"/>
                          <w:i/>
                        </w:rPr>
                      </m:ctrlPr>
                    </m:sSubPr>
                    <m:e>
                      <m:r>
                        <w:rPr>
                          <w:rFonts w:ascii="Cambria Math" w:hAnsi="Cambria Math"/>
                        </w:rPr>
                        <m:t>α</m:t>
                      </m:r>
                    </m:e>
                    <m:sub>
                      <m:r>
                        <w:rPr>
                          <w:rFonts w:ascii="Cambria Math" w:hAnsi="Cambria Math"/>
                        </w:rPr>
                        <m:t>tg</m:t>
                      </m:r>
                    </m:sub>
                  </m:sSub>
                </m:num>
                <m:den>
                  <m:sSub>
                    <m:sSubPr>
                      <m:ctrlPr>
                        <w:rPr>
                          <w:rFonts w:ascii="Cambria Math" w:hAnsi="Cambria Math"/>
                          <w:i/>
                        </w:rPr>
                      </m:ctrlPr>
                    </m:sSubPr>
                    <m:e>
                      <m:r>
                        <w:rPr>
                          <w:rFonts w:ascii="Cambria Math" w:hAnsi="Cambria Math"/>
                        </w:rPr>
                        <m:t>α</m:t>
                      </m:r>
                    </m:e>
                    <m:sub>
                      <m:r>
                        <w:rPr>
                          <w:rFonts w:ascii="Cambria Math" w:hAnsi="Cambria Math"/>
                        </w:rPr>
                        <m:t>tg</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t</m:t>
                      </m:r>
                    </m:sub>
                  </m:sSub>
                </m:den>
              </m:f>
            </m:oMath>
            <w:r w:rsidR="00031BEA">
              <w:rPr>
                <w:szCs w:val="22"/>
              </w:rPr>
              <w:t>, MPa</w:t>
            </w:r>
          </w:p>
        </w:tc>
        <w:tc>
          <w:tcPr>
            <w:tcW w:w="993" w:type="dxa"/>
            <w:tcBorders>
              <w:top w:val="single" w:sz="4" w:space="0" w:color="auto"/>
              <w:left w:val="nil"/>
              <w:bottom w:val="single" w:sz="8" w:space="0" w:color="auto"/>
              <w:right w:val="nil"/>
            </w:tcBorders>
            <w:shd w:val="clear" w:color="auto" w:fill="auto"/>
            <w:noWrap/>
            <w:hideMark/>
          </w:tcPr>
          <w:p w14:paraId="06267769"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77429</m:t>
                </m:r>
              </m:oMath>
            </m:oMathPara>
          </w:p>
        </w:tc>
        <w:tc>
          <w:tcPr>
            <w:tcW w:w="850" w:type="dxa"/>
            <w:tcBorders>
              <w:top w:val="single" w:sz="4" w:space="0" w:color="auto"/>
              <w:left w:val="nil"/>
              <w:bottom w:val="single" w:sz="8" w:space="0" w:color="auto"/>
              <w:right w:val="nil"/>
            </w:tcBorders>
            <w:shd w:val="clear" w:color="auto" w:fill="auto"/>
            <w:noWrap/>
            <w:hideMark/>
          </w:tcPr>
          <w:p w14:paraId="0CBFA12F"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90552</m:t>
                </m:r>
              </m:oMath>
            </m:oMathPara>
          </w:p>
        </w:tc>
        <w:tc>
          <w:tcPr>
            <w:tcW w:w="992" w:type="dxa"/>
            <w:tcBorders>
              <w:top w:val="single" w:sz="4" w:space="0" w:color="auto"/>
              <w:left w:val="nil"/>
              <w:bottom w:val="single" w:sz="8" w:space="0" w:color="auto"/>
              <w:right w:val="nil"/>
            </w:tcBorders>
            <w:shd w:val="clear" w:color="auto" w:fill="auto"/>
            <w:noWrap/>
            <w:hideMark/>
          </w:tcPr>
          <w:p w14:paraId="2E9737BB"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99311</m:t>
                </m:r>
              </m:oMath>
            </m:oMathPara>
          </w:p>
        </w:tc>
        <w:tc>
          <w:tcPr>
            <w:tcW w:w="993" w:type="dxa"/>
            <w:gridSpan w:val="2"/>
            <w:tcBorders>
              <w:top w:val="single" w:sz="4" w:space="0" w:color="auto"/>
              <w:left w:val="nil"/>
              <w:bottom w:val="single" w:sz="8" w:space="0" w:color="auto"/>
              <w:right w:val="nil"/>
            </w:tcBorders>
            <w:shd w:val="clear" w:color="auto" w:fill="auto"/>
            <w:noWrap/>
            <w:hideMark/>
          </w:tcPr>
          <w:p w14:paraId="7A41C87D"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10336</m:t>
                </m:r>
              </m:oMath>
            </m:oMathPara>
          </w:p>
        </w:tc>
        <w:tc>
          <w:tcPr>
            <w:tcW w:w="850" w:type="dxa"/>
            <w:gridSpan w:val="2"/>
            <w:tcBorders>
              <w:top w:val="single" w:sz="4" w:space="0" w:color="auto"/>
              <w:left w:val="nil"/>
              <w:bottom w:val="single" w:sz="8" w:space="0" w:color="auto"/>
              <w:right w:val="nil"/>
            </w:tcBorders>
            <w:shd w:val="clear" w:color="auto" w:fill="auto"/>
            <w:noWrap/>
            <w:hideMark/>
          </w:tcPr>
          <w:p w14:paraId="48B54F28" w14:textId="77777777" w:rsidR="00031BEA" w:rsidRPr="00031BEA" w:rsidRDefault="00031BEA" w:rsidP="00031BEA">
            <w:pPr>
              <w:pStyle w:val="MDPI42tablebody"/>
              <w:autoSpaceDE w:val="0"/>
              <w:autoSpaceDN w:val="0"/>
              <w:spacing w:line="240" w:lineRule="auto"/>
              <w:rPr>
                <w:rFonts w:ascii="Cambria Math" w:hAnsi="Cambria Math"/>
                <w:oMath/>
              </w:rPr>
            </w:pPr>
            <m:oMathPara>
              <m:oMath>
                <m:r>
                  <w:rPr>
                    <w:rFonts w:ascii="Cambria Math" w:hAnsi="Cambria Math"/>
                  </w:rPr>
                  <m:t>6503</m:t>
                </m:r>
              </m:oMath>
            </m:oMathPara>
          </w:p>
        </w:tc>
        <w:tc>
          <w:tcPr>
            <w:tcW w:w="709" w:type="dxa"/>
            <w:tcBorders>
              <w:top w:val="single" w:sz="4" w:space="0" w:color="auto"/>
              <w:left w:val="nil"/>
              <w:bottom w:val="single" w:sz="8" w:space="0" w:color="auto"/>
              <w:right w:val="nil"/>
            </w:tcBorders>
          </w:tcPr>
          <w:p w14:paraId="6EAA9329" w14:textId="77777777" w:rsidR="00031BEA" w:rsidRPr="002B77A9" w:rsidRDefault="00031BEA" w:rsidP="00031BEA">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20DC7FBC" w14:textId="77777777" w:rsidR="00031BEA" w:rsidRPr="002B77A9" w:rsidRDefault="00031BEA" w:rsidP="00031BEA">
            <w:pPr>
              <w:pStyle w:val="MDPI42tablebody"/>
              <w:autoSpaceDE w:val="0"/>
              <w:autoSpaceDN w:val="0"/>
              <w:spacing w:line="240" w:lineRule="auto"/>
            </w:pPr>
            <w:r w:rsidRPr="00DA7D38">
              <w:t>89097</w:t>
            </w:r>
          </w:p>
        </w:tc>
        <w:tc>
          <w:tcPr>
            <w:tcW w:w="992" w:type="dxa"/>
            <w:tcBorders>
              <w:top w:val="single" w:sz="4" w:space="0" w:color="auto"/>
              <w:left w:val="nil"/>
              <w:bottom w:val="single" w:sz="8" w:space="0" w:color="auto"/>
              <w:right w:val="nil"/>
            </w:tcBorders>
            <w:shd w:val="clear" w:color="auto" w:fill="auto"/>
            <w:noWrap/>
            <w:vAlign w:val="center"/>
            <w:hideMark/>
          </w:tcPr>
          <w:p w14:paraId="461D223E" w14:textId="77777777" w:rsidR="00031BEA" w:rsidRPr="002B77A9" w:rsidRDefault="00031BEA" w:rsidP="00031BEA">
            <w:pPr>
              <w:pStyle w:val="MDPI42tablebody"/>
              <w:autoSpaceDE w:val="0"/>
              <w:autoSpaceDN w:val="0"/>
              <w:spacing w:line="240" w:lineRule="auto"/>
            </w:pPr>
            <w:r>
              <w:t>17</w:t>
            </w:r>
          </w:p>
        </w:tc>
      </w:tr>
      <w:tr w:rsidR="00C77154" w:rsidRPr="002B77A9" w14:paraId="0251181F" w14:textId="77777777" w:rsidTr="00DB31F7">
        <w:trPr>
          <w:jc w:val="center"/>
        </w:trPr>
        <w:tc>
          <w:tcPr>
            <w:tcW w:w="1134" w:type="dxa"/>
            <w:vMerge w:val="restart"/>
            <w:vAlign w:val="center"/>
          </w:tcPr>
          <w:p w14:paraId="1284895E" w14:textId="0BC81DB5" w:rsidR="00C77154" w:rsidRPr="002B77A9" w:rsidRDefault="00C77154" w:rsidP="00C77154">
            <w:pPr>
              <w:pStyle w:val="MDPI42tablebody"/>
              <w:autoSpaceDE w:val="0"/>
              <w:autoSpaceDN w:val="0"/>
              <w:spacing w:line="240" w:lineRule="auto"/>
            </w:pPr>
            <w:r w:rsidRPr="002B77A9">
              <w:t>EP</w:t>
            </w:r>
            <w:r>
              <w:t>+T23+FA</w:t>
            </w:r>
            <w:r w:rsidR="009F6EB2">
              <w:t>/TR</w:t>
            </w:r>
          </w:p>
          <w:p w14:paraId="01968962" w14:textId="77777777" w:rsidR="00C77154" w:rsidRPr="002B77A9" w:rsidRDefault="00C77154" w:rsidP="00C77154">
            <w:pPr>
              <w:pStyle w:val="MDPI42tablebody"/>
              <w:autoSpaceDE w:val="0"/>
              <w:autoSpaceDN w:val="0"/>
              <w:spacing w:line="240" w:lineRule="auto"/>
            </w:pPr>
          </w:p>
        </w:tc>
        <w:tc>
          <w:tcPr>
            <w:tcW w:w="1701" w:type="dxa"/>
            <w:tcBorders>
              <w:top w:val="single" w:sz="4" w:space="0" w:color="auto"/>
              <w:bottom w:val="single" w:sz="4" w:space="0" w:color="auto"/>
              <w:right w:val="nil"/>
            </w:tcBorders>
            <w:shd w:val="clear" w:color="auto" w:fill="auto"/>
            <w:noWrap/>
            <w:vAlign w:val="center"/>
            <w:hideMark/>
          </w:tcPr>
          <w:p w14:paraId="07212ADA" w14:textId="77777777" w:rsidR="00C77154" w:rsidRPr="00140800" w:rsidRDefault="002A57D0" w:rsidP="00C77154">
            <w:pPr>
              <w:pStyle w:val="MDPI42tablebody"/>
              <w:autoSpaceDE w:val="0"/>
              <w:autoSpaceDN w:val="0"/>
              <w:spacing w:line="240" w:lineRule="auto"/>
            </w:pPr>
            <m:oMath>
              <m:sSub>
                <m:sSubPr>
                  <m:ctrlPr>
                    <w:rPr>
                      <w:rFonts w:ascii="Cambria Math" w:hAnsi="Cambria Math"/>
                      <w:i/>
                    </w:rPr>
                  </m:ctrlPr>
                </m:sSubPr>
                <m:e>
                  <m:r>
                    <w:rPr>
                      <w:rFonts w:ascii="Cambria Math" w:hAnsi="Cambria Math"/>
                    </w:rPr>
                    <m:t>E</m:t>
                  </m:r>
                </m:e>
                <m:sub>
                  <m:r>
                    <w:rPr>
                      <w:rFonts w:ascii="Cambria Math" w:hAnsi="Cambria Math"/>
                    </w:rPr>
                    <m:t>t</m:t>
                  </m:r>
                </m:sub>
              </m:sSub>
            </m:oMath>
            <w:r w:rsidR="00C77154">
              <w:t>, MPa</w:t>
            </w:r>
          </w:p>
        </w:tc>
        <w:tc>
          <w:tcPr>
            <w:tcW w:w="993" w:type="dxa"/>
            <w:tcBorders>
              <w:top w:val="single" w:sz="4" w:space="0" w:color="auto"/>
              <w:left w:val="nil"/>
              <w:bottom w:val="single" w:sz="4" w:space="0" w:color="auto"/>
              <w:right w:val="nil"/>
            </w:tcBorders>
            <w:shd w:val="clear" w:color="auto" w:fill="auto"/>
            <w:noWrap/>
            <w:hideMark/>
          </w:tcPr>
          <w:p w14:paraId="1E75B428" w14:textId="77777777" w:rsidR="00C77154" w:rsidRPr="00DC44C3" w:rsidRDefault="00C77154" w:rsidP="00C77154">
            <w:pPr>
              <w:pStyle w:val="MDPI42tablebody"/>
              <w:autoSpaceDE w:val="0"/>
              <w:autoSpaceDN w:val="0"/>
              <w:spacing w:line="240" w:lineRule="auto"/>
              <w:rPr>
                <w:rFonts w:ascii="Cambria Math" w:hAnsi="Cambria Math"/>
                <w:oMath/>
              </w:rPr>
            </w:pPr>
            <w:r w:rsidRPr="00522A30">
              <w:t>14900</w:t>
            </w:r>
          </w:p>
        </w:tc>
        <w:tc>
          <w:tcPr>
            <w:tcW w:w="850" w:type="dxa"/>
            <w:tcBorders>
              <w:top w:val="single" w:sz="4" w:space="0" w:color="auto"/>
              <w:left w:val="nil"/>
              <w:bottom w:val="single" w:sz="4" w:space="0" w:color="auto"/>
              <w:right w:val="nil"/>
            </w:tcBorders>
            <w:shd w:val="clear" w:color="auto" w:fill="auto"/>
            <w:noWrap/>
            <w:hideMark/>
          </w:tcPr>
          <w:p w14:paraId="248D2209" w14:textId="77777777" w:rsidR="00C77154" w:rsidRPr="002B77A9" w:rsidRDefault="00C77154" w:rsidP="00C77154">
            <w:pPr>
              <w:pStyle w:val="MDPI42tablebody"/>
              <w:autoSpaceDE w:val="0"/>
              <w:autoSpaceDN w:val="0"/>
              <w:spacing w:line="240" w:lineRule="auto"/>
            </w:pPr>
            <w:r w:rsidRPr="00522A30">
              <w:t>14800</w:t>
            </w:r>
          </w:p>
        </w:tc>
        <w:tc>
          <w:tcPr>
            <w:tcW w:w="992" w:type="dxa"/>
            <w:tcBorders>
              <w:top w:val="single" w:sz="4" w:space="0" w:color="auto"/>
              <w:left w:val="nil"/>
              <w:bottom w:val="single" w:sz="4" w:space="0" w:color="auto"/>
              <w:right w:val="nil"/>
            </w:tcBorders>
            <w:shd w:val="clear" w:color="auto" w:fill="auto"/>
            <w:noWrap/>
            <w:hideMark/>
          </w:tcPr>
          <w:p w14:paraId="555F77A4" w14:textId="77777777" w:rsidR="00C77154" w:rsidRPr="002B77A9" w:rsidRDefault="00C77154" w:rsidP="00C77154">
            <w:pPr>
              <w:pStyle w:val="MDPI42tablebody"/>
              <w:autoSpaceDE w:val="0"/>
              <w:autoSpaceDN w:val="0"/>
              <w:spacing w:line="240" w:lineRule="auto"/>
            </w:pPr>
            <w:r w:rsidRPr="00522A30">
              <w:t>13600</w:t>
            </w:r>
          </w:p>
        </w:tc>
        <w:tc>
          <w:tcPr>
            <w:tcW w:w="851" w:type="dxa"/>
            <w:tcBorders>
              <w:top w:val="single" w:sz="4" w:space="0" w:color="auto"/>
              <w:left w:val="nil"/>
              <w:bottom w:val="single" w:sz="4" w:space="0" w:color="auto"/>
              <w:right w:val="nil"/>
            </w:tcBorders>
            <w:shd w:val="clear" w:color="auto" w:fill="auto"/>
            <w:noWrap/>
            <w:hideMark/>
          </w:tcPr>
          <w:p w14:paraId="4A7DB1E5" w14:textId="77777777" w:rsidR="00C77154" w:rsidRPr="002B77A9" w:rsidRDefault="00C77154" w:rsidP="00C77154">
            <w:pPr>
              <w:pStyle w:val="MDPI42tablebody"/>
              <w:autoSpaceDE w:val="0"/>
              <w:autoSpaceDN w:val="0"/>
              <w:spacing w:line="240" w:lineRule="auto"/>
            </w:pPr>
            <w:r w:rsidRPr="00522A30">
              <w:t>13050</w:t>
            </w:r>
          </w:p>
        </w:tc>
        <w:tc>
          <w:tcPr>
            <w:tcW w:w="992" w:type="dxa"/>
            <w:gridSpan w:val="3"/>
            <w:tcBorders>
              <w:top w:val="single" w:sz="4" w:space="0" w:color="auto"/>
              <w:left w:val="nil"/>
              <w:bottom w:val="single" w:sz="4" w:space="0" w:color="auto"/>
              <w:right w:val="nil"/>
            </w:tcBorders>
            <w:shd w:val="clear" w:color="auto" w:fill="auto"/>
            <w:noWrap/>
            <w:hideMark/>
          </w:tcPr>
          <w:p w14:paraId="531E8225" w14:textId="77777777" w:rsidR="00C77154" w:rsidRPr="002B77A9" w:rsidRDefault="00C77154" w:rsidP="00C77154">
            <w:pPr>
              <w:pStyle w:val="MDPI42tablebody"/>
              <w:autoSpaceDE w:val="0"/>
              <w:autoSpaceDN w:val="0"/>
              <w:spacing w:line="240" w:lineRule="auto"/>
            </w:pPr>
            <w:r w:rsidRPr="00522A30">
              <w:t>6350</w:t>
            </w:r>
          </w:p>
        </w:tc>
        <w:tc>
          <w:tcPr>
            <w:tcW w:w="709" w:type="dxa"/>
            <w:tcBorders>
              <w:top w:val="single" w:sz="4" w:space="0" w:color="auto"/>
              <w:left w:val="nil"/>
              <w:bottom w:val="single" w:sz="4" w:space="0" w:color="auto"/>
              <w:right w:val="nil"/>
            </w:tcBorders>
          </w:tcPr>
          <w:p w14:paraId="5473AB1E" w14:textId="77777777" w:rsidR="00C77154" w:rsidRPr="002B77A9" w:rsidRDefault="00C77154" w:rsidP="00C77154">
            <w:pPr>
              <w:pStyle w:val="MDPI42tablebody"/>
              <w:autoSpaceDE w:val="0"/>
              <w:autoSpaceDN w:val="0"/>
              <w:spacing w:line="240" w:lineRule="auto"/>
            </w:pPr>
            <w:r>
              <w:t>-</w:t>
            </w:r>
          </w:p>
        </w:tc>
        <w:tc>
          <w:tcPr>
            <w:tcW w:w="992" w:type="dxa"/>
            <w:tcBorders>
              <w:top w:val="single" w:sz="4" w:space="0" w:color="auto"/>
              <w:left w:val="nil"/>
              <w:bottom w:val="single" w:sz="4" w:space="0" w:color="auto"/>
              <w:right w:val="nil"/>
            </w:tcBorders>
            <w:shd w:val="clear" w:color="auto" w:fill="auto"/>
            <w:noWrap/>
            <w:hideMark/>
          </w:tcPr>
          <w:p w14:paraId="74788A64" w14:textId="77777777" w:rsidR="00C77154" w:rsidRPr="002B77A9" w:rsidRDefault="00C77154" w:rsidP="00C77154">
            <w:pPr>
              <w:pStyle w:val="MDPI42tablebody"/>
              <w:autoSpaceDE w:val="0"/>
              <w:autoSpaceDN w:val="0"/>
              <w:spacing w:line="240" w:lineRule="auto"/>
            </w:pPr>
            <w:r>
              <w:t>-</w:t>
            </w:r>
          </w:p>
        </w:tc>
        <w:tc>
          <w:tcPr>
            <w:tcW w:w="992" w:type="dxa"/>
            <w:tcBorders>
              <w:top w:val="single" w:sz="4" w:space="0" w:color="auto"/>
              <w:left w:val="nil"/>
              <w:bottom w:val="single" w:sz="4" w:space="0" w:color="auto"/>
              <w:right w:val="nil"/>
            </w:tcBorders>
            <w:shd w:val="clear" w:color="auto" w:fill="auto"/>
            <w:noWrap/>
            <w:vAlign w:val="center"/>
            <w:hideMark/>
          </w:tcPr>
          <w:p w14:paraId="4F621F21" w14:textId="77777777" w:rsidR="00C77154" w:rsidRPr="002B77A9" w:rsidRDefault="00C77154" w:rsidP="00C77154">
            <w:pPr>
              <w:pStyle w:val="MDPI42tablebody"/>
              <w:autoSpaceDE w:val="0"/>
              <w:autoSpaceDN w:val="0"/>
              <w:spacing w:line="240" w:lineRule="auto"/>
            </w:pPr>
            <w:r>
              <w:t>-</w:t>
            </w:r>
          </w:p>
        </w:tc>
      </w:tr>
      <w:tr w:rsidR="00C77154" w:rsidRPr="002B77A9" w14:paraId="07A8CEF7" w14:textId="77777777" w:rsidTr="00DB31F7">
        <w:trPr>
          <w:jc w:val="center"/>
        </w:trPr>
        <w:tc>
          <w:tcPr>
            <w:tcW w:w="1134" w:type="dxa"/>
            <w:vMerge/>
            <w:vAlign w:val="center"/>
          </w:tcPr>
          <w:p w14:paraId="7C171CA6" w14:textId="77777777" w:rsidR="00C77154" w:rsidRPr="002B77A9" w:rsidRDefault="00C77154" w:rsidP="00C77154">
            <w:pPr>
              <w:pStyle w:val="MDPI42tablebody"/>
              <w:autoSpaceDE w:val="0"/>
              <w:autoSpaceDN w:val="0"/>
              <w:spacing w:line="240" w:lineRule="auto"/>
            </w:pPr>
          </w:p>
        </w:tc>
        <w:tc>
          <w:tcPr>
            <w:tcW w:w="1701" w:type="dxa"/>
            <w:tcBorders>
              <w:top w:val="single" w:sz="4" w:space="0" w:color="auto"/>
              <w:bottom w:val="single" w:sz="4" w:space="0" w:color="auto"/>
              <w:right w:val="nil"/>
            </w:tcBorders>
            <w:shd w:val="clear" w:color="auto" w:fill="auto"/>
            <w:noWrap/>
            <w:vAlign w:val="center"/>
            <w:hideMark/>
          </w:tcPr>
          <w:p w14:paraId="1DB2FFC6" w14:textId="77777777" w:rsidR="00C77154" w:rsidRPr="00DC44C3" w:rsidRDefault="002A57D0" w:rsidP="00C77154">
            <w:pPr>
              <w:pStyle w:val="MDPI42tablebody"/>
              <w:autoSpaceDE w:val="0"/>
              <w:autoSpaceDN w:val="0"/>
              <w:spacing w:line="240" w:lineRule="auto"/>
            </w:pPr>
            <m:oMath>
              <m:sSub>
                <m:sSubPr>
                  <m:ctrlPr>
                    <w:rPr>
                      <w:rFonts w:ascii="Cambria Math" w:hAnsi="Cambria Math"/>
                      <w:i/>
                    </w:rPr>
                  </m:ctrlPr>
                </m:sSubPr>
                <m:e>
                  <m:r>
                    <w:rPr>
                      <w:rFonts w:ascii="Cambria Math" w:hAnsi="Cambria Math"/>
                    </w:rPr>
                    <m:t>α</m:t>
                  </m:r>
                </m:e>
                <m:sub>
                  <m:r>
                    <w:rPr>
                      <w:rFonts w:ascii="Cambria Math" w:hAnsi="Cambria Math"/>
                    </w:rPr>
                    <m:t>t</m:t>
                  </m:r>
                </m:sub>
              </m:sSub>
            </m:oMath>
            <w:r w:rsidR="00C77154">
              <w:t>, K</w:t>
            </w:r>
            <w:r w:rsidR="00C77154">
              <w:rPr>
                <w:vertAlign w:val="superscript"/>
              </w:rPr>
              <w:t>-1</w:t>
            </w:r>
            <w:r w:rsidR="00C77154">
              <w:t>, 10</w:t>
            </w:r>
            <w:r w:rsidR="00C77154">
              <w:rPr>
                <w:vertAlign w:val="superscript"/>
              </w:rPr>
              <w:t>6</w:t>
            </w:r>
          </w:p>
        </w:tc>
        <w:tc>
          <w:tcPr>
            <w:tcW w:w="993" w:type="dxa"/>
            <w:tcBorders>
              <w:top w:val="single" w:sz="4" w:space="0" w:color="auto"/>
              <w:left w:val="nil"/>
              <w:bottom w:val="single" w:sz="4" w:space="0" w:color="auto"/>
              <w:right w:val="nil"/>
            </w:tcBorders>
            <w:shd w:val="clear" w:color="auto" w:fill="auto"/>
            <w:noWrap/>
            <w:hideMark/>
          </w:tcPr>
          <w:p w14:paraId="770B15E2" w14:textId="77777777" w:rsidR="00C77154" w:rsidRPr="00DC44C3" w:rsidRDefault="00C77154" w:rsidP="00C77154">
            <w:pPr>
              <w:pStyle w:val="MDPI42tablebody"/>
              <w:autoSpaceDE w:val="0"/>
              <w:autoSpaceDN w:val="0"/>
              <w:spacing w:line="240" w:lineRule="auto"/>
              <w:rPr>
                <w:rFonts w:ascii="Cambria Math" w:hAnsi="Cambria Math"/>
                <w:oMath/>
              </w:rPr>
            </w:pPr>
            <w:r w:rsidRPr="005245E9">
              <w:t>5,5</w:t>
            </w:r>
          </w:p>
        </w:tc>
        <w:tc>
          <w:tcPr>
            <w:tcW w:w="850" w:type="dxa"/>
            <w:tcBorders>
              <w:top w:val="single" w:sz="4" w:space="0" w:color="auto"/>
              <w:left w:val="nil"/>
              <w:bottom w:val="single" w:sz="4" w:space="0" w:color="auto"/>
              <w:right w:val="nil"/>
            </w:tcBorders>
            <w:shd w:val="clear" w:color="auto" w:fill="auto"/>
            <w:noWrap/>
            <w:hideMark/>
          </w:tcPr>
          <w:p w14:paraId="7F537FD3" w14:textId="77777777" w:rsidR="00C77154" w:rsidRPr="002B77A9" w:rsidRDefault="00C77154" w:rsidP="00C77154">
            <w:pPr>
              <w:pStyle w:val="MDPI42tablebody"/>
              <w:autoSpaceDE w:val="0"/>
              <w:autoSpaceDN w:val="0"/>
              <w:spacing w:line="240" w:lineRule="auto"/>
            </w:pPr>
            <w:r w:rsidRPr="005245E9">
              <w:t>5,8</w:t>
            </w:r>
          </w:p>
        </w:tc>
        <w:tc>
          <w:tcPr>
            <w:tcW w:w="992" w:type="dxa"/>
            <w:tcBorders>
              <w:top w:val="single" w:sz="4" w:space="0" w:color="auto"/>
              <w:left w:val="nil"/>
              <w:bottom w:val="single" w:sz="4" w:space="0" w:color="auto"/>
              <w:right w:val="nil"/>
            </w:tcBorders>
            <w:shd w:val="clear" w:color="auto" w:fill="auto"/>
            <w:noWrap/>
            <w:hideMark/>
          </w:tcPr>
          <w:p w14:paraId="415BC441" w14:textId="77777777" w:rsidR="00C77154" w:rsidRPr="002B77A9" w:rsidRDefault="00C77154" w:rsidP="00C77154">
            <w:pPr>
              <w:pStyle w:val="MDPI42tablebody"/>
              <w:autoSpaceDE w:val="0"/>
              <w:autoSpaceDN w:val="0"/>
              <w:spacing w:line="240" w:lineRule="auto"/>
            </w:pPr>
            <w:r w:rsidRPr="005245E9">
              <w:t>6,9</w:t>
            </w:r>
          </w:p>
        </w:tc>
        <w:tc>
          <w:tcPr>
            <w:tcW w:w="851" w:type="dxa"/>
            <w:tcBorders>
              <w:top w:val="single" w:sz="4" w:space="0" w:color="auto"/>
              <w:left w:val="nil"/>
              <w:bottom w:val="single" w:sz="4" w:space="0" w:color="auto"/>
              <w:right w:val="nil"/>
            </w:tcBorders>
            <w:shd w:val="clear" w:color="auto" w:fill="auto"/>
            <w:noWrap/>
            <w:hideMark/>
          </w:tcPr>
          <w:p w14:paraId="7884BC2A" w14:textId="77777777" w:rsidR="00C77154" w:rsidRPr="002B77A9" w:rsidRDefault="00C77154" w:rsidP="00C77154">
            <w:pPr>
              <w:pStyle w:val="MDPI42tablebody"/>
              <w:autoSpaceDE w:val="0"/>
              <w:autoSpaceDN w:val="0"/>
              <w:spacing w:line="240" w:lineRule="auto"/>
            </w:pPr>
            <w:r w:rsidRPr="005245E9">
              <w:t>8,0</w:t>
            </w:r>
          </w:p>
        </w:tc>
        <w:tc>
          <w:tcPr>
            <w:tcW w:w="992" w:type="dxa"/>
            <w:gridSpan w:val="3"/>
            <w:tcBorders>
              <w:top w:val="single" w:sz="4" w:space="0" w:color="auto"/>
              <w:left w:val="nil"/>
              <w:bottom w:val="single" w:sz="4" w:space="0" w:color="auto"/>
              <w:right w:val="nil"/>
            </w:tcBorders>
            <w:shd w:val="clear" w:color="auto" w:fill="auto"/>
            <w:noWrap/>
            <w:hideMark/>
          </w:tcPr>
          <w:p w14:paraId="17338D33" w14:textId="77777777" w:rsidR="00C77154" w:rsidRPr="002B77A9" w:rsidRDefault="00C77154" w:rsidP="00C77154">
            <w:pPr>
              <w:pStyle w:val="MDPI42tablebody"/>
              <w:autoSpaceDE w:val="0"/>
              <w:autoSpaceDN w:val="0"/>
              <w:spacing w:line="240" w:lineRule="auto"/>
            </w:pPr>
            <w:r w:rsidRPr="005245E9">
              <w:t>7,0</w:t>
            </w:r>
          </w:p>
        </w:tc>
        <w:tc>
          <w:tcPr>
            <w:tcW w:w="709" w:type="dxa"/>
            <w:tcBorders>
              <w:top w:val="single" w:sz="4" w:space="0" w:color="auto"/>
              <w:left w:val="nil"/>
              <w:bottom w:val="single" w:sz="4" w:space="0" w:color="auto"/>
              <w:right w:val="nil"/>
            </w:tcBorders>
          </w:tcPr>
          <w:p w14:paraId="2FBC8D68" w14:textId="77777777" w:rsidR="00C77154" w:rsidRPr="002B77A9" w:rsidRDefault="00C77154" w:rsidP="00C77154">
            <w:pPr>
              <w:pStyle w:val="MDPI42tablebody"/>
              <w:autoSpaceDE w:val="0"/>
              <w:autoSpaceDN w:val="0"/>
              <w:spacing w:line="240" w:lineRule="auto"/>
            </w:pPr>
            <w:r w:rsidRPr="005245E9">
              <w:t>11,6</w:t>
            </w:r>
          </w:p>
        </w:tc>
        <w:tc>
          <w:tcPr>
            <w:tcW w:w="992" w:type="dxa"/>
            <w:tcBorders>
              <w:top w:val="single" w:sz="4" w:space="0" w:color="auto"/>
              <w:left w:val="nil"/>
              <w:bottom w:val="single" w:sz="4" w:space="0" w:color="auto"/>
              <w:right w:val="nil"/>
            </w:tcBorders>
            <w:shd w:val="clear" w:color="auto" w:fill="auto"/>
            <w:noWrap/>
            <w:hideMark/>
          </w:tcPr>
          <w:p w14:paraId="6F89AB3D" w14:textId="77777777" w:rsidR="00C77154" w:rsidRPr="002B77A9" w:rsidRDefault="00C77154" w:rsidP="00C77154">
            <w:pPr>
              <w:pStyle w:val="MDPI42tablebody"/>
              <w:autoSpaceDE w:val="0"/>
              <w:autoSpaceDN w:val="0"/>
              <w:spacing w:line="240" w:lineRule="auto"/>
            </w:pPr>
            <w:r>
              <w:t>-</w:t>
            </w:r>
          </w:p>
        </w:tc>
        <w:tc>
          <w:tcPr>
            <w:tcW w:w="992" w:type="dxa"/>
            <w:tcBorders>
              <w:top w:val="single" w:sz="4" w:space="0" w:color="auto"/>
              <w:left w:val="nil"/>
              <w:bottom w:val="single" w:sz="4" w:space="0" w:color="auto"/>
              <w:right w:val="nil"/>
            </w:tcBorders>
            <w:shd w:val="clear" w:color="auto" w:fill="auto"/>
            <w:noWrap/>
            <w:vAlign w:val="center"/>
            <w:hideMark/>
          </w:tcPr>
          <w:p w14:paraId="0F7B48E9" w14:textId="77777777" w:rsidR="00C77154" w:rsidRPr="002B77A9" w:rsidRDefault="00C77154" w:rsidP="00C77154">
            <w:pPr>
              <w:pStyle w:val="MDPI42tablebody"/>
              <w:autoSpaceDE w:val="0"/>
              <w:autoSpaceDN w:val="0"/>
              <w:spacing w:line="240" w:lineRule="auto"/>
            </w:pPr>
            <w:r>
              <w:t>-</w:t>
            </w:r>
          </w:p>
        </w:tc>
      </w:tr>
      <w:tr w:rsidR="00C77154" w:rsidRPr="002B77A9" w14:paraId="1A8A0446" w14:textId="77777777" w:rsidTr="00DB31F7">
        <w:trPr>
          <w:jc w:val="center"/>
        </w:trPr>
        <w:tc>
          <w:tcPr>
            <w:tcW w:w="1134" w:type="dxa"/>
            <w:vMerge/>
            <w:vAlign w:val="center"/>
          </w:tcPr>
          <w:p w14:paraId="721895AC" w14:textId="77777777" w:rsidR="00C77154" w:rsidRPr="002B77A9" w:rsidRDefault="00C77154" w:rsidP="00C77154">
            <w:pPr>
              <w:pStyle w:val="MDPI42tablebody"/>
              <w:autoSpaceDE w:val="0"/>
              <w:autoSpaceDN w:val="0"/>
              <w:spacing w:line="240" w:lineRule="auto"/>
            </w:pPr>
          </w:p>
        </w:tc>
        <w:tc>
          <w:tcPr>
            <w:tcW w:w="1701" w:type="dxa"/>
            <w:tcBorders>
              <w:top w:val="single" w:sz="4" w:space="0" w:color="auto"/>
              <w:bottom w:val="single" w:sz="4" w:space="0" w:color="auto"/>
              <w:right w:val="nil"/>
            </w:tcBorders>
            <w:shd w:val="clear" w:color="auto" w:fill="auto"/>
            <w:noWrap/>
            <w:vAlign w:val="center"/>
            <w:hideMark/>
          </w:tcPr>
          <w:p w14:paraId="3432CD50" w14:textId="77777777" w:rsidR="00C77154" w:rsidRPr="00DC44C3" w:rsidRDefault="00C77154" w:rsidP="00C77154">
            <w:pPr>
              <w:pStyle w:val="MDPI42tablebody"/>
              <w:autoSpaceDE w:val="0"/>
              <w:autoSpaceDN w:val="0"/>
              <w:spacing w:line="240" w:lineRule="auto"/>
            </w:pPr>
            <m:oMath>
              <m:r>
                <w:rPr>
                  <w:rFonts w:ascii="Cambria Math" w:hAnsi="Cambria Math"/>
                </w:rPr>
                <m:t>E</m:t>
              </m:r>
              <m:sSup>
                <m:sSupPr>
                  <m:ctrlPr>
                    <w:rPr>
                      <w:rFonts w:ascii="Cambria Math" w:hAnsi="Cambria Math"/>
                    </w:rPr>
                  </m:ctrlPr>
                </m:sSupPr>
                <m:e>
                  <m:r>
                    <m:rPr>
                      <m:sty m:val="p"/>
                    </m:rPr>
                    <w:rPr>
                      <w:rFonts w:ascii="Cambria Math" w:hAnsi="Cambria Math"/>
                    </w:rPr>
                    <m:t>∝</m:t>
                  </m:r>
                </m:e>
                <m:sup>
                  <m:r>
                    <m:rPr>
                      <m:sty m:val="p"/>
                    </m:rPr>
                    <w:rPr>
                      <w:rFonts w:ascii="Cambria Math" w:hAnsi="Cambria Math"/>
                    </w:rPr>
                    <m:t>2</m:t>
                  </m:r>
                </m:sup>
              </m:sSup>
            </m:oMath>
            <w:r>
              <w:t>, MPa</w:t>
            </w:r>
            <w:r>
              <w:rPr>
                <w:vertAlign w:val="superscript"/>
              </w:rPr>
              <w:t>.</w:t>
            </w:r>
            <w:r>
              <w:t>K</w:t>
            </w:r>
            <w:r>
              <w:rPr>
                <w:vertAlign w:val="superscript"/>
              </w:rPr>
              <w:t>2</w:t>
            </w:r>
          </w:p>
        </w:tc>
        <w:tc>
          <w:tcPr>
            <w:tcW w:w="993" w:type="dxa"/>
            <w:tcBorders>
              <w:top w:val="single" w:sz="4" w:space="0" w:color="auto"/>
              <w:left w:val="nil"/>
              <w:bottom w:val="single" w:sz="4" w:space="0" w:color="auto"/>
              <w:right w:val="nil"/>
            </w:tcBorders>
            <w:shd w:val="clear" w:color="auto" w:fill="auto"/>
            <w:noWrap/>
            <w:hideMark/>
          </w:tcPr>
          <w:p w14:paraId="1BFB4A36" w14:textId="77777777" w:rsidR="00C77154" w:rsidRPr="00DC44C3" w:rsidRDefault="00C77154" w:rsidP="00C77154">
            <w:pPr>
              <w:pStyle w:val="MDPI42tablebody"/>
              <w:autoSpaceDE w:val="0"/>
              <w:autoSpaceDN w:val="0"/>
              <w:spacing w:line="240" w:lineRule="auto"/>
              <w:rPr>
                <w:rFonts w:ascii="Cambria Math" w:hAnsi="Cambria Math"/>
                <w:oMath/>
              </w:rPr>
            </w:pPr>
            <w:r w:rsidRPr="00EB640F">
              <w:t>450725</w:t>
            </w:r>
          </w:p>
        </w:tc>
        <w:tc>
          <w:tcPr>
            <w:tcW w:w="850" w:type="dxa"/>
            <w:tcBorders>
              <w:top w:val="single" w:sz="4" w:space="0" w:color="auto"/>
              <w:left w:val="nil"/>
              <w:bottom w:val="single" w:sz="4" w:space="0" w:color="auto"/>
              <w:right w:val="nil"/>
            </w:tcBorders>
            <w:shd w:val="clear" w:color="auto" w:fill="auto"/>
            <w:noWrap/>
            <w:hideMark/>
          </w:tcPr>
          <w:p w14:paraId="125AAC6C" w14:textId="77777777" w:rsidR="00C77154" w:rsidRPr="002B77A9" w:rsidRDefault="00C77154" w:rsidP="00C77154">
            <w:pPr>
              <w:pStyle w:val="MDPI42tablebody"/>
              <w:autoSpaceDE w:val="0"/>
              <w:autoSpaceDN w:val="0"/>
              <w:spacing w:line="240" w:lineRule="auto"/>
            </w:pPr>
            <w:r w:rsidRPr="00EB640F">
              <w:t>497872</w:t>
            </w:r>
          </w:p>
        </w:tc>
        <w:tc>
          <w:tcPr>
            <w:tcW w:w="992" w:type="dxa"/>
            <w:tcBorders>
              <w:top w:val="single" w:sz="4" w:space="0" w:color="auto"/>
              <w:left w:val="nil"/>
              <w:bottom w:val="single" w:sz="4" w:space="0" w:color="auto"/>
              <w:right w:val="nil"/>
            </w:tcBorders>
            <w:shd w:val="clear" w:color="auto" w:fill="auto"/>
            <w:noWrap/>
            <w:hideMark/>
          </w:tcPr>
          <w:p w14:paraId="3B95648E" w14:textId="77777777" w:rsidR="00C77154" w:rsidRPr="002B77A9" w:rsidRDefault="00C77154" w:rsidP="00C77154">
            <w:pPr>
              <w:pStyle w:val="MDPI42tablebody"/>
              <w:autoSpaceDE w:val="0"/>
              <w:autoSpaceDN w:val="0"/>
              <w:spacing w:line="240" w:lineRule="auto"/>
            </w:pPr>
            <w:r w:rsidRPr="00EB640F">
              <w:t>647496</w:t>
            </w:r>
          </w:p>
        </w:tc>
        <w:tc>
          <w:tcPr>
            <w:tcW w:w="851" w:type="dxa"/>
            <w:tcBorders>
              <w:top w:val="single" w:sz="4" w:space="0" w:color="auto"/>
              <w:left w:val="nil"/>
              <w:bottom w:val="single" w:sz="4" w:space="0" w:color="auto"/>
              <w:right w:val="nil"/>
            </w:tcBorders>
            <w:shd w:val="clear" w:color="auto" w:fill="auto"/>
            <w:noWrap/>
            <w:hideMark/>
          </w:tcPr>
          <w:p w14:paraId="6D3F73B3" w14:textId="77777777" w:rsidR="00C77154" w:rsidRPr="002B77A9" w:rsidRDefault="00C77154" w:rsidP="00C77154">
            <w:pPr>
              <w:pStyle w:val="MDPI42tablebody"/>
              <w:autoSpaceDE w:val="0"/>
              <w:autoSpaceDN w:val="0"/>
              <w:spacing w:line="240" w:lineRule="auto"/>
            </w:pPr>
            <w:r w:rsidRPr="00EB640F">
              <w:t>835200</w:t>
            </w:r>
          </w:p>
        </w:tc>
        <w:tc>
          <w:tcPr>
            <w:tcW w:w="992" w:type="dxa"/>
            <w:gridSpan w:val="3"/>
            <w:tcBorders>
              <w:top w:val="single" w:sz="4" w:space="0" w:color="auto"/>
              <w:left w:val="nil"/>
              <w:bottom w:val="single" w:sz="4" w:space="0" w:color="auto"/>
              <w:right w:val="nil"/>
            </w:tcBorders>
            <w:shd w:val="clear" w:color="auto" w:fill="auto"/>
            <w:noWrap/>
            <w:hideMark/>
          </w:tcPr>
          <w:p w14:paraId="36468B3F" w14:textId="77777777" w:rsidR="00C77154" w:rsidRPr="002B77A9" w:rsidRDefault="00C77154" w:rsidP="00C77154">
            <w:pPr>
              <w:pStyle w:val="MDPI42tablebody"/>
              <w:autoSpaceDE w:val="0"/>
              <w:autoSpaceDN w:val="0"/>
              <w:spacing w:line="240" w:lineRule="auto"/>
            </w:pPr>
            <w:r w:rsidRPr="00EB640F">
              <w:t>311150</w:t>
            </w:r>
          </w:p>
        </w:tc>
        <w:tc>
          <w:tcPr>
            <w:tcW w:w="709" w:type="dxa"/>
            <w:tcBorders>
              <w:top w:val="single" w:sz="4" w:space="0" w:color="auto"/>
              <w:left w:val="nil"/>
              <w:bottom w:val="single" w:sz="4" w:space="0" w:color="auto"/>
              <w:right w:val="nil"/>
            </w:tcBorders>
          </w:tcPr>
          <w:p w14:paraId="4B58B50C" w14:textId="77777777" w:rsidR="00C77154" w:rsidRPr="002B77A9" w:rsidRDefault="00C77154" w:rsidP="00C77154">
            <w:pPr>
              <w:pStyle w:val="MDPI42tablebody"/>
              <w:autoSpaceDE w:val="0"/>
              <w:autoSpaceDN w:val="0"/>
              <w:spacing w:line="240" w:lineRule="auto"/>
            </w:pPr>
            <w:r>
              <w:t>-</w:t>
            </w:r>
          </w:p>
        </w:tc>
        <w:tc>
          <w:tcPr>
            <w:tcW w:w="992" w:type="dxa"/>
            <w:tcBorders>
              <w:top w:val="single" w:sz="4" w:space="0" w:color="auto"/>
              <w:left w:val="nil"/>
              <w:bottom w:val="single" w:sz="4" w:space="0" w:color="auto"/>
              <w:right w:val="nil"/>
            </w:tcBorders>
            <w:shd w:val="clear" w:color="auto" w:fill="auto"/>
            <w:noWrap/>
            <w:hideMark/>
          </w:tcPr>
          <w:p w14:paraId="252659F0" w14:textId="77777777" w:rsidR="00C77154" w:rsidRPr="002B77A9" w:rsidRDefault="00C77154" w:rsidP="00C77154">
            <w:pPr>
              <w:pStyle w:val="MDPI42tablebody"/>
              <w:autoSpaceDE w:val="0"/>
              <w:autoSpaceDN w:val="0"/>
              <w:spacing w:line="240" w:lineRule="auto"/>
            </w:pPr>
            <w:r w:rsidRPr="00EB640F">
              <w:t>607823</w:t>
            </w:r>
          </w:p>
        </w:tc>
        <w:tc>
          <w:tcPr>
            <w:tcW w:w="992" w:type="dxa"/>
            <w:tcBorders>
              <w:top w:val="single" w:sz="4" w:space="0" w:color="auto"/>
              <w:left w:val="nil"/>
              <w:bottom w:val="single" w:sz="4" w:space="0" w:color="auto"/>
              <w:right w:val="nil"/>
            </w:tcBorders>
            <w:shd w:val="clear" w:color="auto" w:fill="auto"/>
            <w:noWrap/>
            <w:vAlign w:val="center"/>
            <w:hideMark/>
          </w:tcPr>
          <w:p w14:paraId="4B551817" w14:textId="77777777" w:rsidR="00C77154" w:rsidRPr="002B77A9" w:rsidRDefault="00C77154" w:rsidP="00C77154">
            <w:pPr>
              <w:pStyle w:val="MDPI42tablebody"/>
              <w:autoSpaceDE w:val="0"/>
              <w:autoSpaceDN w:val="0"/>
              <w:spacing w:line="240" w:lineRule="auto"/>
            </w:pPr>
            <w:r>
              <w:t>49</w:t>
            </w:r>
          </w:p>
        </w:tc>
      </w:tr>
      <w:tr w:rsidR="00C77154" w:rsidRPr="002B77A9" w14:paraId="271B95E5" w14:textId="77777777" w:rsidTr="00DB31F7">
        <w:trPr>
          <w:jc w:val="center"/>
        </w:trPr>
        <w:tc>
          <w:tcPr>
            <w:tcW w:w="1134" w:type="dxa"/>
            <w:vMerge/>
            <w:vAlign w:val="center"/>
          </w:tcPr>
          <w:p w14:paraId="3BD2A3B5" w14:textId="77777777" w:rsidR="00C77154" w:rsidRPr="002B77A9" w:rsidRDefault="00C77154" w:rsidP="00C77154">
            <w:pPr>
              <w:pStyle w:val="MDPI42tablebody"/>
              <w:autoSpaceDE w:val="0"/>
              <w:autoSpaceDN w:val="0"/>
              <w:spacing w:line="240" w:lineRule="auto"/>
            </w:pPr>
          </w:p>
        </w:tc>
        <w:tc>
          <w:tcPr>
            <w:tcW w:w="1701" w:type="dxa"/>
            <w:tcBorders>
              <w:top w:val="single" w:sz="4" w:space="0" w:color="auto"/>
              <w:bottom w:val="single" w:sz="8" w:space="0" w:color="auto"/>
              <w:right w:val="nil"/>
            </w:tcBorders>
            <w:shd w:val="clear" w:color="auto" w:fill="auto"/>
            <w:noWrap/>
            <w:vAlign w:val="center"/>
            <w:hideMark/>
          </w:tcPr>
          <w:p w14:paraId="1ADF2C06" w14:textId="77777777" w:rsidR="00C77154" w:rsidRPr="002B77A9" w:rsidRDefault="002A57D0" w:rsidP="00C77154">
            <w:pPr>
              <w:pStyle w:val="MDPI42tablebody"/>
              <w:autoSpaceDE w:val="0"/>
              <w:autoSpaceDN w:val="0"/>
              <w:spacing w:line="240" w:lineRule="auto"/>
            </w:pPr>
            <m:oMath>
              <m:sSub>
                <m:sSubPr>
                  <m:ctrlPr>
                    <w:rPr>
                      <w:rFonts w:ascii="Cambria Math" w:hAnsi="Cambria Math"/>
                      <w:i/>
                      <w:szCs w:val="22"/>
                    </w:rPr>
                  </m:ctrlPr>
                </m:sSubPr>
                <m:e>
                  <m:r>
                    <w:rPr>
                      <w:rFonts w:ascii="Cambria Math" w:hAnsi="Cambria Math"/>
                    </w:rPr>
                    <m:t>E</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t</m:t>
                  </m:r>
                </m:sub>
              </m:sSub>
              <m:f>
                <m:fPr>
                  <m:ctrlPr>
                    <w:rPr>
                      <w:rFonts w:ascii="Cambria Math" w:hAnsi="Cambria Math"/>
                      <w:i/>
                      <w:szCs w:val="22"/>
                    </w:rPr>
                  </m:ctrlPr>
                </m:fPr>
                <m:num>
                  <m:sSub>
                    <m:sSubPr>
                      <m:ctrlPr>
                        <w:rPr>
                          <w:rFonts w:ascii="Cambria Math" w:hAnsi="Cambria Math"/>
                          <w:i/>
                        </w:rPr>
                      </m:ctrlPr>
                    </m:sSubPr>
                    <m:e>
                      <m:r>
                        <w:rPr>
                          <w:rFonts w:ascii="Cambria Math" w:hAnsi="Cambria Math"/>
                        </w:rPr>
                        <m:t>α</m:t>
                      </m:r>
                    </m:e>
                    <m:sub>
                      <m:r>
                        <w:rPr>
                          <w:rFonts w:ascii="Cambria Math" w:hAnsi="Cambria Math"/>
                        </w:rPr>
                        <m:t>tg</m:t>
                      </m:r>
                    </m:sub>
                  </m:sSub>
                </m:num>
                <m:den>
                  <m:sSub>
                    <m:sSubPr>
                      <m:ctrlPr>
                        <w:rPr>
                          <w:rFonts w:ascii="Cambria Math" w:hAnsi="Cambria Math"/>
                          <w:i/>
                        </w:rPr>
                      </m:ctrlPr>
                    </m:sSubPr>
                    <m:e>
                      <m:r>
                        <w:rPr>
                          <w:rFonts w:ascii="Cambria Math" w:hAnsi="Cambria Math"/>
                        </w:rPr>
                        <m:t>α</m:t>
                      </m:r>
                    </m:e>
                    <m:sub>
                      <m:r>
                        <w:rPr>
                          <w:rFonts w:ascii="Cambria Math" w:hAnsi="Cambria Math"/>
                        </w:rPr>
                        <m:t>tg</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t</m:t>
                      </m:r>
                    </m:sub>
                  </m:sSub>
                </m:den>
              </m:f>
            </m:oMath>
            <w:r w:rsidR="00C77154">
              <w:rPr>
                <w:szCs w:val="22"/>
              </w:rPr>
              <w:t>, MPa</w:t>
            </w:r>
          </w:p>
        </w:tc>
        <w:tc>
          <w:tcPr>
            <w:tcW w:w="993" w:type="dxa"/>
            <w:tcBorders>
              <w:top w:val="single" w:sz="4" w:space="0" w:color="auto"/>
              <w:left w:val="nil"/>
              <w:bottom w:val="single" w:sz="8" w:space="0" w:color="auto"/>
              <w:right w:val="nil"/>
            </w:tcBorders>
            <w:shd w:val="clear" w:color="auto" w:fill="auto"/>
            <w:noWrap/>
            <w:hideMark/>
          </w:tcPr>
          <w:p w14:paraId="7EA8B0C7" w14:textId="77777777" w:rsidR="00C77154" w:rsidRPr="00DC44C3" w:rsidRDefault="00C77154" w:rsidP="00C77154">
            <w:pPr>
              <w:pStyle w:val="MDPI42tablebody"/>
              <w:autoSpaceDE w:val="0"/>
              <w:autoSpaceDN w:val="0"/>
              <w:spacing w:line="240" w:lineRule="auto"/>
              <w:rPr>
                <w:rFonts w:ascii="Cambria Math" w:hAnsi="Cambria Math"/>
                <w:oMath/>
              </w:rPr>
            </w:pPr>
            <w:r w:rsidRPr="007E44E1">
              <w:t>28334</w:t>
            </w:r>
          </w:p>
        </w:tc>
        <w:tc>
          <w:tcPr>
            <w:tcW w:w="850" w:type="dxa"/>
            <w:tcBorders>
              <w:top w:val="single" w:sz="4" w:space="0" w:color="auto"/>
              <w:left w:val="nil"/>
              <w:bottom w:val="single" w:sz="8" w:space="0" w:color="auto"/>
              <w:right w:val="nil"/>
            </w:tcBorders>
            <w:shd w:val="clear" w:color="auto" w:fill="auto"/>
            <w:noWrap/>
            <w:hideMark/>
          </w:tcPr>
          <w:p w14:paraId="2892B0E4" w14:textId="77777777" w:rsidR="00C77154" w:rsidRPr="002B77A9" w:rsidRDefault="00C77154" w:rsidP="00C77154">
            <w:pPr>
              <w:pStyle w:val="MDPI42tablebody"/>
              <w:autoSpaceDE w:val="0"/>
              <w:autoSpaceDN w:val="0"/>
              <w:spacing w:line="240" w:lineRule="auto"/>
            </w:pPr>
            <w:r w:rsidRPr="007E44E1">
              <w:t>29600</w:t>
            </w:r>
          </w:p>
        </w:tc>
        <w:tc>
          <w:tcPr>
            <w:tcW w:w="992" w:type="dxa"/>
            <w:tcBorders>
              <w:top w:val="single" w:sz="4" w:space="0" w:color="auto"/>
              <w:left w:val="nil"/>
              <w:bottom w:val="single" w:sz="8" w:space="0" w:color="auto"/>
              <w:right w:val="nil"/>
            </w:tcBorders>
            <w:shd w:val="clear" w:color="auto" w:fill="auto"/>
            <w:noWrap/>
            <w:hideMark/>
          </w:tcPr>
          <w:p w14:paraId="1E98D234" w14:textId="77777777" w:rsidR="00C77154" w:rsidRPr="002B77A9" w:rsidRDefault="00C77154" w:rsidP="00C77154">
            <w:pPr>
              <w:pStyle w:val="MDPI42tablebody"/>
              <w:autoSpaceDE w:val="0"/>
              <w:autoSpaceDN w:val="0"/>
              <w:spacing w:line="240" w:lineRule="auto"/>
            </w:pPr>
            <w:r w:rsidRPr="007E44E1">
              <w:t>33566</w:t>
            </w:r>
          </w:p>
        </w:tc>
        <w:tc>
          <w:tcPr>
            <w:tcW w:w="851" w:type="dxa"/>
            <w:tcBorders>
              <w:top w:val="single" w:sz="4" w:space="0" w:color="auto"/>
              <w:left w:val="nil"/>
              <w:bottom w:val="single" w:sz="8" w:space="0" w:color="auto"/>
              <w:right w:val="nil"/>
            </w:tcBorders>
            <w:shd w:val="clear" w:color="auto" w:fill="auto"/>
            <w:noWrap/>
            <w:hideMark/>
          </w:tcPr>
          <w:p w14:paraId="67C4D148" w14:textId="77777777" w:rsidR="00C77154" w:rsidRPr="002B77A9" w:rsidRDefault="00C77154" w:rsidP="00C77154">
            <w:pPr>
              <w:pStyle w:val="MDPI42tablebody"/>
              <w:autoSpaceDE w:val="0"/>
              <w:autoSpaceDN w:val="0"/>
              <w:spacing w:line="240" w:lineRule="auto"/>
            </w:pPr>
            <w:r w:rsidRPr="007E44E1">
              <w:t>42050</w:t>
            </w:r>
          </w:p>
        </w:tc>
        <w:tc>
          <w:tcPr>
            <w:tcW w:w="992" w:type="dxa"/>
            <w:gridSpan w:val="3"/>
            <w:tcBorders>
              <w:top w:val="single" w:sz="4" w:space="0" w:color="auto"/>
              <w:left w:val="nil"/>
              <w:bottom w:val="single" w:sz="8" w:space="0" w:color="auto"/>
              <w:right w:val="nil"/>
            </w:tcBorders>
            <w:shd w:val="clear" w:color="auto" w:fill="auto"/>
            <w:noWrap/>
            <w:hideMark/>
          </w:tcPr>
          <w:p w14:paraId="049DA06F" w14:textId="77777777" w:rsidR="00C77154" w:rsidRPr="002B77A9" w:rsidRDefault="00C77154" w:rsidP="00C77154">
            <w:pPr>
              <w:pStyle w:val="MDPI42tablebody"/>
              <w:autoSpaceDE w:val="0"/>
              <w:autoSpaceDN w:val="0"/>
              <w:spacing w:line="240" w:lineRule="auto"/>
            </w:pPr>
            <w:r w:rsidRPr="007E44E1">
              <w:t>6353</w:t>
            </w:r>
          </w:p>
        </w:tc>
        <w:tc>
          <w:tcPr>
            <w:tcW w:w="709" w:type="dxa"/>
            <w:tcBorders>
              <w:top w:val="single" w:sz="4" w:space="0" w:color="auto"/>
              <w:left w:val="nil"/>
              <w:bottom w:val="single" w:sz="8" w:space="0" w:color="auto"/>
              <w:right w:val="nil"/>
            </w:tcBorders>
          </w:tcPr>
          <w:p w14:paraId="2E207DAB" w14:textId="77777777" w:rsidR="00C77154" w:rsidRPr="002B77A9" w:rsidRDefault="00C77154" w:rsidP="00C77154">
            <w:pPr>
              <w:pStyle w:val="MDPI42tablebody"/>
              <w:autoSpaceDE w:val="0"/>
              <w:autoSpaceDN w:val="0"/>
              <w:spacing w:line="240" w:lineRule="auto"/>
            </w:pPr>
            <w:r>
              <w:t>-</w:t>
            </w:r>
          </w:p>
        </w:tc>
        <w:tc>
          <w:tcPr>
            <w:tcW w:w="992" w:type="dxa"/>
            <w:tcBorders>
              <w:top w:val="single" w:sz="4" w:space="0" w:color="auto"/>
              <w:left w:val="nil"/>
              <w:bottom w:val="single" w:sz="8" w:space="0" w:color="auto"/>
              <w:right w:val="nil"/>
            </w:tcBorders>
            <w:shd w:val="clear" w:color="auto" w:fill="auto"/>
            <w:noWrap/>
            <w:hideMark/>
          </w:tcPr>
          <w:p w14:paraId="2F81DD91" w14:textId="77777777" w:rsidR="00C77154" w:rsidRPr="002B77A9" w:rsidRDefault="00C77154" w:rsidP="00C77154">
            <w:pPr>
              <w:pStyle w:val="MDPI42tablebody"/>
              <w:autoSpaceDE w:val="0"/>
              <w:autoSpaceDN w:val="0"/>
              <w:spacing w:line="240" w:lineRule="auto"/>
            </w:pPr>
            <w:r w:rsidRPr="007E44E1">
              <w:t>33388</w:t>
            </w:r>
          </w:p>
        </w:tc>
        <w:tc>
          <w:tcPr>
            <w:tcW w:w="992" w:type="dxa"/>
            <w:tcBorders>
              <w:top w:val="single" w:sz="4" w:space="0" w:color="auto"/>
              <w:left w:val="nil"/>
              <w:bottom w:val="single" w:sz="8" w:space="0" w:color="auto"/>
              <w:right w:val="nil"/>
            </w:tcBorders>
            <w:shd w:val="clear" w:color="auto" w:fill="auto"/>
            <w:noWrap/>
            <w:vAlign w:val="center"/>
            <w:hideMark/>
          </w:tcPr>
          <w:p w14:paraId="241DD25A" w14:textId="77777777" w:rsidR="00C77154" w:rsidRPr="002B77A9" w:rsidRDefault="00C77154" w:rsidP="00C77154">
            <w:pPr>
              <w:pStyle w:val="MDPI42tablebody"/>
              <w:autoSpaceDE w:val="0"/>
              <w:autoSpaceDN w:val="0"/>
              <w:spacing w:line="240" w:lineRule="auto"/>
            </w:pPr>
            <w:r>
              <w:t>32</w:t>
            </w:r>
          </w:p>
        </w:tc>
      </w:tr>
    </w:tbl>
    <w:p w14:paraId="7E78F2E3" w14:textId="77777777" w:rsidR="00031BEA" w:rsidRDefault="00031BEA" w:rsidP="00031BEA">
      <w:pPr>
        <w:pStyle w:val="MDPI31text"/>
      </w:pPr>
      <w:r>
        <w:t xml:space="preserve">Finally, the average </w:t>
      </w:r>
      <m:oMath>
        <m:sSub>
          <m:sSubPr>
            <m:ctrlPr>
              <w:rPr>
                <w:rFonts w:ascii="Cambria Math" w:hAnsi="Cambria Math"/>
                <w:i/>
              </w:rPr>
            </m:ctrlPr>
          </m:sSubPr>
          <m:e>
            <m:r>
              <w:rPr>
                <w:rFonts w:ascii="Cambria Math" w:hAnsi="Cambria Math"/>
              </w:rPr>
              <m:t>C</m:t>
            </m:r>
          </m:e>
          <m:sub>
            <m:r>
              <w:rPr>
                <w:rFonts w:ascii="Cambria Math" w:hAnsi="Cambria Math"/>
              </w:rPr>
              <m:t>v</m:t>
            </m:r>
          </m:sub>
        </m:sSub>
      </m:oMath>
      <w:r>
        <w:t xml:space="preserve"> was calculated</w:t>
      </w:r>
      <w:r w:rsidRPr="00E67E84">
        <w:t xml:space="preserve"> </w:t>
      </w:r>
      <w:r>
        <w:t xml:space="preserve">for each model. In calculation of variation characteristics only parameters of compositions before </w:t>
      </w:r>
      <w:proofErr w:type="spellStart"/>
      <w:r>
        <w:t>Tg</w:t>
      </w:r>
      <w:proofErr w:type="spellEnd"/>
      <w:r>
        <w:t xml:space="preserve"> were </w:t>
      </w:r>
      <w:commentRangeStart w:id="13"/>
      <w:r>
        <w:t>included</w:t>
      </w:r>
      <w:commentRangeEnd w:id="13"/>
      <w:r w:rsidR="008D6390">
        <w:rPr>
          <w:rStyle w:val="af"/>
          <w:rFonts w:eastAsia="SimSun"/>
          <w:snapToGrid/>
          <w:lang w:eastAsia="zh-CN" w:bidi="ar-SA"/>
        </w:rPr>
        <w:commentReference w:id="13"/>
      </w:r>
      <w:r>
        <w:t xml:space="preserve">, because of rigid changing of dependences character after </w:t>
      </w:r>
      <w:proofErr w:type="spellStart"/>
      <w:r>
        <w:t>Tg</w:t>
      </w:r>
      <w:proofErr w:type="spellEnd"/>
      <w:r>
        <w:t xml:space="preserve">. </w:t>
      </w:r>
    </w:p>
    <w:p w14:paraId="010AD87E" w14:textId="692F8EA2" w:rsidR="00031BEA" w:rsidRDefault="00031BEA" w:rsidP="00031BEA">
      <w:pPr>
        <w:pStyle w:val="MDPI31text"/>
      </w:pPr>
      <w:r>
        <w:t>The results of parameters and functions calculation are presented in table 2. On the base of these results made following conclusions</w:t>
      </w:r>
      <w:r w:rsidR="004F56B2">
        <w:t>.</w:t>
      </w:r>
    </w:p>
    <w:p w14:paraId="580EED9B" w14:textId="314E70FB" w:rsidR="001B2320" w:rsidRPr="004014F7" w:rsidRDefault="001B2320" w:rsidP="001B2320">
      <w:pPr>
        <w:pStyle w:val="MDPI31text"/>
        <w:rPr>
          <w:color w:val="FF0000"/>
        </w:rPr>
      </w:pPr>
      <w:proofErr w:type="spellStart"/>
      <w:r>
        <w:t>MoE</w:t>
      </w:r>
      <w:proofErr w:type="spellEnd"/>
      <w:r>
        <w:t xml:space="preserve">-CTE relation’s models of definite composition under heating can be considered as applicable and adequate under conditions. </w:t>
      </w:r>
      <w:r w:rsidRPr="004014F7">
        <w:rPr>
          <w:color w:val="FF0000"/>
        </w:rPr>
        <w:t xml:space="preserve">Every </w:t>
      </w:r>
      <w:proofErr w:type="spellStart"/>
      <w:r w:rsidRPr="004014F7">
        <w:rPr>
          <w:color w:val="FF0000"/>
        </w:rPr>
        <w:t>MoE</w:t>
      </w:r>
      <w:proofErr w:type="spellEnd"/>
      <w:r w:rsidRPr="004014F7">
        <w:rPr>
          <w:color w:val="FF0000"/>
        </w:rPr>
        <w:t>-CTE relation’s model doesn’t have universality. Constant of model depends on composition type.</w:t>
      </w:r>
    </w:p>
    <w:p w14:paraId="675C5A23" w14:textId="44EAD879" w:rsidR="001B2320" w:rsidRPr="004014F7" w:rsidRDefault="00EE7064" w:rsidP="001B2320">
      <w:pPr>
        <w:pStyle w:val="MDPI31text"/>
        <w:rPr>
          <w:color w:val="FF0000"/>
        </w:rPr>
      </w:pPr>
      <w:r w:rsidRPr="004014F7">
        <w:rPr>
          <w:color w:val="FF0000"/>
        </w:rPr>
        <w:t xml:space="preserve">Reinforcing and thermo-relaxation of the polymers result in increasing of </w:t>
      </w:r>
      <w:proofErr w:type="spellStart"/>
      <w:r w:rsidRPr="004014F7">
        <w:rPr>
          <w:color w:val="FF0000"/>
        </w:rPr>
        <w:t>MoE</w:t>
      </w:r>
      <w:proofErr w:type="spellEnd"/>
      <w:r w:rsidRPr="004014F7">
        <w:rPr>
          <w:color w:val="FF0000"/>
        </w:rPr>
        <w:t xml:space="preserve"> under heating. The less is </w:t>
      </w:r>
      <w:proofErr w:type="spellStart"/>
      <w:r w:rsidRPr="004014F7">
        <w:rPr>
          <w:color w:val="FF0000"/>
        </w:rPr>
        <w:t>MoE</w:t>
      </w:r>
      <w:proofErr w:type="spellEnd"/>
      <w:r w:rsidRPr="004014F7">
        <w:rPr>
          <w:color w:val="FF0000"/>
        </w:rPr>
        <w:t xml:space="preserve"> under heating of unfilled polymer and extreme temperature of elasticity keeping is 100</w:t>
      </w:r>
      <w:r w:rsidRPr="004014F7">
        <w:rPr>
          <w:color w:val="FF0000"/>
          <w:vertAlign w:val="superscript"/>
        </w:rPr>
        <w:t>0</w:t>
      </w:r>
      <w:r w:rsidRPr="004014F7">
        <w:rPr>
          <w:color w:val="FF0000"/>
        </w:rPr>
        <w:t>C and 130</w:t>
      </w:r>
      <w:r w:rsidRPr="004014F7">
        <w:rPr>
          <w:color w:val="FF0000"/>
          <w:vertAlign w:val="superscript"/>
        </w:rPr>
        <w:t>0</w:t>
      </w:r>
      <w:r w:rsidRPr="004014F7">
        <w:rPr>
          <w:color w:val="FF0000"/>
        </w:rPr>
        <w:t xml:space="preserve">C after </w:t>
      </w:r>
      <w:r w:rsidR="001B2320" w:rsidRPr="004014F7">
        <w:rPr>
          <w:color w:val="FF0000"/>
        </w:rPr>
        <w:t xml:space="preserve">TR, the more are </w:t>
      </w:r>
      <w:proofErr w:type="spellStart"/>
      <w:r w:rsidR="001B2320" w:rsidRPr="004014F7">
        <w:rPr>
          <w:color w:val="FF0000"/>
        </w:rPr>
        <w:t>MoE</w:t>
      </w:r>
      <w:proofErr w:type="spellEnd"/>
      <w:r w:rsidR="001B2320" w:rsidRPr="004014F7">
        <w:rPr>
          <w:color w:val="FF0000"/>
        </w:rPr>
        <w:t xml:space="preserve"> under heating of filled polymers, and the most is </w:t>
      </w:r>
      <w:proofErr w:type="spellStart"/>
      <w:r w:rsidR="001B2320" w:rsidRPr="004014F7">
        <w:rPr>
          <w:color w:val="FF0000"/>
        </w:rPr>
        <w:t>MoE</w:t>
      </w:r>
      <w:proofErr w:type="spellEnd"/>
      <w:r w:rsidR="001B2320" w:rsidRPr="004014F7">
        <w:rPr>
          <w:color w:val="FF0000"/>
        </w:rPr>
        <w:t xml:space="preserve"> under heating of FRPs and filled FRPs with elasticity keeping under 180</w:t>
      </w:r>
      <w:r w:rsidR="001B2320" w:rsidRPr="004014F7">
        <w:rPr>
          <w:color w:val="FF0000"/>
          <w:vertAlign w:val="superscript"/>
        </w:rPr>
        <w:t>0</w:t>
      </w:r>
      <w:r w:rsidR="001B2320" w:rsidRPr="004014F7">
        <w:rPr>
          <w:color w:val="FF0000"/>
        </w:rPr>
        <w:t xml:space="preserve">C and more. And they have </w:t>
      </w:r>
      <w:proofErr w:type="spellStart"/>
      <w:r w:rsidR="001B2320" w:rsidRPr="004014F7">
        <w:rPr>
          <w:color w:val="FF0000"/>
        </w:rPr>
        <w:t>MoE</w:t>
      </w:r>
      <w:proofErr w:type="spellEnd"/>
      <w:r w:rsidR="001B2320" w:rsidRPr="004014F7">
        <w:rPr>
          <w:color w:val="FF0000"/>
        </w:rPr>
        <w:t>-CTE relation’s model constant, but constants are different for each composition that points to significant differences in supramolecular structures of compositions.</w:t>
      </w:r>
    </w:p>
    <w:p w14:paraId="1D8AE638" w14:textId="58D4254C" w:rsidR="007F39D1" w:rsidRPr="004014F7" w:rsidRDefault="001B2320" w:rsidP="007F39D1">
      <w:pPr>
        <w:pStyle w:val="MDPI31text"/>
        <w:rPr>
          <w:color w:val="FF0000"/>
        </w:rPr>
      </w:pPr>
      <w:r w:rsidRPr="004014F7">
        <w:rPr>
          <w:color w:val="FF0000"/>
        </w:rPr>
        <w:t xml:space="preserve">The author’s model constant </w:t>
      </w:r>
      <m:oMath>
        <m:sSub>
          <m:sSubPr>
            <m:ctrlPr>
              <w:rPr>
                <w:rFonts w:ascii="Cambria Math" w:hAnsi="Cambria Math"/>
                <w:i/>
                <w:color w:val="FF0000"/>
              </w:rPr>
            </m:ctrlPr>
          </m:sSubPr>
          <m:e>
            <m:r>
              <w:rPr>
                <w:rFonts w:ascii="Cambria Math" w:hAnsi="Cambria Math"/>
                <w:color w:val="FF0000"/>
              </w:rPr>
              <m:t>E</m:t>
            </m:r>
          </m:e>
          <m:sub>
            <m:r>
              <w:rPr>
                <w:rFonts w:ascii="Cambria Math" w:hAnsi="Cambria Math"/>
                <w:color w:val="FF0000"/>
              </w:rPr>
              <m:t>0</m:t>
            </m:r>
          </m:sub>
        </m:sSub>
      </m:oMath>
      <w:r w:rsidR="007F39D1" w:rsidRPr="004014F7">
        <w:rPr>
          <w:color w:val="FF0000"/>
        </w:rPr>
        <w:t xml:space="preserve"> is growing </w:t>
      </w:r>
      <w:r w:rsidR="00130456" w:rsidRPr="004014F7">
        <w:rPr>
          <w:color w:val="FF0000"/>
        </w:rPr>
        <w:t xml:space="preserve">accordingly with total tendency of </w:t>
      </w:r>
      <w:proofErr w:type="spellStart"/>
      <w:r w:rsidR="00130456" w:rsidRPr="004014F7">
        <w:rPr>
          <w:color w:val="FF0000"/>
        </w:rPr>
        <w:t>MoE</w:t>
      </w:r>
      <w:proofErr w:type="spellEnd"/>
      <w:r w:rsidR="00130456" w:rsidRPr="004014F7">
        <w:rPr>
          <w:color w:val="FF0000"/>
        </w:rPr>
        <w:t xml:space="preserve"> under heating. It is always more than fact </w:t>
      </w:r>
      <w:proofErr w:type="spellStart"/>
      <w:r w:rsidR="00130456" w:rsidRPr="004014F7">
        <w:rPr>
          <w:color w:val="FF0000"/>
        </w:rPr>
        <w:t>MoE</w:t>
      </w:r>
      <w:proofErr w:type="spellEnd"/>
      <w:r w:rsidR="00130456" w:rsidRPr="004014F7">
        <w:rPr>
          <w:color w:val="FF0000"/>
        </w:rPr>
        <w:t xml:space="preserve"> of composition and it can be suggested to present this constant as ideal </w:t>
      </w:r>
      <w:proofErr w:type="spellStart"/>
      <w:r w:rsidR="00130456" w:rsidRPr="004014F7">
        <w:rPr>
          <w:color w:val="FF0000"/>
        </w:rPr>
        <w:t>MoE</w:t>
      </w:r>
      <w:proofErr w:type="spellEnd"/>
      <w:r w:rsidR="00130456" w:rsidRPr="004014F7">
        <w:rPr>
          <w:color w:val="FF0000"/>
        </w:rPr>
        <w:t xml:space="preserve"> of composition under extreme density of its supramolecular structure</w:t>
      </w:r>
      <w:bookmarkStart w:id="14" w:name="_Ref112877882"/>
      <w:r w:rsidR="004014F7">
        <w:rPr>
          <w:color w:val="FF0000"/>
        </w:rPr>
        <w:t>.</w:t>
      </w:r>
    </w:p>
    <w:p w14:paraId="383300F8" w14:textId="523D87AD" w:rsidR="00CB7885" w:rsidRDefault="00CB7885" w:rsidP="007F39D1">
      <w:pPr>
        <w:pStyle w:val="MDPI31text"/>
      </w:pPr>
      <w:r>
        <w:t xml:space="preserve">The average </w:t>
      </w:r>
      <m:oMath>
        <m:sSub>
          <m:sSubPr>
            <m:ctrlPr>
              <w:rPr>
                <w:rFonts w:ascii="Cambria Math" w:hAnsi="Cambria Math"/>
                <w:i/>
              </w:rPr>
            </m:ctrlPr>
          </m:sSubPr>
          <m:e>
            <m:r>
              <w:rPr>
                <w:rFonts w:ascii="Cambria Math" w:hAnsi="Cambria Math"/>
              </w:rPr>
              <m:t>C</m:t>
            </m:r>
          </m:e>
          <m:sub>
            <m:r>
              <w:rPr>
                <w:rFonts w:ascii="Cambria Math" w:hAnsi="Cambria Math"/>
              </w:rPr>
              <m:t>v</m:t>
            </m:r>
          </m:sub>
        </m:sSub>
      </m:oMath>
      <w:r>
        <w:t xml:space="preserve"> for different models and compositions are presented in Table 3. </w:t>
      </w:r>
    </w:p>
    <w:p w14:paraId="17B8E97C" w14:textId="6BCEF105" w:rsidR="00CB7885" w:rsidRDefault="00BC17A2" w:rsidP="00BC17A2">
      <w:pPr>
        <w:pStyle w:val="MDPI41tablecaption"/>
      </w:pPr>
      <w:r w:rsidRPr="0048092B">
        <w:rPr>
          <w:b/>
        </w:rPr>
        <w:t xml:space="preserve">Table </w:t>
      </w:r>
      <w:r w:rsidR="00E97174">
        <w:rPr>
          <w:b/>
        </w:rPr>
        <w:t>3</w:t>
      </w:r>
      <w:r w:rsidRPr="0048092B">
        <w:rPr>
          <w:b/>
        </w:rPr>
        <w:t xml:space="preserve">. </w:t>
      </w:r>
      <w:r>
        <w:t xml:space="preserve">Results of calculation of models’ average </w:t>
      </w:r>
      <m:oMath>
        <m:sSub>
          <m:sSubPr>
            <m:ctrlPr>
              <w:rPr>
                <w:rFonts w:ascii="Cambria Math" w:hAnsi="Cambria Math"/>
                <w:i/>
              </w:rPr>
            </m:ctrlPr>
          </m:sSubPr>
          <m:e>
            <m:r>
              <w:rPr>
                <w:rFonts w:ascii="Cambria Math" w:hAnsi="Cambria Math"/>
              </w:rPr>
              <m:t>C</m:t>
            </m:r>
          </m:e>
          <m:sub>
            <m:r>
              <w:rPr>
                <w:rFonts w:ascii="Cambria Math" w:hAnsi="Cambria Math"/>
              </w:rPr>
              <m:t>v</m:t>
            </m:r>
          </m:sub>
        </m:sSub>
      </m:oMath>
      <w:r>
        <w:t xml:space="preserve">  </w:t>
      </w:r>
    </w:p>
    <w:tbl>
      <w:tblPr>
        <w:tblW w:w="10206" w:type="dxa"/>
        <w:jc w:val="center"/>
        <w:tblBorders>
          <w:top w:val="single" w:sz="8" w:space="0" w:color="auto"/>
          <w:bottom w:val="single" w:sz="8" w:space="0" w:color="auto"/>
          <w:insideH w:val="single" w:sz="4" w:space="0" w:color="auto"/>
        </w:tblBorders>
        <w:tblLayout w:type="fixed"/>
        <w:tblCellMar>
          <w:left w:w="0" w:type="dxa"/>
          <w:right w:w="0" w:type="dxa"/>
        </w:tblCellMar>
        <w:tblLook w:val="04A0" w:firstRow="1" w:lastRow="0" w:firstColumn="1" w:lastColumn="0" w:noHBand="0" w:noVBand="1"/>
      </w:tblPr>
      <w:tblGrid>
        <w:gridCol w:w="3261"/>
        <w:gridCol w:w="2800"/>
        <w:gridCol w:w="1913"/>
        <w:gridCol w:w="2232"/>
      </w:tblGrid>
      <w:tr w:rsidR="00BC17A2" w:rsidRPr="002B77A9" w14:paraId="38F7DB4B" w14:textId="77777777" w:rsidTr="00BC17A2">
        <w:trPr>
          <w:jc w:val="center"/>
        </w:trPr>
        <w:tc>
          <w:tcPr>
            <w:tcW w:w="3261" w:type="dxa"/>
            <w:shd w:val="clear" w:color="auto" w:fill="auto"/>
            <w:noWrap/>
            <w:vAlign w:val="center"/>
            <w:hideMark/>
          </w:tcPr>
          <w:p w14:paraId="2BE20726" w14:textId="77777777" w:rsidR="00BC17A2" w:rsidRPr="00140800" w:rsidRDefault="00BC17A2" w:rsidP="00DB31F7">
            <w:pPr>
              <w:pStyle w:val="MDPI42tablebody"/>
              <w:autoSpaceDE w:val="0"/>
              <w:autoSpaceDN w:val="0"/>
              <w:spacing w:line="240" w:lineRule="auto"/>
            </w:pPr>
            <w:r>
              <w:rPr>
                <w:rFonts w:cs="Cordia New"/>
              </w:rPr>
              <w:t>Average</w:t>
            </w:r>
            <m:oMath>
              <m:r>
                <w:rPr>
                  <w:rFonts w:ascii="Cambria Math" w:hAnsi="Cambria Math"/>
                </w:rPr>
                <m:t xml:space="preserve"> </m:t>
              </m:r>
              <m:sSub>
                <m:sSubPr>
                  <m:ctrlPr>
                    <w:rPr>
                      <w:rFonts w:ascii="Cambria Math" w:hAnsi="Cambria Math"/>
                      <w:i/>
                    </w:rPr>
                  </m:ctrlPr>
                </m:sSubPr>
                <m:e>
                  <m:r>
                    <w:rPr>
                      <w:rFonts w:ascii="Cambria Math" w:hAnsi="Cambria Math"/>
                    </w:rPr>
                    <m:t>C</m:t>
                  </m:r>
                </m:e>
                <m:sub>
                  <m:r>
                    <w:rPr>
                      <w:rFonts w:ascii="Cambria Math" w:hAnsi="Cambria Math"/>
                    </w:rPr>
                    <m:t>v</m:t>
                  </m:r>
                </m:sub>
              </m:sSub>
            </m:oMath>
            <w:r>
              <w:rPr>
                <w:rFonts w:cs="Cordia New"/>
              </w:rPr>
              <w:t>, %</w:t>
            </w:r>
          </w:p>
        </w:tc>
        <w:tc>
          <w:tcPr>
            <w:tcW w:w="2800" w:type="dxa"/>
            <w:shd w:val="clear" w:color="auto" w:fill="auto"/>
            <w:noWrap/>
            <w:hideMark/>
          </w:tcPr>
          <w:p w14:paraId="19391320" w14:textId="77777777" w:rsidR="00BC17A2" w:rsidRPr="002B77A9" w:rsidRDefault="00BC17A2" w:rsidP="00DB31F7">
            <w:pPr>
              <w:pStyle w:val="MDPI42tablebody"/>
              <w:autoSpaceDE w:val="0"/>
              <w:autoSpaceDN w:val="0"/>
              <w:spacing w:line="240" w:lineRule="auto"/>
            </w:pPr>
            <w:r>
              <w:t>Polymers and filled polymers</w:t>
            </w:r>
          </w:p>
        </w:tc>
        <w:tc>
          <w:tcPr>
            <w:tcW w:w="1913" w:type="dxa"/>
            <w:shd w:val="clear" w:color="auto" w:fill="auto"/>
            <w:noWrap/>
            <w:hideMark/>
          </w:tcPr>
          <w:p w14:paraId="3D9F6FB1" w14:textId="77777777" w:rsidR="00BC17A2" w:rsidRPr="002B77A9" w:rsidRDefault="00BC17A2" w:rsidP="00DB31F7">
            <w:pPr>
              <w:pStyle w:val="MDPI42tablebody"/>
              <w:autoSpaceDE w:val="0"/>
              <w:autoSpaceDN w:val="0"/>
              <w:spacing w:line="240" w:lineRule="auto"/>
            </w:pPr>
            <w:r>
              <w:t>FRPs</w:t>
            </w:r>
          </w:p>
        </w:tc>
        <w:tc>
          <w:tcPr>
            <w:tcW w:w="2232" w:type="dxa"/>
            <w:shd w:val="clear" w:color="auto" w:fill="auto"/>
            <w:noWrap/>
            <w:hideMark/>
          </w:tcPr>
          <w:p w14:paraId="288CB491" w14:textId="77777777" w:rsidR="00BC17A2" w:rsidRPr="002B77A9" w:rsidRDefault="00BC17A2" w:rsidP="00DB31F7">
            <w:pPr>
              <w:pStyle w:val="MDPI42tablebody"/>
              <w:autoSpaceDE w:val="0"/>
              <w:autoSpaceDN w:val="0"/>
              <w:spacing w:line="240" w:lineRule="auto"/>
            </w:pPr>
            <w:r>
              <w:t>Total</w:t>
            </w:r>
          </w:p>
        </w:tc>
      </w:tr>
      <w:tr w:rsidR="00BC17A2" w:rsidRPr="002B77A9" w14:paraId="575C09B2" w14:textId="77777777" w:rsidTr="00BC17A2">
        <w:trPr>
          <w:jc w:val="center"/>
        </w:trPr>
        <w:tc>
          <w:tcPr>
            <w:tcW w:w="3261" w:type="dxa"/>
            <w:shd w:val="clear" w:color="auto" w:fill="auto"/>
            <w:noWrap/>
            <w:vAlign w:val="center"/>
            <w:hideMark/>
          </w:tcPr>
          <w:p w14:paraId="17A4A411" w14:textId="77777777" w:rsidR="00BC17A2" w:rsidRPr="00140800" w:rsidRDefault="00BC17A2" w:rsidP="00DB31F7">
            <w:pPr>
              <w:pStyle w:val="MDPI42tablebody"/>
              <w:autoSpaceDE w:val="0"/>
              <w:autoSpaceDN w:val="0"/>
              <w:spacing w:line="240" w:lineRule="auto"/>
              <w:rPr>
                <w:vertAlign w:val="superscript"/>
              </w:rPr>
            </w:pPr>
            <w:r>
              <w:t>Barker’s model</w:t>
            </w:r>
          </w:p>
        </w:tc>
        <w:tc>
          <w:tcPr>
            <w:tcW w:w="2800" w:type="dxa"/>
            <w:shd w:val="clear" w:color="auto" w:fill="auto"/>
            <w:noWrap/>
            <w:hideMark/>
          </w:tcPr>
          <w:p w14:paraId="2236CF28" w14:textId="77777777" w:rsidR="00BC17A2" w:rsidRPr="002B77A9" w:rsidRDefault="00BC17A2" w:rsidP="00DB31F7">
            <w:pPr>
              <w:pStyle w:val="MDPI42tablebody"/>
              <w:autoSpaceDE w:val="0"/>
              <w:autoSpaceDN w:val="0"/>
              <w:spacing w:line="240" w:lineRule="auto"/>
            </w:pPr>
            <w:r>
              <w:t>20</w:t>
            </w:r>
          </w:p>
        </w:tc>
        <w:tc>
          <w:tcPr>
            <w:tcW w:w="1913" w:type="dxa"/>
            <w:shd w:val="clear" w:color="auto" w:fill="auto"/>
            <w:noWrap/>
            <w:hideMark/>
          </w:tcPr>
          <w:p w14:paraId="2BB6071A" w14:textId="77777777" w:rsidR="00BC17A2" w:rsidRPr="002B77A9" w:rsidRDefault="00BC17A2" w:rsidP="00DB31F7">
            <w:pPr>
              <w:pStyle w:val="MDPI42tablebody"/>
              <w:autoSpaceDE w:val="0"/>
              <w:autoSpaceDN w:val="0"/>
              <w:spacing w:line="240" w:lineRule="auto"/>
            </w:pPr>
            <w:r>
              <w:t>30</w:t>
            </w:r>
          </w:p>
        </w:tc>
        <w:tc>
          <w:tcPr>
            <w:tcW w:w="2232" w:type="dxa"/>
            <w:shd w:val="clear" w:color="auto" w:fill="auto"/>
            <w:noWrap/>
            <w:hideMark/>
          </w:tcPr>
          <w:p w14:paraId="013B348F" w14:textId="77777777" w:rsidR="00BC17A2" w:rsidRPr="002B77A9" w:rsidRDefault="00BC17A2" w:rsidP="00DB31F7">
            <w:pPr>
              <w:pStyle w:val="MDPI42tablebody"/>
              <w:autoSpaceDE w:val="0"/>
              <w:autoSpaceDN w:val="0"/>
              <w:spacing w:line="240" w:lineRule="auto"/>
            </w:pPr>
            <w:r>
              <w:t>25</w:t>
            </w:r>
          </w:p>
        </w:tc>
      </w:tr>
      <w:tr w:rsidR="00BC17A2" w:rsidRPr="002B77A9" w14:paraId="47B917CA" w14:textId="77777777" w:rsidTr="00BC17A2">
        <w:trPr>
          <w:jc w:val="center"/>
        </w:trPr>
        <w:tc>
          <w:tcPr>
            <w:tcW w:w="3261" w:type="dxa"/>
            <w:shd w:val="clear" w:color="auto" w:fill="auto"/>
            <w:noWrap/>
            <w:vAlign w:val="center"/>
          </w:tcPr>
          <w:p w14:paraId="00ECD0E7" w14:textId="77777777" w:rsidR="00BC17A2" w:rsidRDefault="00BC17A2" w:rsidP="00DB31F7">
            <w:pPr>
              <w:pStyle w:val="MDPI42tablebody"/>
              <w:autoSpaceDE w:val="0"/>
              <w:autoSpaceDN w:val="0"/>
              <w:spacing w:line="240" w:lineRule="auto"/>
              <w:rPr>
                <w:rFonts w:eastAsia="SimSun"/>
              </w:rPr>
            </w:pPr>
            <w:r>
              <w:rPr>
                <w:rFonts w:eastAsia="SimSun"/>
              </w:rPr>
              <w:t>Relaxation model</w:t>
            </w:r>
          </w:p>
        </w:tc>
        <w:tc>
          <w:tcPr>
            <w:tcW w:w="2800" w:type="dxa"/>
            <w:shd w:val="clear" w:color="auto" w:fill="auto"/>
            <w:noWrap/>
          </w:tcPr>
          <w:p w14:paraId="1816E7B1" w14:textId="77777777" w:rsidR="00BC17A2" w:rsidRPr="00DE1553" w:rsidRDefault="00BC17A2" w:rsidP="00DB31F7">
            <w:pPr>
              <w:pStyle w:val="MDPI42tablebody"/>
              <w:autoSpaceDE w:val="0"/>
              <w:autoSpaceDN w:val="0"/>
              <w:spacing w:line="240" w:lineRule="auto"/>
            </w:pPr>
            <w:r>
              <w:t>18</w:t>
            </w:r>
          </w:p>
        </w:tc>
        <w:tc>
          <w:tcPr>
            <w:tcW w:w="1913" w:type="dxa"/>
            <w:shd w:val="clear" w:color="auto" w:fill="auto"/>
            <w:noWrap/>
          </w:tcPr>
          <w:p w14:paraId="41C32680" w14:textId="77777777" w:rsidR="00BC17A2" w:rsidRPr="00DE1553" w:rsidRDefault="00BC17A2" w:rsidP="00DB31F7">
            <w:pPr>
              <w:pStyle w:val="MDPI42tablebody"/>
              <w:autoSpaceDE w:val="0"/>
              <w:autoSpaceDN w:val="0"/>
              <w:spacing w:line="240" w:lineRule="auto"/>
            </w:pPr>
            <w:r>
              <w:t>20</w:t>
            </w:r>
          </w:p>
        </w:tc>
        <w:tc>
          <w:tcPr>
            <w:tcW w:w="2232" w:type="dxa"/>
            <w:shd w:val="clear" w:color="auto" w:fill="auto"/>
            <w:noWrap/>
          </w:tcPr>
          <w:p w14:paraId="76A8E07D" w14:textId="77777777" w:rsidR="00BC17A2" w:rsidRPr="00DE1553" w:rsidRDefault="00BC17A2" w:rsidP="00DB31F7">
            <w:pPr>
              <w:pStyle w:val="MDPI42tablebody"/>
              <w:autoSpaceDE w:val="0"/>
              <w:autoSpaceDN w:val="0"/>
              <w:spacing w:line="240" w:lineRule="auto"/>
            </w:pPr>
            <w:r>
              <w:t>19</w:t>
            </w:r>
          </w:p>
        </w:tc>
      </w:tr>
    </w:tbl>
    <w:p w14:paraId="22D28E4E" w14:textId="6C12B199" w:rsidR="00BC17A2" w:rsidRDefault="0090489F" w:rsidP="00675CC0">
      <w:pPr>
        <w:pStyle w:val="MDPI31text"/>
        <w:spacing w:before="240" w:after="60"/>
      </w:pPr>
      <w:r>
        <w:t xml:space="preserve">The average </w:t>
      </w:r>
      <m:oMath>
        <m:sSub>
          <m:sSubPr>
            <m:ctrlPr>
              <w:rPr>
                <w:rFonts w:ascii="Cambria Math" w:hAnsi="Cambria Math"/>
                <w:i/>
              </w:rPr>
            </m:ctrlPr>
          </m:sSubPr>
          <m:e>
            <m:r>
              <w:rPr>
                <w:rFonts w:ascii="Cambria Math" w:hAnsi="Cambria Math"/>
              </w:rPr>
              <m:t>C</m:t>
            </m:r>
          </m:e>
          <m:sub>
            <m:r>
              <w:rPr>
                <w:rFonts w:ascii="Cambria Math" w:hAnsi="Cambria Math"/>
              </w:rPr>
              <m:t>v</m:t>
            </m:r>
          </m:sub>
        </m:sSub>
      </m:oMath>
      <w:r>
        <w:t xml:space="preserve"> results lead to the conclusion that Barker’s model is adequate only for polymers and filled polymers, author’s relaxation model has most accuracy and applicable to polymers and composites overall.</w:t>
      </w:r>
    </w:p>
    <w:p w14:paraId="2434267B" w14:textId="77777777" w:rsidR="004838CA" w:rsidRPr="004838CA" w:rsidRDefault="004838CA" w:rsidP="004838CA">
      <w:pPr>
        <w:pStyle w:val="MDPI31text"/>
      </w:pPr>
    </w:p>
    <w:bookmarkEnd w:id="14"/>
    <w:p w14:paraId="02AA0BB9" w14:textId="77777777" w:rsidR="005A0734" w:rsidRPr="004569D7" w:rsidRDefault="005A0734" w:rsidP="007F6CE2">
      <w:pPr>
        <w:pStyle w:val="MDPI21heading1"/>
      </w:pPr>
      <w:r>
        <w:t>Conclusion</w:t>
      </w:r>
    </w:p>
    <w:p w14:paraId="04ADA3F4" w14:textId="27885532" w:rsidR="003D1A9C" w:rsidRDefault="003D1A9C" w:rsidP="007F6CE2">
      <w:pPr>
        <w:pStyle w:val="MDPI31text"/>
        <w:rPr>
          <w:rFonts w:eastAsia="SimSun"/>
          <w:snapToGrid/>
          <w:color w:val="auto"/>
        </w:rPr>
      </w:pPr>
      <w:r w:rsidRPr="003D1A9C">
        <w:rPr>
          <w:rFonts w:eastAsia="SimSun"/>
          <w:snapToGrid/>
          <w:color w:val="auto"/>
        </w:rPr>
        <w:t>T</w:t>
      </w:r>
      <w:r w:rsidR="005A0734" w:rsidRPr="003D1A9C">
        <w:rPr>
          <w:rFonts w:eastAsia="SimSun"/>
          <w:snapToGrid/>
          <w:color w:val="auto"/>
        </w:rPr>
        <w:t xml:space="preserve">he dilatometric </w:t>
      </w:r>
      <w:r w:rsidRPr="003D1A9C">
        <w:rPr>
          <w:rFonts w:eastAsia="SimSun"/>
          <w:snapToGrid/>
          <w:color w:val="auto"/>
        </w:rPr>
        <w:t xml:space="preserve">and </w:t>
      </w:r>
      <w:proofErr w:type="spellStart"/>
      <w:r w:rsidRPr="003D1A9C">
        <w:rPr>
          <w:rFonts w:eastAsia="SimSun"/>
          <w:snapToGrid/>
          <w:color w:val="auto"/>
        </w:rPr>
        <w:t>MoE</w:t>
      </w:r>
      <w:proofErr w:type="spellEnd"/>
      <w:r w:rsidRPr="003D1A9C">
        <w:rPr>
          <w:rFonts w:eastAsia="SimSun"/>
          <w:snapToGrid/>
          <w:color w:val="auto"/>
        </w:rPr>
        <w:t xml:space="preserve"> </w:t>
      </w:r>
      <w:r w:rsidR="005A0734" w:rsidRPr="003D1A9C">
        <w:rPr>
          <w:rFonts w:eastAsia="SimSun"/>
          <w:snapToGrid/>
          <w:color w:val="auto"/>
        </w:rPr>
        <w:t>tests</w:t>
      </w:r>
      <w:r w:rsidRPr="003D1A9C">
        <w:rPr>
          <w:rFonts w:eastAsia="SimSun"/>
          <w:snapToGrid/>
          <w:color w:val="auto"/>
        </w:rPr>
        <w:t xml:space="preserve"> under heating of thermosetting polymers, filled polymers and FRPs were made after normal thermosetting and prolonged thermo-relaxation. </w:t>
      </w:r>
      <w:r>
        <w:rPr>
          <w:rFonts w:eastAsia="SimSun"/>
          <w:snapToGrid/>
          <w:color w:val="auto"/>
        </w:rPr>
        <w:t xml:space="preserve">On the base of CTE and </w:t>
      </w:r>
      <w:proofErr w:type="spellStart"/>
      <w:r>
        <w:rPr>
          <w:rFonts w:eastAsia="SimSun"/>
          <w:snapToGrid/>
          <w:color w:val="auto"/>
        </w:rPr>
        <w:t>MoE</w:t>
      </w:r>
      <w:proofErr w:type="spellEnd"/>
      <w:r>
        <w:rPr>
          <w:rFonts w:eastAsia="SimSun"/>
          <w:snapToGrid/>
          <w:color w:val="auto"/>
        </w:rPr>
        <w:t xml:space="preserve"> parameters the supramolecular relaxation model of </w:t>
      </w:r>
      <w:proofErr w:type="spellStart"/>
      <w:r>
        <w:rPr>
          <w:rFonts w:eastAsia="SimSun"/>
          <w:snapToGrid/>
          <w:color w:val="auto"/>
        </w:rPr>
        <w:t>MoE</w:t>
      </w:r>
      <w:proofErr w:type="spellEnd"/>
      <w:r>
        <w:rPr>
          <w:rFonts w:eastAsia="SimSun"/>
          <w:snapToGrid/>
          <w:color w:val="auto"/>
        </w:rPr>
        <w:t>-CTE relation was realized, and this author’s and Barker’s models were tested and compared.</w:t>
      </w:r>
    </w:p>
    <w:p w14:paraId="5E98EF7D" w14:textId="2D460485" w:rsidR="003D1A9C" w:rsidRDefault="00C72347" w:rsidP="007F6CE2">
      <w:pPr>
        <w:pStyle w:val="MDPI31text"/>
        <w:rPr>
          <w:rFonts w:eastAsia="SimSun"/>
          <w:snapToGrid/>
          <w:color w:val="auto"/>
        </w:rPr>
      </w:pPr>
      <w:r>
        <w:rPr>
          <w:rFonts w:eastAsia="SimSun"/>
          <w:snapToGrid/>
          <w:color w:val="auto"/>
        </w:rPr>
        <w:t>The relaxation model has compensational mechanism</w:t>
      </w:r>
      <w:r w:rsidR="004F56B2">
        <w:rPr>
          <w:rFonts w:eastAsia="SimSun"/>
          <w:snapToGrid/>
          <w:color w:val="auto"/>
        </w:rPr>
        <w:t>,</w:t>
      </w:r>
      <w:r>
        <w:rPr>
          <w:rFonts w:eastAsia="SimSun"/>
          <w:snapToGrid/>
          <w:color w:val="auto"/>
        </w:rPr>
        <w:t xml:space="preserve"> realized due to conglomerate two-phase structure of rigid domains and softer ITZ spiral shells with effect of thermal expansion compensation and tensile stress relaxation under heating. </w:t>
      </w:r>
      <w:r w:rsidR="002B78DB">
        <w:rPr>
          <w:rFonts w:eastAsia="SimSun"/>
          <w:snapToGrid/>
          <w:color w:val="auto"/>
        </w:rPr>
        <w:t xml:space="preserve">The math function </w:t>
      </w:r>
      <w:proofErr w:type="spellStart"/>
      <w:r w:rsidR="002B78DB">
        <w:rPr>
          <w:rFonts w:eastAsia="SimSun"/>
          <w:snapToGrid/>
          <w:color w:val="auto"/>
        </w:rPr>
        <w:t>MoE</w:t>
      </w:r>
      <w:proofErr w:type="spellEnd"/>
      <w:r w:rsidR="002B78DB">
        <w:rPr>
          <w:rFonts w:eastAsia="SimSun"/>
          <w:snapToGrid/>
          <w:color w:val="auto"/>
        </w:rPr>
        <w:t>=f(CTE) is developed, c</w:t>
      </w:r>
      <w:r w:rsidR="009440F7">
        <w:rPr>
          <w:rFonts w:eastAsia="SimSun"/>
          <w:snapToGrid/>
          <w:color w:val="auto"/>
        </w:rPr>
        <w:t xml:space="preserve">onstant of the </w:t>
      </w:r>
      <w:r w:rsidR="002B78DB">
        <w:rPr>
          <w:rFonts w:eastAsia="SimSun"/>
          <w:snapToGrid/>
          <w:color w:val="auto"/>
        </w:rPr>
        <w:t xml:space="preserve">relaxation </w:t>
      </w:r>
      <w:r w:rsidR="009440F7">
        <w:rPr>
          <w:rFonts w:eastAsia="SimSun"/>
          <w:snapToGrid/>
          <w:color w:val="auto"/>
        </w:rPr>
        <w:t>model</w:t>
      </w:r>
      <w:r w:rsidR="002B78DB">
        <w:rPr>
          <w:rFonts w:eastAsia="SimSun"/>
          <w:snapToGrid/>
          <w:color w:val="auto"/>
        </w:rPr>
        <w:t xml:space="preserve"> (9)</w:t>
      </w:r>
      <w:r w:rsidR="009440F7">
        <w:rPr>
          <w:rFonts w:eastAsia="SimSun"/>
          <w:snapToGrid/>
          <w:color w:val="auto"/>
        </w:rPr>
        <w:t xml:space="preserve"> is the basic </w:t>
      </w:r>
      <w:proofErr w:type="spellStart"/>
      <w:r w:rsidR="009440F7">
        <w:rPr>
          <w:rFonts w:eastAsia="SimSun"/>
          <w:snapToGrid/>
          <w:color w:val="auto"/>
        </w:rPr>
        <w:t>MoE</w:t>
      </w:r>
      <w:proofErr w:type="spellEnd"/>
      <w:r w:rsidR="009440F7">
        <w:rPr>
          <w:rFonts w:eastAsia="SimSun"/>
          <w:snapToGrid/>
          <w:color w:val="auto"/>
        </w:rPr>
        <w:t xml:space="preserve"> of polymer’s or polymer composite’s supramolecular structure in normal condition and maximum density of polymer molecules’ pack. Testing and calculation data (Table 2) points that potential elasticity of polymers’ and polymer composites’ structure in 1,5…2 times more than real.  </w:t>
      </w:r>
    </w:p>
    <w:p w14:paraId="3E13E118" w14:textId="52D5161E" w:rsidR="002B78DB" w:rsidRDefault="00C72347" w:rsidP="007F6CE2">
      <w:pPr>
        <w:pStyle w:val="MDPI31text"/>
        <w:rPr>
          <w:rFonts w:eastAsia="SimSun"/>
          <w:snapToGrid/>
          <w:color w:val="auto"/>
        </w:rPr>
      </w:pPr>
      <w:r>
        <w:rPr>
          <w:rFonts w:eastAsia="SimSun"/>
          <w:snapToGrid/>
          <w:color w:val="auto"/>
        </w:rPr>
        <w:t>In the result of math analyze and calculation b</w:t>
      </w:r>
      <w:r w:rsidR="003D1A9C">
        <w:rPr>
          <w:rFonts w:eastAsia="SimSun"/>
          <w:snapToGrid/>
          <w:color w:val="auto"/>
        </w:rPr>
        <w:t>oth models are not universal,</w:t>
      </w:r>
      <w:r w:rsidR="009440F7">
        <w:rPr>
          <w:rFonts w:eastAsia="SimSun"/>
          <w:snapToGrid/>
          <w:color w:val="auto"/>
        </w:rPr>
        <w:t xml:space="preserve"> even the thermo-relaxed polymers have other model constant than normally </w:t>
      </w:r>
      <w:proofErr w:type="spellStart"/>
      <w:r w:rsidR="009440F7">
        <w:rPr>
          <w:rFonts w:eastAsia="SimSun"/>
          <w:snapToGrid/>
          <w:color w:val="auto"/>
        </w:rPr>
        <w:t>thermosetted</w:t>
      </w:r>
      <w:proofErr w:type="spellEnd"/>
      <w:r w:rsidR="009440F7">
        <w:rPr>
          <w:rFonts w:eastAsia="SimSun"/>
          <w:snapToGrid/>
          <w:color w:val="auto"/>
        </w:rPr>
        <w:t>, so as polymer composites.</w:t>
      </w:r>
      <w:r w:rsidR="003D1A9C">
        <w:rPr>
          <w:rFonts w:eastAsia="SimSun"/>
          <w:snapToGrid/>
          <w:color w:val="auto"/>
        </w:rPr>
        <w:t xml:space="preserve"> </w:t>
      </w:r>
      <w:r w:rsidR="009440F7">
        <w:rPr>
          <w:rFonts w:eastAsia="SimSun"/>
          <w:snapToGrid/>
          <w:color w:val="auto"/>
        </w:rPr>
        <w:t>B</w:t>
      </w:r>
      <w:r w:rsidR="003D1A9C">
        <w:rPr>
          <w:rFonts w:eastAsia="SimSun"/>
          <w:snapToGrid/>
          <w:color w:val="auto"/>
        </w:rPr>
        <w:t>ut</w:t>
      </w:r>
      <w:r w:rsidR="009440F7">
        <w:rPr>
          <w:rFonts w:eastAsia="SimSun"/>
          <w:snapToGrid/>
          <w:color w:val="auto"/>
        </w:rPr>
        <w:t xml:space="preserve"> both models are</w:t>
      </w:r>
      <w:r w:rsidR="003D1A9C">
        <w:rPr>
          <w:rFonts w:eastAsia="SimSun"/>
          <w:snapToGrid/>
          <w:color w:val="auto"/>
        </w:rPr>
        <w:t xml:space="preserve"> applicable for definite polymer or composition under heating</w:t>
      </w:r>
      <w:r>
        <w:rPr>
          <w:rFonts w:eastAsia="SimSun"/>
          <w:snapToGrid/>
          <w:color w:val="auto"/>
        </w:rPr>
        <w:t xml:space="preserve">, i.e. definite composition’s constant of model is not depending on temperature before </w:t>
      </w:r>
      <w:proofErr w:type="spellStart"/>
      <w:r>
        <w:rPr>
          <w:rFonts w:eastAsia="SimSun"/>
          <w:snapToGrid/>
          <w:color w:val="auto"/>
        </w:rPr>
        <w:t>Tg</w:t>
      </w:r>
      <w:proofErr w:type="spellEnd"/>
      <w:r w:rsidR="003D1A9C">
        <w:rPr>
          <w:rFonts w:eastAsia="SimSun"/>
          <w:snapToGrid/>
          <w:color w:val="auto"/>
        </w:rPr>
        <w:t>. The Barker’s model</w:t>
      </w:r>
      <w:r>
        <w:rPr>
          <w:rFonts w:eastAsia="SimSun"/>
          <w:snapToGrid/>
          <w:color w:val="auto"/>
        </w:rPr>
        <w:t xml:space="preserve"> is applicable to homogeneous materials: to polymers </w:t>
      </w:r>
      <w:r>
        <w:rPr>
          <w:rFonts w:eastAsia="SimSun"/>
          <w:snapToGrid/>
          <w:color w:val="auto"/>
        </w:rPr>
        <w:lastRenderedPageBreak/>
        <w:t>in our case. The relaxation model has the same accuracy for polymers and polymer composites too, demonstrated wider range of application.</w:t>
      </w:r>
    </w:p>
    <w:p w14:paraId="65BFF6BC" w14:textId="0B1F3391" w:rsidR="002B78DB" w:rsidRDefault="002B78DB" w:rsidP="007F6CE2">
      <w:pPr>
        <w:pStyle w:val="MDPI31text"/>
        <w:rPr>
          <w:rFonts w:eastAsia="SimSun"/>
          <w:snapToGrid/>
          <w:color w:val="auto"/>
        </w:rPr>
      </w:pPr>
      <w:r>
        <w:rPr>
          <w:rFonts w:eastAsia="SimSun"/>
          <w:snapToGrid/>
          <w:color w:val="auto"/>
        </w:rPr>
        <w:t xml:space="preserve">Finally, the relaxation model of </w:t>
      </w:r>
      <w:proofErr w:type="spellStart"/>
      <w:r>
        <w:rPr>
          <w:rFonts w:eastAsia="SimSun"/>
          <w:snapToGrid/>
          <w:color w:val="auto"/>
        </w:rPr>
        <w:t>MoE</w:t>
      </w:r>
      <w:proofErr w:type="spellEnd"/>
      <w:r>
        <w:rPr>
          <w:rFonts w:eastAsia="SimSun"/>
          <w:snapToGrid/>
          <w:color w:val="auto"/>
        </w:rPr>
        <w:t xml:space="preserve">-CTE relation is done and may be applicated in operative values of thermal expansion by </w:t>
      </w:r>
      <w:proofErr w:type="spellStart"/>
      <w:r>
        <w:rPr>
          <w:rFonts w:eastAsia="SimSun"/>
          <w:snapToGrid/>
          <w:color w:val="auto"/>
        </w:rPr>
        <w:t>MoE</w:t>
      </w:r>
      <w:proofErr w:type="spellEnd"/>
      <w:r>
        <w:rPr>
          <w:rFonts w:eastAsia="SimSun"/>
          <w:snapToGrid/>
          <w:color w:val="auto"/>
        </w:rPr>
        <w:t xml:space="preserve"> parameters or vice versa for </w:t>
      </w:r>
      <w:proofErr w:type="spellStart"/>
      <w:r>
        <w:rPr>
          <w:rFonts w:eastAsia="SimSun"/>
          <w:snapToGrid/>
          <w:color w:val="auto"/>
        </w:rPr>
        <w:t>MoE</w:t>
      </w:r>
      <w:proofErr w:type="spellEnd"/>
      <w:r>
        <w:rPr>
          <w:rFonts w:eastAsia="SimSun"/>
          <w:snapToGrid/>
          <w:color w:val="auto"/>
        </w:rPr>
        <w:t xml:space="preserve"> prediction by parameters of thermal expansion in polymer composite structures design and thermal and thermo-mechanical stresses’ and deformations’ calculations.</w:t>
      </w:r>
    </w:p>
    <w:p w14:paraId="34391F4E" w14:textId="20858A35" w:rsidR="003D1A9C" w:rsidRPr="003D1A9C" w:rsidRDefault="00C72347" w:rsidP="007F6CE2">
      <w:pPr>
        <w:pStyle w:val="MDPI31text"/>
        <w:rPr>
          <w:rFonts w:eastAsia="SimSun"/>
          <w:snapToGrid/>
          <w:color w:val="auto"/>
        </w:rPr>
      </w:pPr>
      <w:r>
        <w:rPr>
          <w:rFonts w:eastAsia="SimSun"/>
          <w:snapToGrid/>
          <w:color w:val="auto"/>
        </w:rPr>
        <w:t xml:space="preserve"> </w:t>
      </w:r>
    </w:p>
    <w:p w14:paraId="637CE405" w14:textId="77777777" w:rsidR="00243CDE" w:rsidRPr="00941523" w:rsidRDefault="00243CDE" w:rsidP="00243CDE">
      <w:pPr>
        <w:pStyle w:val="MDPI21heading1"/>
        <w:ind w:left="2968"/>
      </w:pPr>
      <w:r w:rsidRPr="00462FE9">
        <w:t>Funding</w:t>
      </w:r>
    </w:p>
    <w:p w14:paraId="49447CCA" w14:textId="77777777" w:rsidR="00243CDE" w:rsidRDefault="00243CDE" w:rsidP="00243CDE">
      <w:pPr>
        <w:pStyle w:val="MDPI31text"/>
        <w:spacing w:before="240" w:after="60"/>
      </w:pPr>
      <w:r w:rsidRPr="009C5A10">
        <w:t>The research was performed within the Ministry of Science and Higher Education of the Russian Federation state assignment FENU-2020-0019.</w:t>
      </w:r>
    </w:p>
    <w:p w14:paraId="63743D94" w14:textId="77777777" w:rsidR="00077D60" w:rsidRPr="00FA04F1" w:rsidRDefault="00077D60" w:rsidP="007F6CE2">
      <w:pPr>
        <w:pStyle w:val="MDPI21heading1"/>
        <w:ind w:left="0"/>
      </w:pPr>
      <w:r w:rsidRPr="00FA04F1">
        <w:t>References</w:t>
      </w:r>
    </w:p>
    <w:sdt>
      <w:sdtPr>
        <w:rPr>
          <w:rFonts w:eastAsia="SimSun"/>
          <w:snapToGrid w:val="0"/>
          <w:sz w:val="20"/>
          <w:szCs w:val="22"/>
        </w:rPr>
        <w:tag w:val="MENDELEY_BIBLIOGRAPHY"/>
        <w:id w:val="-1512068011"/>
        <w:placeholder>
          <w:docPart w:val="DefaultPlaceholder_-1854013440"/>
        </w:placeholder>
      </w:sdtPr>
      <w:sdtEndPr>
        <w:rPr>
          <w:lang w:eastAsia="zh-CN" w:bidi="ar-SA"/>
        </w:rPr>
      </w:sdtEndPr>
      <w:sdtContent>
        <w:p w14:paraId="7D6B3BB1" w14:textId="43FC2BC5" w:rsidR="005D2A32" w:rsidRPr="007F6CE2" w:rsidRDefault="005D2A32" w:rsidP="00FB7FAA">
          <w:pPr>
            <w:pStyle w:val="MDPI71References"/>
            <w:divId w:val="889419258"/>
            <w:rPr>
              <w:rFonts w:eastAsia="SimSun"/>
            </w:rPr>
          </w:pPr>
          <w:proofErr w:type="spellStart"/>
          <w:r w:rsidRPr="007F6CE2">
            <w:rPr>
              <w:rFonts w:eastAsia="SimSun"/>
            </w:rPr>
            <w:t>Astashkin</w:t>
          </w:r>
          <w:proofErr w:type="spellEnd"/>
          <w:r w:rsidRPr="007F6CE2">
            <w:rPr>
              <w:rFonts w:eastAsia="SimSun"/>
            </w:rPr>
            <w:t xml:space="preserve"> V.M., </w:t>
          </w:r>
          <w:proofErr w:type="spellStart"/>
          <w:r w:rsidRPr="007F6CE2">
            <w:rPr>
              <w:rFonts w:eastAsia="SimSun"/>
            </w:rPr>
            <w:t>Mishnev</w:t>
          </w:r>
          <w:proofErr w:type="spellEnd"/>
          <w:r w:rsidRPr="007F6CE2">
            <w:rPr>
              <w:rFonts w:eastAsia="SimSun"/>
            </w:rPr>
            <w:t xml:space="preserve"> M. v. On the Development of the Manufacturing Technology of Fiberglass Cylindrical Shells of Gas Exhaust Trunks by Buildup Winding // Procedia Engineering. 2016. Vol. 150.</w:t>
          </w:r>
        </w:p>
        <w:p w14:paraId="15DDE8D8" w14:textId="2E8ABC95" w:rsidR="005D2A32" w:rsidRPr="007F6CE2" w:rsidRDefault="005D2A32" w:rsidP="00FB7FAA">
          <w:pPr>
            <w:pStyle w:val="MDPI71References"/>
            <w:divId w:val="379866406"/>
            <w:rPr>
              <w:rFonts w:eastAsia="SimSun"/>
            </w:rPr>
          </w:pPr>
          <w:r w:rsidRPr="007F6CE2">
            <w:rPr>
              <w:rFonts w:eastAsia="SimSun"/>
            </w:rPr>
            <w:t>Bochicchio V.A. FRP chimney liners for power plant flue gas desulfurization - A chimney supplier’s perspective // NACE - International Corrosion Conference Series. 2011.</w:t>
          </w:r>
        </w:p>
        <w:p w14:paraId="7D3A5D8A" w14:textId="0806BD99" w:rsidR="005D2A32" w:rsidRPr="007F6CE2" w:rsidRDefault="005D2A32" w:rsidP="00FB7FAA">
          <w:pPr>
            <w:pStyle w:val="MDPI71References"/>
            <w:divId w:val="1454667429"/>
            <w:rPr>
              <w:rFonts w:eastAsia="SimSun"/>
            </w:rPr>
          </w:pPr>
          <w:proofErr w:type="spellStart"/>
          <w:r w:rsidRPr="007F6CE2">
            <w:rPr>
              <w:rFonts w:eastAsia="SimSun"/>
            </w:rPr>
            <w:t>Damatty</w:t>
          </w:r>
          <w:proofErr w:type="spellEnd"/>
          <w:r w:rsidRPr="007F6CE2">
            <w:rPr>
              <w:rFonts w:eastAsia="SimSun"/>
            </w:rPr>
            <w:t xml:space="preserve"> A.A., </w:t>
          </w:r>
          <w:proofErr w:type="spellStart"/>
          <w:r w:rsidRPr="007F6CE2">
            <w:rPr>
              <w:rFonts w:eastAsia="SimSun"/>
            </w:rPr>
            <w:t>Awad</w:t>
          </w:r>
          <w:proofErr w:type="spellEnd"/>
          <w:r w:rsidRPr="007F6CE2">
            <w:rPr>
              <w:rFonts w:eastAsia="SimSun"/>
            </w:rPr>
            <w:t xml:space="preserve"> A.S., Vickery B.J. Thermal analysis of FRP chimneys using consistent laminated shell element // Thin-Walled Structures. 2000.</w:t>
          </w:r>
        </w:p>
        <w:p w14:paraId="3FCEB0C9" w14:textId="4AD45684" w:rsidR="005D2A32" w:rsidRDefault="005D2A32" w:rsidP="00FB7FAA">
          <w:pPr>
            <w:pStyle w:val="MDPI71References"/>
            <w:divId w:val="720983478"/>
            <w:rPr>
              <w:rFonts w:eastAsia="SimSun"/>
            </w:rPr>
          </w:pPr>
          <w:r w:rsidRPr="007F6CE2">
            <w:rPr>
              <w:rFonts w:eastAsia="SimSun"/>
            </w:rPr>
            <w:t xml:space="preserve">García-Moreno I. et al. Effect of thermal ageing on the impact and flexural damage </w:t>
          </w:r>
          <w:proofErr w:type="spellStart"/>
          <w:r w:rsidRPr="007F6CE2">
            <w:rPr>
              <w:rFonts w:eastAsia="SimSun"/>
            </w:rPr>
            <w:t>behaviour</w:t>
          </w:r>
          <w:proofErr w:type="spellEnd"/>
          <w:r w:rsidRPr="007F6CE2">
            <w:rPr>
              <w:rFonts w:eastAsia="SimSun"/>
            </w:rPr>
            <w:t xml:space="preserve"> of carbon </w:t>
          </w:r>
          <w:proofErr w:type="spellStart"/>
          <w:r w:rsidRPr="007F6CE2">
            <w:rPr>
              <w:rFonts w:eastAsia="SimSun"/>
            </w:rPr>
            <w:t>fibre</w:t>
          </w:r>
          <w:proofErr w:type="spellEnd"/>
          <w:r w:rsidRPr="007F6CE2">
            <w:rPr>
              <w:rFonts w:eastAsia="SimSun"/>
            </w:rPr>
            <w:t>-reinforced epoxy laminates // Polymers (Basel). 2019.</w:t>
          </w:r>
        </w:p>
        <w:p w14:paraId="3D8EE821" w14:textId="725BA6CE" w:rsidR="00FB7FAA" w:rsidRDefault="00FB7FAA" w:rsidP="00FB7FAA">
          <w:pPr>
            <w:pStyle w:val="MDPI71References"/>
            <w:divId w:val="720983478"/>
            <w:rPr>
              <w:rFonts w:eastAsia="SimSun"/>
            </w:rPr>
          </w:pPr>
          <w:r w:rsidRPr="00FB7FAA">
            <w:rPr>
              <w:rFonts w:eastAsia="SimSun"/>
            </w:rPr>
            <w:t>Barker Jr. R. E.</w:t>
          </w:r>
          <w:r>
            <w:rPr>
              <w:rFonts w:eastAsia="SimSun"/>
            </w:rPr>
            <w:t xml:space="preserve"> </w:t>
          </w:r>
          <w:r w:rsidRPr="00FB7FAA">
            <w:rPr>
              <w:rFonts w:eastAsia="SimSun"/>
            </w:rPr>
            <w:t>An Approximate Relation Between Elastic Moduli and Thermal Expansivities</w:t>
          </w:r>
          <w:r>
            <w:rPr>
              <w:rFonts w:eastAsia="SimSun"/>
            </w:rPr>
            <w:t xml:space="preserve"> //</w:t>
          </w:r>
          <w:r w:rsidRPr="00FB7FAA">
            <w:rPr>
              <w:rFonts w:eastAsia="SimSun"/>
            </w:rPr>
            <w:t xml:space="preserve">Journal of Applied Physics 34, 107 (1963); </w:t>
          </w:r>
          <w:hyperlink r:id="rId34" w:history="1">
            <w:r w:rsidR="00874B99" w:rsidRPr="00EB1DEF">
              <w:rPr>
                <w:rStyle w:val="ab"/>
                <w:rFonts w:eastAsia="SimSun"/>
              </w:rPr>
              <w:t>https://doi.org/10.1063/1.1729049</w:t>
            </w:r>
          </w:hyperlink>
          <w:r>
            <w:rPr>
              <w:rFonts w:eastAsia="SimSun"/>
            </w:rPr>
            <w:t>.</w:t>
          </w:r>
        </w:p>
        <w:p w14:paraId="7C6D864A" w14:textId="77777777" w:rsidR="00874B99" w:rsidRPr="00DE302D" w:rsidRDefault="00874B99" w:rsidP="00874B99">
          <w:pPr>
            <w:pStyle w:val="MDPI71References"/>
            <w:divId w:val="720983478"/>
            <w:rPr>
              <w:snapToGrid w:val="0"/>
            </w:rPr>
          </w:pPr>
          <w:proofErr w:type="spellStart"/>
          <w:r w:rsidRPr="003D7A2F">
            <w:rPr>
              <w:snapToGrid w:val="0"/>
            </w:rPr>
            <w:t>Lomakin</w:t>
          </w:r>
          <w:proofErr w:type="spellEnd"/>
          <w:r w:rsidRPr="003D7A2F">
            <w:rPr>
              <w:snapToGrid w:val="0"/>
            </w:rPr>
            <w:t xml:space="preserve">, V.A.; </w:t>
          </w:r>
          <w:proofErr w:type="spellStart"/>
          <w:r w:rsidRPr="003D7A2F">
            <w:rPr>
              <w:snapToGrid w:val="0"/>
            </w:rPr>
            <w:t>Ogibalov</w:t>
          </w:r>
          <w:proofErr w:type="spellEnd"/>
          <w:r w:rsidRPr="003D7A2F">
            <w:rPr>
              <w:snapToGrid w:val="0"/>
            </w:rPr>
            <w:t xml:space="preserve">, P.M.; </w:t>
          </w:r>
          <w:proofErr w:type="spellStart"/>
          <w:r w:rsidRPr="003D7A2F">
            <w:rPr>
              <w:snapToGrid w:val="0"/>
            </w:rPr>
            <w:t>Teters</w:t>
          </w:r>
          <w:proofErr w:type="spellEnd"/>
          <w:r w:rsidRPr="003D7A2F">
            <w:rPr>
              <w:snapToGrid w:val="0"/>
            </w:rPr>
            <w:t xml:space="preserve">, G.A. Problems of the theory of deformation of polymeric materials. </w:t>
          </w:r>
          <w:proofErr w:type="spellStart"/>
          <w:r w:rsidRPr="00DE302D">
            <w:rPr>
              <w:i/>
              <w:snapToGrid w:val="0"/>
            </w:rPr>
            <w:t>Polym</w:t>
          </w:r>
          <w:proofErr w:type="spellEnd"/>
          <w:r w:rsidRPr="00DE302D">
            <w:rPr>
              <w:i/>
              <w:snapToGrid w:val="0"/>
            </w:rPr>
            <w:t xml:space="preserve">. Mech. </w:t>
          </w:r>
          <w:r w:rsidRPr="00DE302D">
            <w:rPr>
              <w:b/>
              <w:bCs/>
              <w:snapToGrid w:val="0"/>
            </w:rPr>
            <w:t>1972</w:t>
          </w:r>
          <w:r w:rsidRPr="00DE302D">
            <w:rPr>
              <w:snapToGrid w:val="0"/>
            </w:rPr>
            <w:t xml:space="preserve">, </w:t>
          </w:r>
          <w:r w:rsidRPr="00DE302D">
            <w:rPr>
              <w:i/>
              <w:iCs/>
              <w:snapToGrid w:val="0"/>
            </w:rPr>
            <w:t>8</w:t>
          </w:r>
          <w:r w:rsidRPr="00DE302D">
            <w:rPr>
              <w:snapToGrid w:val="0"/>
            </w:rPr>
            <w:t>, 377–385. https://doi.org/10.1007/BF00856361.</w:t>
          </w:r>
        </w:p>
        <w:p w14:paraId="10C5BECB" w14:textId="77777777" w:rsidR="00874B99" w:rsidRPr="00DE302D" w:rsidRDefault="00874B99" w:rsidP="00874B99">
          <w:pPr>
            <w:pStyle w:val="MDPI71References"/>
            <w:divId w:val="720983478"/>
            <w:rPr>
              <w:snapToGrid w:val="0"/>
            </w:rPr>
          </w:pPr>
          <w:r w:rsidRPr="003D7A2F">
            <w:rPr>
              <w:snapToGrid w:val="0"/>
            </w:rPr>
            <w:t xml:space="preserve">Vashisth, A.; Ashraf, C.; Bakis, C.E.; van Duin, A.C.T. Effect of chemical structure on thermo-mechanical properties of epoxy polymers: Comparison of accelerated </w:t>
          </w:r>
          <w:proofErr w:type="spellStart"/>
          <w:r w:rsidRPr="003D7A2F">
            <w:rPr>
              <w:snapToGrid w:val="0"/>
            </w:rPr>
            <w:t>ReaxFF</w:t>
          </w:r>
          <w:proofErr w:type="spellEnd"/>
          <w:r w:rsidRPr="003D7A2F">
            <w:rPr>
              <w:snapToGrid w:val="0"/>
            </w:rPr>
            <w:t xml:space="preserve"> simulations and experiments. </w:t>
          </w:r>
          <w:r w:rsidRPr="00DE302D">
            <w:rPr>
              <w:i/>
              <w:snapToGrid w:val="0"/>
            </w:rPr>
            <w:t xml:space="preserve">Polymer </w:t>
          </w:r>
          <w:r w:rsidRPr="00DE302D">
            <w:rPr>
              <w:b/>
              <w:bCs/>
              <w:snapToGrid w:val="0"/>
            </w:rPr>
            <w:t>2018</w:t>
          </w:r>
          <w:r w:rsidRPr="00DE302D">
            <w:rPr>
              <w:snapToGrid w:val="0"/>
            </w:rPr>
            <w:t xml:space="preserve">, </w:t>
          </w:r>
          <w:r w:rsidRPr="00DE302D">
            <w:rPr>
              <w:i/>
              <w:iCs/>
              <w:snapToGrid w:val="0"/>
            </w:rPr>
            <w:t>158</w:t>
          </w:r>
          <w:r w:rsidRPr="00DE302D">
            <w:rPr>
              <w:snapToGrid w:val="0"/>
            </w:rPr>
            <w:t>, 354–363. https://doi.org/10.1016/j.polymer.2018.11.005.</w:t>
          </w:r>
        </w:p>
        <w:p w14:paraId="4DE18CDF" w14:textId="0712420A" w:rsidR="00874B99" w:rsidRDefault="00874B99" w:rsidP="00874B99">
          <w:pPr>
            <w:pStyle w:val="MDPI71References"/>
            <w:divId w:val="720983478"/>
            <w:rPr>
              <w:snapToGrid w:val="0"/>
            </w:rPr>
          </w:pPr>
          <w:proofErr w:type="spellStart"/>
          <w:r w:rsidRPr="003D7A2F">
            <w:rPr>
              <w:snapToGrid w:val="0"/>
            </w:rPr>
            <w:t>Kuperman</w:t>
          </w:r>
          <w:proofErr w:type="spellEnd"/>
          <w:r w:rsidRPr="003D7A2F">
            <w:rPr>
              <w:snapToGrid w:val="0"/>
            </w:rPr>
            <w:t xml:space="preserve">, A.M.; </w:t>
          </w:r>
          <w:proofErr w:type="spellStart"/>
          <w:r w:rsidRPr="003D7A2F">
            <w:rPr>
              <w:snapToGrid w:val="0"/>
            </w:rPr>
            <w:t>Turusov</w:t>
          </w:r>
          <w:proofErr w:type="spellEnd"/>
          <w:r w:rsidRPr="003D7A2F">
            <w:rPr>
              <w:snapToGrid w:val="0"/>
            </w:rPr>
            <w:t xml:space="preserve">, R.A.; </w:t>
          </w:r>
          <w:proofErr w:type="spellStart"/>
          <w:r w:rsidRPr="003D7A2F">
            <w:rPr>
              <w:snapToGrid w:val="0"/>
            </w:rPr>
            <w:t>Gorenberg</w:t>
          </w:r>
          <w:proofErr w:type="spellEnd"/>
          <w:r w:rsidRPr="003D7A2F">
            <w:rPr>
              <w:snapToGrid w:val="0"/>
            </w:rPr>
            <w:t xml:space="preserve">, A.Y. Study of elastic and strength properties of hybrid and gradient polymer composites. </w:t>
          </w:r>
          <w:r w:rsidRPr="003D7A2F">
            <w:rPr>
              <w:i/>
              <w:snapToGrid w:val="0"/>
            </w:rPr>
            <w:t xml:space="preserve">Compos. Mech. </w:t>
          </w:r>
          <w:proofErr w:type="spellStart"/>
          <w:r w:rsidRPr="003D7A2F">
            <w:rPr>
              <w:i/>
              <w:snapToGrid w:val="0"/>
            </w:rPr>
            <w:t>Comput</w:t>
          </w:r>
          <w:proofErr w:type="spellEnd"/>
          <w:r w:rsidRPr="003D7A2F">
            <w:rPr>
              <w:i/>
              <w:snapToGrid w:val="0"/>
            </w:rPr>
            <w:t xml:space="preserve">. Appl. </w:t>
          </w:r>
          <w:r w:rsidRPr="003D7A2F">
            <w:rPr>
              <w:b/>
              <w:bCs/>
              <w:snapToGrid w:val="0"/>
            </w:rPr>
            <w:t>2010</w:t>
          </w:r>
          <w:r w:rsidRPr="003D7A2F">
            <w:rPr>
              <w:snapToGrid w:val="0"/>
            </w:rPr>
            <w:t xml:space="preserve">, </w:t>
          </w:r>
          <w:r w:rsidRPr="003D7A2F">
            <w:rPr>
              <w:i/>
              <w:iCs/>
              <w:snapToGrid w:val="0"/>
            </w:rPr>
            <w:t>1</w:t>
          </w:r>
          <w:r w:rsidRPr="003D7A2F">
            <w:rPr>
              <w:snapToGrid w:val="0"/>
            </w:rPr>
            <w:t xml:space="preserve">, 361–373. </w:t>
          </w:r>
          <w:hyperlink r:id="rId35" w:history="1">
            <w:r w:rsidRPr="00EB1DEF">
              <w:rPr>
                <w:rStyle w:val="ab"/>
                <w:snapToGrid w:val="0"/>
              </w:rPr>
              <w:t>https://doi.org/10.1615/CompMechComputApplIntJ.v1.i4.50</w:t>
            </w:r>
          </w:hyperlink>
          <w:r w:rsidRPr="003D7A2F">
            <w:rPr>
              <w:snapToGrid w:val="0"/>
            </w:rPr>
            <w:t>.</w:t>
          </w:r>
        </w:p>
        <w:p w14:paraId="627C1CFF" w14:textId="52AED1A0" w:rsidR="0012269E" w:rsidRDefault="0012269E" w:rsidP="00874B99">
          <w:pPr>
            <w:pStyle w:val="MDPI71References"/>
            <w:divId w:val="720983478"/>
            <w:rPr>
              <w:snapToGrid w:val="0"/>
            </w:rPr>
          </w:pPr>
          <w:proofErr w:type="spellStart"/>
          <w:r w:rsidRPr="007F6CE2">
            <w:rPr>
              <w:rFonts w:eastAsia="SimSun"/>
              <w:lang w:eastAsia="zh-CN" w:bidi="ar-SA"/>
            </w:rPr>
            <w:t>Lobanov</w:t>
          </w:r>
          <w:proofErr w:type="spellEnd"/>
          <w:r w:rsidRPr="007F6CE2">
            <w:rPr>
              <w:rFonts w:eastAsia="SimSun"/>
              <w:lang w:eastAsia="zh-CN" w:bidi="ar-SA"/>
            </w:rPr>
            <w:t xml:space="preserve"> D.S., </w:t>
          </w:r>
          <w:proofErr w:type="spellStart"/>
          <w:r w:rsidRPr="007F6CE2">
            <w:rPr>
              <w:rFonts w:eastAsia="SimSun"/>
              <w:lang w:eastAsia="zh-CN" w:bidi="ar-SA"/>
            </w:rPr>
            <w:t>Slovikov</w:t>
          </w:r>
          <w:proofErr w:type="spellEnd"/>
          <w:r w:rsidRPr="007F6CE2">
            <w:rPr>
              <w:rFonts w:eastAsia="SimSun"/>
              <w:lang w:eastAsia="zh-CN" w:bidi="ar-SA"/>
            </w:rPr>
            <w:t xml:space="preserve"> S. v. Mechanical Behavior of a Unidirectional Basalt-Fiber-Reinforced Plastic Under Thermomechanical Loadings // Mechanics of Composite Materials. 2018. Vol. 54, № 3.</w:t>
          </w:r>
        </w:p>
        <w:p w14:paraId="7F25D667" w14:textId="77777777" w:rsidR="00874B99" w:rsidRPr="007F6CE2" w:rsidRDefault="00874B99" w:rsidP="00874B99">
          <w:pPr>
            <w:pStyle w:val="MDPI71References"/>
            <w:divId w:val="720983478"/>
            <w:rPr>
              <w:rFonts w:eastAsia="SimSun"/>
            </w:rPr>
          </w:pPr>
          <w:r w:rsidRPr="007F6CE2">
            <w:rPr>
              <w:rFonts w:eastAsia="SimSun"/>
            </w:rPr>
            <w:t xml:space="preserve">Wong C.P., </w:t>
          </w:r>
          <w:proofErr w:type="spellStart"/>
          <w:r w:rsidRPr="007F6CE2">
            <w:rPr>
              <w:rFonts w:eastAsia="SimSun"/>
            </w:rPr>
            <w:t>Bollampally</w:t>
          </w:r>
          <w:proofErr w:type="spellEnd"/>
          <w:r w:rsidRPr="007F6CE2">
            <w:rPr>
              <w:rFonts w:eastAsia="SimSun"/>
            </w:rPr>
            <w:t xml:space="preserve"> R.S. Thermal conductivity, elastic modulus, and coefficient of thermal expansion of polymer composites filled with ceramic particles for electronic packaging // J Appl </w:t>
          </w:r>
          <w:proofErr w:type="spellStart"/>
          <w:r w:rsidRPr="007F6CE2">
            <w:rPr>
              <w:rFonts w:eastAsia="SimSun"/>
            </w:rPr>
            <w:t>Polym</w:t>
          </w:r>
          <w:proofErr w:type="spellEnd"/>
          <w:r w:rsidRPr="007F6CE2">
            <w:rPr>
              <w:rFonts w:eastAsia="SimSun"/>
            </w:rPr>
            <w:t xml:space="preserve"> Sci. 1999. Vol. 74, № 14.</w:t>
          </w:r>
        </w:p>
        <w:p w14:paraId="656FED61" w14:textId="77777777" w:rsidR="00874B99" w:rsidRDefault="00874B99" w:rsidP="00874B99">
          <w:pPr>
            <w:pStyle w:val="MDPI71References"/>
            <w:divId w:val="1337227697"/>
            <w:rPr>
              <w:rFonts w:eastAsia="SimSun"/>
              <w:lang w:eastAsia="zh-CN" w:bidi="ar-SA"/>
            </w:rPr>
          </w:pPr>
          <w:r w:rsidRPr="00874B99">
            <w:rPr>
              <w:rFonts w:eastAsia="SimSun"/>
              <w:lang w:eastAsia="zh-CN" w:bidi="ar-SA"/>
            </w:rPr>
            <w:t>Davy K.W.M., Braden M. Thermal expansion of glassy polymers // Biomaterials. 1992. Vol. 13, № 14</w:t>
          </w:r>
          <w:r w:rsidR="005D2A32" w:rsidRPr="00874B99">
            <w:rPr>
              <w:rFonts w:eastAsia="SimSun"/>
              <w:lang w:eastAsia="zh-CN" w:bidi="ar-SA"/>
            </w:rPr>
            <w:t>.</w:t>
          </w:r>
        </w:p>
        <w:p w14:paraId="716F6579" w14:textId="77777777" w:rsidR="00874B99" w:rsidRDefault="00874B99" w:rsidP="00874B99">
          <w:pPr>
            <w:pStyle w:val="MDPI71References"/>
            <w:divId w:val="1337227697"/>
            <w:rPr>
              <w:rFonts w:eastAsia="SimSun"/>
              <w:lang w:eastAsia="zh-CN" w:bidi="ar-SA"/>
            </w:rPr>
          </w:pPr>
          <w:r w:rsidRPr="007F6CE2">
            <w:rPr>
              <w:rFonts w:eastAsia="SimSun"/>
              <w:lang w:eastAsia="zh-CN" w:bidi="ar-SA"/>
            </w:rPr>
            <w:t>Schwarz G. Thermal expansion of polymers from 4.2 K to room temperature // Cryogenics (</w:t>
          </w:r>
          <w:proofErr w:type="spellStart"/>
          <w:r w:rsidRPr="007F6CE2">
            <w:rPr>
              <w:rFonts w:eastAsia="SimSun"/>
              <w:lang w:eastAsia="zh-CN" w:bidi="ar-SA"/>
            </w:rPr>
            <w:t>Guildf</w:t>
          </w:r>
          <w:proofErr w:type="spellEnd"/>
          <w:r w:rsidRPr="007F6CE2">
            <w:rPr>
              <w:rFonts w:eastAsia="SimSun"/>
              <w:lang w:eastAsia="zh-CN" w:bidi="ar-SA"/>
            </w:rPr>
            <w:t>). 1988. Vol. 28, № 4.</w:t>
          </w:r>
        </w:p>
        <w:p w14:paraId="54B01E08" w14:textId="6A5FB6B6" w:rsidR="005D2A32" w:rsidRDefault="00874B99" w:rsidP="00874B99">
          <w:pPr>
            <w:pStyle w:val="MDPI71References"/>
            <w:divId w:val="1337227697"/>
            <w:rPr>
              <w:rFonts w:eastAsia="SimSun"/>
              <w:lang w:bidi="ar-SA"/>
            </w:rPr>
          </w:pPr>
          <w:r w:rsidRPr="00874B99">
            <w:rPr>
              <w:rFonts w:eastAsia="SimSun"/>
            </w:rPr>
            <w:t xml:space="preserve">Foster J.C. et al. Tuning Epoxy </w:t>
          </w:r>
          <w:proofErr w:type="spellStart"/>
          <w:r w:rsidRPr="00874B99">
            <w:rPr>
              <w:rFonts w:eastAsia="SimSun"/>
            </w:rPr>
            <w:t>Thermomechanics</w:t>
          </w:r>
          <w:proofErr w:type="spellEnd"/>
          <w:r w:rsidRPr="00874B99">
            <w:rPr>
              <w:rFonts w:eastAsia="SimSun"/>
            </w:rPr>
            <w:t xml:space="preserve"> via Thermal Isomerization: A Route to Negative Coefficient of Thermal Expansion Materials // ACS Macro Lett. 2021. Vol. 10, № 7.</w:t>
          </w:r>
        </w:p>
        <w:p w14:paraId="74F149A4" w14:textId="1188DE83" w:rsidR="00874B99" w:rsidRDefault="00874B99" w:rsidP="00874B99">
          <w:pPr>
            <w:pStyle w:val="MDPI71References"/>
            <w:divId w:val="1337227697"/>
            <w:rPr>
              <w:rFonts w:eastAsia="SimSun"/>
              <w:lang w:bidi="ar-SA"/>
            </w:rPr>
          </w:pPr>
          <w:r w:rsidRPr="007F6CE2">
            <w:rPr>
              <w:rFonts w:eastAsia="SimSun"/>
              <w:lang w:eastAsia="zh-CN" w:bidi="ar-SA"/>
            </w:rPr>
            <w:t xml:space="preserve">Heinle M., Drummer D. Temperature-dependent coefficient of thermal expansion (CTE) of injection molded, short-glass-fiber-reinforced polymers // </w:t>
          </w:r>
          <w:proofErr w:type="spellStart"/>
          <w:r w:rsidRPr="007F6CE2">
            <w:rPr>
              <w:rFonts w:eastAsia="SimSun"/>
              <w:lang w:eastAsia="zh-CN" w:bidi="ar-SA"/>
            </w:rPr>
            <w:t>Polym</w:t>
          </w:r>
          <w:proofErr w:type="spellEnd"/>
          <w:r w:rsidRPr="007F6CE2">
            <w:rPr>
              <w:rFonts w:eastAsia="SimSun"/>
              <w:lang w:eastAsia="zh-CN" w:bidi="ar-SA"/>
            </w:rPr>
            <w:t xml:space="preserve"> </w:t>
          </w:r>
          <w:proofErr w:type="spellStart"/>
          <w:r w:rsidRPr="007F6CE2">
            <w:rPr>
              <w:rFonts w:eastAsia="SimSun"/>
              <w:lang w:eastAsia="zh-CN" w:bidi="ar-SA"/>
            </w:rPr>
            <w:t>Eng</w:t>
          </w:r>
          <w:proofErr w:type="spellEnd"/>
          <w:r w:rsidRPr="007F6CE2">
            <w:rPr>
              <w:rFonts w:eastAsia="SimSun"/>
              <w:lang w:eastAsia="zh-CN" w:bidi="ar-SA"/>
            </w:rPr>
            <w:t xml:space="preserve"> Sci. 2015. Vol. 55, № 11.</w:t>
          </w:r>
        </w:p>
        <w:p w14:paraId="4F00AB4A" w14:textId="77777777" w:rsidR="0012269E" w:rsidRPr="007F6CE2" w:rsidRDefault="0012269E" w:rsidP="0012269E">
          <w:pPr>
            <w:pStyle w:val="MDPI71References"/>
            <w:divId w:val="1337227697"/>
            <w:rPr>
              <w:rFonts w:eastAsia="SimSun"/>
            </w:rPr>
          </w:pPr>
          <w:proofErr w:type="spellStart"/>
          <w:r w:rsidRPr="007F6CE2">
            <w:rPr>
              <w:rFonts w:eastAsia="SimSun"/>
            </w:rPr>
            <w:t>Vaggar</w:t>
          </w:r>
          <w:proofErr w:type="spellEnd"/>
          <w:r w:rsidRPr="007F6CE2">
            <w:rPr>
              <w:rFonts w:eastAsia="SimSun"/>
            </w:rPr>
            <w:t xml:space="preserve"> G.B., </w:t>
          </w:r>
          <w:proofErr w:type="spellStart"/>
          <w:r w:rsidRPr="007F6CE2">
            <w:rPr>
              <w:rFonts w:eastAsia="SimSun"/>
            </w:rPr>
            <w:t>Kamate</w:t>
          </w:r>
          <w:proofErr w:type="spellEnd"/>
          <w:r w:rsidRPr="007F6CE2">
            <w:rPr>
              <w:rFonts w:eastAsia="SimSun"/>
            </w:rPr>
            <w:t xml:space="preserve"> S.C., </w:t>
          </w:r>
          <w:proofErr w:type="spellStart"/>
          <w:r w:rsidRPr="007F6CE2">
            <w:rPr>
              <w:rFonts w:eastAsia="SimSun"/>
            </w:rPr>
            <w:t>Badyankal</w:t>
          </w:r>
          <w:proofErr w:type="spellEnd"/>
          <w:r w:rsidRPr="007F6CE2">
            <w:rPr>
              <w:rFonts w:eastAsia="SimSun"/>
            </w:rPr>
            <w:t xml:space="preserve"> P. v. Thermal properties characterization of glass fiber hybrid polymer composite materials // International Journal of Engineering and </w:t>
          </w:r>
          <w:proofErr w:type="gramStart"/>
          <w:r w:rsidRPr="007F6CE2">
            <w:rPr>
              <w:rFonts w:eastAsia="SimSun"/>
            </w:rPr>
            <w:t>Technology(</w:t>
          </w:r>
          <w:proofErr w:type="gramEnd"/>
          <w:r w:rsidRPr="007F6CE2">
            <w:rPr>
              <w:rFonts w:eastAsia="SimSun"/>
            </w:rPr>
            <w:t xml:space="preserve">UAE). 2018. Vol. 7, № 3.34 Special </w:t>
          </w:r>
          <w:proofErr w:type="gramStart"/>
          <w:r w:rsidRPr="007F6CE2">
            <w:rPr>
              <w:rFonts w:eastAsia="SimSun"/>
            </w:rPr>
            <w:t>Issue  34</w:t>
          </w:r>
          <w:proofErr w:type="gramEnd"/>
          <w:r w:rsidRPr="007F6CE2">
            <w:rPr>
              <w:rFonts w:eastAsia="SimSun"/>
            </w:rPr>
            <w:t>.</w:t>
          </w:r>
        </w:p>
        <w:p w14:paraId="4ACCF11A" w14:textId="1EB12D48" w:rsidR="00874B99" w:rsidRDefault="0012269E" w:rsidP="00874B99">
          <w:pPr>
            <w:pStyle w:val="MDPI71References"/>
            <w:divId w:val="1337227697"/>
            <w:rPr>
              <w:rFonts w:eastAsia="SimSun"/>
              <w:lang w:bidi="ar-SA"/>
            </w:rPr>
          </w:pPr>
          <w:proofErr w:type="spellStart"/>
          <w:r w:rsidRPr="007F6CE2">
            <w:rPr>
              <w:rFonts w:eastAsia="SimSun"/>
              <w:lang w:eastAsia="zh-CN" w:bidi="ar-SA"/>
            </w:rPr>
            <w:t>Baschek</w:t>
          </w:r>
          <w:proofErr w:type="spellEnd"/>
          <w:r w:rsidRPr="007F6CE2">
            <w:rPr>
              <w:rFonts w:eastAsia="SimSun"/>
              <w:lang w:eastAsia="zh-CN" w:bidi="ar-SA"/>
            </w:rPr>
            <w:t xml:space="preserve"> G., Hartwig G. Parameters influencing the thermal expansion of polymers and </w:t>
          </w:r>
          <w:proofErr w:type="spellStart"/>
          <w:r w:rsidRPr="007F6CE2">
            <w:rPr>
              <w:rFonts w:eastAsia="SimSun"/>
              <w:lang w:eastAsia="zh-CN" w:bidi="ar-SA"/>
            </w:rPr>
            <w:t>fibre</w:t>
          </w:r>
          <w:proofErr w:type="spellEnd"/>
          <w:r w:rsidRPr="007F6CE2">
            <w:rPr>
              <w:rFonts w:eastAsia="SimSun"/>
              <w:lang w:eastAsia="zh-CN" w:bidi="ar-SA"/>
            </w:rPr>
            <w:t xml:space="preserve"> composites // Cryogenics (</w:t>
          </w:r>
          <w:proofErr w:type="spellStart"/>
          <w:r w:rsidRPr="007F6CE2">
            <w:rPr>
              <w:rFonts w:eastAsia="SimSun"/>
              <w:lang w:eastAsia="zh-CN" w:bidi="ar-SA"/>
            </w:rPr>
            <w:t>Guildf</w:t>
          </w:r>
          <w:proofErr w:type="spellEnd"/>
          <w:r w:rsidRPr="007F6CE2">
            <w:rPr>
              <w:rFonts w:eastAsia="SimSun"/>
              <w:lang w:eastAsia="zh-CN" w:bidi="ar-SA"/>
            </w:rPr>
            <w:t>). 1998. Vol. 38, № 1.</w:t>
          </w:r>
        </w:p>
        <w:p w14:paraId="0E22F727" w14:textId="53B69C2D" w:rsidR="0012269E" w:rsidRDefault="0012269E" w:rsidP="00874B99">
          <w:pPr>
            <w:pStyle w:val="MDPI71References"/>
            <w:divId w:val="1337227697"/>
            <w:rPr>
              <w:rFonts w:eastAsia="SimSun"/>
              <w:lang w:bidi="ar-SA"/>
            </w:rPr>
          </w:pPr>
          <w:r w:rsidRPr="007F6CE2">
            <w:rPr>
              <w:rFonts w:eastAsia="SimSun"/>
              <w:lang w:eastAsia="zh-CN" w:bidi="ar-SA"/>
            </w:rPr>
            <w:t xml:space="preserve">Ribeiro M.C.S. et al. Thermal expansion of epoxy and polyester polymer mortars - Plain mortars and </w:t>
          </w:r>
          <w:proofErr w:type="spellStart"/>
          <w:r w:rsidRPr="007F6CE2">
            <w:rPr>
              <w:rFonts w:eastAsia="SimSun"/>
              <w:lang w:eastAsia="zh-CN" w:bidi="ar-SA"/>
            </w:rPr>
            <w:t>fibre</w:t>
          </w:r>
          <w:proofErr w:type="spellEnd"/>
          <w:r w:rsidRPr="007F6CE2">
            <w:rPr>
              <w:rFonts w:eastAsia="SimSun"/>
              <w:lang w:eastAsia="zh-CN" w:bidi="ar-SA"/>
            </w:rPr>
            <w:t xml:space="preserve">-reinforced mortars // </w:t>
          </w:r>
          <w:proofErr w:type="spellStart"/>
          <w:r w:rsidRPr="007F6CE2">
            <w:rPr>
              <w:rFonts w:eastAsia="SimSun"/>
              <w:lang w:eastAsia="zh-CN" w:bidi="ar-SA"/>
            </w:rPr>
            <w:t>Polym</w:t>
          </w:r>
          <w:proofErr w:type="spellEnd"/>
          <w:r w:rsidRPr="007F6CE2">
            <w:rPr>
              <w:rFonts w:eastAsia="SimSun"/>
              <w:lang w:eastAsia="zh-CN" w:bidi="ar-SA"/>
            </w:rPr>
            <w:t xml:space="preserve"> Test. 2003. Vol. 22, № 8.</w:t>
          </w:r>
        </w:p>
        <w:p w14:paraId="1F924889" w14:textId="77F98B89" w:rsidR="0012269E" w:rsidRDefault="0012269E" w:rsidP="00874B99">
          <w:pPr>
            <w:pStyle w:val="MDPI71References"/>
            <w:divId w:val="1337227697"/>
            <w:rPr>
              <w:rFonts w:eastAsia="SimSun"/>
              <w:lang w:bidi="ar-SA"/>
            </w:rPr>
          </w:pPr>
          <w:proofErr w:type="spellStart"/>
          <w:r w:rsidRPr="007F6CE2">
            <w:rPr>
              <w:rFonts w:eastAsia="SimSun"/>
              <w:lang w:eastAsia="zh-CN" w:bidi="ar-SA"/>
            </w:rPr>
            <w:t>Shardakov</w:t>
          </w:r>
          <w:proofErr w:type="spellEnd"/>
          <w:r w:rsidRPr="007F6CE2">
            <w:rPr>
              <w:rFonts w:eastAsia="SimSun"/>
              <w:lang w:eastAsia="zh-CN" w:bidi="ar-SA"/>
            </w:rPr>
            <w:t xml:space="preserve"> I.N., </w:t>
          </w:r>
          <w:proofErr w:type="spellStart"/>
          <w:r w:rsidRPr="007F6CE2">
            <w:rPr>
              <w:rFonts w:eastAsia="SimSun"/>
              <w:lang w:eastAsia="zh-CN" w:bidi="ar-SA"/>
            </w:rPr>
            <w:t>Trufanov</w:t>
          </w:r>
          <w:proofErr w:type="spellEnd"/>
          <w:r w:rsidRPr="007F6CE2">
            <w:rPr>
              <w:rFonts w:eastAsia="SimSun"/>
              <w:lang w:eastAsia="zh-CN" w:bidi="ar-SA"/>
            </w:rPr>
            <w:t xml:space="preserve"> A.N. Identification of the temperature dependence of the thermal expansion coefficient of polymers // Polymers (Basel). 2021. Vol. 13, № 18.</w:t>
          </w:r>
        </w:p>
        <w:p w14:paraId="3B6B113D" w14:textId="595B4A67" w:rsidR="0012269E" w:rsidRDefault="0012269E" w:rsidP="00874B99">
          <w:pPr>
            <w:pStyle w:val="MDPI71References"/>
            <w:divId w:val="1337227697"/>
            <w:rPr>
              <w:rFonts w:eastAsia="SimSun"/>
              <w:lang w:bidi="ar-SA"/>
            </w:rPr>
          </w:pPr>
          <w:r w:rsidRPr="007F6CE2">
            <w:rPr>
              <w:rFonts w:eastAsia="SimSun"/>
              <w:lang w:eastAsia="zh-CN" w:bidi="ar-SA"/>
            </w:rPr>
            <w:t>Sun Q. et al. Influence of conformational change of chain unit on the intrinsic negative thermal expansion of polymers // Chinese Chemical Letters. 2020.</w:t>
          </w:r>
        </w:p>
        <w:p w14:paraId="1E423F0A" w14:textId="1876AAD9" w:rsidR="0012269E" w:rsidRDefault="0012269E" w:rsidP="00874B99">
          <w:pPr>
            <w:pStyle w:val="MDPI71References"/>
            <w:divId w:val="1337227697"/>
            <w:rPr>
              <w:rFonts w:eastAsia="SimSun"/>
              <w:lang w:bidi="ar-SA"/>
            </w:rPr>
          </w:pPr>
          <w:r w:rsidRPr="007F6CE2">
            <w:rPr>
              <w:rFonts w:eastAsia="SimSun"/>
              <w:lang w:eastAsia="zh-CN" w:bidi="ar-SA"/>
            </w:rPr>
            <w:t xml:space="preserve">Abbasi A., </w:t>
          </w:r>
          <w:proofErr w:type="spellStart"/>
          <w:r w:rsidRPr="007F6CE2">
            <w:rPr>
              <w:rFonts w:eastAsia="SimSun"/>
              <w:lang w:eastAsia="zh-CN" w:bidi="ar-SA"/>
            </w:rPr>
            <w:t>Mondali</w:t>
          </w:r>
          <w:proofErr w:type="spellEnd"/>
          <w:r w:rsidRPr="007F6CE2">
            <w:rPr>
              <w:rFonts w:eastAsia="SimSun"/>
              <w:lang w:eastAsia="zh-CN" w:bidi="ar-SA"/>
            </w:rPr>
            <w:t xml:space="preserve"> M. An analytical approach to determine coefficients of thermal expansion of CNT/polymer nanocomposites // Proc Inst Mech Eng C J Mech Eng Sci. 2020. Vol. 234, № 21.</w:t>
          </w:r>
        </w:p>
        <w:p w14:paraId="1B84F969" w14:textId="32787642" w:rsidR="0012269E" w:rsidRDefault="0012269E" w:rsidP="00874B99">
          <w:pPr>
            <w:pStyle w:val="MDPI71References"/>
            <w:divId w:val="1337227697"/>
            <w:rPr>
              <w:rFonts w:eastAsia="SimSun"/>
              <w:lang w:bidi="ar-SA"/>
            </w:rPr>
          </w:pPr>
          <w:r w:rsidRPr="007F6CE2">
            <w:rPr>
              <w:rFonts w:eastAsia="SimSun"/>
              <w:lang w:eastAsia="zh-CN" w:bidi="ar-SA"/>
            </w:rPr>
            <w:t xml:space="preserve">Shen X. et al. Large negative thermal expansion of a polymer driven by a </w:t>
          </w:r>
          <w:proofErr w:type="spellStart"/>
          <w:r w:rsidRPr="007F6CE2">
            <w:rPr>
              <w:rFonts w:eastAsia="SimSun"/>
              <w:lang w:eastAsia="zh-CN" w:bidi="ar-SA"/>
            </w:rPr>
            <w:t>submolecular</w:t>
          </w:r>
          <w:proofErr w:type="spellEnd"/>
          <w:r w:rsidRPr="007F6CE2">
            <w:rPr>
              <w:rFonts w:eastAsia="SimSun"/>
              <w:lang w:eastAsia="zh-CN" w:bidi="ar-SA"/>
            </w:rPr>
            <w:t xml:space="preserve"> conformational change // Nat Chem. 2013. Vol. 5, № 12.</w:t>
          </w:r>
        </w:p>
        <w:p w14:paraId="525D96B8" w14:textId="0FA9B0B6" w:rsidR="0012269E" w:rsidRPr="0012269E" w:rsidRDefault="0012269E" w:rsidP="00874B99">
          <w:pPr>
            <w:pStyle w:val="MDPI71References"/>
            <w:divId w:val="1337227697"/>
            <w:rPr>
              <w:rFonts w:eastAsia="SimSun"/>
              <w:lang w:bidi="ar-SA"/>
            </w:rPr>
          </w:pPr>
          <w:r w:rsidRPr="003D7A2F">
            <w:rPr>
              <w:snapToGrid w:val="0"/>
            </w:rPr>
            <w:lastRenderedPageBreak/>
            <w:t xml:space="preserve">Rousseau, I.A.; Xie, T. Shape memory epoxy: Composition, structure, properties and shape memory performances. </w:t>
          </w:r>
          <w:r w:rsidRPr="00874B99">
            <w:rPr>
              <w:i/>
              <w:snapToGrid w:val="0"/>
            </w:rPr>
            <w:t xml:space="preserve">J. Mater. Chem. </w:t>
          </w:r>
          <w:r w:rsidRPr="00874B99">
            <w:rPr>
              <w:b/>
              <w:bCs/>
              <w:snapToGrid w:val="0"/>
            </w:rPr>
            <w:t>2010</w:t>
          </w:r>
          <w:r w:rsidRPr="00874B99">
            <w:rPr>
              <w:snapToGrid w:val="0"/>
            </w:rPr>
            <w:t xml:space="preserve">, </w:t>
          </w:r>
          <w:r w:rsidRPr="00874B99">
            <w:rPr>
              <w:i/>
              <w:iCs/>
              <w:snapToGrid w:val="0"/>
            </w:rPr>
            <w:t>20</w:t>
          </w:r>
          <w:r w:rsidRPr="00874B99">
            <w:rPr>
              <w:snapToGrid w:val="0"/>
            </w:rPr>
            <w:t xml:space="preserve">, 3431–3441. </w:t>
          </w:r>
          <w:hyperlink r:id="rId36" w:history="1">
            <w:r w:rsidRPr="00EB1DEF">
              <w:rPr>
                <w:rStyle w:val="ab"/>
                <w:snapToGrid w:val="0"/>
              </w:rPr>
              <w:t>https://doi.org/10.1039/b923394f</w:t>
            </w:r>
          </w:hyperlink>
          <w:r w:rsidRPr="00874B99">
            <w:rPr>
              <w:snapToGrid w:val="0"/>
            </w:rPr>
            <w:t>.</w:t>
          </w:r>
        </w:p>
        <w:p w14:paraId="6230C2A4" w14:textId="77777777" w:rsidR="0012269E" w:rsidRPr="00DE302D" w:rsidRDefault="0012269E" w:rsidP="0012269E">
          <w:pPr>
            <w:pStyle w:val="MDPI71References"/>
            <w:divId w:val="1337227697"/>
            <w:rPr>
              <w:snapToGrid w:val="0"/>
            </w:rPr>
          </w:pPr>
          <w:r w:rsidRPr="003D7A2F">
            <w:rPr>
              <w:snapToGrid w:val="0"/>
            </w:rPr>
            <w:t xml:space="preserve">Flory, P.J.; Erman, B. Theory of elasticity of polymer networks. </w:t>
          </w:r>
          <w:r w:rsidRPr="00DE302D">
            <w:rPr>
              <w:snapToGrid w:val="0"/>
            </w:rPr>
            <w:t xml:space="preserve">3. </w:t>
          </w:r>
          <w:r w:rsidRPr="00DE302D">
            <w:rPr>
              <w:i/>
              <w:iCs/>
              <w:snapToGrid w:val="0"/>
            </w:rPr>
            <w:t>Macromolecules</w:t>
          </w:r>
          <w:r w:rsidRPr="00DE302D">
            <w:rPr>
              <w:snapToGrid w:val="0"/>
            </w:rPr>
            <w:t xml:space="preserve"> </w:t>
          </w:r>
          <w:r w:rsidRPr="00DE302D">
            <w:rPr>
              <w:b/>
              <w:bCs/>
              <w:snapToGrid w:val="0"/>
            </w:rPr>
            <w:t>1982</w:t>
          </w:r>
          <w:r w:rsidRPr="00DE302D">
            <w:rPr>
              <w:snapToGrid w:val="0"/>
            </w:rPr>
            <w:t xml:space="preserve">, </w:t>
          </w:r>
          <w:r w:rsidRPr="00DE302D">
            <w:rPr>
              <w:i/>
              <w:iCs/>
              <w:snapToGrid w:val="0"/>
            </w:rPr>
            <w:t>15</w:t>
          </w:r>
          <w:r w:rsidRPr="00DE302D">
            <w:rPr>
              <w:snapToGrid w:val="0"/>
            </w:rPr>
            <w:t>, 800–806. https://doi.org/10.1021/ma00231a022.</w:t>
          </w:r>
        </w:p>
        <w:p w14:paraId="7F71FE50" w14:textId="77777777" w:rsidR="0012269E" w:rsidRPr="003D7A2F" w:rsidRDefault="0012269E" w:rsidP="0012269E">
          <w:pPr>
            <w:pStyle w:val="MDPI71References"/>
            <w:divId w:val="1337227697"/>
            <w:rPr>
              <w:rStyle w:val="ab"/>
              <w:snapToGrid w:val="0"/>
              <w:color w:val="auto"/>
              <w:u w:val="none"/>
            </w:rPr>
          </w:pPr>
          <w:r w:rsidRPr="003D7A2F">
            <w:rPr>
              <w:snapToGrid w:val="0"/>
            </w:rPr>
            <w:t xml:space="preserve">Dill, K. A., Bromberg, S., </w:t>
          </w:r>
          <w:proofErr w:type="spellStart"/>
          <w:r w:rsidRPr="003D7A2F">
            <w:rPr>
              <w:snapToGrid w:val="0"/>
            </w:rPr>
            <w:t>Stigter</w:t>
          </w:r>
          <w:proofErr w:type="spellEnd"/>
          <w:r w:rsidRPr="003D7A2F">
            <w:rPr>
              <w:snapToGrid w:val="0"/>
            </w:rPr>
            <w:t xml:space="preserve">, D. Polymer Elasticity &amp; Collapse. In Molecular Driving Forces. </w:t>
          </w:r>
          <w:bookmarkStart w:id="15" w:name="OLE_LINK13"/>
          <w:r w:rsidRPr="003D7A2F">
            <w:rPr>
              <w:snapToGrid w:val="0"/>
            </w:rPr>
            <w:t>Garland Science</w:t>
          </w:r>
          <w:bookmarkEnd w:id="15"/>
          <w:r w:rsidRPr="003D7A2F">
            <w:rPr>
              <w:snapToGrid w:val="0"/>
            </w:rPr>
            <w:t>.</w:t>
          </w:r>
          <w:r w:rsidRPr="003D7A2F">
            <w:t xml:space="preserve"> </w:t>
          </w:r>
          <w:r w:rsidRPr="003D7A2F">
            <w:rPr>
              <w:snapToGrid w:val="0"/>
            </w:rPr>
            <w:t xml:space="preserve">New York, New York, USA, 2018, pp. 659–684, Available online: </w:t>
          </w:r>
          <w:hyperlink r:id="rId37" w:history="1">
            <w:r w:rsidRPr="003D7A2F">
              <w:rPr>
                <w:rStyle w:val="ab"/>
                <w:snapToGrid w:val="0"/>
                <w:color w:val="auto"/>
                <w:u w:val="none"/>
              </w:rPr>
              <w:t>https://doi.org/10.4324/9780203809075-33</w:t>
            </w:r>
          </w:hyperlink>
          <w:r w:rsidRPr="003D7A2F">
            <w:rPr>
              <w:rStyle w:val="ab"/>
              <w:snapToGrid w:val="0"/>
              <w:color w:val="auto"/>
              <w:u w:val="none"/>
            </w:rPr>
            <w:t xml:space="preserve"> (accessed on 25 November 2021)</w:t>
          </w:r>
        </w:p>
        <w:p w14:paraId="2BAA3940" w14:textId="77777777" w:rsidR="0012269E" w:rsidRPr="003D7A2F" w:rsidRDefault="0012269E" w:rsidP="0012269E">
          <w:pPr>
            <w:pStyle w:val="MDPI71References"/>
            <w:divId w:val="1337227697"/>
            <w:rPr>
              <w:snapToGrid w:val="0"/>
            </w:rPr>
          </w:pPr>
          <w:proofErr w:type="spellStart"/>
          <w:r w:rsidRPr="003D7A2F">
            <w:rPr>
              <w:snapToGrid w:val="0"/>
            </w:rPr>
            <w:t>Slutsker</w:t>
          </w:r>
          <w:proofErr w:type="spellEnd"/>
          <w:r w:rsidRPr="003D7A2F">
            <w:rPr>
              <w:snapToGrid w:val="0"/>
            </w:rPr>
            <w:t xml:space="preserve">, A.I.; </w:t>
          </w:r>
          <w:proofErr w:type="spellStart"/>
          <w:r w:rsidRPr="003D7A2F">
            <w:rPr>
              <w:snapToGrid w:val="0"/>
            </w:rPr>
            <w:t>Sanphirova</w:t>
          </w:r>
          <w:proofErr w:type="spellEnd"/>
          <w:r w:rsidRPr="003D7A2F">
            <w:rPr>
              <w:snapToGrid w:val="0"/>
            </w:rPr>
            <w:t xml:space="preserve">, T.P.; </w:t>
          </w:r>
          <w:proofErr w:type="spellStart"/>
          <w:r w:rsidRPr="003D7A2F">
            <w:rPr>
              <w:snapToGrid w:val="0"/>
            </w:rPr>
            <w:t>Yastrebinskii</w:t>
          </w:r>
          <w:proofErr w:type="spellEnd"/>
          <w:r w:rsidRPr="003D7A2F">
            <w:rPr>
              <w:snapToGrid w:val="0"/>
            </w:rPr>
            <w:t xml:space="preserve">, A.A.; </w:t>
          </w:r>
          <w:proofErr w:type="spellStart"/>
          <w:r w:rsidRPr="003D7A2F">
            <w:rPr>
              <w:snapToGrid w:val="0"/>
            </w:rPr>
            <w:t>Kuksenko</w:t>
          </w:r>
          <w:proofErr w:type="spellEnd"/>
          <w:r w:rsidRPr="003D7A2F">
            <w:rPr>
              <w:snapToGrid w:val="0"/>
            </w:rPr>
            <w:t xml:space="preserve">, V.S. Structure and reversible deformability of oriented crystallizing polymers. </w:t>
          </w:r>
          <w:r w:rsidRPr="003D7A2F">
            <w:rPr>
              <w:i/>
              <w:iCs/>
              <w:snapToGrid w:val="0"/>
            </w:rPr>
            <w:t xml:space="preserve">J. </w:t>
          </w:r>
          <w:proofErr w:type="spellStart"/>
          <w:r w:rsidRPr="003D7A2F">
            <w:rPr>
              <w:i/>
              <w:iCs/>
              <w:snapToGrid w:val="0"/>
            </w:rPr>
            <w:t>Polym</w:t>
          </w:r>
          <w:proofErr w:type="spellEnd"/>
          <w:r w:rsidRPr="003D7A2F">
            <w:rPr>
              <w:i/>
              <w:iCs/>
              <w:snapToGrid w:val="0"/>
            </w:rPr>
            <w:t xml:space="preserve">. Sci. Part C: </w:t>
          </w:r>
          <w:proofErr w:type="spellStart"/>
          <w:r w:rsidRPr="003D7A2F">
            <w:rPr>
              <w:i/>
              <w:iCs/>
              <w:snapToGrid w:val="0"/>
            </w:rPr>
            <w:t>Polym</w:t>
          </w:r>
          <w:proofErr w:type="spellEnd"/>
          <w:r w:rsidRPr="003D7A2F">
            <w:rPr>
              <w:i/>
              <w:iCs/>
              <w:snapToGrid w:val="0"/>
            </w:rPr>
            <w:t>. Symp.</w:t>
          </w:r>
          <w:r w:rsidRPr="003D7A2F">
            <w:rPr>
              <w:snapToGrid w:val="0"/>
            </w:rPr>
            <w:t xml:space="preserve"> </w:t>
          </w:r>
          <w:r w:rsidRPr="003D7A2F">
            <w:rPr>
              <w:b/>
              <w:bCs/>
              <w:snapToGrid w:val="0"/>
            </w:rPr>
            <w:t>1967</w:t>
          </w:r>
          <w:r w:rsidRPr="003D7A2F">
            <w:rPr>
              <w:snapToGrid w:val="0"/>
            </w:rPr>
            <w:t xml:space="preserve">, </w:t>
          </w:r>
          <w:r w:rsidRPr="003D7A2F">
            <w:rPr>
              <w:i/>
              <w:iCs/>
              <w:snapToGrid w:val="0"/>
            </w:rPr>
            <w:t>16</w:t>
          </w:r>
          <w:r w:rsidRPr="003D7A2F">
            <w:rPr>
              <w:snapToGrid w:val="0"/>
            </w:rPr>
            <w:t>, 4093–4101. https://doi.org/10.1002/polc.5070160749.</w:t>
          </w:r>
        </w:p>
        <w:p w14:paraId="68AD09EF" w14:textId="77777777" w:rsidR="0012269E" w:rsidRPr="003D7A2F" w:rsidRDefault="0012269E" w:rsidP="0012269E">
          <w:pPr>
            <w:pStyle w:val="MDPI71References"/>
            <w:divId w:val="1337227697"/>
            <w:rPr>
              <w:snapToGrid w:val="0"/>
            </w:rPr>
          </w:pPr>
          <w:r w:rsidRPr="003D7A2F">
            <w:rPr>
              <w:snapToGrid w:val="0"/>
            </w:rPr>
            <w:t xml:space="preserve">Chan, C.H., Chia, C.H., Thomas, S.; </w:t>
          </w:r>
          <w:r w:rsidRPr="003D7A2F">
            <w:rPr>
              <w:i/>
              <w:iCs/>
              <w:snapToGrid w:val="0"/>
            </w:rPr>
            <w:t xml:space="preserve">Physical Chemistry of Macromolecules: Macro to Nanoscales; </w:t>
          </w:r>
          <w:bookmarkStart w:id="16" w:name="OLE_LINK12"/>
          <w:r w:rsidRPr="003D7A2F">
            <w:rPr>
              <w:snapToGrid w:val="0"/>
            </w:rPr>
            <w:t>Apple Academic Press</w:t>
          </w:r>
          <w:bookmarkEnd w:id="16"/>
          <w:r w:rsidRPr="003D7A2F">
            <w:rPr>
              <w:snapToGrid w:val="0"/>
            </w:rPr>
            <w:t>: Palm Bay, FL, USA, 2014.</w:t>
          </w:r>
        </w:p>
        <w:p w14:paraId="6FC4F400" w14:textId="77777777" w:rsidR="00814B8C" w:rsidRPr="00814B8C" w:rsidRDefault="00814B8C" w:rsidP="00814B8C">
          <w:pPr>
            <w:pStyle w:val="MDPI71References"/>
            <w:divId w:val="1337227697"/>
          </w:pPr>
          <w:proofErr w:type="spellStart"/>
          <w:r w:rsidRPr="00814B8C">
            <w:t>Mishnev</w:t>
          </w:r>
          <w:proofErr w:type="spellEnd"/>
          <w:r w:rsidRPr="00814B8C">
            <w:t xml:space="preserve">, M.; Korolev, A.; Ekaterina, B.; Dmitrii, U. Effect of Long-Term Thermal Relaxation of Epoxy Binder on </w:t>
          </w:r>
        </w:p>
        <w:p w14:paraId="71D1955D" w14:textId="77777777" w:rsidR="00814B8C" w:rsidRPr="00814B8C" w:rsidRDefault="00814B8C" w:rsidP="00814B8C">
          <w:pPr>
            <w:pStyle w:val="MDPI71References"/>
            <w:numPr>
              <w:ilvl w:val="0"/>
              <w:numId w:val="0"/>
            </w:numPr>
            <w:ind w:left="425"/>
            <w:divId w:val="1337227697"/>
            <w:rPr>
              <w:lang w:val="ru-RU"/>
            </w:rPr>
          </w:pPr>
          <w:proofErr w:type="spellStart"/>
          <w:r w:rsidRPr="00814B8C">
            <w:t>Thermoelasticity</w:t>
          </w:r>
          <w:proofErr w:type="spellEnd"/>
          <w:r w:rsidRPr="00814B8C">
            <w:t xml:space="preserve"> of Fiberglass Plastics: Multiscale Modeling and Experiments. </w:t>
          </w:r>
          <w:r w:rsidRPr="00814B8C">
            <w:rPr>
              <w:lang w:val="ru-RU"/>
            </w:rPr>
            <w:t xml:space="preserve">Polymers 2022, 14, 1712. </w:t>
          </w:r>
        </w:p>
        <w:p w14:paraId="5D8CEC58" w14:textId="10B53D61" w:rsidR="008E3B5F" w:rsidRPr="00814B8C" w:rsidRDefault="008E3B5F" w:rsidP="008E3B5F">
          <w:pPr>
            <w:pStyle w:val="MDPI71References"/>
            <w:divId w:val="1337227697"/>
            <w:rPr>
              <w:rFonts w:ascii="Times New Roman" w:hAnsi="Times New Roman"/>
              <w:sz w:val="24"/>
              <w:szCs w:val="24"/>
            </w:rPr>
          </w:pPr>
          <w:r w:rsidRPr="00814B8C">
            <w:t xml:space="preserve">Korolev, A.; </w:t>
          </w:r>
          <w:proofErr w:type="spellStart"/>
          <w:r w:rsidRPr="00814B8C">
            <w:t>Mishnev</w:t>
          </w:r>
          <w:proofErr w:type="spellEnd"/>
          <w:r w:rsidRPr="00814B8C">
            <w:t xml:space="preserve">, M.; </w:t>
          </w:r>
          <w:proofErr w:type="spellStart"/>
          <w:r w:rsidRPr="00814B8C">
            <w:t>Ulrikh</w:t>
          </w:r>
          <w:proofErr w:type="spellEnd"/>
          <w:r w:rsidRPr="00814B8C">
            <w:t xml:space="preserve">, D.V. Non-Linearity of Thermosetting Polymers and GRPs’ Thermal Expanding: Experimental Study and Modeling. </w:t>
          </w:r>
          <w:r w:rsidRPr="00814B8C">
            <w:rPr>
              <w:rFonts w:ascii="PalatinoLinotype,Italic" w:hAnsi="PalatinoLinotype,Italic"/>
            </w:rPr>
            <w:t xml:space="preserve">Polymers </w:t>
          </w:r>
          <w:r w:rsidRPr="00814B8C">
            <w:rPr>
              <w:rFonts w:ascii="PalatinoLinotype,Bold" w:hAnsi="PalatinoLinotype,Bold"/>
            </w:rPr>
            <w:t>2022</w:t>
          </w:r>
          <w:r w:rsidRPr="00814B8C">
            <w:t xml:space="preserve">, </w:t>
          </w:r>
          <w:r w:rsidRPr="00814B8C">
            <w:rPr>
              <w:rFonts w:ascii="PalatinoLinotype,Italic" w:hAnsi="PalatinoLinotype,Italic"/>
            </w:rPr>
            <w:t>14</w:t>
          </w:r>
          <w:r w:rsidRPr="00814B8C">
            <w:t xml:space="preserve">, 4281. https://doi.org/10.3390/ polym14204281 </w:t>
          </w:r>
        </w:p>
        <w:p w14:paraId="1D99D504" w14:textId="43C777A5" w:rsidR="003D7A2F" w:rsidRPr="00874B99" w:rsidRDefault="002A57D0" w:rsidP="00295E1A">
          <w:pPr>
            <w:pStyle w:val="MDPI31text"/>
            <w:ind w:left="0" w:firstLine="0"/>
            <w:rPr>
              <w:rFonts w:eastAsia="SimSun"/>
              <w:snapToGrid/>
              <w:sz w:val="18"/>
              <w:szCs w:val="20"/>
              <w:lang w:eastAsia="zh-CN" w:bidi="ar-SA"/>
            </w:rPr>
          </w:pPr>
        </w:p>
      </w:sdtContent>
    </w:sdt>
    <w:sectPr w:rsidR="003D7A2F" w:rsidRPr="00874B99" w:rsidSect="00233C22">
      <w:headerReference w:type="even" r:id="rId38"/>
      <w:headerReference w:type="default" r:id="rId39"/>
      <w:footerReference w:type="default" r:id="rId40"/>
      <w:headerReference w:type="first" r:id="rId41"/>
      <w:footerReference w:type="first" r:id="rId42"/>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Microsoft Office User" w:date="2022-12-13T15:04:00Z" w:initials="MOU">
    <w:p w14:paraId="118572C7" w14:textId="3751E69E" w:rsidR="002A57D0" w:rsidRPr="009D6BB0" w:rsidRDefault="002A57D0">
      <w:pPr>
        <w:pStyle w:val="af0"/>
      </w:pPr>
      <w:r>
        <w:rPr>
          <w:rStyle w:val="af"/>
        </w:rPr>
        <w:annotationRef/>
      </w:r>
      <w:r>
        <w:t>Abstract was expanded</w:t>
      </w:r>
    </w:p>
  </w:comment>
  <w:comment w:id="1" w:author="Microsoft Office User" w:date="2022-12-13T15:11:00Z" w:initials="MOU">
    <w:p w14:paraId="236D8954" w14:textId="6F93A5A8" w:rsidR="002A57D0" w:rsidRDefault="002A57D0">
      <w:pPr>
        <w:pStyle w:val="af0"/>
      </w:pPr>
      <w:r>
        <w:rPr>
          <w:rStyle w:val="af"/>
        </w:rPr>
        <w:annotationRef/>
      </w:r>
      <w:r>
        <w:t>The terms of equation are added</w:t>
      </w:r>
    </w:p>
  </w:comment>
  <w:comment w:id="2" w:author="Microsoft Office User" w:date="2022-12-13T15:23:00Z" w:initials="MOU">
    <w:p w14:paraId="53432847" w14:textId="59F7D89B" w:rsidR="002A57D0" w:rsidRDefault="002A57D0">
      <w:pPr>
        <w:pStyle w:val="af0"/>
      </w:pPr>
      <w:r>
        <w:rPr>
          <w:rStyle w:val="af"/>
        </w:rPr>
        <w:annotationRef/>
      </w:r>
      <w:r>
        <w:t>Citations were added</w:t>
      </w:r>
    </w:p>
  </w:comment>
  <w:comment w:id="3" w:author="Microsoft Office User" w:date="2022-12-29T15:41:00Z" w:initials="MOU">
    <w:p w14:paraId="4C801E24" w14:textId="14E1B933" w:rsidR="00176190" w:rsidRDefault="00176190">
      <w:pPr>
        <w:pStyle w:val="af0"/>
      </w:pPr>
      <w:r>
        <w:rPr>
          <w:rStyle w:val="af"/>
        </w:rPr>
        <w:annotationRef/>
      </w:r>
      <w:r>
        <w:t>Explanation of new series of samples for modelling</w:t>
      </w:r>
    </w:p>
  </w:comment>
  <w:comment w:id="4" w:author="Microsoft Office User" w:date="2022-12-29T15:36:00Z" w:initials="MOU">
    <w:p w14:paraId="2D9348E6" w14:textId="466D12D2" w:rsidR="002A57D0" w:rsidRDefault="002A57D0">
      <w:pPr>
        <w:pStyle w:val="af0"/>
      </w:pPr>
      <w:r>
        <w:rPr>
          <w:rStyle w:val="af"/>
        </w:rPr>
        <w:annotationRef/>
      </w:r>
      <w:r>
        <w:t>Explain the method repeating</w:t>
      </w:r>
      <w:r w:rsidR="000674F9">
        <w:t>, fig.1 excluded</w:t>
      </w:r>
    </w:p>
  </w:comment>
  <w:comment w:id="5" w:author="Microsoft Office User" w:date="2022-12-13T15:15:00Z" w:initials="MOU">
    <w:p w14:paraId="60DA7087" w14:textId="067DBEC9" w:rsidR="002A57D0" w:rsidRDefault="002A57D0">
      <w:pPr>
        <w:pStyle w:val="af0"/>
      </w:pPr>
      <w:r>
        <w:rPr>
          <w:rStyle w:val="af"/>
        </w:rPr>
        <w:annotationRef/>
      </w:r>
      <w:r>
        <w:t>Dots were changed</w:t>
      </w:r>
    </w:p>
  </w:comment>
  <w:comment w:id="6" w:author="Microsoft Office User" w:date="2022-12-13T15:16:00Z" w:initials="MOU">
    <w:p w14:paraId="727234A0" w14:textId="7E994DB4" w:rsidR="002A57D0" w:rsidRDefault="002A57D0">
      <w:pPr>
        <w:pStyle w:val="af0"/>
      </w:pPr>
      <w:r>
        <w:rPr>
          <w:rStyle w:val="af"/>
        </w:rPr>
        <w:annotationRef/>
      </w:r>
      <w:r>
        <w:t>Corrected</w:t>
      </w:r>
    </w:p>
  </w:comment>
  <w:comment w:id="7" w:author="Microsoft Office User" w:date="2022-12-13T15:22:00Z" w:initials="MOU">
    <w:p w14:paraId="1E5D4EC6" w14:textId="0C64329E" w:rsidR="002A57D0" w:rsidRDefault="002A57D0">
      <w:pPr>
        <w:pStyle w:val="af0"/>
      </w:pPr>
      <w:r>
        <w:rPr>
          <w:rStyle w:val="af"/>
        </w:rPr>
        <w:annotationRef/>
      </w:r>
      <w:r>
        <w:t>Explanation of Fig.2 is added</w:t>
      </w:r>
    </w:p>
  </w:comment>
  <w:comment w:id="8" w:author="Microsoft Office User" w:date="2022-12-29T15:57:00Z" w:initials="MOU">
    <w:p w14:paraId="3508576D" w14:textId="1547747E" w:rsidR="000674F9" w:rsidRDefault="000674F9">
      <w:pPr>
        <w:pStyle w:val="af0"/>
      </w:pPr>
      <w:r>
        <w:rPr>
          <w:rStyle w:val="af"/>
        </w:rPr>
        <w:annotationRef/>
      </w:r>
      <w:r>
        <w:t>Explanation of new experiment, not copying from earlier work</w:t>
      </w:r>
    </w:p>
  </w:comment>
  <w:comment w:id="9" w:author="Microsoft Office User" w:date="2022-12-13T15:26:00Z" w:initials="MOU">
    <w:p w14:paraId="766AD631" w14:textId="4AF0FB2F" w:rsidR="002A57D0" w:rsidRDefault="002A57D0">
      <w:pPr>
        <w:pStyle w:val="af0"/>
      </w:pPr>
      <w:r>
        <w:rPr>
          <w:rStyle w:val="af"/>
        </w:rPr>
        <w:annotationRef/>
      </w:r>
      <w:r>
        <w:t>In figures the MPa corrected everywhere</w:t>
      </w:r>
    </w:p>
  </w:comment>
  <w:comment w:id="10" w:author="Microsoft Office User" w:date="2022-12-13T15:33:00Z" w:initials="MOU">
    <w:p w14:paraId="2D0D2D08" w14:textId="4F84E0DA" w:rsidR="002A57D0" w:rsidRDefault="002A57D0">
      <w:pPr>
        <w:pStyle w:val="af0"/>
      </w:pPr>
      <w:r>
        <w:rPr>
          <w:rStyle w:val="af"/>
        </w:rPr>
        <w:annotationRef/>
      </w:r>
      <w:r>
        <w:t xml:space="preserve">the citation was added because specifies of dilatometric and mechanical researches were widely described in two previous studies, this study was pointed on </w:t>
      </w:r>
      <w:proofErr w:type="spellStart"/>
      <w:r>
        <w:t>MoE-CTe</w:t>
      </w:r>
      <w:proofErr w:type="spellEnd"/>
      <w:r>
        <w:t xml:space="preserve"> relation modelling</w:t>
      </w:r>
    </w:p>
  </w:comment>
  <w:comment w:id="11" w:author="Microsoft Office User" w:date="2022-12-29T16:53:00Z" w:initials="MOU">
    <w:p w14:paraId="71AF512B" w14:textId="0947768A" w:rsidR="00902591" w:rsidRPr="00902591" w:rsidRDefault="00902591">
      <w:pPr>
        <w:pStyle w:val="af0"/>
      </w:pPr>
      <w:r>
        <w:rPr>
          <w:rStyle w:val="af"/>
        </w:rPr>
        <w:annotationRef/>
      </w:r>
      <w:r>
        <w:t>Explained the modification of structural model</w:t>
      </w:r>
    </w:p>
  </w:comment>
  <w:comment w:id="12" w:author="Microsoft Office User" w:date="2022-12-13T15:34:00Z" w:initials="MOU">
    <w:p w14:paraId="715451A7" w14:textId="244839D8" w:rsidR="002A57D0" w:rsidRDefault="002A57D0">
      <w:pPr>
        <w:pStyle w:val="af0"/>
      </w:pPr>
      <w:r>
        <w:rPr>
          <w:rStyle w:val="af"/>
        </w:rPr>
        <w:annotationRef/>
      </w:r>
      <w:r>
        <w:t>in the modelling part more descriptions and comments were added</w:t>
      </w:r>
    </w:p>
  </w:comment>
  <w:comment w:id="13" w:author="Microsoft Office User" w:date="2022-12-13T15:35:00Z" w:initials="MOU">
    <w:p w14:paraId="7A9ED956" w14:textId="652617D5" w:rsidR="002A57D0" w:rsidRDefault="002A57D0">
      <w:pPr>
        <w:pStyle w:val="af0"/>
      </w:pPr>
      <w:r>
        <w:rPr>
          <w:rStyle w:val="af"/>
        </w:rPr>
        <w:annotationRef/>
      </w:r>
      <w:r>
        <w:t>The discussion was expanded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118572C7" w15:done="0"/>
  <w15:commentEx w15:paraId="236D8954" w15:done="0"/>
  <w15:commentEx w15:paraId="53432847" w15:done="0"/>
  <w15:commentEx w15:paraId="4C801E24" w15:done="0"/>
  <w15:commentEx w15:paraId="2D9348E6" w15:done="0"/>
  <w15:commentEx w15:paraId="60DA7087" w15:done="0"/>
  <w15:commentEx w15:paraId="727234A0" w15:done="0"/>
  <w15:commentEx w15:paraId="1E5D4EC6" w15:done="0"/>
  <w15:commentEx w15:paraId="3508576D" w15:done="0"/>
  <w15:commentEx w15:paraId="766AD631" w15:done="0"/>
  <w15:commentEx w15:paraId="2D0D2D08" w15:done="0"/>
  <w15:commentEx w15:paraId="71AF512B" w15:done="0"/>
  <w15:commentEx w15:paraId="715451A7" w15:done="0"/>
  <w15:commentEx w15:paraId="7A9ED95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7431310" w16cex:dateUtc="2022-12-13T10:04:00Z"/>
  <w16cex:commentExtensible w16cex:durableId="2743149C" w16cex:dateUtc="2022-12-13T10:11:00Z"/>
  <w16cex:commentExtensible w16cex:durableId="27431775" w16cex:dateUtc="2022-12-13T10:23:00Z"/>
  <w16cex:commentExtensible w16cex:durableId="275833BA" w16cex:dateUtc="2022-12-29T10:41:00Z"/>
  <w16cex:commentExtensible w16cex:durableId="27583287" w16cex:dateUtc="2022-12-29T10:36:00Z"/>
  <w16cex:commentExtensible w16cex:durableId="27431577" w16cex:dateUtc="2022-12-13T10:15:00Z"/>
  <w16cex:commentExtensible w16cex:durableId="274315E5" w16cex:dateUtc="2022-12-13T10:16:00Z"/>
  <w16cex:commentExtensible w16cex:durableId="27431741" w16cex:dateUtc="2022-12-13T10:22:00Z"/>
  <w16cex:commentExtensible w16cex:durableId="27583775" w16cex:dateUtc="2022-12-29T10:57:00Z"/>
  <w16cex:commentExtensible w16cex:durableId="27431818" w16cex:dateUtc="2022-12-13T10:26:00Z"/>
  <w16cex:commentExtensible w16cex:durableId="274319BF" w16cex:dateUtc="2022-12-13T10:33:00Z"/>
  <w16cex:commentExtensible w16cex:durableId="2758448F" w16cex:dateUtc="2022-12-29T11:53:00Z"/>
  <w16cex:commentExtensible w16cex:durableId="274319EF" w16cex:dateUtc="2022-12-13T10:34:00Z"/>
  <w16cex:commentExtensible w16cex:durableId="27431A33" w16cex:dateUtc="2022-12-13T10:3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18572C7" w16cid:durableId="27431310"/>
  <w16cid:commentId w16cid:paraId="236D8954" w16cid:durableId="2743149C"/>
  <w16cid:commentId w16cid:paraId="53432847" w16cid:durableId="27431775"/>
  <w16cid:commentId w16cid:paraId="4C801E24" w16cid:durableId="275833BA"/>
  <w16cid:commentId w16cid:paraId="2D9348E6" w16cid:durableId="27583287"/>
  <w16cid:commentId w16cid:paraId="60DA7087" w16cid:durableId="27431577"/>
  <w16cid:commentId w16cid:paraId="727234A0" w16cid:durableId="274315E5"/>
  <w16cid:commentId w16cid:paraId="1E5D4EC6" w16cid:durableId="27431741"/>
  <w16cid:commentId w16cid:paraId="3508576D" w16cid:durableId="27583775"/>
  <w16cid:commentId w16cid:paraId="766AD631" w16cid:durableId="27431818"/>
  <w16cid:commentId w16cid:paraId="2D0D2D08" w16cid:durableId="274319BF"/>
  <w16cid:commentId w16cid:paraId="71AF512B" w16cid:durableId="2758448F"/>
  <w16cid:commentId w16cid:paraId="715451A7" w16cid:durableId="274319EF"/>
  <w16cid:commentId w16cid:paraId="7A9ED956" w16cid:durableId="27431A3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B772A9" w14:textId="77777777" w:rsidR="00CE332C" w:rsidRDefault="00CE332C">
      <w:pPr>
        <w:spacing w:line="240" w:lineRule="auto"/>
      </w:pPr>
      <w:r>
        <w:separator/>
      </w:r>
    </w:p>
  </w:endnote>
  <w:endnote w:type="continuationSeparator" w:id="0">
    <w:p w14:paraId="5DA0ECCC" w14:textId="77777777" w:rsidR="00CE332C" w:rsidRDefault="00CE332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0"/>
    <w:family w:val="decorative"/>
    <w:pitch w:val="variable"/>
    <w:sig w:usb0="00000003" w:usb1="10000000" w:usb2="00000000" w:usb3="00000000" w:csb0="80000001" w:csb1="00000000"/>
  </w:font>
  <w:font w:name="Symbol">
    <w:panose1 w:val="05050102010706020507"/>
    <w:charset w:val="00"/>
    <w:family w:val="decorative"/>
    <w:pitch w:val="variable"/>
    <w:sig w:usb0="00000003" w:usb1="10000000" w:usb2="00000000" w:usb3="00000000" w:csb0="80000001"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2FF" w:usb1="420024FF" w:usb2="00000000" w:usb3="00000000" w:csb0="0000019F" w:csb1="00000000"/>
  </w:font>
  <w:font w:name="PalatinoLinotype,Italic">
    <w:altName w:val="Palatino Linotype"/>
    <w:panose1 w:val="020B0604020202020204"/>
    <w:charset w:val="00"/>
    <w:family w:val="roman"/>
    <w:notTrueType/>
    <w:pitch w:val="default"/>
  </w:font>
  <w:font w:name="PalatinoLinotype,Bold">
    <w:altName w:val="Palatino Linotype"/>
    <w:panose1 w:val="020B0604020202020204"/>
    <w:charset w:val="00"/>
    <w:family w:val="roman"/>
    <w:notTrueType/>
    <w:pitch w:val="default"/>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B4544E" w14:textId="77777777" w:rsidR="002A57D0" w:rsidRPr="00EB0F94" w:rsidRDefault="002A57D0" w:rsidP="00B86EA6">
    <w:pPr>
      <w:pStyle w:val="a4"/>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0AD05C" w14:textId="77777777" w:rsidR="002A57D0" w:rsidRDefault="002A57D0" w:rsidP="00B331BE">
    <w:pPr>
      <w:pStyle w:val="MDPIfooterfirstpage"/>
      <w:pBdr>
        <w:top w:val="single" w:sz="4" w:space="0" w:color="000000"/>
      </w:pBdr>
      <w:adjustRightInd w:val="0"/>
      <w:snapToGrid w:val="0"/>
      <w:spacing w:before="480" w:line="100" w:lineRule="exact"/>
      <w:rPr>
        <w:i/>
        <w:szCs w:val="16"/>
      </w:rPr>
    </w:pPr>
  </w:p>
  <w:p w14:paraId="06E8398F" w14:textId="77777777" w:rsidR="002A57D0" w:rsidRPr="008B308E" w:rsidRDefault="002A57D0" w:rsidP="00A525CE">
    <w:pPr>
      <w:pStyle w:val="MDPIfooterfirstpage"/>
      <w:tabs>
        <w:tab w:val="clear" w:pos="8845"/>
        <w:tab w:val="right" w:pos="10466"/>
      </w:tabs>
      <w:spacing w:line="240" w:lineRule="auto"/>
      <w:jc w:val="both"/>
      <w:rPr>
        <w:lang w:val="fr-CH"/>
      </w:rPr>
    </w:pPr>
    <w:r w:rsidRPr="00C2521A">
      <w:rPr>
        <w:i/>
        <w:szCs w:val="16"/>
      </w:rPr>
      <w:t>Polymers</w:t>
    </w:r>
    <w:r w:rsidRPr="00A70616">
      <w:rPr>
        <w:iCs/>
        <w:szCs w:val="16"/>
      </w:rPr>
      <w:t xml:space="preserve"> </w:t>
    </w:r>
    <w:r>
      <w:rPr>
        <w:b/>
        <w:bCs/>
        <w:iCs/>
        <w:szCs w:val="16"/>
      </w:rPr>
      <w:t>2022</w:t>
    </w:r>
    <w:r w:rsidRPr="00726EFA">
      <w:rPr>
        <w:bCs/>
        <w:iCs/>
        <w:szCs w:val="16"/>
      </w:rPr>
      <w:t>,</w:t>
    </w:r>
    <w:r>
      <w:rPr>
        <w:bCs/>
        <w:i/>
        <w:iCs/>
        <w:szCs w:val="16"/>
      </w:rPr>
      <w:t xml:space="preserve"> 14</w:t>
    </w:r>
    <w:r w:rsidRPr="00726EFA">
      <w:rPr>
        <w:bCs/>
        <w:iCs/>
        <w:szCs w:val="16"/>
      </w:rPr>
      <w:t xml:space="preserve">, </w:t>
    </w:r>
    <w:r>
      <w:rPr>
        <w:bCs/>
        <w:iCs/>
        <w:szCs w:val="16"/>
      </w:rPr>
      <w:t>x. https://doi.org/10.3390/xxxxx</w:t>
    </w:r>
    <w:r w:rsidRPr="008B308E">
      <w:rPr>
        <w:lang w:val="fr-CH"/>
      </w:rPr>
      <w:tab/>
      <w:t>www.mdpi.com/journal/</w:t>
    </w:r>
    <w:r w:rsidRPr="00C2521A">
      <w:t>polymers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114D11" w14:textId="77777777" w:rsidR="00CE332C" w:rsidRDefault="00CE332C">
      <w:pPr>
        <w:spacing w:line="240" w:lineRule="auto"/>
      </w:pPr>
      <w:r>
        <w:separator/>
      </w:r>
    </w:p>
  </w:footnote>
  <w:footnote w:type="continuationSeparator" w:id="0">
    <w:p w14:paraId="61C49C47" w14:textId="77777777" w:rsidR="00CE332C" w:rsidRDefault="00CE332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26184D" w14:textId="77777777" w:rsidR="002A57D0" w:rsidRDefault="002A57D0" w:rsidP="00B86EA6">
    <w:pPr>
      <w:pStyle w:val="a6"/>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5BA5C9" w14:textId="77777777" w:rsidR="002A57D0" w:rsidRDefault="002A57D0" w:rsidP="00A525CE">
    <w:pPr>
      <w:tabs>
        <w:tab w:val="right" w:pos="10466"/>
      </w:tabs>
      <w:adjustRightInd w:val="0"/>
      <w:snapToGrid w:val="0"/>
      <w:spacing w:line="240" w:lineRule="auto"/>
      <w:rPr>
        <w:sz w:val="16"/>
      </w:rPr>
    </w:pPr>
    <w:r>
      <w:rPr>
        <w:i/>
        <w:sz w:val="16"/>
      </w:rPr>
      <w:t xml:space="preserve">Polymers </w:t>
    </w:r>
    <w:r>
      <w:rPr>
        <w:b/>
        <w:sz w:val="16"/>
      </w:rPr>
      <w:t>2022</w:t>
    </w:r>
    <w:r w:rsidRPr="00726EFA">
      <w:rPr>
        <w:sz w:val="16"/>
      </w:rPr>
      <w:t>,</w:t>
    </w:r>
    <w:r>
      <w:rPr>
        <w:i/>
        <w:sz w:val="16"/>
      </w:rPr>
      <w:t xml:space="preserve"> 14</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Pr>
        <w:noProof/>
        <w:sz w:val="16"/>
      </w:rPr>
      <w:t>10</w:t>
    </w:r>
    <w:r>
      <w:rPr>
        <w:sz w:val="16"/>
      </w:rPr>
      <w:fldChar w:fldCharType="end"/>
    </w:r>
    <w:r>
      <w:rPr>
        <w:sz w:val="16"/>
      </w:rPr>
      <w:t xml:space="preserve"> of </w:t>
    </w:r>
    <w:fldSimple w:instr=" NUMPAGES   \* MERGEFORMAT ">
      <w:r w:rsidRPr="005E5472">
        <w:rPr>
          <w:noProof/>
          <w:sz w:val="16"/>
        </w:rPr>
        <w:t>16</w:t>
      </w:r>
    </w:fldSimple>
  </w:p>
  <w:p w14:paraId="3CF3E1D7" w14:textId="77777777" w:rsidR="002A57D0" w:rsidRPr="00CE1828" w:rsidRDefault="002A57D0" w:rsidP="00B331BE">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487" w:type="dxa"/>
      <w:tblCellMar>
        <w:left w:w="0" w:type="dxa"/>
        <w:right w:w="0" w:type="dxa"/>
      </w:tblCellMar>
      <w:tblLook w:val="04A0" w:firstRow="1" w:lastRow="0" w:firstColumn="1" w:lastColumn="0" w:noHBand="0" w:noVBand="1"/>
    </w:tblPr>
    <w:tblGrid>
      <w:gridCol w:w="3679"/>
      <w:gridCol w:w="4535"/>
      <w:gridCol w:w="2273"/>
    </w:tblGrid>
    <w:tr w:rsidR="002A57D0" w:rsidRPr="00A525CE" w14:paraId="7A1DF89E" w14:textId="77777777" w:rsidTr="00A94B3A">
      <w:trPr>
        <w:trHeight w:val="686"/>
      </w:trPr>
      <w:tc>
        <w:tcPr>
          <w:tcW w:w="3679" w:type="dxa"/>
          <w:shd w:val="clear" w:color="auto" w:fill="auto"/>
          <w:vAlign w:val="center"/>
        </w:tcPr>
        <w:p w14:paraId="0AD97AA5" w14:textId="77777777" w:rsidR="002A57D0" w:rsidRPr="005F50D0" w:rsidRDefault="002A57D0" w:rsidP="00A525CE">
          <w:pPr>
            <w:pStyle w:val="a6"/>
            <w:pBdr>
              <w:bottom w:val="none" w:sz="0" w:space="0" w:color="auto"/>
            </w:pBdr>
            <w:jc w:val="left"/>
            <w:rPr>
              <w:rFonts w:eastAsia="DengXian"/>
              <w:b/>
              <w:bCs/>
            </w:rPr>
          </w:pPr>
          <w:r w:rsidRPr="005F50D0">
            <w:rPr>
              <w:rFonts w:eastAsia="DengXian"/>
              <w:b/>
              <w:bCs/>
              <w:noProof/>
              <w:lang w:val="ru-RU" w:eastAsia="ru-RU"/>
            </w:rPr>
            <w:drawing>
              <wp:inline distT="0" distB="0" distL="0" distR="0" wp14:anchorId="5A05E4F1" wp14:editId="2F2CC865">
                <wp:extent cx="1628140" cy="429260"/>
                <wp:effectExtent l="0" t="0" r="0" b="0"/>
                <wp:docPr id="1" name="Picture 3" descr="C:\Users\home\Desktop\logos\polymer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polymer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8140" cy="429260"/>
                        </a:xfrm>
                        <a:prstGeom prst="rect">
                          <a:avLst/>
                        </a:prstGeom>
                        <a:noFill/>
                        <a:ln>
                          <a:noFill/>
                        </a:ln>
                      </pic:spPr>
                    </pic:pic>
                  </a:graphicData>
                </a:graphic>
              </wp:inline>
            </w:drawing>
          </w:r>
        </w:p>
      </w:tc>
      <w:tc>
        <w:tcPr>
          <w:tcW w:w="4535" w:type="dxa"/>
          <w:shd w:val="clear" w:color="auto" w:fill="auto"/>
          <w:vAlign w:val="center"/>
        </w:tcPr>
        <w:p w14:paraId="5442C257" w14:textId="77777777" w:rsidR="002A57D0" w:rsidRPr="005F50D0" w:rsidRDefault="002A57D0" w:rsidP="00A525CE">
          <w:pPr>
            <w:pStyle w:val="a6"/>
            <w:pBdr>
              <w:bottom w:val="none" w:sz="0" w:space="0" w:color="auto"/>
            </w:pBdr>
            <w:rPr>
              <w:rFonts w:eastAsia="DengXian"/>
              <w:b/>
              <w:bCs/>
            </w:rPr>
          </w:pPr>
        </w:p>
      </w:tc>
      <w:tc>
        <w:tcPr>
          <w:tcW w:w="2273" w:type="dxa"/>
          <w:shd w:val="clear" w:color="auto" w:fill="auto"/>
          <w:vAlign w:val="center"/>
        </w:tcPr>
        <w:p w14:paraId="20265880" w14:textId="77777777" w:rsidR="002A57D0" w:rsidRPr="005F50D0" w:rsidRDefault="002A57D0" w:rsidP="00A94B3A">
          <w:pPr>
            <w:pStyle w:val="a6"/>
            <w:pBdr>
              <w:bottom w:val="none" w:sz="0" w:space="0" w:color="auto"/>
            </w:pBdr>
            <w:jc w:val="right"/>
            <w:rPr>
              <w:rFonts w:eastAsia="DengXian"/>
              <w:b/>
              <w:bCs/>
            </w:rPr>
          </w:pPr>
          <w:r>
            <w:rPr>
              <w:rFonts w:eastAsia="DengXian"/>
              <w:b/>
              <w:bCs/>
              <w:noProof/>
              <w:lang w:val="ru-RU" w:eastAsia="ru-RU"/>
            </w:rPr>
            <w:drawing>
              <wp:inline distT="0" distB="0" distL="0" distR="0" wp14:anchorId="6410922C" wp14:editId="6AC486C3">
                <wp:extent cx="540000" cy="360000"/>
                <wp:effectExtent l="0" t="0" r="0" b="254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6AD7C898" w14:textId="77777777" w:rsidR="002A57D0" w:rsidRPr="00AE17F9" w:rsidRDefault="002A57D0" w:rsidP="00B331BE">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504EDD"/>
    <w:multiLevelType w:val="hybridMultilevel"/>
    <w:tmpl w:val="BD48055A"/>
    <w:lvl w:ilvl="0" w:tplc="1FC64788">
      <w:start w:val="1"/>
      <w:numFmt w:val="decimal"/>
      <w:lvlText w:val="%1."/>
      <w:lvlJc w:val="left"/>
      <w:pPr>
        <w:ind w:left="3393" w:hanging="360"/>
      </w:pPr>
      <w:rPr>
        <w:rFonts w:eastAsia="SimSun" w:hint="default"/>
      </w:rPr>
    </w:lvl>
    <w:lvl w:ilvl="1" w:tplc="04190019" w:tentative="1">
      <w:start w:val="1"/>
      <w:numFmt w:val="lowerLetter"/>
      <w:lvlText w:val="%2."/>
      <w:lvlJc w:val="left"/>
      <w:pPr>
        <w:ind w:left="4113" w:hanging="360"/>
      </w:pPr>
    </w:lvl>
    <w:lvl w:ilvl="2" w:tplc="0419001B" w:tentative="1">
      <w:start w:val="1"/>
      <w:numFmt w:val="lowerRoman"/>
      <w:lvlText w:val="%3."/>
      <w:lvlJc w:val="right"/>
      <w:pPr>
        <w:ind w:left="4833" w:hanging="180"/>
      </w:pPr>
    </w:lvl>
    <w:lvl w:ilvl="3" w:tplc="0419000F" w:tentative="1">
      <w:start w:val="1"/>
      <w:numFmt w:val="decimal"/>
      <w:lvlText w:val="%4."/>
      <w:lvlJc w:val="left"/>
      <w:pPr>
        <w:ind w:left="5553" w:hanging="360"/>
      </w:pPr>
    </w:lvl>
    <w:lvl w:ilvl="4" w:tplc="04190019" w:tentative="1">
      <w:start w:val="1"/>
      <w:numFmt w:val="lowerLetter"/>
      <w:lvlText w:val="%5."/>
      <w:lvlJc w:val="left"/>
      <w:pPr>
        <w:ind w:left="6273" w:hanging="360"/>
      </w:pPr>
    </w:lvl>
    <w:lvl w:ilvl="5" w:tplc="0419001B" w:tentative="1">
      <w:start w:val="1"/>
      <w:numFmt w:val="lowerRoman"/>
      <w:lvlText w:val="%6."/>
      <w:lvlJc w:val="right"/>
      <w:pPr>
        <w:ind w:left="6993" w:hanging="180"/>
      </w:pPr>
    </w:lvl>
    <w:lvl w:ilvl="6" w:tplc="0419000F" w:tentative="1">
      <w:start w:val="1"/>
      <w:numFmt w:val="decimal"/>
      <w:lvlText w:val="%7."/>
      <w:lvlJc w:val="left"/>
      <w:pPr>
        <w:ind w:left="7713" w:hanging="360"/>
      </w:pPr>
    </w:lvl>
    <w:lvl w:ilvl="7" w:tplc="04190019" w:tentative="1">
      <w:start w:val="1"/>
      <w:numFmt w:val="lowerLetter"/>
      <w:lvlText w:val="%8."/>
      <w:lvlJc w:val="left"/>
      <w:pPr>
        <w:ind w:left="8433" w:hanging="360"/>
      </w:pPr>
    </w:lvl>
    <w:lvl w:ilvl="8" w:tplc="0419001B" w:tentative="1">
      <w:start w:val="1"/>
      <w:numFmt w:val="lowerRoman"/>
      <w:lvlText w:val="%9."/>
      <w:lvlJc w:val="right"/>
      <w:pPr>
        <w:ind w:left="9153" w:hanging="180"/>
      </w:pPr>
    </w:lvl>
  </w:abstractNum>
  <w:abstractNum w:abstractNumId="1" w15:restartNumberingAfterBreak="0">
    <w:nsid w:val="0EA617D2"/>
    <w:multiLevelType w:val="hybridMultilevel"/>
    <w:tmpl w:val="42C62CEC"/>
    <w:lvl w:ilvl="0" w:tplc="8340C5B4">
      <w:start w:val="1"/>
      <w:numFmt w:val="decimal"/>
      <w:lvlText w:val="%1."/>
      <w:lvlJc w:val="left"/>
      <w:pPr>
        <w:ind w:left="3393" w:hanging="360"/>
      </w:pPr>
      <w:rPr>
        <w:rFonts w:eastAsia="SimSun" w:hint="default"/>
      </w:rPr>
    </w:lvl>
    <w:lvl w:ilvl="1" w:tplc="04190019" w:tentative="1">
      <w:start w:val="1"/>
      <w:numFmt w:val="lowerLetter"/>
      <w:lvlText w:val="%2."/>
      <w:lvlJc w:val="left"/>
      <w:pPr>
        <w:ind w:left="4113" w:hanging="360"/>
      </w:pPr>
    </w:lvl>
    <w:lvl w:ilvl="2" w:tplc="0419001B" w:tentative="1">
      <w:start w:val="1"/>
      <w:numFmt w:val="lowerRoman"/>
      <w:lvlText w:val="%3."/>
      <w:lvlJc w:val="right"/>
      <w:pPr>
        <w:ind w:left="4833" w:hanging="180"/>
      </w:pPr>
    </w:lvl>
    <w:lvl w:ilvl="3" w:tplc="0419000F" w:tentative="1">
      <w:start w:val="1"/>
      <w:numFmt w:val="decimal"/>
      <w:lvlText w:val="%4."/>
      <w:lvlJc w:val="left"/>
      <w:pPr>
        <w:ind w:left="5553" w:hanging="360"/>
      </w:pPr>
    </w:lvl>
    <w:lvl w:ilvl="4" w:tplc="04190019" w:tentative="1">
      <w:start w:val="1"/>
      <w:numFmt w:val="lowerLetter"/>
      <w:lvlText w:val="%5."/>
      <w:lvlJc w:val="left"/>
      <w:pPr>
        <w:ind w:left="6273" w:hanging="360"/>
      </w:pPr>
    </w:lvl>
    <w:lvl w:ilvl="5" w:tplc="0419001B" w:tentative="1">
      <w:start w:val="1"/>
      <w:numFmt w:val="lowerRoman"/>
      <w:lvlText w:val="%6."/>
      <w:lvlJc w:val="right"/>
      <w:pPr>
        <w:ind w:left="6993" w:hanging="180"/>
      </w:pPr>
    </w:lvl>
    <w:lvl w:ilvl="6" w:tplc="0419000F" w:tentative="1">
      <w:start w:val="1"/>
      <w:numFmt w:val="decimal"/>
      <w:lvlText w:val="%7."/>
      <w:lvlJc w:val="left"/>
      <w:pPr>
        <w:ind w:left="7713" w:hanging="360"/>
      </w:pPr>
    </w:lvl>
    <w:lvl w:ilvl="7" w:tplc="04190019" w:tentative="1">
      <w:start w:val="1"/>
      <w:numFmt w:val="lowerLetter"/>
      <w:lvlText w:val="%8."/>
      <w:lvlJc w:val="left"/>
      <w:pPr>
        <w:ind w:left="8433" w:hanging="360"/>
      </w:pPr>
    </w:lvl>
    <w:lvl w:ilvl="8" w:tplc="0419001B" w:tentative="1">
      <w:start w:val="1"/>
      <w:numFmt w:val="lowerRoman"/>
      <w:lvlText w:val="%9."/>
      <w:lvlJc w:val="right"/>
      <w:pPr>
        <w:ind w:left="9153" w:hanging="180"/>
      </w:pPr>
    </w:lvl>
  </w:abstractNum>
  <w:abstractNum w:abstractNumId="2" w15:restartNumberingAfterBreak="0">
    <w:nsid w:val="115D62CA"/>
    <w:multiLevelType w:val="hybridMultilevel"/>
    <w:tmpl w:val="5D2AAED2"/>
    <w:lvl w:ilvl="0" w:tplc="1DDA926A">
      <w:start w:val="1"/>
      <w:numFmt w:val="decimal"/>
      <w:lvlText w:val="%1."/>
      <w:lvlJc w:val="left"/>
      <w:pPr>
        <w:ind w:left="3393" w:hanging="360"/>
      </w:pPr>
      <w:rPr>
        <w:rFonts w:hint="default"/>
      </w:rPr>
    </w:lvl>
    <w:lvl w:ilvl="1" w:tplc="04190019" w:tentative="1">
      <w:start w:val="1"/>
      <w:numFmt w:val="lowerLetter"/>
      <w:lvlText w:val="%2."/>
      <w:lvlJc w:val="left"/>
      <w:pPr>
        <w:ind w:left="4113" w:hanging="360"/>
      </w:pPr>
    </w:lvl>
    <w:lvl w:ilvl="2" w:tplc="0419001B" w:tentative="1">
      <w:start w:val="1"/>
      <w:numFmt w:val="lowerRoman"/>
      <w:lvlText w:val="%3."/>
      <w:lvlJc w:val="right"/>
      <w:pPr>
        <w:ind w:left="4833" w:hanging="180"/>
      </w:pPr>
    </w:lvl>
    <w:lvl w:ilvl="3" w:tplc="0419000F" w:tentative="1">
      <w:start w:val="1"/>
      <w:numFmt w:val="decimal"/>
      <w:lvlText w:val="%4."/>
      <w:lvlJc w:val="left"/>
      <w:pPr>
        <w:ind w:left="5553" w:hanging="360"/>
      </w:pPr>
    </w:lvl>
    <w:lvl w:ilvl="4" w:tplc="04190019" w:tentative="1">
      <w:start w:val="1"/>
      <w:numFmt w:val="lowerLetter"/>
      <w:lvlText w:val="%5."/>
      <w:lvlJc w:val="left"/>
      <w:pPr>
        <w:ind w:left="6273" w:hanging="360"/>
      </w:pPr>
    </w:lvl>
    <w:lvl w:ilvl="5" w:tplc="0419001B" w:tentative="1">
      <w:start w:val="1"/>
      <w:numFmt w:val="lowerRoman"/>
      <w:lvlText w:val="%6."/>
      <w:lvlJc w:val="right"/>
      <w:pPr>
        <w:ind w:left="6993" w:hanging="180"/>
      </w:pPr>
    </w:lvl>
    <w:lvl w:ilvl="6" w:tplc="0419000F" w:tentative="1">
      <w:start w:val="1"/>
      <w:numFmt w:val="decimal"/>
      <w:lvlText w:val="%7."/>
      <w:lvlJc w:val="left"/>
      <w:pPr>
        <w:ind w:left="7713" w:hanging="360"/>
      </w:pPr>
    </w:lvl>
    <w:lvl w:ilvl="7" w:tplc="04190019" w:tentative="1">
      <w:start w:val="1"/>
      <w:numFmt w:val="lowerLetter"/>
      <w:lvlText w:val="%8."/>
      <w:lvlJc w:val="left"/>
      <w:pPr>
        <w:ind w:left="8433" w:hanging="360"/>
      </w:pPr>
    </w:lvl>
    <w:lvl w:ilvl="8" w:tplc="0419001B" w:tentative="1">
      <w:start w:val="1"/>
      <w:numFmt w:val="lowerRoman"/>
      <w:lvlText w:val="%9."/>
      <w:lvlJc w:val="right"/>
      <w:pPr>
        <w:ind w:left="9153" w:hanging="180"/>
      </w:pPr>
    </w:lvl>
  </w:abstractNum>
  <w:abstractNum w:abstractNumId="3" w15:restartNumberingAfterBreak="0">
    <w:nsid w:val="18B468F5"/>
    <w:multiLevelType w:val="hybridMultilevel"/>
    <w:tmpl w:val="EE444A5C"/>
    <w:lvl w:ilvl="0" w:tplc="E6C6D834">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E0C6F5D"/>
    <w:multiLevelType w:val="hybridMultilevel"/>
    <w:tmpl w:val="8520A63A"/>
    <w:lvl w:ilvl="0" w:tplc="266A03BC">
      <w:start w:val="1"/>
      <w:numFmt w:val="decimal"/>
      <w:lvlRestart w:val="0"/>
      <w:pStyle w:val="MDPI71FootNotes"/>
      <w:lvlText w:val="%1."/>
      <w:lvlJc w:val="left"/>
      <w:pPr>
        <w:ind w:left="425" w:hanging="425"/>
      </w:pPr>
      <w:rPr>
        <w:rFonts w:hint="default"/>
        <w:vertAlign w:val="superscrip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5" w15:restartNumberingAfterBreak="0">
    <w:nsid w:val="215F6BD4"/>
    <w:multiLevelType w:val="hybridMultilevel"/>
    <w:tmpl w:val="C0E49DDE"/>
    <w:lvl w:ilvl="0" w:tplc="30A2041A">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6"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8"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C043B0"/>
    <w:multiLevelType w:val="hybridMultilevel"/>
    <w:tmpl w:val="0E54FC18"/>
    <w:lvl w:ilvl="0" w:tplc="0D8AA6A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15:restartNumberingAfterBreak="0">
    <w:nsid w:val="352E5406"/>
    <w:multiLevelType w:val="hybridMultilevel"/>
    <w:tmpl w:val="78D87C28"/>
    <w:lvl w:ilvl="0" w:tplc="68E6B4BE">
      <w:start w:val="2"/>
      <w:numFmt w:val="bullet"/>
      <w:lvlText w:val="-"/>
      <w:lvlJc w:val="left"/>
      <w:pPr>
        <w:ind w:left="3393" w:hanging="360"/>
      </w:pPr>
      <w:rPr>
        <w:rFonts w:ascii="Palatino Linotype" w:eastAsia="Times New Roman" w:hAnsi="Palatino Linotype" w:cs="Times New Roman" w:hint="default"/>
      </w:rPr>
    </w:lvl>
    <w:lvl w:ilvl="1" w:tplc="04190003" w:tentative="1">
      <w:start w:val="1"/>
      <w:numFmt w:val="bullet"/>
      <w:lvlText w:val="o"/>
      <w:lvlJc w:val="left"/>
      <w:pPr>
        <w:ind w:left="4113" w:hanging="360"/>
      </w:pPr>
      <w:rPr>
        <w:rFonts w:ascii="Courier New" w:hAnsi="Courier New" w:cs="Courier New" w:hint="default"/>
      </w:rPr>
    </w:lvl>
    <w:lvl w:ilvl="2" w:tplc="04190005" w:tentative="1">
      <w:start w:val="1"/>
      <w:numFmt w:val="bullet"/>
      <w:lvlText w:val=""/>
      <w:lvlJc w:val="left"/>
      <w:pPr>
        <w:ind w:left="4833" w:hanging="360"/>
      </w:pPr>
      <w:rPr>
        <w:rFonts w:ascii="Wingdings" w:hAnsi="Wingdings" w:hint="default"/>
      </w:rPr>
    </w:lvl>
    <w:lvl w:ilvl="3" w:tplc="04190001" w:tentative="1">
      <w:start w:val="1"/>
      <w:numFmt w:val="bullet"/>
      <w:lvlText w:val=""/>
      <w:lvlJc w:val="left"/>
      <w:pPr>
        <w:ind w:left="5553" w:hanging="360"/>
      </w:pPr>
      <w:rPr>
        <w:rFonts w:ascii="Symbol" w:hAnsi="Symbol" w:hint="default"/>
      </w:rPr>
    </w:lvl>
    <w:lvl w:ilvl="4" w:tplc="04190003" w:tentative="1">
      <w:start w:val="1"/>
      <w:numFmt w:val="bullet"/>
      <w:lvlText w:val="o"/>
      <w:lvlJc w:val="left"/>
      <w:pPr>
        <w:ind w:left="6273" w:hanging="360"/>
      </w:pPr>
      <w:rPr>
        <w:rFonts w:ascii="Courier New" w:hAnsi="Courier New" w:cs="Courier New" w:hint="default"/>
      </w:rPr>
    </w:lvl>
    <w:lvl w:ilvl="5" w:tplc="04190005" w:tentative="1">
      <w:start w:val="1"/>
      <w:numFmt w:val="bullet"/>
      <w:lvlText w:val=""/>
      <w:lvlJc w:val="left"/>
      <w:pPr>
        <w:ind w:left="6993" w:hanging="360"/>
      </w:pPr>
      <w:rPr>
        <w:rFonts w:ascii="Wingdings" w:hAnsi="Wingdings" w:hint="default"/>
      </w:rPr>
    </w:lvl>
    <w:lvl w:ilvl="6" w:tplc="04190001" w:tentative="1">
      <w:start w:val="1"/>
      <w:numFmt w:val="bullet"/>
      <w:lvlText w:val=""/>
      <w:lvlJc w:val="left"/>
      <w:pPr>
        <w:ind w:left="7713" w:hanging="360"/>
      </w:pPr>
      <w:rPr>
        <w:rFonts w:ascii="Symbol" w:hAnsi="Symbol" w:hint="default"/>
      </w:rPr>
    </w:lvl>
    <w:lvl w:ilvl="7" w:tplc="04190003" w:tentative="1">
      <w:start w:val="1"/>
      <w:numFmt w:val="bullet"/>
      <w:lvlText w:val="o"/>
      <w:lvlJc w:val="left"/>
      <w:pPr>
        <w:ind w:left="8433" w:hanging="360"/>
      </w:pPr>
      <w:rPr>
        <w:rFonts w:ascii="Courier New" w:hAnsi="Courier New" w:cs="Courier New" w:hint="default"/>
      </w:rPr>
    </w:lvl>
    <w:lvl w:ilvl="8" w:tplc="04190005" w:tentative="1">
      <w:start w:val="1"/>
      <w:numFmt w:val="bullet"/>
      <w:lvlText w:val=""/>
      <w:lvlJc w:val="left"/>
      <w:pPr>
        <w:ind w:left="9153" w:hanging="360"/>
      </w:pPr>
      <w:rPr>
        <w:rFonts w:ascii="Wingdings" w:hAnsi="Wingdings" w:hint="default"/>
      </w:rPr>
    </w:lvl>
  </w:abstractNum>
  <w:abstractNum w:abstractNumId="11"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2" w15:restartNumberingAfterBreak="0">
    <w:nsid w:val="3C4266E8"/>
    <w:multiLevelType w:val="hybridMultilevel"/>
    <w:tmpl w:val="FBD00078"/>
    <w:lvl w:ilvl="0" w:tplc="E22A21CC">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ED4561C"/>
    <w:multiLevelType w:val="hybridMultilevel"/>
    <w:tmpl w:val="ECCA805C"/>
    <w:lvl w:ilvl="0" w:tplc="32EA8732">
      <w:start w:val="1"/>
      <w:numFmt w:val="decimal"/>
      <w:lvlText w:val="%1)"/>
      <w:lvlJc w:val="left"/>
      <w:pPr>
        <w:ind w:left="3393" w:hanging="360"/>
      </w:pPr>
      <w:rPr>
        <w:rFonts w:hint="default"/>
      </w:rPr>
    </w:lvl>
    <w:lvl w:ilvl="1" w:tplc="04190019" w:tentative="1">
      <w:start w:val="1"/>
      <w:numFmt w:val="lowerLetter"/>
      <w:lvlText w:val="%2."/>
      <w:lvlJc w:val="left"/>
      <w:pPr>
        <w:ind w:left="4113" w:hanging="360"/>
      </w:pPr>
    </w:lvl>
    <w:lvl w:ilvl="2" w:tplc="0419001B" w:tentative="1">
      <w:start w:val="1"/>
      <w:numFmt w:val="lowerRoman"/>
      <w:lvlText w:val="%3."/>
      <w:lvlJc w:val="right"/>
      <w:pPr>
        <w:ind w:left="4833" w:hanging="180"/>
      </w:pPr>
    </w:lvl>
    <w:lvl w:ilvl="3" w:tplc="0419000F" w:tentative="1">
      <w:start w:val="1"/>
      <w:numFmt w:val="decimal"/>
      <w:lvlText w:val="%4."/>
      <w:lvlJc w:val="left"/>
      <w:pPr>
        <w:ind w:left="5553" w:hanging="360"/>
      </w:pPr>
    </w:lvl>
    <w:lvl w:ilvl="4" w:tplc="04190019" w:tentative="1">
      <w:start w:val="1"/>
      <w:numFmt w:val="lowerLetter"/>
      <w:lvlText w:val="%5."/>
      <w:lvlJc w:val="left"/>
      <w:pPr>
        <w:ind w:left="6273" w:hanging="360"/>
      </w:pPr>
    </w:lvl>
    <w:lvl w:ilvl="5" w:tplc="0419001B" w:tentative="1">
      <w:start w:val="1"/>
      <w:numFmt w:val="lowerRoman"/>
      <w:lvlText w:val="%6."/>
      <w:lvlJc w:val="right"/>
      <w:pPr>
        <w:ind w:left="6993" w:hanging="180"/>
      </w:pPr>
    </w:lvl>
    <w:lvl w:ilvl="6" w:tplc="0419000F" w:tentative="1">
      <w:start w:val="1"/>
      <w:numFmt w:val="decimal"/>
      <w:lvlText w:val="%7."/>
      <w:lvlJc w:val="left"/>
      <w:pPr>
        <w:ind w:left="7713" w:hanging="360"/>
      </w:pPr>
    </w:lvl>
    <w:lvl w:ilvl="7" w:tplc="04190019" w:tentative="1">
      <w:start w:val="1"/>
      <w:numFmt w:val="lowerLetter"/>
      <w:lvlText w:val="%8."/>
      <w:lvlJc w:val="left"/>
      <w:pPr>
        <w:ind w:left="8433" w:hanging="360"/>
      </w:pPr>
    </w:lvl>
    <w:lvl w:ilvl="8" w:tplc="0419001B" w:tentative="1">
      <w:start w:val="1"/>
      <w:numFmt w:val="lowerRoman"/>
      <w:lvlText w:val="%9."/>
      <w:lvlJc w:val="right"/>
      <w:pPr>
        <w:ind w:left="9153" w:hanging="180"/>
      </w:pPr>
    </w:lvl>
  </w:abstractNum>
  <w:abstractNum w:abstractNumId="14"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6" w15:restartNumberingAfterBreak="0">
    <w:nsid w:val="56CF7C60"/>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0086328"/>
    <w:multiLevelType w:val="hybridMultilevel"/>
    <w:tmpl w:val="EC8AEFE8"/>
    <w:lvl w:ilvl="0" w:tplc="15A6C96C">
      <w:start w:val="1"/>
      <w:numFmt w:val="decimal"/>
      <w:lvlText w:val="%1."/>
      <w:lvlJc w:val="left"/>
      <w:pPr>
        <w:ind w:left="3393" w:hanging="360"/>
      </w:pPr>
      <w:rPr>
        <w:rFonts w:hint="default"/>
      </w:rPr>
    </w:lvl>
    <w:lvl w:ilvl="1" w:tplc="04190019" w:tentative="1">
      <w:start w:val="1"/>
      <w:numFmt w:val="lowerLetter"/>
      <w:lvlText w:val="%2."/>
      <w:lvlJc w:val="left"/>
      <w:pPr>
        <w:ind w:left="4113" w:hanging="360"/>
      </w:pPr>
    </w:lvl>
    <w:lvl w:ilvl="2" w:tplc="0419001B" w:tentative="1">
      <w:start w:val="1"/>
      <w:numFmt w:val="lowerRoman"/>
      <w:lvlText w:val="%3."/>
      <w:lvlJc w:val="right"/>
      <w:pPr>
        <w:ind w:left="4833" w:hanging="180"/>
      </w:pPr>
    </w:lvl>
    <w:lvl w:ilvl="3" w:tplc="0419000F" w:tentative="1">
      <w:start w:val="1"/>
      <w:numFmt w:val="decimal"/>
      <w:lvlText w:val="%4."/>
      <w:lvlJc w:val="left"/>
      <w:pPr>
        <w:ind w:left="5553" w:hanging="360"/>
      </w:pPr>
    </w:lvl>
    <w:lvl w:ilvl="4" w:tplc="04190019" w:tentative="1">
      <w:start w:val="1"/>
      <w:numFmt w:val="lowerLetter"/>
      <w:lvlText w:val="%5."/>
      <w:lvlJc w:val="left"/>
      <w:pPr>
        <w:ind w:left="6273" w:hanging="360"/>
      </w:pPr>
    </w:lvl>
    <w:lvl w:ilvl="5" w:tplc="0419001B" w:tentative="1">
      <w:start w:val="1"/>
      <w:numFmt w:val="lowerRoman"/>
      <w:lvlText w:val="%6."/>
      <w:lvlJc w:val="right"/>
      <w:pPr>
        <w:ind w:left="6993" w:hanging="180"/>
      </w:pPr>
    </w:lvl>
    <w:lvl w:ilvl="6" w:tplc="0419000F" w:tentative="1">
      <w:start w:val="1"/>
      <w:numFmt w:val="decimal"/>
      <w:lvlText w:val="%7."/>
      <w:lvlJc w:val="left"/>
      <w:pPr>
        <w:ind w:left="7713" w:hanging="360"/>
      </w:pPr>
    </w:lvl>
    <w:lvl w:ilvl="7" w:tplc="04190019" w:tentative="1">
      <w:start w:val="1"/>
      <w:numFmt w:val="lowerLetter"/>
      <w:lvlText w:val="%8."/>
      <w:lvlJc w:val="left"/>
      <w:pPr>
        <w:ind w:left="8433" w:hanging="360"/>
      </w:pPr>
    </w:lvl>
    <w:lvl w:ilvl="8" w:tplc="0419001B" w:tentative="1">
      <w:start w:val="1"/>
      <w:numFmt w:val="lowerRoman"/>
      <w:lvlText w:val="%9."/>
      <w:lvlJc w:val="right"/>
      <w:pPr>
        <w:ind w:left="9153" w:hanging="180"/>
      </w:pPr>
    </w:lvl>
  </w:abstractNum>
  <w:abstractNum w:abstractNumId="18" w15:restartNumberingAfterBreak="0">
    <w:nsid w:val="6EE172F4"/>
    <w:multiLevelType w:val="multilevel"/>
    <w:tmpl w:val="AD366D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25617B7"/>
    <w:multiLevelType w:val="hybridMultilevel"/>
    <w:tmpl w:val="A8B223A8"/>
    <w:lvl w:ilvl="0" w:tplc="BC64C156">
      <w:start w:val="1"/>
      <w:numFmt w:val="decimal"/>
      <w:lvlText w:val="%1."/>
      <w:lvlJc w:val="left"/>
      <w:pPr>
        <w:ind w:left="3393" w:hanging="360"/>
      </w:pPr>
      <w:rPr>
        <w:rFonts w:hint="default"/>
      </w:rPr>
    </w:lvl>
    <w:lvl w:ilvl="1" w:tplc="04190019" w:tentative="1">
      <w:start w:val="1"/>
      <w:numFmt w:val="lowerLetter"/>
      <w:lvlText w:val="%2."/>
      <w:lvlJc w:val="left"/>
      <w:pPr>
        <w:ind w:left="4113" w:hanging="360"/>
      </w:pPr>
    </w:lvl>
    <w:lvl w:ilvl="2" w:tplc="0419001B" w:tentative="1">
      <w:start w:val="1"/>
      <w:numFmt w:val="lowerRoman"/>
      <w:lvlText w:val="%3."/>
      <w:lvlJc w:val="right"/>
      <w:pPr>
        <w:ind w:left="4833" w:hanging="180"/>
      </w:pPr>
    </w:lvl>
    <w:lvl w:ilvl="3" w:tplc="0419000F" w:tentative="1">
      <w:start w:val="1"/>
      <w:numFmt w:val="decimal"/>
      <w:lvlText w:val="%4."/>
      <w:lvlJc w:val="left"/>
      <w:pPr>
        <w:ind w:left="5553" w:hanging="360"/>
      </w:pPr>
    </w:lvl>
    <w:lvl w:ilvl="4" w:tplc="04190019" w:tentative="1">
      <w:start w:val="1"/>
      <w:numFmt w:val="lowerLetter"/>
      <w:lvlText w:val="%5."/>
      <w:lvlJc w:val="left"/>
      <w:pPr>
        <w:ind w:left="6273" w:hanging="360"/>
      </w:pPr>
    </w:lvl>
    <w:lvl w:ilvl="5" w:tplc="0419001B" w:tentative="1">
      <w:start w:val="1"/>
      <w:numFmt w:val="lowerRoman"/>
      <w:lvlText w:val="%6."/>
      <w:lvlJc w:val="right"/>
      <w:pPr>
        <w:ind w:left="6993" w:hanging="180"/>
      </w:pPr>
    </w:lvl>
    <w:lvl w:ilvl="6" w:tplc="0419000F" w:tentative="1">
      <w:start w:val="1"/>
      <w:numFmt w:val="decimal"/>
      <w:lvlText w:val="%7."/>
      <w:lvlJc w:val="left"/>
      <w:pPr>
        <w:ind w:left="7713" w:hanging="360"/>
      </w:pPr>
    </w:lvl>
    <w:lvl w:ilvl="7" w:tplc="04190019" w:tentative="1">
      <w:start w:val="1"/>
      <w:numFmt w:val="lowerLetter"/>
      <w:lvlText w:val="%8."/>
      <w:lvlJc w:val="left"/>
      <w:pPr>
        <w:ind w:left="8433" w:hanging="360"/>
      </w:pPr>
    </w:lvl>
    <w:lvl w:ilvl="8" w:tplc="0419001B" w:tentative="1">
      <w:start w:val="1"/>
      <w:numFmt w:val="lowerRoman"/>
      <w:lvlText w:val="%9."/>
      <w:lvlJc w:val="right"/>
      <w:pPr>
        <w:ind w:left="9153" w:hanging="180"/>
      </w:pPr>
    </w:lvl>
  </w:abstractNum>
  <w:abstractNum w:abstractNumId="21" w15:restartNumberingAfterBreak="0">
    <w:nsid w:val="76A20055"/>
    <w:multiLevelType w:val="hybridMultilevel"/>
    <w:tmpl w:val="B2724AF0"/>
    <w:lvl w:ilvl="0" w:tplc="03C02EE2">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11"/>
  </w:num>
  <w:num w:numId="3">
    <w:abstractNumId w:val="6"/>
  </w:num>
  <w:num w:numId="4">
    <w:abstractNumId w:val="8"/>
  </w:num>
  <w:num w:numId="5">
    <w:abstractNumId w:val="15"/>
  </w:num>
  <w:num w:numId="6">
    <w:abstractNumId w:val="4"/>
  </w:num>
  <w:num w:numId="7">
    <w:abstractNumId w:val="15"/>
  </w:num>
  <w:num w:numId="8">
    <w:abstractNumId w:val="4"/>
  </w:num>
  <w:num w:numId="9">
    <w:abstractNumId w:val="15"/>
  </w:num>
  <w:num w:numId="10">
    <w:abstractNumId w:val="4"/>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num>
  <w:num w:numId="13">
    <w:abstractNumId w:val="19"/>
  </w:num>
  <w:num w:numId="14">
    <w:abstractNumId w:val="15"/>
  </w:num>
  <w:num w:numId="15">
    <w:abstractNumId w:val="4"/>
  </w:num>
  <w:num w:numId="16">
    <w:abstractNumId w:val="3"/>
  </w:num>
  <w:num w:numId="17">
    <w:abstractNumId w:val="14"/>
  </w:num>
  <w:num w:numId="18">
    <w:abstractNumId w:val="3"/>
  </w:num>
  <w:num w:numId="19">
    <w:abstractNumId w:val="15"/>
  </w:num>
  <w:num w:numId="20">
    <w:abstractNumId w:val="4"/>
  </w:num>
  <w:num w:numId="21">
    <w:abstractNumId w:val="3"/>
  </w:num>
  <w:num w:numId="22">
    <w:abstractNumId w:val="5"/>
  </w:num>
  <w:num w:numId="23">
    <w:abstractNumId w:val="12"/>
  </w:num>
  <w:num w:numId="24">
    <w:abstractNumId w:val="18"/>
  </w:num>
  <w:num w:numId="25">
    <w:abstractNumId w:val="10"/>
  </w:num>
  <w:num w:numId="26">
    <w:abstractNumId w:val="9"/>
  </w:num>
  <w:num w:numId="27">
    <w:abstractNumId w:val="13"/>
  </w:num>
  <w:num w:numId="28">
    <w:abstractNumId w:val="1"/>
  </w:num>
  <w:num w:numId="29">
    <w:abstractNumId w:val="17"/>
  </w:num>
  <w:num w:numId="30">
    <w:abstractNumId w:val="21"/>
  </w:num>
  <w:num w:numId="31">
    <w:abstractNumId w:val="3"/>
    <w:lvlOverride w:ilvl="0">
      <w:startOverride w:val="1"/>
    </w:lvlOverride>
  </w:num>
  <w:num w:numId="32">
    <w:abstractNumId w:val="3"/>
    <w:lvlOverride w:ilvl="0">
      <w:startOverride w:val="1"/>
    </w:lvlOverride>
  </w:num>
  <w:num w:numId="33">
    <w:abstractNumId w:val="20"/>
  </w:num>
  <w:num w:numId="34">
    <w:abstractNumId w:val="3"/>
    <w:lvlOverride w:ilvl="0">
      <w:startOverride w:val="1"/>
    </w:lvlOverride>
  </w:num>
  <w:num w:numId="35">
    <w:abstractNumId w:val="3"/>
    <w:lvlOverride w:ilvl="0">
      <w:startOverride w:val="1"/>
    </w:lvlOverride>
  </w:num>
  <w:num w:numId="36">
    <w:abstractNumId w:val="2"/>
  </w:num>
  <w:num w:numId="3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icrosoft Office User">
    <w15:presenceInfo w15:providerId="None" w15:userId="Microsoft Office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7"/>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763D"/>
    <w:rsid w:val="0000388A"/>
    <w:rsid w:val="00003EE0"/>
    <w:rsid w:val="000049E7"/>
    <w:rsid w:val="00004DF4"/>
    <w:rsid w:val="00012058"/>
    <w:rsid w:val="00013436"/>
    <w:rsid w:val="00017CD7"/>
    <w:rsid w:val="0002118A"/>
    <w:rsid w:val="00022068"/>
    <w:rsid w:val="0002290E"/>
    <w:rsid w:val="0002294F"/>
    <w:rsid w:val="00022A4E"/>
    <w:rsid w:val="00024399"/>
    <w:rsid w:val="00030239"/>
    <w:rsid w:val="00031BEA"/>
    <w:rsid w:val="000321AB"/>
    <w:rsid w:val="00032954"/>
    <w:rsid w:val="00041FD0"/>
    <w:rsid w:val="0004628A"/>
    <w:rsid w:val="00046A90"/>
    <w:rsid w:val="00052F48"/>
    <w:rsid w:val="00056884"/>
    <w:rsid w:val="0005767D"/>
    <w:rsid w:val="00062EA2"/>
    <w:rsid w:val="00064873"/>
    <w:rsid w:val="000674F9"/>
    <w:rsid w:val="00071B1B"/>
    <w:rsid w:val="00074AF1"/>
    <w:rsid w:val="00075E48"/>
    <w:rsid w:val="000771C0"/>
    <w:rsid w:val="00077D60"/>
    <w:rsid w:val="00081974"/>
    <w:rsid w:val="0008671B"/>
    <w:rsid w:val="00090B81"/>
    <w:rsid w:val="000A02AE"/>
    <w:rsid w:val="000A45CA"/>
    <w:rsid w:val="000A5758"/>
    <w:rsid w:val="000B05FB"/>
    <w:rsid w:val="000B3247"/>
    <w:rsid w:val="000B6538"/>
    <w:rsid w:val="000B663D"/>
    <w:rsid w:val="000C44B3"/>
    <w:rsid w:val="000C5A75"/>
    <w:rsid w:val="000D0E4D"/>
    <w:rsid w:val="000D1412"/>
    <w:rsid w:val="000D1D7F"/>
    <w:rsid w:val="000D396A"/>
    <w:rsid w:val="000D3FDB"/>
    <w:rsid w:val="000D6FB8"/>
    <w:rsid w:val="000E23C1"/>
    <w:rsid w:val="000E41E1"/>
    <w:rsid w:val="000E5D08"/>
    <w:rsid w:val="000E5E69"/>
    <w:rsid w:val="000E7173"/>
    <w:rsid w:val="000F2BB4"/>
    <w:rsid w:val="000F3B20"/>
    <w:rsid w:val="000F3DCF"/>
    <w:rsid w:val="00103B42"/>
    <w:rsid w:val="00107B29"/>
    <w:rsid w:val="001177AE"/>
    <w:rsid w:val="001221FC"/>
    <w:rsid w:val="0012269E"/>
    <w:rsid w:val="0012330F"/>
    <w:rsid w:val="00130456"/>
    <w:rsid w:val="00132FE7"/>
    <w:rsid w:val="0013375C"/>
    <w:rsid w:val="00137F2E"/>
    <w:rsid w:val="00140800"/>
    <w:rsid w:val="00154D87"/>
    <w:rsid w:val="00155140"/>
    <w:rsid w:val="001551C7"/>
    <w:rsid w:val="00156765"/>
    <w:rsid w:val="001573E3"/>
    <w:rsid w:val="0016269D"/>
    <w:rsid w:val="00163A26"/>
    <w:rsid w:val="0017483E"/>
    <w:rsid w:val="00174FAE"/>
    <w:rsid w:val="00176190"/>
    <w:rsid w:val="00176717"/>
    <w:rsid w:val="001860AE"/>
    <w:rsid w:val="00190C71"/>
    <w:rsid w:val="00191AFD"/>
    <w:rsid w:val="001931BB"/>
    <w:rsid w:val="001963FE"/>
    <w:rsid w:val="001966BE"/>
    <w:rsid w:val="001A0DE0"/>
    <w:rsid w:val="001A26F8"/>
    <w:rsid w:val="001B020A"/>
    <w:rsid w:val="001B151C"/>
    <w:rsid w:val="001B2320"/>
    <w:rsid w:val="001B5040"/>
    <w:rsid w:val="001C1688"/>
    <w:rsid w:val="001D6ED6"/>
    <w:rsid w:val="001D74CB"/>
    <w:rsid w:val="001D7618"/>
    <w:rsid w:val="001E0069"/>
    <w:rsid w:val="001E2AEB"/>
    <w:rsid w:val="001F25BC"/>
    <w:rsid w:val="00201F62"/>
    <w:rsid w:val="00203330"/>
    <w:rsid w:val="00210B91"/>
    <w:rsid w:val="00215367"/>
    <w:rsid w:val="00222877"/>
    <w:rsid w:val="00224476"/>
    <w:rsid w:val="00225367"/>
    <w:rsid w:val="00231E65"/>
    <w:rsid w:val="002323F4"/>
    <w:rsid w:val="002325A8"/>
    <w:rsid w:val="00233C22"/>
    <w:rsid w:val="00233E48"/>
    <w:rsid w:val="00243CDE"/>
    <w:rsid w:val="0024543C"/>
    <w:rsid w:val="00250ED1"/>
    <w:rsid w:val="00253167"/>
    <w:rsid w:val="00256FD8"/>
    <w:rsid w:val="00257754"/>
    <w:rsid w:val="002625F8"/>
    <w:rsid w:val="00262F63"/>
    <w:rsid w:val="00266257"/>
    <w:rsid w:val="002751D1"/>
    <w:rsid w:val="002755B8"/>
    <w:rsid w:val="00276360"/>
    <w:rsid w:val="002802AB"/>
    <w:rsid w:val="002815C6"/>
    <w:rsid w:val="002856E2"/>
    <w:rsid w:val="00286179"/>
    <w:rsid w:val="00291658"/>
    <w:rsid w:val="00295E1A"/>
    <w:rsid w:val="00296A89"/>
    <w:rsid w:val="002A073A"/>
    <w:rsid w:val="002A2078"/>
    <w:rsid w:val="002A57D0"/>
    <w:rsid w:val="002A7C20"/>
    <w:rsid w:val="002B1B9A"/>
    <w:rsid w:val="002B5BA8"/>
    <w:rsid w:val="002B77A9"/>
    <w:rsid w:val="002B78DB"/>
    <w:rsid w:val="002B7B7D"/>
    <w:rsid w:val="002C0F21"/>
    <w:rsid w:val="002C508D"/>
    <w:rsid w:val="002D10C3"/>
    <w:rsid w:val="002D21CF"/>
    <w:rsid w:val="002D25D1"/>
    <w:rsid w:val="002D2EAC"/>
    <w:rsid w:val="002D3494"/>
    <w:rsid w:val="002D5AF4"/>
    <w:rsid w:val="002E3844"/>
    <w:rsid w:val="002E3D03"/>
    <w:rsid w:val="002E658E"/>
    <w:rsid w:val="002E70E1"/>
    <w:rsid w:val="002F4A3C"/>
    <w:rsid w:val="003008CE"/>
    <w:rsid w:val="00307B9D"/>
    <w:rsid w:val="0031785D"/>
    <w:rsid w:val="00317F19"/>
    <w:rsid w:val="00325AF7"/>
    <w:rsid w:val="00326141"/>
    <w:rsid w:val="00326A38"/>
    <w:rsid w:val="0033015E"/>
    <w:rsid w:val="003308B7"/>
    <w:rsid w:val="00343804"/>
    <w:rsid w:val="003542BC"/>
    <w:rsid w:val="003618A1"/>
    <w:rsid w:val="00362A7B"/>
    <w:rsid w:val="00365D63"/>
    <w:rsid w:val="0037639A"/>
    <w:rsid w:val="0038007C"/>
    <w:rsid w:val="00382977"/>
    <w:rsid w:val="00385413"/>
    <w:rsid w:val="003866CA"/>
    <w:rsid w:val="003915FA"/>
    <w:rsid w:val="00393C77"/>
    <w:rsid w:val="003A21A1"/>
    <w:rsid w:val="003A53A9"/>
    <w:rsid w:val="003A776D"/>
    <w:rsid w:val="003B1600"/>
    <w:rsid w:val="003B2790"/>
    <w:rsid w:val="003B63E7"/>
    <w:rsid w:val="003B6BFA"/>
    <w:rsid w:val="003C22BF"/>
    <w:rsid w:val="003D1A9C"/>
    <w:rsid w:val="003D5D8C"/>
    <w:rsid w:val="003D7A2F"/>
    <w:rsid w:val="003E33DC"/>
    <w:rsid w:val="003F5940"/>
    <w:rsid w:val="003F6196"/>
    <w:rsid w:val="003F66E2"/>
    <w:rsid w:val="00400441"/>
    <w:rsid w:val="004014F7"/>
    <w:rsid w:val="00401D30"/>
    <w:rsid w:val="00404555"/>
    <w:rsid w:val="00407EB5"/>
    <w:rsid w:val="00417358"/>
    <w:rsid w:val="004209DF"/>
    <w:rsid w:val="00423D62"/>
    <w:rsid w:val="004245D9"/>
    <w:rsid w:val="004254AB"/>
    <w:rsid w:val="0042703B"/>
    <w:rsid w:val="00430C2D"/>
    <w:rsid w:val="004351FA"/>
    <w:rsid w:val="004444B0"/>
    <w:rsid w:val="00445790"/>
    <w:rsid w:val="00451AD7"/>
    <w:rsid w:val="00462BB1"/>
    <w:rsid w:val="004658A7"/>
    <w:rsid w:val="00472313"/>
    <w:rsid w:val="00475C03"/>
    <w:rsid w:val="0048092B"/>
    <w:rsid w:val="00482D02"/>
    <w:rsid w:val="004838CA"/>
    <w:rsid w:val="00485B87"/>
    <w:rsid w:val="0049306D"/>
    <w:rsid w:val="004A07D8"/>
    <w:rsid w:val="004B180C"/>
    <w:rsid w:val="004B2A1E"/>
    <w:rsid w:val="004B5E10"/>
    <w:rsid w:val="004C6AE9"/>
    <w:rsid w:val="004D5852"/>
    <w:rsid w:val="004D5E85"/>
    <w:rsid w:val="004D6CEF"/>
    <w:rsid w:val="004D76AF"/>
    <w:rsid w:val="004E2147"/>
    <w:rsid w:val="004F4149"/>
    <w:rsid w:val="004F56B2"/>
    <w:rsid w:val="00501432"/>
    <w:rsid w:val="00501DA3"/>
    <w:rsid w:val="00511381"/>
    <w:rsid w:val="00512888"/>
    <w:rsid w:val="00516C18"/>
    <w:rsid w:val="00532017"/>
    <w:rsid w:val="00543026"/>
    <w:rsid w:val="00544D13"/>
    <w:rsid w:val="00544F56"/>
    <w:rsid w:val="0055074C"/>
    <w:rsid w:val="00551860"/>
    <w:rsid w:val="00551BD3"/>
    <w:rsid w:val="00552879"/>
    <w:rsid w:val="00554784"/>
    <w:rsid w:val="00556E20"/>
    <w:rsid w:val="00561915"/>
    <w:rsid w:val="00564E7E"/>
    <w:rsid w:val="005665BB"/>
    <w:rsid w:val="005815FB"/>
    <w:rsid w:val="00590C65"/>
    <w:rsid w:val="00591E8B"/>
    <w:rsid w:val="00594777"/>
    <w:rsid w:val="0059533A"/>
    <w:rsid w:val="00597522"/>
    <w:rsid w:val="005A0734"/>
    <w:rsid w:val="005A27C1"/>
    <w:rsid w:val="005A2D80"/>
    <w:rsid w:val="005A6AE5"/>
    <w:rsid w:val="005B04D8"/>
    <w:rsid w:val="005B0829"/>
    <w:rsid w:val="005B26D6"/>
    <w:rsid w:val="005C5FD9"/>
    <w:rsid w:val="005C7786"/>
    <w:rsid w:val="005D0793"/>
    <w:rsid w:val="005D2A32"/>
    <w:rsid w:val="005E211E"/>
    <w:rsid w:val="005E5472"/>
    <w:rsid w:val="005E70B0"/>
    <w:rsid w:val="005F1430"/>
    <w:rsid w:val="005F1C16"/>
    <w:rsid w:val="005F50D0"/>
    <w:rsid w:val="005F550A"/>
    <w:rsid w:val="006032AB"/>
    <w:rsid w:val="00606C84"/>
    <w:rsid w:val="00606D5A"/>
    <w:rsid w:val="00613679"/>
    <w:rsid w:val="0061603C"/>
    <w:rsid w:val="0062573B"/>
    <w:rsid w:val="00635C9C"/>
    <w:rsid w:val="00653C2E"/>
    <w:rsid w:val="00654AFB"/>
    <w:rsid w:val="006559CB"/>
    <w:rsid w:val="00656D1B"/>
    <w:rsid w:val="00657917"/>
    <w:rsid w:val="00657DE5"/>
    <w:rsid w:val="00660489"/>
    <w:rsid w:val="0066106C"/>
    <w:rsid w:val="006626A4"/>
    <w:rsid w:val="00664B42"/>
    <w:rsid w:val="006701B6"/>
    <w:rsid w:val="0067237A"/>
    <w:rsid w:val="006732EC"/>
    <w:rsid w:val="0067376E"/>
    <w:rsid w:val="00675CC0"/>
    <w:rsid w:val="0067622A"/>
    <w:rsid w:val="006866BF"/>
    <w:rsid w:val="00692393"/>
    <w:rsid w:val="00695D16"/>
    <w:rsid w:val="006A390A"/>
    <w:rsid w:val="006B1E62"/>
    <w:rsid w:val="006B22F0"/>
    <w:rsid w:val="006B24E8"/>
    <w:rsid w:val="006B264B"/>
    <w:rsid w:val="006B637D"/>
    <w:rsid w:val="006D38D3"/>
    <w:rsid w:val="006D43B6"/>
    <w:rsid w:val="006D43E3"/>
    <w:rsid w:val="006E03B5"/>
    <w:rsid w:val="006E4DC0"/>
    <w:rsid w:val="006E57CA"/>
    <w:rsid w:val="006E5CCA"/>
    <w:rsid w:val="006F0BDE"/>
    <w:rsid w:val="006F36B0"/>
    <w:rsid w:val="00702705"/>
    <w:rsid w:val="00702DAD"/>
    <w:rsid w:val="00704A61"/>
    <w:rsid w:val="0071246C"/>
    <w:rsid w:val="00712B9C"/>
    <w:rsid w:val="00717CA3"/>
    <w:rsid w:val="007219DD"/>
    <w:rsid w:val="00722F76"/>
    <w:rsid w:val="00723828"/>
    <w:rsid w:val="00724126"/>
    <w:rsid w:val="00726D4E"/>
    <w:rsid w:val="00726EFA"/>
    <w:rsid w:val="00736B3F"/>
    <w:rsid w:val="0074118F"/>
    <w:rsid w:val="00742DDE"/>
    <w:rsid w:val="00746152"/>
    <w:rsid w:val="00746D0D"/>
    <w:rsid w:val="00756F82"/>
    <w:rsid w:val="00767828"/>
    <w:rsid w:val="0078096C"/>
    <w:rsid w:val="0078467F"/>
    <w:rsid w:val="007857BD"/>
    <w:rsid w:val="00785B69"/>
    <w:rsid w:val="00787804"/>
    <w:rsid w:val="0079071D"/>
    <w:rsid w:val="007A0146"/>
    <w:rsid w:val="007A3377"/>
    <w:rsid w:val="007A3678"/>
    <w:rsid w:val="007A51EC"/>
    <w:rsid w:val="007A78B9"/>
    <w:rsid w:val="007B1B02"/>
    <w:rsid w:val="007B2E86"/>
    <w:rsid w:val="007B441B"/>
    <w:rsid w:val="007C08F0"/>
    <w:rsid w:val="007C2229"/>
    <w:rsid w:val="007D13BB"/>
    <w:rsid w:val="007D4835"/>
    <w:rsid w:val="007E0C3B"/>
    <w:rsid w:val="007E2867"/>
    <w:rsid w:val="007F0C15"/>
    <w:rsid w:val="007F39D1"/>
    <w:rsid w:val="007F6375"/>
    <w:rsid w:val="007F6CE2"/>
    <w:rsid w:val="008011E4"/>
    <w:rsid w:val="00814B8C"/>
    <w:rsid w:val="008228E3"/>
    <w:rsid w:val="008350A7"/>
    <w:rsid w:val="00840178"/>
    <w:rsid w:val="00840B06"/>
    <w:rsid w:val="008529E8"/>
    <w:rsid w:val="00864427"/>
    <w:rsid w:val="008673BA"/>
    <w:rsid w:val="00874B99"/>
    <w:rsid w:val="00874CD5"/>
    <w:rsid w:val="00876386"/>
    <w:rsid w:val="00877DC6"/>
    <w:rsid w:val="008852D8"/>
    <w:rsid w:val="00885CF9"/>
    <w:rsid w:val="008909F8"/>
    <w:rsid w:val="00892865"/>
    <w:rsid w:val="008959CE"/>
    <w:rsid w:val="00897111"/>
    <w:rsid w:val="008A5618"/>
    <w:rsid w:val="008A6492"/>
    <w:rsid w:val="008B15E9"/>
    <w:rsid w:val="008B30B8"/>
    <w:rsid w:val="008B4154"/>
    <w:rsid w:val="008B7C31"/>
    <w:rsid w:val="008C4671"/>
    <w:rsid w:val="008C757A"/>
    <w:rsid w:val="008D6390"/>
    <w:rsid w:val="008E2093"/>
    <w:rsid w:val="008E3A5A"/>
    <w:rsid w:val="008E3B5F"/>
    <w:rsid w:val="008E5BB7"/>
    <w:rsid w:val="008F1786"/>
    <w:rsid w:val="008F1ADD"/>
    <w:rsid w:val="008F2075"/>
    <w:rsid w:val="00902591"/>
    <w:rsid w:val="0090489F"/>
    <w:rsid w:val="0091233F"/>
    <w:rsid w:val="009137C6"/>
    <w:rsid w:val="009140C7"/>
    <w:rsid w:val="0092754E"/>
    <w:rsid w:val="00941D0F"/>
    <w:rsid w:val="009440F7"/>
    <w:rsid w:val="00947A69"/>
    <w:rsid w:val="00951C5A"/>
    <w:rsid w:val="0095407F"/>
    <w:rsid w:val="00956AE0"/>
    <w:rsid w:val="0095761C"/>
    <w:rsid w:val="00961C54"/>
    <w:rsid w:val="00963A8D"/>
    <w:rsid w:val="00963D3E"/>
    <w:rsid w:val="00965380"/>
    <w:rsid w:val="0097363F"/>
    <w:rsid w:val="00980C12"/>
    <w:rsid w:val="00987D57"/>
    <w:rsid w:val="00990688"/>
    <w:rsid w:val="00993F2A"/>
    <w:rsid w:val="009A02CB"/>
    <w:rsid w:val="009A1388"/>
    <w:rsid w:val="009A1BC5"/>
    <w:rsid w:val="009A3E51"/>
    <w:rsid w:val="009A7043"/>
    <w:rsid w:val="009B160F"/>
    <w:rsid w:val="009C0324"/>
    <w:rsid w:val="009C055F"/>
    <w:rsid w:val="009C7AC2"/>
    <w:rsid w:val="009D10AA"/>
    <w:rsid w:val="009D6BB0"/>
    <w:rsid w:val="009E21CC"/>
    <w:rsid w:val="009E2E2D"/>
    <w:rsid w:val="009E4A76"/>
    <w:rsid w:val="009F02DE"/>
    <w:rsid w:val="009F2211"/>
    <w:rsid w:val="009F64AB"/>
    <w:rsid w:val="009F6A68"/>
    <w:rsid w:val="009F6EB2"/>
    <w:rsid w:val="009F70E6"/>
    <w:rsid w:val="00A1092B"/>
    <w:rsid w:val="00A11FE0"/>
    <w:rsid w:val="00A12B36"/>
    <w:rsid w:val="00A13CBB"/>
    <w:rsid w:val="00A14D6A"/>
    <w:rsid w:val="00A235C7"/>
    <w:rsid w:val="00A267D9"/>
    <w:rsid w:val="00A47AD2"/>
    <w:rsid w:val="00A525CE"/>
    <w:rsid w:val="00A559E6"/>
    <w:rsid w:val="00A64D14"/>
    <w:rsid w:val="00A670BE"/>
    <w:rsid w:val="00A71E59"/>
    <w:rsid w:val="00A7523C"/>
    <w:rsid w:val="00A765E1"/>
    <w:rsid w:val="00A76B59"/>
    <w:rsid w:val="00A774D2"/>
    <w:rsid w:val="00A808CD"/>
    <w:rsid w:val="00A81F30"/>
    <w:rsid w:val="00A94B3A"/>
    <w:rsid w:val="00AA2AF5"/>
    <w:rsid w:val="00AB2A4F"/>
    <w:rsid w:val="00AB35DE"/>
    <w:rsid w:val="00AC1AE1"/>
    <w:rsid w:val="00AC5208"/>
    <w:rsid w:val="00AC5BA3"/>
    <w:rsid w:val="00AD4FBA"/>
    <w:rsid w:val="00AD6CBC"/>
    <w:rsid w:val="00AE03F8"/>
    <w:rsid w:val="00AE17F9"/>
    <w:rsid w:val="00AE32B9"/>
    <w:rsid w:val="00AE5948"/>
    <w:rsid w:val="00AF1C32"/>
    <w:rsid w:val="00AF2597"/>
    <w:rsid w:val="00B02E1D"/>
    <w:rsid w:val="00B03D2C"/>
    <w:rsid w:val="00B052D8"/>
    <w:rsid w:val="00B060B1"/>
    <w:rsid w:val="00B121BF"/>
    <w:rsid w:val="00B15F4B"/>
    <w:rsid w:val="00B21D3A"/>
    <w:rsid w:val="00B27EF9"/>
    <w:rsid w:val="00B331BE"/>
    <w:rsid w:val="00B369CE"/>
    <w:rsid w:val="00B44325"/>
    <w:rsid w:val="00B52F29"/>
    <w:rsid w:val="00B57BB0"/>
    <w:rsid w:val="00B64114"/>
    <w:rsid w:val="00B65BF9"/>
    <w:rsid w:val="00B66269"/>
    <w:rsid w:val="00B67AD6"/>
    <w:rsid w:val="00B71DB5"/>
    <w:rsid w:val="00B75FC7"/>
    <w:rsid w:val="00B77AEC"/>
    <w:rsid w:val="00B81E98"/>
    <w:rsid w:val="00B824B6"/>
    <w:rsid w:val="00B84E70"/>
    <w:rsid w:val="00B85E26"/>
    <w:rsid w:val="00B86EA6"/>
    <w:rsid w:val="00B929F3"/>
    <w:rsid w:val="00B92BC5"/>
    <w:rsid w:val="00B95061"/>
    <w:rsid w:val="00BA1D29"/>
    <w:rsid w:val="00BA25B8"/>
    <w:rsid w:val="00BA5BB2"/>
    <w:rsid w:val="00BA6C5A"/>
    <w:rsid w:val="00BB1D12"/>
    <w:rsid w:val="00BB4DE0"/>
    <w:rsid w:val="00BC0290"/>
    <w:rsid w:val="00BC17A2"/>
    <w:rsid w:val="00BC181A"/>
    <w:rsid w:val="00BD0CDD"/>
    <w:rsid w:val="00BD12C4"/>
    <w:rsid w:val="00BD42F6"/>
    <w:rsid w:val="00BD6A10"/>
    <w:rsid w:val="00BE1B1F"/>
    <w:rsid w:val="00BE6C07"/>
    <w:rsid w:val="00C006E8"/>
    <w:rsid w:val="00C04A12"/>
    <w:rsid w:val="00C059C9"/>
    <w:rsid w:val="00C07DFE"/>
    <w:rsid w:val="00C14FB0"/>
    <w:rsid w:val="00C21629"/>
    <w:rsid w:val="00C23381"/>
    <w:rsid w:val="00C2784A"/>
    <w:rsid w:val="00C3049E"/>
    <w:rsid w:val="00C3763D"/>
    <w:rsid w:val="00C61EC1"/>
    <w:rsid w:val="00C62F0F"/>
    <w:rsid w:val="00C67102"/>
    <w:rsid w:val="00C72347"/>
    <w:rsid w:val="00C742DA"/>
    <w:rsid w:val="00C74E02"/>
    <w:rsid w:val="00C77154"/>
    <w:rsid w:val="00C80DE9"/>
    <w:rsid w:val="00C81AC7"/>
    <w:rsid w:val="00C8585D"/>
    <w:rsid w:val="00C91697"/>
    <w:rsid w:val="00C92F24"/>
    <w:rsid w:val="00C93235"/>
    <w:rsid w:val="00C9372C"/>
    <w:rsid w:val="00C937D7"/>
    <w:rsid w:val="00CA26F4"/>
    <w:rsid w:val="00CA3408"/>
    <w:rsid w:val="00CA3609"/>
    <w:rsid w:val="00CA50C8"/>
    <w:rsid w:val="00CB7885"/>
    <w:rsid w:val="00CC4664"/>
    <w:rsid w:val="00CD41B4"/>
    <w:rsid w:val="00CE332C"/>
    <w:rsid w:val="00CE3454"/>
    <w:rsid w:val="00CF0F82"/>
    <w:rsid w:val="00D02406"/>
    <w:rsid w:val="00D04ECB"/>
    <w:rsid w:val="00D06E28"/>
    <w:rsid w:val="00D07CA2"/>
    <w:rsid w:val="00D100BE"/>
    <w:rsid w:val="00D1254A"/>
    <w:rsid w:val="00D2095E"/>
    <w:rsid w:val="00D232C5"/>
    <w:rsid w:val="00D31FA8"/>
    <w:rsid w:val="00D44CD9"/>
    <w:rsid w:val="00D4725E"/>
    <w:rsid w:val="00D51A94"/>
    <w:rsid w:val="00D52D4F"/>
    <w:rsid w:val="00D561D1"/>
    <w:rsid w:val="00D57B0F"/>
    <w:rsid w:val="00D60B4B"/>
    <w:rsid w:val="00D637EF"/>
    <w:rsid w:val="00D67709"/>
    <w:rsid w:val="00D718CC"/>
    <w:rsid w:val="00D71A5C"/>
    <w:rsid w:val="00D7684E"/>
    <w:rsid w:val="00D91C1A"/>
    <w:rsid w:val="00D945FF"/>
    <w:rsid w:val="00D95CAB"/>
    <w:rsid w:val="00D96CB4"/>
    <w:rsid w:val="00DA042B"/>
    <w:rsid w:val="00DA0B13"/>
    <w:rsid w:val="00DB31F7"/>
    <w:rsid w:val="00DB3219"/>
    <w:rsid w:val="00DB41AD"/>
    <w:rsid w:val="00DB742D"/>
    <w:rsid w:val="00DC44C3"/>
    <w:rsid w:val="00DC4E92"/>
    <w:rsid w:val="00DC5E45"/>
    <w:rsid w:val="00DE42DF"/>
    <w:rsid w:val="00DE521D"/>
    <w:rsid w:val="00DF064E"/>
    <w:rsid w:val="00DF297C"/>
    <w:rsid w:val="00DF2BB8"/>
    <w:rsid w:val="00DF7653"/>
    <w:rsid w:val="00DF7BB7"/>
    <w:rsid w:val="00E03868"/>
    <w:rsid w:val="00E038E0"/>
    <w:rsid w:val="00E101B9"/>
    <w:rsid w:val="00E1138C"/>
    <w:rsid w:val="00E1147C"/>
    <w:rsid w:val="00E1468D"/>
    <w:rsid w:val="00E21359"/>
    <w:rsid w:val="00E31990"/>
    <w:rsid w:val="00E32A14"/>
    <w:rsid w:val="00E33C11"/>
    <w:rsid w:val="00E36A23"/>
    <w:rsid w:val="00E374F2"/>
    <w:rsid w:val="00E47E74"/>
    <w:rsid w:val="00E562EB"/>
    <w:rsid w:val="00E56960"/>
    <w:rsid w:val="00E66845"/>
    <w:rsid w:val="00E67E84"/>
    <w:rsid w:val="00E71FA1"/>
    <w:rsid w:val="00E74800"/>
    <w:rsid w:val="00E84901"/>
    <w:rsid w:val="00E85FF0"/>
    <w:rsid w:val="00E86A85"/>
    <w:rsid w:val="00E96F40"/>
    <w:rsid w:val="00E97174"/>
    <w:rsid w:val="00E97AB0"/>
    <w:rsid w:val="00EA0D9B"/>
    <w:rsid w:val="00EA189B"/>
    <w:rsid w:val="00EA2DA2"/>
    <w:rsid w:val="00EA4F37"/>
    <w:rsid w:val="00EB0E22"/>
    <w:rsid w:val="00EB3AA2"/>
    <w:rsid w:val="00EB6A2A"/>
    <w:rsid w:val="00EC1F67"/>
    <w:rsid w:val="00EC29F7"/>
    <w:rsid w:val="00ED3767"/>
    <w:rsid w:val="00ED5422"/>
    <w:rsid w:val="00ED756A"/>
    <w:rsid w:val="00EE560F"/>
    <w:rsid w:val="00EE7064"/>
    <w:rsid w:val="00EE7DD6"/>
    <w:rsid w:val="00F01238"/>
    <w:rsid w:val="00F01B3E"/>
    <w:rsid w:val="00F036F4"/>
    <w:rsid w:val="00F04C43"/>
    <w:rsid w:val="00F151A9"/>
    <w:rsid w:val="00F2022C"/>
    <w:rsid w:val="00F20A56"/>
    <w:rsid w:val="00F23FE9"/>
    <w:rsid w:val="00F249AE"/>
    <w:rsid w:val="00F25998"/>
    <w:rsid w:val="00F26BE0"/>
    <w:rsid w:val="00F301B6"/>
    <w:rsid w:val="00F31010"/>
    <w:rsid w:val="00F34BC1"/>
    <w:rsid w:val="00F36A05"/>
    <w:rsid w:val="00F4573B"/>
    <w:rsid w:val="00F51C76"/>
    <w:rsid w:val="00F52F29"/>
    <w:rsid w:val="00F537A7"/>
    <w:rsid w:val="00F53C93"/>
    <w:rsid w:val="00F55DB5"/>
    <w:rsid w:val="00F63981"/>
    <w:rsid w:val="00F65172"/>
    <w:rsid w:val="00F66806"/>
    <w:rsid w:val="00F67789"/>
    <w:rsid w:val="00F72A81"/>
    <w:rsid w:val="00F75376"/>
    <w:rsid w:val="00F764A9"/>
    <w:rsid w:val="00F76E2E"/>
    <w:rsid w:val="00F814BA"/>
    <w:rsid w:val="00F8398B"/>
    <w:rsid w:val="00F925D4"/>
    <w:rsid w:val="00F971D1"/>
    <w:rsid w:val="00FA2A62"/>
    <w:rsid w:val="00FA7B47"/>
    <w:rsid w:val="00FB07FA"/>
    <w:rsid w:val="00FB38D2"/>
    <w:rsid w:val="00FB436D"/>
    <w:rsid w:val="00FB7FAA"/>
    <w:rsid w:val="00FC0006"/>
    <w:rsid w:val="00FC05E2"/>
    <w:rsid w:val="00FC2194"/>
    <w:rsid w:val="00FC2C51"/>
    <w:rsid w:val="00FC6A11"/>
    <w:rsid w:val="00FC723A"/>
    <w:rsid w:val="00FD5A7A"/>
    <w:rsid w:val="00FE4C84"/>
    <w:rsid w:val="00FE5C8C"/>
    <w:rsid w:val="00FE73F6"/>
    <w:rsid w:val="00FF5206"/>
    <w:rsid w:val="00FF5D91"/>
    <w:rsid w:val="00FF668F"/>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BB775A"/>
  <w15:docId w15:val="{F6D1E9BA-DC70-3F43-A7A3-040F0A789C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77D60"/>
    <w:pPr>
      <w:spacing w:line="260" w:lineRule="atLeast"/>
      <w:jc w:val="both"/>
    </w:pPr>
    <w:rPr>
      <w:rFonts w:ascii="Palatino Linotype" w:hAnsi="Palatino Linotype"/>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MDPI11articletype">
    <w:name w:val="MDPI_1.1_article_type"/>
    <w:next w:val="a"/>
    <w:qFormat/>
    <w:rsid w:val="00077D60"/>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a"/>
    <w:qFormat/>
    <w:rsid w:val="00077D60"/>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a"/>
    <w:qFormat/>
    <w:rsid w:val="00077D60"/>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a"/>
    <w:next w:val="a"/>
    <w:qFormat/>
    <w:rsid w:val="00077D60"/>
    <w:pPr>
      <w:adjustRightInd w:val="0"/>
      <w:snapToGrid w:val="0"/>
      <w:spacing w:line="240" w:lineRule="atLeast"/>
      <w:ind w:right="113"/>
      <w:jc w:val="left"/>
    </w:pPr>
    <w:rPr>
      <w:rFonts w:eastAsia="Times New Roman"/>
      <w:sz w:val="14"/>
      <w:lang w:eastAsia="de-DE" w:bidi="en-US"/>
    </w:rPr>
  </w:style>
  <w:style w:type="paragraph" w:customStyle="1" w:styleId="MDPI16affiliation">
    <w:name w:val="MDPI_1.6_affiliation"/>
    <w:qFormat/>
    <w:rsid w:val="00077D60"/>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a"/>
    <w:qFormat/>
    <w:rsid w:val="00077D60"/>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a"/>
    <w:qFormat/>
    <w:rsid w:val="00077D60"/>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077D60"/>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a1"/>
    <w:uiPriority w:val="99"/>
    <w:rsid w:val="00606C84"/>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a3">
    <w:name w:val="Table Grid"/>
    <w:basedOn w:val="a1"/>
    <w:uiPriority w:val="39"/>
    <w:rsid w:val="00077D60"/>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077D60"/>
    <w:pPr>
      <w:tabs>
        <w:tab w:val="center" w:pos="4153"/>
        <w:tab w:val="right" w:pos="8306"/>
      </w:tabs>
      <w:snapToGrid w:val="0"/>
      <w:spacing w:line="240" w:lineRule="atLeast"/>
    </w:pPr>
    <w:rPr>
      <w:szCs w:val="18"/>
    </w:rPr>
  </w:style>
  <w:style w:type="character" w:customStyle="1" w:styleId="a5">
    <w:name w:val="Нижний колонтитул Знак"/>
    <w:link w:val="a4"/>
    <w:uiPriority w:val="99"/>
    <w:rsid w:val="00077D60"/>
    <w:rPr>
      <w:rFonts w:ascii="Palatino Linotype" w:hAnsi="Palatino Linotype"/>
      <w:noProof/>
      <w:color w:val="000000"/>
      <w:szCs w:val="18"/>
    </w:rPr>
  </w:style>
  <w:style w:type="paragraph" w:styleId="a6">
    <w:name w:val="header"/>
    <w:basedOn w:val="a"/>
    <w:link w:val="a7"/>
    <w:uiPriority w:val="99"/>
    <w:rsid w:val="00077D60"/>
    <w:pPr>
      <w:pBdr>
        <w:bottom w:val="single" w:sz="6" w:space="1" w:color="auto"/>
      </w:pBdr>
      <w:tabs>
        <w:tab w:val="center" w:pos="4153"/>
        <w:tab w:val="right" w:pos="8306"/>
      </w:tabs>
      <w:snapToGrid w:val="0"/>
      <w:spacing w:line="240" w:lineRule="atLeast"/>
      <w:jc w:val="center"/>
    </w:pPr>
    <w:rPr>
      <w:szCs w:val="18"/>
    </w:rPr>
  </w:style>
  <w:style w:type="character" w:customStyle="1" w:styleId="a7">
    <w:name w:val="Верхний колонтитул Знак"/>
    <w:link w:val="a6"/>
    <w:uiPriority w:val="99"/>
    <w:rsid w:val="00077D60"/>
    <w:rPr>
      <w:rFonts w:ascii="Palatino Linotype" w:hAnsi="Palatino Linotype"/>
      <w:noProof/>
      <w:color w:val="000000"/>
      <w:szCs w:val="18"/>
    </w:rPr>
  </w:style>
  <w:style w:type="paragraph" w:customStyle="1" w:styleId="MDPIheaderjournallogo">
    <w:name w:val="MDPI_header_journal_logo"/>
    <w:qFormat/>
    <w:rsid w:val="00077D60"/>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077D60"/>
    <w:pPr>
      <w:ind w:firstLine="0"/>
    </w:pPr>
  </w:style>
  <w:style w:type="paragraph" w:customStyle="1" w:styleId="MDPI31text">
    <w:name w:val="MDPI_3.1_text"/>
    <w:qFormat/>
    <w:rsid w:val="007A3377"/>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077D60"/>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077D60"/>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077D60"/>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A94B3A"/>
    <w:pPr>
      <w:numPr>
        <w:numId w:val="21"/>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A94B3A"/>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077D60"/>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077D60"/>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077D60"/>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EA189B"/>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077D60"/>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077D60"/>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077D60"/>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footerfirstpage">
    <w:name w:val="MDPI_footer_firstpage"/>
    <w:qFormat/>
    <w:rsid w:val="00077D60"/>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077D60"/>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077D60"/>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077D60"/>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7219DD"/>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a8">
    <w:name w:val="Balloon Text"/>
    <w:basedOn w:val="a"/>
    <w:link w:val="a9"/>
    <w:uiPriority w:val="99"/>
    <w:rsid w:val="00077D60"/>
    <w:rPr>
      <w:rFonts w:cs="Tahoma"/>
      <w:szCs w:val="18"/>
    </w:rPr>
  </w:style>
  <w:style w:type="character" w:customStyle="1" w:styleId="a9">
    <w:name w:val="Текст выноски Знак"/>
    <w:link w:val="a8"/>
    <w:uiPriority w:val="99"/>
    <w:rsid w:val="00077D60"/>
    <w:rPr>
      <w:rFonts w:ascii="Palatino Linotype" w:hAnsi="Palatino Linotype" w:cs="Tahoma"/>
      <w:noProof/>
      <w:color w:val="000000"/>
      <w:szCs w:val="18"/>
    </w:rPr>
  </w:style>
  <w:style w:type="character" w:styleId="aa">
    <w:name w:val="line number"/>
    <w:uiPriority w:val="99"/>
    <w:rsid w:val="00233C22"/>
    <w:rPr>
      <w:rFonts w:ascii="Palatino Linotype" w:hAnsi="Palatino Linotype"/>
      <w:sz w:val="16"/>
    </w:rPr>
  </w:style>
  <w:style w:type="table" w:customStyle="1" w:styleId="MDPI41threelinetable">
    <w:name w:val="MDPI_4.1_three_line_table"/>
    <w:basedOn w:val="a1"/>
    <w:uiPriority w:val="99"/>
    <w:rsid w:val="00077D60"/>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ab">
    <w:name w:val="Hyperlink"/>
    <w:uiPriority w:val="99"/>
    <w:rsid w:val="00077D60"/>
    <w:rPr>
      <w:color w:val="0000FF"/>
      <w:u w:val="single"/>
    </w:rPr>
  </w:style>
  <w:style w:type="character" w:customStyle="1" w:styleId="1">
    <w:name w:val="Неразрешенное упоминание1"/>
    <w:uiPriority w:val="99"/>
    <w:semiHidden/>
    <w:unhideWhenUsed/>
    <w:rsid w:val="0017483E"/>
    <w:rPr>
      <w:color w:val="605E5C"/>
      <w:shd w:val="clear" w:color="auto" w:fill="E1DFDD"/>
    </w:rPr>
  </w:style>
  <w:style w:type="table" w:customStyle="1" w:styleId="41">
    <w:name w:val="Таблица простая 41"/>
    <w:basedOn w:val="a1"/>
    <w:uiPriority w:val="44"/>
    <w:rsid w:val="00726EF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077D60"/>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077D60"/>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077D60"/>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077D60"/>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077D60"/>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077D60"/>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ED5422"/>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077D60"/>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077D60"/>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077D60"/>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077D60"/>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077D60"/>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077D60"/>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077D60"/>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077D60"/>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077D60"/>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077D60"/>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a1"/>
    <w:uiPriority w:val="99"/>
    <w:rsid w:val="00077D60"/>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077D60"/>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077D60"/>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077D60"/>
  </w:style>
  <w:style w:type="paragraph" w:styleId="ac">
    <w:name w:val="Bibliography"/>
    <w:basedOn w:val="a"/>
    <w:next w:val="a"/>
    <w:uiPriority w:val="37"/>
    <w:semiHidden/>
    <w:unhideWhenUsed/>
    <w:rsid w:val="00077D60"/>
  </w:style>
  <w:style w:type="paragraph" w:styleId="ad">
    <w:name w:val="Body Text"/>
    <w:link w:val="ae"/>
    <w:rsid w:val="00077D60"/>
    <w:pPr>
      <w:spacing w:after="120" w:line="340" w:lineRule="atLeast"/>
      <w:jc w:val="both"/>
    </w:pPr>
    <w:rPr>
      <w:rFonts w:ascii="Palatino Linotype" w:hAnsi="Palatino Linotype"/>
      <w:color w:val="000000"/>
      <w:sz w:val="24"/>
      <w:lang w:eastAsia="de-DE"/>
    </w:rPr>
  </w:style>
  <w:style w:type="character" w:customStyle="1" w:styleId="ae">
    <w:name w:val="Основной текст Знак"/>
    <w:link w:val="ad"/>
    <w:rsid w:val="00077D60"/>
    <w:rPr>
      <w:rFonts w:ascii="Palatino Linotype" w:hAnsi="Palatino Linotype"/>
      <w:color w:val="000000"/>
      <w:sz w:val="24"/>
      <w:lang w:eastAsia="de-DE"/>
    </w:rPr>
  </w:style>
  <w:style w:type="character" w:styleId="af">
    <w:name w:val="annotation reference"/>
    <w:rsid w:val="00077D60"/>
    <w:rPr>
      <w:sz w:val="21"/>
      <w:szCs w:val="21"/>
    </w:rPr>
  </w:style>
  <w:style w:type="paragraph" w:styleId="af0">
    <w:name w:val="annotation text"/>
    <w:basedOn w:val="a"/>
    <w:link w:val="af1"/>
    <w:rsid w:val="00077D60"/>
  </w:style>
  <w:style w:type="character" w:customStyle="1" w:styleId="af1">
    <w:name w:val="Текст примечания Знак"/>
    <w:link w:val="af0"/>
    <w:rsid w:val="00077D60"/>
    <w:rPr>
      <w:rFonts w:ascii="Palatino Linotype" w:hAnsi="Palatino Linotype"/>
      <w:noProof/>
      <w:color w:val="000000"/>
    </w:rPr>
  </w:style>
  <w:style w:type="paragraph" w:styleId="af2">
    <w:name w:val="annotation subject"/>
    <w:basedOn w:val="af0"/>
    <w:next w:val="af0"/>
    <w:link w:val="af3"/>
    <w:rsid w:val="00077D60"/>
    <w:rPr>
      <w:b/>
      <w:bCs/>
    </w:rPr>
  </w:style>
  <w:style w:type="character" w:customStyle="1" w:styleId="af3">
    <w:name w:val="Тема примечания Знак"/>
    <w:link w:val="af2"/>
    <w:rsid w:val="00077D60"/>
    <w:rPr>
      <w:rFonts w:ascii="Palatino Linotype" w:hAnsi="Palatino Linotype"/>
      <w:b/>
      <w:bCs/>
      <w:noProof/>
      <w:color w:val="000000"/>
    </w:rPr>
  </w:style>
  <w:style w:type="character" w:styleId="af4">
    <w:name w:val="endnote reference"/>
    <w:rsid w:val="00077D60"/>
    <w:rPr>
      <w:vertAlign w:val="superscript"/>
    </w:rPr>
  </w:style>
  <w:style w:type="paragraph" w:styleId="af5">
    <w:name w:val="endnote text"/>
    <w:basedOn w:val="a"/>
    <w:link w:val="af6"/>
    <w:semiHidden/>
    <w:unhideWhenUsed/>
    <w:rsid w:val="00077D60"/>
    <w:pPr>
      <w:spacing w:line="240" w:lineRule="auto"/>
    </w:pPr>
  </w:style>
  <w:style w:type="character" w:customStyle="1" w:styleId="af6">
    <w:name w:val="Текст концевой сноски Знак"/>
    <w:link w:val="af5"/>
    <w:semiHidden/>
    <w:rsid w:val="00077D60"/>
    <w:rPr>
      <w:rFonts w:ascii="Palatino Linotype" w:hAnsi="Palatino Linotype"/>
      <w:noProof/>
      <w:color w:val="000000"/>
    </w:rPr>
  </w:style>
  <w:style w:type="character" w:styleId="af7">
    <w:name w:val="FollowedHyperlink"/>
    <w:rsid w:val="00077D60"/>
    <w:rPr>
      <w:color w:val="954F72"/>
      <w:u w:val="single"/>
    </w:rPr>
  </w:style>
  <w:style w:type="paragraph" w:styleId="af8">
    <w:name w:val="footnote text"/>
    <w:basedOn w:val="a"/>
    <w:link w:val="af9"/>
    <w:semiHidden/>
    <w:unhideWhenUsed/>
    <w:rsid w:val="00077D60"/>
    <w:pPr>
      <w:spacing w:line="240" w:lineRule="auto"/>
    </w:pPr>
  </w:style>
  <w:style w:type="character" w:customStyle="1" w:styleId="af9">
    <w:name w:val="Текст сноски Знак"/>
    <w:link w:val="af8"/>
    <w:semiHidden/>
    <w:rsid w:val="00077D60"/>
    <w:rPr>
      <w:rFonts w:ascii="Palatino Linotype" w:hAnsi="Palatino Linotype"/>
      <w:noProof/>
      <w:color w:val="000000"/>
    </w:rPr>
  </w:style>
  <w:style w:type="paragraph" w:styleId="afa">
    <w:name w:val="Normal (Web)"/>
    <w:basedOn w:val="a"/>
    <w:uiPriority w:val="99"/>
    <w:rsid w:val="00077D60"/>
    <w:rPr>
      <w:szCs w:val="24"/>
    </w:rPr>
  </w:style>
  <w:style w:type="paragraph" w:customStyle="1" w:styleId="MsoFootnoteText0">
    <w:name w:val="MsoFootnoteText"/>
    <w:basedOn w:val="afa"/>
    <w:qFormat/>
    <w:rsid w:val="00077D60"/>
    <w:rPr>
      <w:rFonts w:ascii="Times New Roman" w:hAnsi="Times New Roman"/>
    </w:rPr>
  </w:style>
  <w:style w:type="character" w:styleId="afb">
    <w:name w:val="page number"/>
    <w:rsid w:val="00077D60"/>
  </w:style>
  <w:style w:type="character" w:styleId="afc">
    <w:name w:val="Placeholder Text"/>
    <w:uiPriority w:val="99"/>
    <w:semiHidden/>
    <w:rsid w:val="00077D60"/>
    <w:rPr>
      <w:color w:val="808080"/>
    </w:rPr>
  </w:style>
  <w:style w:type="paragraph" w:customStyle="1" w:styleId="MDPI71FootNotes">
    <w:name w:val="MDPI_7.1_FootNotes"/>
    <w:qFormat/>
    <w:rsid w:val="00046A90"/>
    <w:pPr>
      <w:numPr>
        <w:numId w:val="20"/>
      </w:numPr>
      <w:adjustRightInd w:val="0"/>
      <w:snapToGrid w:val="0"/>
      <w:spacing w:line="228" w:lineRule="auto"/>
    </w:pPr>
    <w:rPr>
      <w:rFonts w:ascii="Palatino Linotype" w:eastAsiaTheme="minorEastAsia" w:hAnsi="Palatino Linotype"/>
      <w:noProof/>
      <w:color w:val="000000"/>
      <w:sz w:val="18"/>
    </w:rPr>
  </w:style>
  <w:style w:type="paragraph" w:styleId="afd">
    <w:name w:val="List Paragraph"/>
    <w:basedOn w:val="a"/>
    <w:uiPriority w:val="34"/>
    <w:qFormat/>
    <w:rsid w:val="005A0734"/>
    <w:pPr>
      <w:spacing w:line="240" w:lineRule="auto"/>
      <w:ind w:left="720"/>
      <w:contextualSpacing/>
      <w:jc w:val="left"/>
    </w:pPr>
    <w:rPr>
      <w:rFonts w:asciiTheme="minorHAnsi" w:eastAsiaTheme="minorHAnsi" w:hAnsiTheme="minorHAnsi" w:cstheme="minorBidi"/>
      <w:color w:val="auto"/>
      <w:sz w:val="24"/>
      <w:szCs w:val="24"/>
      <w:lang w:val="ru-RU" w:eastAsia="en-US"/>
    </w:rPr>
  </w:style>
  <w:style w:type="paragraph" w:styleId="afe">
    <w:name w:val="caption"/>
    <w:basedOn w:val="a"/>
    <w:next w:val="a"/>
    <w:uiPriority w:val="35"/>
    <w:unhideWhenUsed/>
    <w:qFormat/>
    <w:rsid w:val="005A0734"/>
    <w:pPr>
      <w:spacing w:after="200" w:line="240" w:lineRule="auto"/>
      <w:jc w:val="left"/>
    </w:pPr>
    <w:rPr>
      <w:rFonts w:asciiTheme="minorHAnsi" w:eastAsiaTheme="minorHAnsi" w:hAnsiTheme="minorHAnsi" w:cstheme="minorBidi"/>
      <w:i/>
      <w:iCs/>
      <w:color w:val="44546A" w:themeColor="text2"/>
      <w:sz w:val="18"/>
      <w:szCs w:val="18"/>
      <w:lang w:val="ru-RU" w:eastAsia="en-US"/>
    </w:rPr>
  </w:style>
  <w:style w:type="character" w:styleId="aff">
    <w:name w:val="Unresolved Mention"/>
    <w:basedOn w:val="a0"/>
    <w:uiPriority w:val="99"/>
    <w:semiHidden/>
    <w:unhideWhenUsed/>
    <w:rsid w:val="00874B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85757425">
      <w:bodyDiv w:val="1"/>
      <w:marLeft w:val="0"/>
      <w:marRight w:val="0"/>
      <w:marTop w:val="0"/>
      <w:marBottom w:val="0"/>
      <w:divBdr>
        <w:top w:val="none" w:sz="0" w:space="0" w:color="auto"/>
        <w:left w:val="none" w:sz="0" w:space="0" w:color="auto"/>
        <w:bottom w:val="none" w:sz="0" w:space="0" w:color="auto"/>
        <w:right w:val="none" w:sz="0" w:space="0" w:color="auto"/>
      </w:divBdr>
    </w:div>
    <w:div w:id="517935191">
      <w:bodyDiv w:val="1"/>
      <w:marLeft w:val="0"/>
      <w:marRight w:val="0"/>
      <w:marTop w:val="0"/>
      <w:marBottom w:val="0"/>
      <w:divBdr>
        <w:top w:val="none" w:sz="0" w:space="0" w:color="auto"/>
        <w:left w:val="none" w:sz="0" w:space="0" w:color="auto"/>
        <w:bottom w:val="none" w:sz="0" w:space="0" w:color="auto"/>
        <w:right w:val="none" w:sz="0" w:space="0" w:color="auto"/>
      </w:divBdr>
    </w:div>
    <w:div w:id="794982735">
      <w:bodyDiv w:val="1"/>
      <w:marLeft w:val="0"/>
      <w:marRight w:val="0"/>
      <w:marTop w:val="0"/>
      <w:marBottom w:val="0"/>
      <w:divBdr>
        <w:top w:val="none" w:sz="0" w:space="0" w:color="auto"/>
        <w:left w:val="none" w:sz="0" w:space="0" w:color="auto"/>
        <w:bottom w:val="none" w:sz="0" w:space="0" w:color="auto"/>
        <w:right w:val="none" w:sz="0" w:space="0" w:color="auto"/>
      </w:divBdr>
      <w:divsChild>
        <w:div w:id="889419258">
          <w:marLeft w:val="640"/>
          <w:marRight w:val="0"/>
          <w:marTop w:val="0"/>
          <w:marBottom w:val="0"/>
          <w:divBdr>
            <w:top w:val="none" w:sz="0" w:space="0" w:color="auto"/>
            <w:left w:val="none" w:sz="0" w:space="0" w:color="auto"/>
            <w:bottom w:val="none" w:sz="0" w:space="0" w:color="auto"/>
            <w:right w:val="none" w:sz="0" w:space="0" w:color="auto"/>
          </w:divBdr>
        </w:div>
        <w:div w:id="379866406">
          <w:marLeft w:val="640"/>
          <w:marRight w:val="0"/>
          <w:marTop w:val="0"/>
          <w:marBottom w:val="0"/>
          <w:divBdr>
            <w:top w:val="none" w:sz="0" w:space="0" w:color="auto"/>
            <w:left w:val="none" w:sz="0" w:space="0" w:color="auto"/>
            <w:bottom w:val="none" w:sz="0" w:space="0" w:color="auto"/>
            <w:right w:val="none" w:sz="0" w:space="0" w:color="auto"/>
          </w:divBdr>
        </w:div>
        <w:div w:id="1454667429">
          <w:marLeft w:val="640"/>
          <w:marRight w:val="0"/>
          <w:marTop w:val="0"/>
          <w:marBottom w:val="0"/>
          <w:divBdr>
            <w:top w:val="none" w:sz="0" w:space="0" w:color="auto"/>
            <w:left w:val="none" w:sz="0" w:space="0" w:color="auto"/>
            <w:bottom w:val="none" w:sz="0" w:space="0" w:color="auto"/>
            <w:right w:val="none" w:sz="0" w:space="0" w:color="auto"/>
          </w:divBdr>
        </w:div>
        <w:div w:id="1107237711">
          <w:marLeft w:val="640"/>
          <w:marRight w:val="0"/>
          <w:marTop w:val="0"/>
          <w:marBottom w:val="0"/>
          <w:divBdr>
            <w:top w:val="none" w:sz="0" w:space="0" w:color="auto"/>
            <w:left w:val="none" w:sz="0" w:space="0" w:color="auto"/>
            <w:bottom w:val="none" w:sz="0" w:space="0" w:color="auto"/>
            <w:right w:val="none" w:sz="0" w:space="0" w:color="auto"/>
          </w:divBdr>
        </w:div>
        <w:div w:id="720983478">
          <w:marLeft w:val="640"/>
          <w:marRight w:val="0"/>
          <w:marTop w:val="0"/>
          <w:marBottom w:val="0"/>
          <w:divBdr>
            <w:top w:val="none" w:sz="0" w:space="0" w:color="auto"/>
            <w:left w:val="none" w:sz="0" w:space="0" w:color="auto"/>
            <w:bottom w:val="none" w:sz="0" w:space="0" w:color="auto"/>
            <w:right w:val="none" w:sz="0" w:space="0" w:color="auto"/>
          </w:divBdr>
        </w:div>
        <w:div w:id="1337227697">
          <w:marLeft w:val="640"/>
          <w:marRight w:val="0"/>
          <w:marTop w:val="0"/>
          <w:marBottom w:val="0"/>
          <w:divBdr>
            <w:top w:val="none" w:sz="0" w:space="0" w:color="auto"/>
            <w:left w:val="none" w:sz="0" w:space="0" w:color="auto"/>
            <w:bottom w:val="none" w:sz="0" w:space="0" w:color="auto"/>
            <w:right w:val="none" w:sz="0" w:space="0" w:color="auto"/>
          </w:divBdr>
          <w:divsChild>
            <w:div w:id="1333335156">
              <w:marLeft w:val="0"/>
              <w:marRight w:val="0"/>
              <w:marTop w:val="0"/>
              <w:marBottom w:val="0"/>
              <w:divBdr>
                <w:top w:val="none" w:sz="0" w:space="0" w:color="auto"/>
                <w:left w:val="none" w:sz="0" w:space="0" w:color="auto"/>
                <w:bottom w:val="none" w:sz="0" w:space="0" w:color="auto"/>
                <w:right w:val="none" w:sz="0" w:space="0" w:color="auto"/>
              </w:divBdr>
              <w:divsChild>
                <w:div w:id="1599482435">
                  <w:marLeft w:val="0"/>
                  <w:marRight w:val="0"/>
                  <w:marTop w:val="0"/>
                  <w:marBottom w:val="0"/>
                  <w:divBdr>
                    <w:top w:val="none" w:sz="0" w:space="0" w:color="auto"/>
                    <w:left w:val="none" w:sz="0" w:space="0" w:color="auto"/>
                    <w:bottom w:val="none" w:sz="0" w:space="0" w:color="auto"/>
                    <w:right w:val="none" w:sz="0" w:space="0" w:color="auto"/>
                  </w:divBdr>
                  <w:divsChild>
                    <w:div w:id="2119595202">
                      <w:marLeft w:val="0"/>
                      <w:marRight w:val="0"/>
                      <w:marTop w:val="0"/>
                      <w:marBottom w:val="0"/>
                      <w:divBdr>
                        <w:top w:val="none" w:sz="0" w:space="0" w:color="auto"/>
                        <w:left w:val="none" w:sz="0" w:space="0" w:color="auto"/>
                        <w:bottom w:val="none" w:sz="0" w:space="0" w:color="auto"/>
                        <w:right w:val="none" w:sz="0" w:space="0" w:color="auto"/>
                      </w:divBdr>
                      <w:divsChild>
                        <w:div w:id="596601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631533">
              <w:marLeft w:val="0"/>
              <w:marRight w:val="0"/>
              <w:marTop w:val="0"/>
              <w:marBottom w:val="0"/>
              <w:divBdr>
                <w:top w:val="none" w:sz="0" w:space="0" w:color="auto"/>
                <w:left w:val="none" w:sz="0" w:space="0" w:color="auto"/>
                <w:bottom w:val="none" w:sz="0" w:space="0" w:color="auto"/>
                <w:right w:val="none" w:sz="0" w:space="0" w:color="auto"/>
              </w:divBdr>
              <w:divsChild>
                <w:div w:id="852300892">
                  <w:marLeft w:val="0"/>
                  <w:marRight w:val="0"/>
                  <w:marTop w:val="0"/>
                  <w:marBottom w:val="0"/>
                  <w:divBdr>
                    <w:top w:val="none" w:sz="0" w:space="0" w:color="auto"/>
                    <w:left w:val="none" w:sz="0" w:space="0" w:color="auto"/>
                    <w:bottom w:val="none" w:sz="0" w:space="0" w:color="auto"/>
                    <w:right w:val="none" w:sz="0" w:space="0" w:color="auto"/>
                  </w:divBdr>
                  <w:divsChild>
                    <w:div w:id="354617609">
                      <w:marLeft w:val="0"/>
                      <w:marRight w:val="0"/>
                      <w:marTop w:val="0"/>
                      <w:marBottom w:val="0"/>
                      <w:divBdr>
                        <w:top w:val="none" w:sz="0" w:space="0" w:color="auto"/>
                        <w:left w:val="none" w:sz="0" w:space="0" w:color="auto"/>
                        <w:bottom w:val="none" w:sz="0" w:space="0" w:color="auto"/>
                        <w:right w:val="none" w:sz="0" w:space="0" w:color="auto"/>
                      </w:divBdr>
                      <w:divsChild>
                        <w:div w:id="867524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2710225">
              <w:marLeft w:val="0"/>
              <w:marRight w:val="0"/>
              <w:marTop w:val="0"/>
              <w:marBottom w:val="0"/>
              <w:divBdr>
                <w:top w:val="none" w:sz="0" w:space="0" w:color="auto"/>
                <w:left w:val="none" w:sz="0" w:space="0" w:color="auto"/>
                <w:bottom w:val="none" w:sz="0" w:space="0" w:color="auto"/>
                <w:right w:val="none" w:sz="0" w:space="0" w:color="auto"/>
              </w:divBdr>
              <w:divsChild>
                <w:div w:id="1369795189">
                  <w:marLeft w:val="0"/>
                  <w:marRight w:val="0"/>
                  <w:marTop w:val="0"/>
                  <w:marBottom w:val="0"/>
                  <w:divBdr>
                    <w:top w:val="none" w:sz="0" w:space="0" w:color="auto"/>
                    <w:left w:val="none" w:sz="0" w:space="0" w:color="auto"/>
                    <w:bottom w:val="none" w:sz="0" w:space="0" w:color="auto"/>
                    <w:right w:val="none" w:sz="0" w:space="0" w:color="auto"/>
                  </w:divBdr>
                  <w:divsChild>
                    <w:div w:id="1856071212">
                      <w:marLeft w:val="0"/>
                      <w:marRight w:val="0"/>
                      <w:marTop w:val="0"/>
                      <w:marBottom w:val="0"/>
                      <w:divBdr>
                        <w:top w:val="none" w:sz="0" w:space="0" w:color="auto"/>
                        <w:left w:val="none" w:sz="0" w:space="0" w:color="auto"/>
                        <w:bottom w:val="none" w:sz="0" w:space="0" w:color="auto"/>
                        <w:right w:val="none" w:sz="0" w:space="0" w:color="auto"/>
                      </w:divBdr>
                      <w:divsChild>
                        <w:div w:id="1030716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5374848">
          <w:marLeft w:val="640"/>
          <w:marRight w:val="0"/>
          <w:marTop w:val="0"/>
          <w:marBottom w:val="0"/>
          <w:divBdr>
            <w:top w:val="none" w:sz="0" w:space="0" w:color="auto"/>
            <w:left w:val="none" w:sz="0" w:space="0" w:color="auto"/>
            <w:bottom w:val="none" w:sz="0" w:space="0" w:color="auto"/>
            <w:right w:val="none" w:sz="0" w:space="0" w:color="auto"/>
          </w:divBdr>
        </w:div>
        <w:div w:id="787435105">
          <w:marLeft w:val="640"/>
          <w:marRight w:val="0"/>
          <w:marTop w:val="0"/>
          <w:marBottom w:val="0"/>
          <w:divBdr>
            <w:top w:val="none" w:sz="0" w:space="0" w:color="auto"/>
            <w:left w:val="none" w:sz="0" w:space="0" w:color="auto"/>
            <w:bottom w:val="none" w:sz="0" w:space="0" w:color="auto"/>
            <w:right w:val="none" w:sz="0" w:space="0" w:color="auto"/>
          </w:divBdr>
        </w:div>
        <w:div w:id="81032600">
          <w:marLeft w:val="640"/>
          <w:marRight w:val="0"/>
          <w:marTop w:val="0"/>
          <w:marBottom w:val="0"/>
          <w:divBdr>
            <w:top w:val="none" w:sz="0" w:space="0" w:color="auto"/>
            <w:left w:val="none" w:sz="0" w:space="0" w:color="auto"/>
            <w:bottom w:val="none" w:sz="0" w:space="0" w:color="auto"/>
            <w:right w:val="none" w:sz="0" w:space="0" w:color="auto"/>
          </w:divBdr>
        </w:div>
        <w:div w:id="1661615617">
          <w:marLeft w:val="640"/>
          <w:marRight w:val="0"/>
          <w:marTop w:val="0"/>
          <w:marBottom w:val="0"/>
          <w:divBdr>
            <w:top w:val="none" w:sz="0" w:space="0" w:color="auto"/>
            <w:left w:val="none" w:sz="0" w:space="0" w:color="auto"/>
            <w:bottom w:val="none" w:sz="0" w:space="0" w:color="auto"/>
            <w:right w:val="none" w:sz="0" w:space="0" w:color="auto"/>
          </w:divBdr>
        </w:div>
        <w:div w:id="1087118794">
          <w:marLeft w:val="640"/>
          <w:marRight w:val="0"/>
          <w:marTop w:val="0"/>
          <w:marBottom w:val="0"/>
          <w:divBdr>
            <w:top w:val="none" w:sz="0" w:space="0" w:color="auto"/>
            <w:left w:val="none" w:sz="0" w:space="0" w:color="auto"/>
            <w:bottom w:val="none" w:sz="0" w:space="0" w:color="auto"/>
            <w:right w:val="none" w:sz="0" w:space="0" w:color="auto"/>
          </w:divBdr>
        </w:div>
        <w:div w:id="1373768901">
          <w:marLeft w:val="640"/>
          <w:marRight w:val="0"/>
          <w:marTop w:val="0"/>
          <w:marBottom w:val="0"/>
          <w:divBdr>
            <w:top w:val="none" w:sz="0" w:space="0" w:color="auto"/>
            <w:left w:val="none" w:sz="0" w:space="0" w:color="auto"/>
            <w:bottom w:val="none" w:sz="0" w:space="0" w:color="auto"/>
            <w:right w:val="none" w:sz="0" w:space="0" w:color="auto"/>
          </w:divBdr>
        </w:div>
        <w:div w:id="1946620162">
          <w:marLeft w:val="640"/>
          <w:marRight w:val="0"/>
          <w:marTop w:val="0"/>
          <w:marBottom w:val="0"/>
          <w:divBdr>
            <w:top w:val="none" w:sz="0" w:space="0" w:color="auto"/>
            <w:left w:val="none" w:sz="0" w:space="0" w:color="auto"/>
            <w:bottom w:val="none" w:sz="0" w:space="0" w:color="auto"/>
            <w:right w:val="none" w:sz="0" w:space="0" w:color="auto"/>
          </w:divBdr>
        </w:div>
        <w:div w:id="77405179">
          <w:marLeft w:val="640"/>
          <w:marRight w:val="0"/>
          <w:marTop w:val="0"/>
          <w:marBottom w:val="0"/>
          <w:divBdr>
            <w:top w:val="none" w:sz="0" w:space="0" w:color="auto"/>
            <w:left w:val="none" w:sz="0" w:space="0" w:color="auto"/>
            <w:bottom w:val="none" w:sz="0" w:space="0" w:color="auto"/>
            <w:right w:val="none" w:sz="0" w:space="0" w:color="auto"/>
          </w:divBdr>
        </w:div>
        <w:div w:id="2118403607">
          <w:marLeft w:val="640"/>
          <w:marRight w:val="0"/>
          <w:marTop w:val="0"/>
          <w:marBottom w:val="0"/>
          <w:divBdr>
            <w:top w:val="none" w:sz="0" w:space="0" w:color="auto"/>
            <w:left w:val="none" w:sz="0" w:space="0" w:color="auto"/>
            <w:bottom w:val="none" w:sz="0" w:space="0" w:color="auto"/>
            <w:right w:val="none" w:sz="0" w:space="0" w:color="auto"/>
          </w:divBdr>
        </w:div>
        <w:div w:id="15272383">
          <w:marLeft w:val="640"/>
          <w:marRight w:val="0"/>
          <w:marTop w:val="0"/>
          <w:marBottom w:val="0"/>
          <w:divBdr>
            <w:top w:val="none" w:sz="0" w:space="0" w:color="auto"/>
            <w:left w:val="none" w:sz="0" w:space="0" w:color="auto"/>
            <w:bottom w:val="none" w:sz="0" w:space="0" w:color="auto"/>
            <w:right w:val="none" w:sz="0" w:space="0" w:color="auto"/>
          </w:divBdr>
        </w:div>
        <w:div w:id="2140032403">
          <w:marLeft w:val="640"/>
          <w:marRight w:val="0"/>
          <w:marTop w:val="0"/>
          <w:marBottom w:val="0"/>
          <w:divBdr>
            <w:top w:val="none" w:sz="0" w:space="0" w:color="auto"/>
            <w:left w:val="none" w:sz="0" w:space="0" w:color="auto"/>
            <w:bottom w:val="none" w:sz="0" w:space="0" w:color="auto"/>
            <w:right w:val="none" w:sz="0" w:space="0" w:color="auto"/>
          </w:divBdr>
        </w:div>
        <w:div w:id="390663978">
          <w:marLeft w:val="640"/>
          <w:marRight w:val="0"/>
          <w:marTop w:val="0"/>
          <w:marBottom w:val="0"/>
          <w:divBdr>
            <w:top w:val="none" w:sz="0" w:space="0" w:color="auto"/>
            <w:left w:val="none" w:sz="0" w:space="0" w:color="auto"/>
            <w:bottom w:val="none" w:sz="0" w:space="0" w:color="auto"/>
            <w:right w:val="none" w:sz="0" w:space="0" w:color="auto"/>
          </w:divBdr>
        </w:div>
        <w:div w:id="1449085043">
          <w:marLeft w:val="640"/>
          <w:marRight w:val="0"/>
          <w:marTop w:val="0"/>
          <w:marBottom w:val="0"/>
          <w:divBdr>
            <w:top w:val="none" w:sz="0" w:space="0" w:color="auto"/>
            <w:left w:val="none" w:sz="0" w:space="0" w:color="auto"/>
            <w:bottom w:val="none" w:sz="0" w:space="0" w:color="auto"/>
            <w:right w:val="none" w:sz="0" w:space="0" w:color="auto"/>
          </w:divBdr>
        </w:div>
        <w:div w:id="316156840">
          <w:marLeft w:val="640"/>
          <w:marRight w:val="0"/>
          <w:marTop w:val="0"/>
          <w:marBottom w:val="0"/>
          <w:divBdr>
            <w:top w:val="none" w:sz="0" w:space="0" w:color="auto"/>
            <w:left w:val="none" w:sz="0" w:space="0" w:color="auto"/>
            <w:bottom w:val="none" w:sz="0" w:space="0" w:color="auto"/>
            <w:right w:val="none" w:sz="0" w:space="0" w:color="auto"/>
          </w:divBdr>
        </w:div>
        <w:div w:id="1605260910">
          <w:marLeft w:val="640"/>
          <w:marRight w:val="0"/>
          <w:marTop w:val="0"/>
          <w:marBottom w:val="0"/>
          <w:divBdr>
            <w:top w:val="none" w:sz="0" w:space="0" w:color="auto"/>
            <w:left w:val="none" w:sz="0" w:space="0" w:color="auto"/>
            <w:bottom w:val="none" w:sz="0" w:space="0" w:color="auto"/>
            <w:right w:val="none" w:sz="0" w:space="0" w:color="auto"/>
          </w:divBdr>
        </w:div>
        <w:div w:id="1716928659">
          <w:marLeft w:val="640"/>
          <w:marRight w:val="0"/>
          <w:marTop w:val="0"/>
          <w:marBottom w:val="0"/>
          <w:divBdr>
            <w:top w:val="none" w:sz="0" w:space="0" w:color="auto"/>
            <w:left w:val="none" w:sz="0" w:space="0" w:color="auto"/>
            <w:bottom w:val="none" w:sz="0" w:space="0" w:color="auto"/>
            <w:right w:val="none" w:sz="0" w:space="0" w:color="auto"/>
          </w:divBdr>
        </w:div>
        <w:div w:id="1633362943">
          <w:marLeft w:val="640"/>
          <w:marRight w:val="0"/>
          <w:marTop w:val="0"/>
          <w:marBottom w:val="0"/>
          <w:divBdr>
            <w:top w:val="none" w:sz="0" w:space="0" w:color="auto"/>
            <w:left w:val="none" w:sz="0" w:space="0" w:color="auto"/>
            <w:bottom w:val="none" w:sz="0" w:space="0" w:color="auto"/>
            <w:right w:val="none" w:sz="0" w:space="0" w:color="auto"/>
          </w:divBdr>
        </w:div>
        <w:div w:id="163785221">
          <w:marLeft w:val="640"/>
          <w:marRight w:val="0"/>
          <w:marTop w:val="0"/>
          <w:marBottom w:val="0"/>
          <w:divBdr>
            <w:top w:val="none" w:sz="0" w:space="0" w:color="auto"/>
            <w:left w:val="none" w:sz="0" w:space="0" w:color="auto"/>
            <w:bottom w:val="none" w:sz="0" w:space="0" w:color="auto"/>
            <w:right w:val="none" w:sz="0" w:space="0" w:color="auto"/>
          </w:divBdr>
        </w:div>
        <w:div w:id="608851413">
          <w:marLeft w:val="640"/>
          <w:marRight w:val="0"/>
          <w:marTop w:val="0"/>
          <w:marBottom w:val="0"/>
          <w:divBdr>
            <w:top w:val="none" w:sz="0" w:space="0" w:color="auto"/>
            <w:left w:val="none" w:sz="0" w:space="0" w:color="auto"/>
            <w:bottom w:val="none" w:sz="0" w:space="0" w:color="auto"/>
            <w:right w:val="none" w:sz="0" w:space="0" w:color="auto"/>
          </w:divBdr>
        </w:div>
        <w:div w:id="1900246350">
          <w:marLeft w:val="640"/>
          <w:marRight w:val="0"/>
          <w:marTop w:val="0"/>
          <w:marBottom w:val="0"/>
          <w:divBdr>
            <w:top w:val="none" w:sz="0" w:space="0" w:color="auto"/>
            <w:left w:val="none" w:sz="0" w:space="0" w:color="auto"/>
            <w:bottom w:val="none" w:sz="0" w:space="0" w:color="auto"/>
            <w:right w:val="none" w:sz="0" w:space="0" w:color="auto"/>
          </w:divBdr>
        </w:div>
        <w:div w:id="1778403197">
          <w:marLeft w:val="640"/>
          <w:marRight w:val="0"/>
          <w:marTop w:val="0"/>
          <w:marBottom w:val="0"/>
          <w:divBdr>
            <w:top w:val="none" w:sz="0" w:space="0" w:color="auto"/>
            <w:left w:val="none" w:sz="0" w:space="0" w:color="auto"/>
            <w:bottom w:val="none" w:sz="0" w:space="0" w:color="auto"/>
            <w:right w:val="none" w:sz="0" w:space="0" w:color="auto"/>
          </w:divBdr>
        </w:div>
        <w:div w:id="518473189">
          <w:marLeft w:val="640"/>
          <w:marRight w:val="0"/>
          <w:marTop w:val="0"/>
          <w:marBottom w:val="0"/>
          <w:divBdr>
            <w:top w:val="none" w:sz="0" w:space="0" w:color="auto"/>
            <w:left w:val="none" w:sz="0" w:space="0" w:color="auto"/>
            <w:bottom w:val="none" w:sz="0" w:space="0" w:color="auto"/>
            <w:right w:val="none" w:sz="0" w:space="0" w:color="auto"/>
          </w:divBdr>
        </w:div>
        <w:div w:id="284193501">
          <w:marLeft w:val="640"/>
          <w:marRight w:val="0"/>
          <w:marTop w:val="0"/>
          <w:marBottom w:val="0"/>
          <w:divBdr>
            <w:top w:val="none" w:sz="0" w:space="0" w:color="auto"/>
            <w:left w:val="none" w:sz="0" w:space="0" w:color="auto"/>
            <w:bottom w:val="none" w:sz="0" w:space="0" w:color="auto"/>
            <w:right w:val="none" w:sz="0" w:space="0" w:color="auto"/>
          </w:divBdr>
        </w:div>
        <w:div w:id="767509920">
          <w:marLeft w:val="640"/>
          <w:marRight w:val="0"/>
          <w:marTop w:val="0"/>
          <w:marBottom w:val="0"/>
          <w:divBdr>
            <w:top w:val="none" w:sz="0" w:space="0" w:color="auto"/>
            <w:left w:val="none" w:sz="0" w:space="0" w:color="auto"/>
            <w:bottom w:val="none" w:sz="0" w:space="0" w:color="auto"/>
            <w:right w:val="none" w:sz="0" w:space="0" w:color="auto"/>
          </w:divBdr>
        </w:div>
        <w:div w:id="771053599">
          <w:marLeft w:val="640"/>
          <w:marRight w:val="0"/>
          <w:marTop w:val="0"/>
          <w:marBottom w:val="0"/>
          <w:divBdr>
            <w:top w:val="none" w:sz="0" w:space="0" w:color="auto"/>
            <w:left w:val="none" w:sz="0" w:space="0" w:color="auto"/>
            <w:bottom w:val="none" w:sz="0" w:space="0" w:color="auto"/>
            <w:right w:val="none" w:sz="0" w:space="0" w:color="auto"/>
          </w:divBdr>
        </w:div>
        <w:div w:id="1284267472">
          <w:marLeft w:val="640"/>
          <w:marRight w:val="0"/>
          <w:marTop w:val="0"/>
          <w:marBottom w:val="0"/>
          <w:divBdr>
            <w:top w:val="none" w:sz="0" w:space="0" w:color="auto"/>
            <w:left w:val="none" w:sz="0" w:space="0" w:color="auto"/>
            <w:bottom w:val="none" w:sz="0" w:space="0" w:color="auto"/>
            <w:right w:val="none" w:sz="0" w:space="0" w:color="auto"/>
          </w:divBdr>
        </w:div>
        <w:div w:id="169875446">
          <w:marLeft w:val="640"/>
          <w:marRight w:val="0"/>
          <w:marTop w:val="0"/>
          <w:marBottom w:val="0"/>
          <w:divBdr>
            <w:top w:val="none" w:sz="0" w:space="0" w:color="auto"/>
            <w:left w:val="none" w:sz="0" w:space="0" w:color="auto"/>
            <w:bottom w:val="none" w:sz="0" w:space="0" w:color="auto"/>
            <w:right w:val="none" w:sz="0" w:space="0" w:color="auto"/>
          </w:divBdr>
        </w:div>
        <w:div w:id="1125081745">
          <w:marLeft w:val="640"/>
          <w:marRight w:val="0"/>
          <w:marTop w:val="0"/>
          <w:marBottom w:val="0"/>
          <w:divBdr>
            <w:top w:val="none" w:sz="0" w:space="0" w:color="auto"/>
            <w:left w:val="none" w:sz="0" w:space="0" w:color="auto"/>
            <w:bottom w:val="none" w:sz="0" w:space="0" w:color="auto"/>
            <w:right w:val="none" w:sz="0" w:space="0" w:color="auto"/>
          </w:divBdr>
        </w:div>
        <w:div w:id="2034455108">
          <w:marLeft w:val="640"/>
          <w:marRight w:val="0"/>
          <w:marTop w:val="0"/>
          <w:marBottom w:val="0"/>
          <w:divBdr>
            <w:top w:val="none" w:sz="0" w:space="0" w:color="auto"/>
            <w:left w:val="none" w:sz="0" w:space="0" w:color="auto"/>
            <w:bottom w:val="none" w:sz="0" w:space="0" w:color="auto"/>
            <w:right w:val="none" w:sz="0" w:space="0" w:color="auto"/>
          </w:divBdr>
        </w:div>
        <w:div w:id="409624576">
          <w:marLeft w:val="640"/>
          <w:marRight w:val="0"/>
          <w:marTop w:val="0"/>
          <w:marBottom w:val="0"/>
          <w:divBdr>
            <w:top w:val="none" w:sz="0" w:space="0" w:color="auto"/>
            <w:left w:val="none" w:sz="0" w:space="0" w:color="auto"/>
            <w:bottom w:val="none" w:sz="0" w:space="0" w:color="auto"/>
            <w:right w:val="none" w:sz="0" w:space="0" w:color="auto"/>
          </w:divBdr>
        </w:div>
        <w:div w:id="2096903640">
          <w:marLeft w:val="640"/>
          <w:marRight w:val="0"/>
          <w:marTop w:val="0"/>
          <w:marBottom w:val="0"/>
          <w:divBdr>
            <w:top w:val="none" w:sz="0" w:space="0" w:color="auto"/>
            <w:left w:val="none" w:sz="0" w:space="0" w:color="auto"/>
            <w:bottom w:val="none" w:sz="0" w:space="0" w:color="auto"/>
            <w:right w:val="none" w:sz="0" w:space="0" w:color="auto"/>
          </w:divBdr>
        </w:div>
        <w:div w:id="1213273905">
          <w:marLeft w:val="640"/>
          <w:marRight w:val="0"/>
          <w:marTop w:val="0"/>
          <w:marBottom w:val="0"/>
          <w:divBdr>
            <w:top w:val="none" w:sz="0" w:space="0" w:color="auto"/>
            <w:left w:val="none" w:sz="0" w:space="0" w:color="auto"/>
            <w:bottom w:val="none" w:sz="0" w:space="0" w:color="auto"/>
            <w:right w:val="none" w:sz="0" w:space="0" w:color="auto"/>
          </w:divBdr>
        </w:div>
      </w:divsChild>
    </w:div>
    <w:div w:id="1437559622">
      <w:bodyDiv w:val="1"/>
      <w:marLeft w:val="0"/>
      <w:marRight w:val="0"/>
      <w:marTop w:val="0"/>
      <w:marBottom w:val="0"/>
      <w:divBdr>
        <w:top w:val="none" w:sz="0" w:space="0" w:color="auto"/>
        <w:left w:val="none" w:sz="0" w:space="0" w:color="auto"/>
        <w:bottom w:val="none" w:sz="0" w:space="0" w:color="auto"/>
        <w:right w:val="none" w:sz="0" w:space="0" w:color="auto"/>
      </w:divBdr>
      <w:divsChild>
        <w:div w:id="1425765570">
          <w:marLeft w:val="0"/>
          <w:marRight w:val="0"/>
          <w:marTop w:val="0"/>
          <w:marBottom w:val="0"/>
          <w:divBdr>
            <w:top w:val="none" w:sz="0" w:space="0" w:color="auto"/>
            <w:left w:val="none" w:sz="0" w:space="0" w:color="auto"/>
            <w:bottom w:val="none" w:sz="0" w:space="0" w:color="auto"/>
            <w:right w:val="none" w:sz="0" w:space="0" w:color="auto"/>
          </w:divBdr>
          <w:divsChild>
            <w:div w:id="1389762841">
              <w:marLeft w:val="0"/>
              <w:marRight w:val="0"/>
              <w:marTop w:val="0"/>
              <w:marBottom w:val="0"/>
              <w:divBdr>
                <w:top w:val="none" w:sz="0" w:space="0" w:color="auto"/>
                <w:left w:val="none" w:sz="0" w:space="0" w:color="auto"/>
                <w:bottom w:val="none" w:sz="0" w:space="0" w:color="auto"/>
                <w:right w:val="none" w:sz="0" w:space="0" w:color="auto"/>
              </w:divBdr>
              <w:divsChild>
                <w:div w:id="992953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encoding w:val="iso-8859-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6.jpeg"/><Relationship Id="rId26" Type="http://schemas.openxmlformats.org/officeDocument/2006/relationships/image" Target="media/image10.png"/><Relationship Id="rId39" Type="http://schemas.openxmlformats.org/officeDocument/2006/relationships/header" Target="header2.xml"/><Relationship Id="rId21" Type="http://schemas.openxmlformats.org/officeDocument/2006/relationships/image" Target="media/image8.png"/><Relationship Id="rId34" Type="http://schemas.openxmlformats.org/officeDocument/2006/relationships/hyperlink" Target="https://doi.org/10.1063/1.1729049" TargetMode="External"/><Relationship Id="rId42"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microsoft.com/office/2007/relationships/hdphoto" Target="media/hdphoto1.wdp"/><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openxmlformats.org/officeDocument/2006/relationships/chart" Target="charts/chart3.xml"/><Relationship Id="rId32" Type="http://schemas.openxmlformats.org/officeDocument/2006/relationships/image" Target="media/image12.jpeg"/><Relationship Id="rId37" Type="http://schemas.openxmlformats.org/officeDocument/2006/relationships/hyperlink" Target="https://doi.org/10.4324/9780203809075-33" TargetMode="External"/><Relationship Id="rId40" Type="http://schemas.openxmlformats.org/officeDocument/2006/relationships/footer" Target="footer1.xml"/><Relationship Id="rId45"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chart" Target="charts/chart6.xml"/><Relationship Id="rId36" Type="http://schemas.openxmlformats.org/officeDocument/2006/relationships/hyperlink" Target="https://doi.org/10.1039/b923394f" TargetMode="External"/><Relationship Id="rId10" Type="http://schemas.microsoft.com/office/2011/relationships/commentsExtended" Target="commentsExtended.xml"/><Relationship Id="rId19" Type="http://schemas.openxmlformats.org/officeDocument/2006/relationships/image" Target="media/image7.png"/><Relationship Id="rId31" Type="http://schemas.openxmlformats.org/officeDocument/2006/relationships/chart" Target="charts/chart8.xml"/><Relationship Id="rId44" Type="http://schemas.microsoft.com/office/2011/relationships/people" Target="people.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3.jpeg"/><Relationship Id="rId22" Type="http://schemas.openxmlformats.org/officeDocument/2006/relationships/chart" Target="charts/chart2.xml"/><Relationship Id="rId27" Type="http://schemas.openxmlformats.org/officeDocument/2006/relationships/chart" Target="charts/chart5.xml"/><Relationship Id="rId30" Type="http://schemas.openxmlformats.org/officeDocument/2006/relationships/chart" Target="charts/chart7.xml"/><Relationship Id="rId35" Type="http://schemas.openxmlformats.org/officeDocument/2006/relationships/hyperlink" Target="https://doi.org/10.1615/CompMechComputApplIntJ.v1.i4.50" TargetMode="External"/><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microsoft.com/office/2018/08/relationships/commentsExtensible" Target="commentsExtensible.xml"/><Relationship Id="rId17" Type="http://schemas.openxmlformats.org/officeDocument/2006/relationships/image" Target="media/image5.jpeg"/><Relationship Id="rId25" Type="http://schemas.openxmlformats.org/officeDocument/2006/relationships/chart" Target="charts/chart4.xml"/><Relationship Id="rId33" Type="http://schemas.openxmlformats.org/officeDocument/2006/relationships/image" Target="media/image13.jpeg"/><Relationship Id="rId38" Type="http://schemas.openxmlformats.org/officeDocument/2006/relationships/header" Target="header1.xml"/><Relationship Id="rId46" Type="http://schemas.openxmlformats.org/officeDocument/2006/relationships/theme" Target="theme/theme1.xml"/><Relationship Id="rId20" Type="http://schemas.openxmlformats.org/officeDocument/2006/relationships/chart" Target="charts/chart1.xml"/><Relationship Id="rId41" Type="http://schemas.openxmlformats.org/officeDocument/2006/relationships/header" Target="header3.xml"/></Relationships>
</file>

<file path=word/_rels/header3.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mvch\OneDrive\Work\2022\&#1043;&#1047;\&#1055;&#1091;&#1073;&#1083;&#1080;&#1082;&#1072;&#1094;&#1080;&#1080;\&#1050;&#1051;&#1058;&#1056;\polymers-template%20(1).dot"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19%20&#1050;&#1054;&#1058;&#1058;&#1045;&#1044;&#1046;\&#1057;&#1072;&#1096;&#1072;_&#1080;&#1085;&#1089;&#1090;&#1080;&#1090;&#1091;&#1090;\2022\&#1041;&#1072;&#1088;&#1082;&#1077;&#1088;\&#1101;&#1087;&#1086;&#1082;&#1089;&#1080;&#1076;&#1082;&#1072;+&#1079;&#1086;&#1083;&#1072;.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19%20&#1050;&#1054;&#1058;&#1058;&#1045;&#1044;&#1046;\&#1057;&#1072;&#1096;&#1072;_&#1080;&#1085;&#1089;&#1090;&#1080;&#1090;&#1091;&#1090;\2022\&#1041;&#1072;&#1088;&#1082;&#1077;&#1088;\&#1101;&#1087;&#1086;&#1082;&#1089;&#1080;&#1076;&#1082;&#1072;+&#1079;&#1086;&#1083;&#1072;.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19%20&#1050;&#1054;&#1058;&#1058;&#1045;&#1044;&#1046;\&#1057;&#1072;&#1096;&#1072;_&#1080;&#1085;&#1089;&#1090;&#1080;&#1090;&#1091;&#1090;\2022\&#1041;&#1072;&#1088;&#1082;&#1077;&#1088;\&#1101;&#1087;&#1086;&#1082;&#1089;&#1080;&#1076;&#1082;&#1072;+&#1079;&#1086;&#1083;&#1072;.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D:\19%20&#1050;&#1054;&#1058;&#1058;&#1045;&#1044;&#1046;\&#1057;&#1072;&#1096;&#1072;_&#1080;&#1085;&#1089;&#1090;&#1080;&#1090;&#1091;&#1090;\2022\&#1041;&#1072;&#1088;&#1082;&#1077;&#1088;\&#1101;&#1087;&#1086;&#1082;&#1089;&#1080;&#1076;&#1082;&#1072;+&#1079;&#1086;&#1083;&#1072;.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D:\19%20&#1050;&#1054;&#1058;&#1058;&#1045;&#1044;&#1046;\&#1057;&#1072;&#1096;&#1072;_&#1080;&#1085;&#1089;&#1090;&#1080;&#1090;&#1091;&#1090;\2022\&#1041;&#1072;&#1088;&#1082;&#1077;&#1088;\&#1101;&#1087;&#1086;&#1082;&#1089;&#1080;&#1076;&#1082;&#1072;+&#1079;&#1086;&#1083;&#1072;.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D:\19%20&#1050;&#1054;&#1058;&#1058;&#1045;&#1044;&#1046;\&#1057;&#1072;&#1096;&#1072;_&#1080;&#1085;&#1089;&#1090;&#1080;&#1090;&#1091;&#1090;\2022\&#1041;&#1072;&#1088;&#1082;&#1077;&#1088;\&#1101;&#1087;&#1086;&#1082;&#1089;&#1080;&#1076;&#1082;&#1072;+&#1079;&#1086;&#1083;&#1072;.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D:\19%20&#1050;&#1054;&#1058;&#1058;&#1045;&#1044;&#1046;\&#1057;&#1072;&#1096;&#1072;_&#1080;&#1085;&#1089;&#1090;&#1080;&#1090;&#1091;&#1090;\2022\&#1041;&#1072;&#1088;&#1082;&#1077;&#1088;\&#1101;&#1087;&#1086;&#1082;&#1089;&#1080;&#1076;&#1082;&#1072;+&#1079;&#1086;&#1083;&#1072;.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D:\19%20&#1050;&#1054;&#1058;&#1058;&#1045;&#1044;&#1046;\&#1057;&#1072;&#1096;&#1072;_&#1080;&#1085;&#1089;&#1090;&#1080;&#1090;&#1091;&#1090;\2022\&#1041;&#1072;&#1088;&#1082;&#1077;&#1088;\&#1101;&#1087;&#1086;&#1082;&#1089;&#1080;&#1076;&#1082;&#1072;+&#1079;&#1086;&#1083;&#107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109716297396028"/>
          <c:y val="0.13330076817560396"/>
          <c:w val="0.71756177171967284"/>
          <c:h val="0.73860684878163718"/>
        </c:manualLayout>
      </c:layout>
      <c:lineChart>
        <c:grouping val="standard"/>
        <c:varyColors val="0"/>
        <c:ser>
          <c:idx val="0"/>
          <c:order val="0"/>
          <c:tx>
            <c:strRef>
              <c:f>графики!$B$5</c:f>
              <c:strCache>
                <c:ptCount val="1"/>
                <c:pt idx="0">
                  <c:v>EP</c:v>
                </c:pt>
              </c:strCache>
            </c:strRef>
          </c:tx>
          <c:marker>
            <c:symbol val="none"/>
          </c:marker>
          <c:cat>
            <c:numRef>
              <c:f>графики!$A$6:$A$10</c:f>
              <c:numCache>
                <c:formatCode>General</c:formatCode>
                <c:ptCount val="5"/>
                <c:pt idx="0">
                  <c:v>25</c:v>
                </c:pt>
                <c:pt idx="1">
                  <c:v>75</c:v>
                </c:pt>
                <c:pt idx="2">
                  <c:v>100</c:v>
                </c:pt>
                <c:pt idx="3">
                  <c:v>130</c:v>
                </c:pt>
                <c:pt idx="4">
                  <c:v>160</c:v>
                </c:pt>
              </c:numCache>
            </c:numRef>
          </c:cat>
          <c:val>
            <c:numRef>
              <c:f>графики!$B$6:$B$10</c:f>
              <c:numCache>
                <c:formatCode>General</c:formatCode>
                <c:ptCount val="5"/>
                <c:pt idx="0">
                  <c:v>3300</c:v>
                </c:pt>
                <c:pt idx="1">
                  <c:v>2700</c:v>
                </c:pt>
                <c:pt idx="2">
                  <c:v>1700</c:v>
                </c:pt>
                <c:pt idx="3">
                  <c:v>164</c:v>
                </c:pt>
                <c:pt idx="4">
                  <c:v>0</c:v>
                </c:pt>
              </c:numCache>
            </c:numRef>
          </c:val>
          <c:smooth val="0"/>
          <c:extLst>
            <c:ext xmlns:c16="http://schemas.microsoft.com/office/drawing/2014/chart" uri="{C3380CC4-5D6E-409C-BE32-E72D297353CC}">
              <c16:uniqueId val="{00000000-6777-3F44-B124-BFF7AE56A4DB}"/>
            </c:ext>
          </c:extLst>
        </c:ser>
        <c:dLbls>
          <c:showLegendKey val="0"/>
          <c:showVal val="0"/>
          <c:showCatName val="0"/>
          <c:showSerName val="0"/>
          <c:showPercent val="0"/>
          <c:showBubbleSize val="0"/>
        </c:dLbls>
        <c:smooth val="0"/>
        <c:axId val="58551296"/>
        <c:axId val="58598912"/>
      </c:lineChart>
      <c:catAx>
        <c:axId val="58551296"/>
        <c:scaling>
          <c:orientation val="minMax"/>
        </c:scaling>
        <c:delete val="0"/>
        <c:axPos val="b"/>
        <c:numFmt formatCode="General" sourceLinked="1"/>
        <c:majorTickMark val="out"/>
        <c:minorTickMark val="none"/>
        <c:tickLblPos val="nextTo"/>
        <c:crossAx val="58598912"/>
        <c:crosses val="autoZero"/>
        <c:auto val="1"/>
        <c:lblAlgn val="ctr"/>
        <c:lblOffset val="100"/>
        <c:noMultiLvlLbl val="0"/>
      </c:catAx>
      <c:valAx>
        <c:axId val="58598912"/>
        <c:scaling>
          <c:orientation val="minMax"/>
        </c:scaling>
        <c:delete val="0"/>
        <c:axPos val="l"/>
        <c:majorGridlines/>
        <c:numFmt formatCode="General" sourceLinked="1"/>
        <c:majorTickMark val="out"/>
        <c:minorTickMark val="none"/>
        <c:tickLblPos val="nextTo"/>
        <c:crossAx val="58551296"/>
        <c:crosses val="autoZero"/>
        <c:crossBetween val="between"/>
      </c:valAx>
      <c:spPr>
        <a:ln w="12700">
          <a:solidFill>
            <a:schemeClr val="tx1"/>
          </a:solidFill>
        </a:ln>
      </c:spPr>
    </c:plotArea>
    <c:plotVisOnly val="1"/>
    <c:dispBlanksAs val="gap"/>
    <c:showDLblsOverMax val="0"/>
  </c:chart>
  <c:spPr>
    <a:noFill/>
    <a:ln>
      <a:noFill/>
    </a:ln>
  </c:spPr>
  <c:txPr>
    <a:bodyPr/>
    <a:lstStyle/>
    <a:p>
      <a:pPr>
        <a:defRPr sz="900"/>
      </a:pPr>
      <a:endParaRPr lang="ru-RU"/>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5864534310227755"/>
          <c:y val="0.18209109937207216"/>
          <c:w val="0.73747607550090521"/>
          <c:h val="0.72121810997477231"/>
        </c:manualLayout>
      </c:layout>
      <c:lineChart>
        <c:grouping val="standard"/>
        <c:varyColors val="0"/>
        <c:ser>
          <c:idx val="0"/>
          <c:order val="0"/>
          <c:tx>
            <c:strRef>
              <c:f>графики!$B$17</c:f>
              <c:strCache>
                <c:ptCount val="1"/>
                <c:pt idx="0">
                  <c:v>EP/TR</c:v>
                </c:pt>
              </c:strCache>
            </c:strRef>
          </c:tx>
          <c:marker>
            <c:symbol val="none"/>
          </c:marker>
          <c:cat>
            <c:numRef>
              <c:f>графики!$A$18:$A$22</c:f>
              <c:numCache>
                <c:formatCode>General</c:formatCode>
                <c:ptCount val="5"/>
                <c:pt idx="0">
                  <c:v>25</c:v>
                </c:pt>
                <c:pt idx="1">
                  <c:v>75</c:v>
                </c:pt>
                <c:pt idx="2">
                  <c:v>100</c:v>
                </c:pt>
                <c:pt idx="3">
                  <c:v>130</c:v>
                </c:pt>
                <c:pt idx="4">
                  <c:v>160</c:v>
                </c:pt>
              </c:numCache>
            </c:numRef>
          </c:cat>
          <c:val>
            <c:numRef>
              <c:f>графики!$B$18:$B$22</c:f>
              <c:numCache>
                <c:formatCode>General</c:formatCode>
                <c:ptCount val="5"/>
                <c:pt idx="0">
                  <c:v>3200</c:v>
                </c:pt>
                <c:pt idx="1">
                  <c:v>2920</c:v>
                </c:pt>
                <c:pt idx="2">
                  <c:v>2500</c:v>
                </c:pt>
                <c:pt idx="3">
                  <c:v>1924</c:v>
                </c:pt>
                <c:pt idx="4">
                  <c:v>354</c:v>
                </c:pt>
              </c:numCache>
            </c:numRef>
          </c:val>
          <c:smooth val="0"/>
          <c:extLst>
            <c:ext xmlns:c16="http://schemas.microsoft.com/office/drawing/2014/chart" uri="{C3380CC4-5D6E-409C-BE32-E72D297353CC}">
              <c16:uniqueId val="{00000000-D78D-6C4A-A468-7FE7EF10D1C5}"/>
            </c:ext>
          </c:extLst>
        </c:ser>
        <c:dLbls>
          <c:showLegendKey val="0"/>
          <c:showVal val="0"/>
          <c:showCatName val="0"/>
          <c:showSerName val="0"/>
          <c:showPercent val="0"/>
          <c:showBubbleSize val="0"/>
        </c:dLbls>
        <c:smooth val="0"/>
        <c:axId val="84141184"/>
        <c:axId val="84142720"/>
      </c:lineChart>
      <c:catAx>
        <c:axId val="84141184"/>
        <c:scaling>
          <c:orientation val="minMax"/>
        </c:scaling>
        <c:delete val="0"/>
        <c:axPos val="b"/>
        <c:numFmt formatCode="General" sourceLinked="1"/>
        <c:majorTickMark val="out"/>
        <c:minorTickMark val="none"/>
        <c:tickLblPos val="nextTo"/>
        <c:crossAx val="84142720"/>
        <c:crosses val="autoZero"/>
        <c:auto val="1"/>
        <c:lblAlgn val="ctr"/>
        <c:lblOffset val="100"/>
        <c:noMultiLvlLbl val="0"/>
      </c:catAx>
      <c:valAx>
        <c:axId val="84142720"/>
        <c:scaling>
          <c:orientation val="minMax"/>
        </c:scaling>
        <c:delete val="0"/>
        <c:axPos val="l"/>
        <c:majorGridlines/>
        <c:numFmt formatCode="General" sourceLinked="1"/>
        <c:majorTickMark val="out"/>
        <c:minorTickMark val="none"/>
        <c:tickLblPos val="nextTo"/>
        <c:crossAx val="84141184"/>
        <c:crosses val="autoZero"/>
        <c:crossBetween val="between"/>
      </c:valAx>
      <c:spPr>
        <a:ln w="12700">
          <a:solidFill>
            <a:schemeClr val="tx1"/>
          </a:solidFill>
        </a:ln>
      </c:spPr>
    </c:plotArea>
    <c:plotVisOnly val="1"/>
    <c:dispBlanksAs val="gap"/>
    <c:showDLblsOverMax val="0"/>
  </c:chart>
  <c:spPr>
    <a:noFill/>
    <a:ln>
      <a:noFill/>
    </a:ln>
  </c:spPr>
  <c:txPr>
    <a:bodyPr/>
    <a:lstStyle/>
    <a:p>
      <a:pPr>
        <a:defRPr sz="900"/>
      </a:pPr>
      <a:endParaRPr lang="ru-RU"/>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109716297396034"/>
          <c:y val="0.14482149098897598"/>
          <c:w val="0.7217976739066424"/>
          <c:h val="0.73959725223079675"/>
        </c:manualLayout>
      </c:layout>
      <c:lineChart>
        <c:grouping val="standard"/>
        <c:varyColors val="0"/>
        <c:ser>
          <c:idx val="0"/>
          <c:order val="0"/>
          <c:tx>
            <c:strRef>
              <c:f>графики!$C$5</c:f>
              <c:strCache>
                <c:ptCount val="1"/>
                <c:pt idx="0">
                  <c:v>EP+FA</c:v>
                </c:pt>
              </c:strCache>
            </c:strRef>
          </c:tx>
          <c:marker>
            <c:symbol val="none"/>
          </c:marker>
          <c:cat>
            <c:numRef>
              <c:f>графики!$A$6:$A$10</c:f>
              <c:numCache>
                <c:formatCode>General</c:formatCode>
                <c:ptCount val="5"/>
                <c:pt idx="0">
                  <c:v>25</c:v>
                </c:pt>
                <c:pt idx="1">
                  <c:v>75</c:v>
                </c:pt>
                <c:pt idx="2">
                  <c:v>100</c:v>
                </c:pt>
                <c:pt idx="3">
                  <c:v>130</c:v>
                </c:pt>
                <c:pt idx="4">
                  <c:v>160</c:v>
                </c:pt>
              </c:numCache>
            </c:numRef>
          </c:cat>
          <c:val>
            <c:numRef>
              <c:f>графики!$C$6:$C$10</c:f>
              <c:numCache>
                <c:formatCode>General</c:formatCode>
                <c:ptCount val="5"/>
                <c:pt idx="0">
                  <c:v>8750</c:v>
                </c:pt>
                <c:pt idx="1">
                  <c:v>8000</c:v>
                </c:pt>
                <c:pt idx="2">
                  <c:v>5760</c:v>
                </c:pt>
                <c:pt idx="3">
                  <c:v>180</c:v>
                </c:pt>
                <c:pt idx="4">
                  <c:v>0</c:v>
                </c:pt>
              </c:numCache>
            </c:numRef>
          </c:val>
          <c:smooth val="0"/>
          <c:extLst>
            <c:ext xmlns:c16="http://schemas.microsoft.com/office/drawing/2014/chart" uri="{C3380CC4-5D6E-409C-BE32-E72D297353CC}">
              <c16:uniqueId val="{00000000-0A90-1F4F-BF05-00CAA48F3EFE}"/>
            </c:ext>
          </c:extLst>
        </c:ser>
        <c:dLbls>
          <c:showLegendKey val="0"/>
          <c:showVal val="0"/>
          <c:showCatName val="0"/>
          <c:showSerName val="0"/>
          <c:showPercent val="0"/>
          <c:showBubbleSize val="0"/>
        </c:dLbls>
        <c:smooth val="0"/>
        <c:axId val="63569920"/>
        <c:axId val="63572224"/>
      </c:lineChart>
      <c:catAx>
        <c:axId val="63569920"/>
        <c:scaling>
          <c:orientation val="minMax"/>
        </c:scaling>
        <c:delete val="0"/>
        <c:axPos val="b"/>
        <c:numFmt formatCode="General" sourceLinked="1"/>
        <c:majorTickMark val="out"/>
        <c:minorTickMark val="none"/>
        <c:tickLblPos val="nextTo"/>
        <c:crossAx val="63572224"/>
        <c:crosses val="autoZero"/>
        <c:auto val="1"/>
        <c:lblAlgn val="ctr"/>
        <c:lblOffset val="100"/>
        <c:noMultiLvlLbl val="0"/>
      </c:catAx>
      <c:valAx>
        <c:axId val="63572224"/>
        <c:scaling>
          <c:orientation val="minMax"/>
        </c:scaling>
        <c:delete val="0"/>
        <c:axPos val="l"/>
        <c:majorGridlines/>
        <c:numFmt formatCode="General" sourceLinked="1"/>
        <c:majorTickMark val="out"/>
        <c:minorTickMark val="none"/>
        <c:tickLblPos val="nextTo"/>
        <c:crossAx val="63569920"/>
        <c:crosses val="autoZero"/>
        <c:crossBetween val="between"/>
      </c:valAx>
      <c:spPr>
        <a:ln w="12700">
          <a:solidFill>
            <a:schemeClr val="tx1"/>
          </a:solidFill>
        </a:ln>
      </c:spPr>
    </c:plotArea>
    <c:plotVisOnly val="1"/>
    <c:dispBlanksAs val="gap"/>
    <c:showDLblsOverMax val="0"/>
  </c:chart>
  <c:spPr>
    <a:noFill/>
    <a:ln>
      <a:noFill/>
    </a:ln>
  </c:spPr>
  <c:txPr>
    <a:bodyPr/>
    <a:lstStyle/>
    <a:p>
      <a:pPr>
        <a:defRPr sz="900"/>
      </a:pPr>
      <a:endParaRPr lang="ru-RU"/>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109716297396036"/>
          <c:y val="0.1333983179319326"/>
          <c:w val="0.73349323245973186"/>
          <c:h val="0.7529960597044093"/>
        </c:manualLayout>
      </c:layout>
      <c:lineChart>
        <c:grouping val="standard"/>
        <c:varyColors val="0"/>
        <c:ser>
          <c:idx val="0"/>
          <c:order val="0"/>
          <c:tx>
            <c:strRef>
              <c:f>графики!$C$17</c:f>
              <c:strCache>
                <c:ptCount val="1"/>
                <c:pt idx="0">
                  <c:v>EP+FA/TR</c:v>
                </c:pt>
              </c:strCache>
            </c:strRef>
          </c:tx>
          <c:marker>
            <c:symbol val="none"/>
          </c:marker>
          <c:cat>
            <c:numRef>
              <c:f>графики!$A$18:$A$22</c:f>
              <c:numCache>
                <c:formatCode>General</c:formatCode>
                <c:ptCount val="5"/>
                <c:pt idx="0">
                  <c:v>25</c:v>
                </c:pt>
                <c:pt idx="1">
                  <c:v>75</c:v>
                </c:pt>
                <c:pt idx="2">
                  <c:v>100</c:v>
                </c:pt>
                <c:pt idx="3">
                  <c:v>130</c:v>
                </c:pt>
                <c:pt idx="4">
                  <c:v>160</c:v>
                </c:pt>
              </c:numCache>
            </c:numRef>
          </c:cat>
          <c:val>
            <c:numRef>
              <c:f>графики!$C$18:$C$22</c:f>
              <c:numCache>
                <c:formatCode>General</c:formatCode>
                <c:ptCount val="5"/>
                <c:pt idx="0">
                  <c:v>7870</c:v>
                </c:pt>
                <c:pt idx="1">
                  <c:v>7320</c:v>
                </c:pt>
                <c:pt idx="2">
                  <c:v>7070</c:v>
                </c:pt>
                <c:pt idx="3">
                  <c:v>6200</c:v>
                </c:pt>
                <c:pt idx="4">
                  <c:v>1000</c:v>
                </c:pt>
              </c:numCache>
            </c:numRef>
          </c:val>
          <c:smooth val="0"/>
          <c:extLst>
            <c:ext xmlns:c16="http://schemas.microsoft.com/office/drawing/2014/chart" uri="{C3380CC4-5D6E-409C-BE32-E72D297353CC}">
              <c16:uniqueId val="{00000000-3E64-C741-A987-363A35A1AF0E}"/>
            </c:ext>
          </c:extLst>
        </c:ser>
        <c:dLbls>
          <c:showLegendKey val="0"/>
          <c:showVal val="0"/>
          <c:showCatName val="0"/>
          <c:showSerName val="0"/>
          <c:showPercent val="0"/>
          <c:showBubbleSize val="0"/>
        </c:dLbls>
        <c:smooth val="0"/>
        <c:axId val="84178432"/>
        <c:axId val="84179968"/>
      </c:lineChart>
      <c:catAx>
        <c:axId val="84178432"/>
        <c:scaling>
          <c:orientation val="minMax"/>
        </c:scaling>
        <c:delete val="0"/>
        <c:axPos val="b"/>
        <c:numFmt formatCode="General" sourceLinked="1"/>
        <c:majorTickMark val="out"/>
        <c:minorTickMark val="none"/>
        <c:tickLblPos val="nextTo"/>
        <c:crossAx val="84179968"/>
        <c:crosses val="autoZero"/>
        <c:auto val="1"/>
        <c:lblAlgn val="ctr"/>
        <c:lblOffset val="100"/>
        <c:noMultiLvlLbl val="0"/>
      </c:catAx>
      <c:valAx>
        <c:axId val="84179968"/>
        <c:scaling>
          <c:orientation val="minMax"/>
        </c:scaling>
        <c:delete val="0"/>
        <c:axPos val="l"/>
        <c:majorGridlines/>
        <c:numFmt formatCode="General" sourceLinked="1"/>
        <c:majorTickMark val="out"/>
        <c:minorTickMark val="none"/>
        <c:tickLblPos val="nextTo"/>
        <c:crossAx val="84178432"/>
        <c:crosses val="autoZero"/>
        <c:crossBetween val="between"/>
      </c:valAx>
      <c:spPr>
        <a:ln w="12700">
          <a:solidFill>
            <a:schemeClr val="tx1"/>
          </a:solidFill>
        </a:ln>
      </c:spPr>
    </c:plotArea>
    <c:plotVisOnly val="1"/>
    <c:dispBlanksAs val="gap"/>
    <c:showDLblsOverMax val="0"/>
  </c:chart>
  <c:spPr>
    <a:noFill/>
    <a:ln>
      <a:noFill/>
    </a:ln>
  </c:spPr>
  <c:txPr>
    <a:bodyPr/>
    <a:lstStyle/>
    <a:p>
      <a:pPr>
        <a:defRPr sz="900"/>
      </a:pPr>
      <a:endParaRPr lang="ru-RU"/>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109716297396039"/>
          <c:y val="0.12616178670861536"/>
          <c:w val="0.71756186029503777"/>
          <c:h val="0.77231663713808829"/>
        </c:manualLayout>
      </c:layout>
      <c:lineChart>
        <c:grouping val="standard"/>
        <c:varyColors val="0"/>
        <c:ser>
          <c:idx val="0"/>
          <c:order val="0"/>
          <c:tx>
            <c:strRef>
              <c:f>графики!$D$5</c:f>
              <c:strCache>
                <c:ptCount val="1"/>
                <c:pt idx="0">
                  <c:v>EP+T23</c:v>
                </c:pt>
              </c:strCache>
            </c:strRef>
          </c:tx>
          <c:marker>
            <c:symbol val="none"/>
          </c:marker>
          <c:cat>
            <c:numRef>
              <c:f>графики!$A$6:$A$10</c:f>
              <c:numCache>
                <c:formatCode>General</c:formatCode>
                <c:ptCount val="5"/>
                <c:pt idx="0">
                  <c:v>25</c:v>
                </c:pt>
                <c:pt idx="1">
                  <c:v>75</c:v>
                </c:pt>
                <c:pt idx="2">
                  <c:v>100</c:v>
                </c:pt>
                <c:pt idx="3">
                  <c:v>130</c:v>
                </c:pt>
                <c:pt idx="4">
                  <c:v>160</c:v>
                </c:pt>
              </c:numCache>
            </c:numRef>
          </c:cat>
          <c:val>
            <c:numRef>
              <c:f>графики!$D$6:$D$10</c:f>
              <c:numCache>
                <c:formatCode>General</c:formatCode>
                <c:ptCount val="5"/>
                <c:pt idx="0">
                  <c:v>15490</c:v>
                </c:pt>
                <c:pt idx="1">
                  <c:v>14000</c:v>
                </c:pt>
                <c:pt idx="2">
                  <c:v>13400</c:v>
                </c:pt>
                <c:pt idx="3">
                  <c:v>9000</c:v>
                </c:pt>
                <c:pt idx="4">
                  <c:v>3560</c:v>
                </c:pt>
              </c:numCache>
            </c:numRef>
          </c:val>
          <c:smooth val="0"/>
          <c:extLst>
            <c:ext xmlns:c16="http://schemas.microsoft.com/office/drawing/2014/chart" uri="{C3380CC4-5D6E-409C-BE32-E72D297353CC}">
              <c16:uniqueId val="{00000000-39C9-9C4E-B694-03D3176AA608}"/>
            </c:ext>
          </c:extLst>
        </c:ser>
        <c:dLbls>
          <c:showLegendKey val="0"/>
          <c:showVal val="0"/>
          <c:showCatName val="0"/>
          <c:showSerName val="0"/>
          <c:showPercent val="0"/>
          <c:showBubbleSize val="0"/>
        </c:dLbls>
        <c:smooth val="0"/>
        <c:axId val="84050304"/>
        <c:axId val="84051840"/>
      </c:lineChart>
      <c:catAx>
        <c:axId val="84050304"/>
        <c:scaling>
          <c:orientation val="minMax"/>
        </c:scaling>
        <c:delete val="0"/>
        <c:axPos val="b"/>
        <c:numFmt formatCode="General" sourceLinked="1"/>
        <c:majorTickMark val="out"/>
        <c:minorTickMark val="none"/>
        <c:tickLblPos val="nextTo"/>
        <c:crossAx val="84051840"/>
        <c:crosses val="autoZero"/>
        <c:auto val="1"/>
        <c:lblAlgn val="ctr"/>
        <c:lblOffset val="100"/>
        <c:noMultiLvlLbl val="0"/>
      </c:catAx>
      <c:valAx>
        <c:axId val="84051840"/>
        <c:scaling>
          <c:orientation val="minMax"/>
        </c:scaling>
        <c:delete val="0"/>
        <c:axPos val="l"/>
        <c:majorGridlines/>
        <c:numFmt formatCode="General" sourceLinked="1"/>
        <c:majorTickMark val="out"/>
        <c:minorTickMark val="none"/>
        <c:tickLblPos val="nextTo"/>
        <c:crossAx val="84050304"/>
        <c:crosses val="autoZero"/>
        <c:crossBetween val="between"/>
      </c:valAx>
      <c:spPr>
        <a:ln w="12700">
          <a:solidFill>
            <a:schemeClr val="tx1"/>
          </a:solidFill>
        </a:ln>
      </c:spPr>
    </c:plotArea>
    <c:plotVisOnly val="1"/>
    <c:dispBlanksAs val="gap"/>
    <c:showDLblsOverMax val="0"/>
  </c:chart>
  <c:spPr>
    <a:noFill/>
    <a:ln>
      <a:noFill/>
    </a:ln>
  </c:spPr>
  <c:txPr>
    <a:bodyPr/>
    <a:lstStyle/>
    <a:p>
      <a:pPr>
        <a:defRPr sz="900"/>
      </a:pPr>
      <a:endParaRPr lang="ru-RU"/>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109716297396042"/>
          <c:y val="0.1770226258214074"/>
          <c:w val="0.74145891854207879"/>
          <c:h val="0.72551051374499387"/>
        </c:manualLayout>
      </c:layout>
      <c:lineChart>
        <c:grouping val="standard"/>
        <c:varyColors val="0"/>
        <c:ser>
          <c:idx val="0"/>
          <c:order val="0"/>
          <c:tx>
            <c:strRef>
              <c:f>графики!$D$17</c:f>
              <c:strCache>
                <c:ptCount val="1"/>
                <c:pt idx="0">
                  <c:v>EP+T23/TR</c:v>
                </c:pt>
              </c:strCache>
            </c:strRef>
          </c:tx>
          <c:marker>
            <c:symbol val="none"/>
          </c:marker>
          <c:cat>
            <c:numRef>
              <c:f>графики!$A$18:$A$22</c:f>
              <c:numCache>
                <c:formatCode>General</c:formatCode>
                <c:ptCount val="5"/>
                <c:pt idx="0">
                  <c:v>25</c:v>
                </c:pt>
                <c:pt idx="1">
                  <c:v>75</c:v>
                </c:pt>
                <c:pt idx="2">
                  <c:v>100</c:v>
                </c:pt>
                <c:pt idx="3">
                  <c:v>130</c:v>
                </c:pt>
                <c:pt idx="4">
                  <c:v>160</c:v>
                </c:pt>
              </c:numCache>
            </c:numRef>
          </c:cat>
          <c:val>
            <c:numRef>
              <c:f>графики!$D$18:$D$22</c:f>
              <c:numCache>
                <c:formatCode>General</c:formatCode>
                <c:ptCount val="5"/>
                <c:pt idx="0">
                  <c:v>21500</c:v>
                </c:pt>
                <c:pt idx="1">
                  <c:v>21000</c:v>
                </c:pt>
                <c:pt idx="2">
                  <c:v>20000</c:v>
                </c:pt>
                <c:pt idx="3">
                  <c:v>15800</c:v>
                </c:pt>
                <c:pt idx="4">
                  <c:v>11700</c:v>
                </c:pt>
              </c:numCache>
            </c:numRef>
          </c:val>
          <c:smooth val="0"/>
          <c:extLst>
            <c:ext xmlns:c16="http://schemas.microsoft.com/office/drawing/2014/chart" uri="{C3380CC4-5D6E-409C-BE32-E72D297353CC}">
              <c16:uniqueId val="{00000000-3BBD-3A42-A7B0-0CD08134633C}"/>
            </c:ext>
          </c:extLst>
        </c:ser>
        <c:dLbls>
          <c:showLegendKey val="0"/>
          <c:showVal val="0"/>
          <c:showCatName val="0"/>
          <c:showSerName val="0"/>
          <c:showPercent val="0"/>
          <c:showBubbleSize val="0"/>
        </c:dLbls>
        <c:smooth val="0"/>
        <c:axId val="84076416"/>
        <c:axId val="84077952"/>
      </c:lineChart>
      <c:catAx>
        <c:axId val="84076416"/>
        <c:scaling>
          <c:orientation val="minMax"/>
        </c:scaling>
        <c:delete val="0"/>
        <c:axPos val="b"/>
        <c:numFmt formatCode="General" sourceLinked="1"/>
        <c:majorTickMark val="out"/>
        <c:minorTickMark val="none"/>
        <c:tickLblPos val="nextTo"/>
        <c:crossAx val="84077952"/>
        <c:crosses val="autoZero"/>
        <c:auto val="1"/>
        <c:lblAlgn val="ctr"/>
        <c:lblOffset val="100"/>
        <c:noMultiLvlLbl val="0"/>
      </c:catAx>
      <c:valAx>
        <c:axId val="84077952"/>
        <c:scaling>
          <c:orientation val="minMax"/>
        </c:scaling>
        <c:delete val="0"/>
        <c:axPos val="l"/>
        <c:majorGridlines/>
        <c:numFmt formatCode="General" sourceLinked="1"/>
        <c:majorTickMark val="out"/>
        <c:minorTickMark val="none"/>
        <c:tickLblPos val="nextTo"/>
        <c:crossAx val="84076416"/>
        <c:crosses val="autoZero"/>
        <c:crossBetween val="between"/>
      </c:valAx>
      <c:spPr>
        <a:ln w="12700">
          <a:solidFill>
            <a:schemeClr val="tx1"/>
          </a:solidFill>
        </a:ln>
      </c:spPr>
    </c:plotArea>
    <c:plotVisOnly val="1"/>
    <c:dispBlanksAs val="gap"/>
    <c:showDLblsOverMax val="0"/>
  </c:chart>
  <c:spPr>
    <a:noFill/>
    <a:ln>
      <a:noFill/>
    </a:ln>
  </c:spPr>
  <c:txPr>
    <a:bodyPr/>
    <a:lstStyle/>
    <a:p>
      <a:pPr>
        <a:defRPr sz="900"/>
      </a:pPr>
      <a:endParaRPr lang="ru-RU"/>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109716297396045"/>
          <c:y val="0.13974675816402607"/>
          <c:w val="0.7255275463773847"/>
          <c:h val="0.73582815774489174"/>
        </c:manualLayout>
      </c:layout>
      <c:lineChart>
        <c:grouping val="standard"/>
        <c:varyColors val="0"/>
        <c:ser>
          <c:idx val="0"/>
          <c:order val="0"/>
          <c:tx>
            <c:strRef>
              <c:f>графики!$E$5</c:f>
              <c:strCache>
                <c:ptCount val="1"/>
                <c:pt idx="0">
                  <c:v>EP+T23+FA</c:v>
                </c:pt>
              </c:strCache>
            </c:strRef>
          </c:tx>
          <c:marker>
            <c:symbol val="none"/>
          </c:marker>
          <c:cat>
            <c:numRef>
              <c:f>графики!$A$6:$A$10</c:f>
              <c:numCache>
                <c:formatCode>General</c:formatCode>
                <c:ptCount val="5"/>
                <c:pt idx="0">
                  <c:v>25</c:v>
                </c:pt>
                <c:pt idx="1">
                  <c:v>75</c:v>
                </c:pt>
                <c:pt idx="2">
                  <c:v>100</c:v>
                </c:pt>
                <c:pt idx="3">
                  <c:v>130</c:v>
                </c:pt>
                <c:pt idx="4">
                  <c:v>160</c:v>
                </c:pt>
              </c:numCache>
            </c:numRef>
          </c:cat>
          <c:val>
            <c:numRef>
              <c:f>графики!$E$6:$E$10</c:f>
              <c:numCache>
                <c:formatCode>General</c:formatCode>
                <c:ptCount val="5"/>
                <c:pt idx="0">
                  <c:v>23330</c:v>
                </c:pt>
                <c:pt idx="1">
                  <c:v>23330</c:v>
                </c:pt>
                <c:pt idx="2">
                  <c:v>21250</c:v>
                </c:pt>
                <c:pt idx="3">
                  <c:v>10330</c:v>
                </c:pt>
                <c:pt idx="4">
                  <c:v>6500</c:v>
                </c:pt>
              </c:numCache>
            </c:numRef>
          </c:val>
          <c:smooth val="0"/>
          <c:extLst>
            <c:ext xmlns:c16="http://schemas.microsoft.com/office/drawing/2014/chart" uri="{C3380CC4-5D6E-409C-BE32-E72D297353CC}">
              <c16:uniqueId val="{00000000-A673-8340-A7DA-4A19D8FB31D4}"/>
            </c:ext>
          </c:extLst>
        </c:ser>
        <c:dLbls>
          <c:showLegendKey val="0"/>
          <c:showVal val="0"/>
          <c:showCatName val="0"/>
          <c:showSerName val="0"/>
          <c:showPercent val="0"/>
          <c:showBubbleSize val="0"/>
        </c:dLbls>
        <c:smooth val="0"/>
        <c:axId val="84067072"/>
        <c:axId val="84068608"/>
      </c:lineChart>
      <c:catAx>
        <c:axId val="84067072"/>
        <c:scaling>
          <c:orientation val="minMax"/>
        </c:scaling>
        <c:delete val="0"/>
        <c:axPos val="b"/>
        <c:numFmt formatCode="General" sourceLinked="1"/>
        <c:majorTickMark val="out"/>
        <c:minorTickMark val="none"/>
        <c:tickLblPos val="nextTo"/>
        <c:crossAx val="84068608"/>
        <c:crosses val="autoZero"/>
        <c:auto val="1"/>
        <c:lblAlgn val="ctr"/>
        <c:lblOffset val="100"/>
        <c:noMultiLvlLbl val="0"/>
      </c:catAx>
      <c:valAx>
        <c:axId val="84068608"/>
        <c:scaling>
          <c:orientation val="minMax"/>
        </c:scaling>
        <c:delete val="0"/>
        <c:axPos val="l"/>
        <c:majorGridlines/>
        <c:numFmt formatCode="General" sourceLinked="1"/>
        <c:majorTickMark val="out"/>
        <c:minorTickMark val="none"/>
        <c:tickLblPos val="nextTo"/>
        <c:crossAx val="84067072"/>
        <c:crosses val="autoZero"/>
        <c:crossBetween val="between"/>
      </c:valAx>
      <c:spPr>
        <a:ln w="12700">
          <a:solidFill>
            <a:schemeClr val="tx1"/>
          </a:solidFill>
        </a:ln>
      </c:spPr>
    </c:plotArea>
    <c:plotVisOnly val="1"/>
    <c:dispBlanksAs val="gap"/>
    <c:showDLblsOverMax val="0"/>
  </c:chart>
  <c:spPr>
    <a:noFill/>
    <a:ln>
      <a:noFill/>
    </a:ln>
  </c:spPr>
  <c:txPr>
    <a:bodyPr/>
    <a:lstStyle/>
    <a:p>
      <a:pPr>
        <a:defRPr sz="900"/>
      </a:pPr>
      <a:endParaRPr lang="ru-RU"/>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109716297396047"/>
          <c:y val="0.13833217376138104"/>
          <c:w val="0.75340744766559942"/>
          <c:h val="0.74797608044877928"/>
        </c:manualLayout>
      </c:layout>
      <c:lineChart>
        <c:grouping val="standard"/>
        <c:varyColors val="0"/>
        <c:ser>
          <c:idx val="0"/>
          <c:order val="0"/>
          <c:tx>
            <c:strRef>
              <c:f>графики!$E$17</c:f>
              <c:strCache>
                <c:ptCount val="1"/>
                <c:pt idx="0">
                  <c:v>EP+T23+FA/TR</c:v>
                </c:pt>
              </c:strCache>
            </c:strRef>
          </c:tx>
          <c:marker>
            <c:symbol val="none"/>
          </c:marker>
          <c:cat>
            <c:numRef>
              <c:f>графики!$A$18:$A$22</c:f>
              <c:numCache>
                <c:formatCode>General</c:formatCode>
                <c:ptCount val="5"/>
                <c:pt idx="0">
                  <c:v>25</c:v>
                </c:pt>
                <c:pt idx="1">
                  <c:v>75</c:v>
                </c:pt>
                <c:pt idx="2">
                  <c:v>100</c:v>
                </c:pt>
                <c:pt idx="3">
                  <c:v>130</c:v>
                </c:pt>
                <c:pt idx="4">
                  <c:v>160</c:v>
                </c:pt>
              </c:numCache>
            </c:numRef>
          </c:cat>
          <c:val>
            <c:numRef>
              <c:f>графики!$E$18:$E$22</c:f>
              <c:numCache>
                <c:formatCode>General</c:formatCode>
                <c:ptCount val="5"/>
                <c:pt idx="0">
                  <c:v>14900</c:v>
                </c:pt>
                <c:pt idx="1">
                  <c:v>14800</c:v>
                </c:pt>
                <c:pt idx="2">
                  <c:v>13600</c:v>
                </c:pt>
                <c:pt idx="3">
                  <c:v>13050</c:v>
                </c:pt>
                <c:pt idx="4">
                  <c:v>6350</c:v>
                </c:pt>
              </c:numCache>
            </c:numRef>
          </c:val>
          <c:smooth val="0"/>
          <c:extLst>
            <c:ext xmlns:c16="http://schemas.microsoft.com/office/drawing/2014/chart" uri="{C3380CC4-5D6E-409C-BE32-E72D297353CC}">
              <c16:uniqueId val="{00000000-C867-B741-9107-2BB85614A818}"/>
            </c:ext>
          </c:extLst>
        </c:ser>
        <c:dLbls>
          <c:showLegendKey val="0"/>
          <c:showVal val="0"/>
          <c:showCatName val="0"/>
          <c:showSerName val="0"/>
          <c:showPercent val="0"/>
          <c:showBubbleSize val="0"/>
        </c:dLbls>
        <c:smooth val="0"/>
        <c:axId val="84211968"/>
        <c:axId val="89206784"/>
      </c:lineChart>
      <c:catAx>
        <c:axId val="84211968"/>
        <c:scaling>
          <c:orientation val="minMax"/>
        </c:scaling>
        <c:delete val="0"/>
        <c:axPos val="b"/>
        <c:numFmt formatCode="General" sourceLinked="1"/>
        <c:majorTickMark val="out"/>
        <c:minorTickMark val="none"/>
        <c:tickLblPos val="nextTo"/>
        <c:crossAx val="89206784"/>
        <c:crosses val="autoZero"/>
        <c:auto val="1"/>
        <c:lblAlgn val="ctr"/>
        <c:lblOffset val="100"/>
        <c:noMultiLvlLbl val="0"/>
      </c:catAx>
      <c:valAx>
        <c:axId val="89206784"/>
        <c:scaling>
          <c:orientation val="minMax"/>
        </c:scaling>
        <c:delete val="0"/>
        <c:axPos val="l"/>
        <c:majorGridlines/>
        <c:numFmt formatCode="General" sourceLinked="1"/>
        <c:majorTickMark val="out"/>
        <c:minorTickMark val="none"/>
        <c:tickLblPos val="nextTo"/>
        <c:crossAx val="84211968"/>
        <c:crosses val="autoZero"/>
        <c:crossBetween val="between"/>
      </c:valAx>
      <c:spPr>
        <a:ln w="12700">
          <a:solidFill>
            <a:schemeClr val="tx1"/>
          </a:solidFill>
        </a:ln>
      </c:spPr>
    </c:plotArea>
    <c:plotVisOnly val="1"/>
    <c:dispBlanksAs val="gap"/>
    <c:showDLblsOverMax val="0"/>
  </c:chart>
  <c:spPr>
    <a:noFill/>
    <a:ln>
      <a:noFill/>
    </a:ln>
  </c:spPr>
  <c:txPr>
    <a:bodyPr/>
    <a:lstStyle/>
    <a:p>
      <a:pPr>
        <a:defRPr sz="900"/>
      </a:pPr>
      <a:endParaRPr lang="ru-RU"/>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cdr:x>
      <cdr:y>0.01095</cdr:y>
    </cdr:from>
    <cdr:to>
      <cdr:x>0.19332</cdr:x>
      <cdr:y>0.11679</cdr:y>
    </cdr:to>
    <cdr:sp macro="" textlink="">
      <cdr:nvSpPr>
        <cdr:cNvPr id="2" name="TextBox 1"/>
        <cdr:cNvSpPr txBox="1"/>
      </cdr:nvSpPr>
      <cdr:spPr>
        <a:xfrm xmlns:a="http://schemas.openxmlformats.org/drawingml/2006/main">
          <a:off x="0" y="22860"/>
          <a:ext cx="617220" cy="22098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a:t>Е, </a:t>
          </a:r>
          <a:r>
            <a:rPr lang="en-US" sz="900">
              <a:solidFill>
                <a:srgbClr val="FF0000"/>
              </a:solidFill>
            </a:rPr>
            <a:t>MPa</a:t>
          </a:r>
          <a:endParaRPr lang="ru-RU" sz="900">
            <a:solidFill>
              <a:srgbClr val="FF0000"/>
            </a:solidFill>
          </a:endParaRPr>
        </a:p>
      </cdr:txBody>
    </cdr:sp>
  </cdr:relSizeAnchor>
  <cdr:relSizeAnchor xmlns:cdr="http://schemas.openxmlformats.org/drawingml/2006/chartDrawing">
    <cdr:from>
      <cdr:x>0.85294</cdr:x>
      <cdr:y>0.84968</cdr:y>
    </cdr:from>
    <cdr:to>
      <cdr:x>1</cdr:x>
      <cdr:y>0.95552</cdr:y>
    </cdr:to>
    <cdr:sp macro="" textlink="">
      <cdr:nvSpPr>
        <cdr:cNvPr id="3" name="TextBox 2"/>
        <cdr:cNvSpPr txBox="1"/>
      </cdr:nvSpPr>
      <cdr:spPr>
        <a:xfrm xmlns:a="http://schemas.openxmlformats.org/drawingml/2006/main">
          <a:off x="2719753" y="2281027"/>
          <a:ext cx="468923" cy="28413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900">
              <a:latin typeface="+mn-lt"/>
            </a:rPr>
            <a:t>t</a:t>
          </a:r>
          <a:r>
            <a:rPr lang="ru-RU" sz="900">
              <a:latin typeface="+mn-lt"/>
            </a:rPr>
            <a:t>, </a:t>
          </a:r>
          <a:r>
            <a:rPr lang="ru-RU" sz="900">
              <a:latin typeface="+mn-lt"/>
              <a:cs typeface="Times New Roman"/>
            </a:rPr>
            <a:t>°</a:t>
          </a:r>
          <a:r>
            <a:rPr lang="en-US" sz="900">
              <a:latin typeface="+mn-lt"/>
              <a:cs typeface="Times New Roman"/>
            </a:rPr>
            <a:t>C</a:t>
          </a:r>
          <a:endParaRPr lang="ru-RU" sz="900">
            <a:latin typeface="+mn-lt"/>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cdr:x>
      <cdr:y>0.01095</cdr:y>
    </cdr:from>
    <cdr:to>
      <cdr:x>0.19332</cdr:x>
      <cdr:y>0.11679</cdr:y>
    </cdr:to>
    <cdr:sp macro="" textlink="">
      <cdr:nvSpPr>
        <cdr:cNvPr id="2" name="TextBox 1"/>
        <cdr:cNvSpPr txBox="1"/>
      </cdr:nvSpPr>
      <cdr:spPr>
        <a:xfrm xmlns:a="http://schemas.openxmlformats.org/drawingml/2006/main">
          <a:off x="0" y="22860"/>
          <a:ext cx="617220" cy="22098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a:t>Е, </a:t>
          </a:r>
          <a:r>
            <a:rPr lang="en-US" sz="900">
              <a:solidFill>
                <a:srgbClr val="FF0000"/>
              </a:solidFill>
            </a:rPr>
            <a:t>MPa</a:t>
          </a:r>
          <a:endParaRPr lang="ru-RU" sz="900">
            <a:solidFill>
              <a:srgbClr val="FF0000"/>
            </a:solidFill>
          </a:endParaRPr>
        </a:p>
      </cdr:txBody>
    </cdr:sp>
  </cdr:relSizeAnchor>
  <cdr:relSizeAnchor xmlns:cdr="http://schemas.openxmlformats.org/drawingml/2006/chartDrawing">
    <cdr:from>
      <cdr:x>0.86173</cdr:x>
      <cdr:y>0.87898</cdr:y>
    </cdr:from>
    <cdr:to>
      <cdr:x>1</cdr:x>
      <cdr:y>0.96729</cdr:y>
    </cdr:to>
    <cdr:sp macro="" textlink="">
      <cdr:nvSpPr>
        <cdr:cNvPr id="3" name="TextBox 2"/>
        <cdr:cNvSpPr txBox="1"/>
      </cdr:nvSpPr>
      <cdr:spPr>
        <a:xfrm xmlns:a="http://schemas.openxmlformats.org/drawingml/2006/main">
          <a:off x="2747764" y="2205128"/>
          <a:ext cx="440913" cy="22154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900">
              <a:latin typeface="+mn-lt"/>
            </a:rPr>
            <a:t>t</a:t>
          </a:r>
          <a:r>
            <a:rPr lang="ru-RU" sz="900">
              <a:latin typeface="+mn-lt"/>
            </a:rPr>
            <a:t>, </a:t>
          </a:r>
          <a:r>
            <a:rPr lang="ru-RU" sz="900">
              <a:latin typeface="+mn-lt"/>
              <a:cs typeface="Times New Roman"/>
            </a:rPr>
            <a:t>°</a:t>
          </a:r>
          <a:r>
            <a:rPr lang="en-US" sz="900">
              <a:latin typeface="+mn-lt"/>
              <a:cs typeface="Times New Roman"/>
            </a:rPr>
            <a:t>C</a:t>
          </a:r>
          <a:endParaRPr lang="ru-RU" sz="900">
            <a:latin typeface="+mn-lt"/>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cdr:x>
      <cdr:y>0.01095</cdr:y>
    </cdr:from>
    <cdr:to>
      <cdr:x>0.19332</cdr:x>
      <cdr:y>0.11679</cdr:y>
    </cdr:to>
    <cdr:sp macro="" textlink="">
      <cdr:nvSpPr>
        <cdr:cNvPr id="2" name="TextBox 1"/>
        <cdr:cNvSpPr txBox="1"/>
      </cdr:nvSpPr>
      <cdr:spPr>
        <a:xfrm xmlns:a="http://schemas.openxmlformats.org/drawingml/2006/main">
          <a:off x="0" y="22860"/>
          <a:ext cx="617220" cy="22098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a:t>Е, </a:t>
          </a:r>
          <a:r>
            <a:rPr lang="en-US" sz="900">
              <a:solidFill>
                <a:srgbClr val="FF0000"/>
              </a:solidFill>
            </a:rPr>
            <a:t>MPa</a:t>
          </a:r>
          <a:endParaRPr lang="ru-RU" sz="900">
            <a:solidFill>
              <a:srgbClr val="FF0000"/>
            </a:solidFill>
          </a:endParaRPr>
        </a:p>
      </cdr:txBody>
    </cdr:sp>
  </cdr:relSizeAnchor>
  <cdr:relSizeAnchor xmlns:cdr="http://schemas.openxmlformats.org/drawingml/2006/chartDrawing">
    <cdr:from>
      <cdr:x>0.85118</cdr:x>
      <cdr:y>0.88831</cdr:y>
    </cdr:from>
    <cdr:to>
      <cdr:x>1</cdr:x>
      <cdr:y>0.96815</cdr:y>
    </cdr:to>
    <cdr:sp macro="" textlink="">
      <cdr:nvSpPr>
        <cdr:cNvPr id="3" name="TextBox 2"/>
        <cdr:cNvSpPr txBox="1"/>
      </cdr:nvSpPr>
      <cdr:spPr>
        <a:xfrm xmlns:a="http://schemas.openxmlformats.org/drawingml/2006/main">
          <a:off x="2749061" y="2452444"/>
          <a:ext cx="480646" cy="22041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900">
              <a:latin typeface="+mn-lt"/>
            </a:rPr>
            <a:t>t</a:t>
          </a:r>
          <a:r>
            <a:rPr lang="ru-RU" sz="900">
              <a:latin typeface="+mn-lt"/>
            </a:rPr>
            <a:t>, </a:t>
          </a:r>
          <a:r>
            <a:rPr lang="ru-RU" sz="900">
              <a:latin typeface="+mn-lt"/>
              <a:cs typeface="Times New Roman"/>
            </a:rPr>
            <a:t>°</a:t>
          </a:r>
          <a:r>
            <a:rPr lang="en-US" sz="900">
              <a:latin typeface="+mn-lt"/>
              <a:cs typeface="Times New Roman"/>
            </a:rPr>
            <a:t>C</a:t>
          </a:r>
          <a:endParaRPr lang="ru-RU" sz="900">
            <a:latin typeface="+mn-lt"/>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cdr:x>
      <cdr:y>0.01095</cdr:y>
    </cdr:from>
    <cdr:to>
      <cdr:x>0.19332</cdr:x>
      <cdr:y>0.11679</cdr:y>
    </cdr:to>
    <cdr:sp macro="" textlink="">
      <cdr:nvSpPr>
        <cdr:cNvPr id="2" name="TextBox 1"/>
        <cdr:cNvSpPr txBox="1"/>
      </cdr:nvSpPr>
      <cdr:spPr>
        <a:xfrm xmlns:a="http://schemas.openxmlformats.org/drawingml/2006/main">
          <a:off x="0" y="22860"/>
          <a:ext cx="617220" cy="22098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a:t>Е, </a:t>
          </a:r>
          <a:r>
            <a:rPr lang="en-US" sz="900">
              <a:solidFill>
                <a:srgbClr val="FF0000"/>
              </a:solidFill>
            </a:rPr>
            <a:t>MPa</a:t>
          </a:r>
          <a:endParaRPr lang="ru-RU" sz="900">
            <a:solidFill>
              <a:srgbClr val="FF0000"/>
            </a:solidFill>
          </a:endParaRPr>
        </a:p>
      </cdr:txBody>
    </cdr:sp>
  </cdr:relSizeAnchor>
  <cdr:relSizeAnchor xmlns:cdr="http://schemas.openxmlformats.org/drawingml/2006/chartDrawing">
    <cdr:from>
      <cdr:x>0.88378</cdr:x>
      <cdr:y>0.89404</cdr:y>
    </cdr:from>
    <cdr:to>
      <cdr:x>1</cdr:x>
      <cdr:y>0.9821</cdr:y>
    </cdr:to>
    <cdr:sp macro="" textlink="">
      <cdr:nvSpPr>
        <cdr:cNvPr id="3" name="TextBox 2"/>
        <cdr:cNvSpPr txBox="1"/>
      </cdr:nvSpPr>
      <cdr:spPr>
        <a:xfrm xmlns:a="http://schemas.openxmlformats.org/drawingml/2006/main">
          <a:off x="2818102" y="2342489"/>
          <a:ext cx="370575" cy="23072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900">
              <a:latin typeface="+mn-lt"/>
            </a:rPr>
            <a:t>t</a:t>
          </a:r>
          <a:r>
            <a:rPr lang="ru-RU" sz="900">
              <a:latin typeface="+mn-lt"/>
            </a:rPr>
            <a:t>, </a:t>
          </a:r>
          <a:r>
            <a:rPr lang="ru-RU" sz="900">
              <a:latin typeface="+mn-lt"/>
              <a:cs typeface="Times New Roman"/>
            </a:rPr>
            <a:t>°</a:t>
          </a:r>
          <a:r>
            <a:rPr lang="en-US" sz="900">
              <a:latin typeface="+mn-lt"/>
              <a:cs typeface="Times New Roman"/>
            </a:rPr>
            <a:t>C</a:t>
          </a:r>
          <a:endParaRPr lang="ru-RU" sz="900">
            <a:latin typeface="+mn-lt"/>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0.01095</cdr:y>
    </cdr:from>
    <cdr:to>
      <cdr:x>0.19332</cdr:x>
      <cdr:y>0.11679</cdr:y>
    </cdr:to>
    <cdr:sp macro="" textlink="">
      <cdr:nvSpPr>
        <cdr:cNvPr id="2" name="TextBox 1"/>
        <cdr:cNvSpPr txBox="1"/>
      </cdr:nvSpPr>
      <cdr:spPr>
        <a:xfrm xmlns:a="http://schemas.openxmlformats.org/drawingml/2006/main">
          <a:off x="0" y="22860"/>
          <a:ext cx="617220" cy="22098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a:t>Е, </a:t>
          </a:r>
          <a:r>
            <a:rPr lang="en-US" sz="900">
              <a:solidFill>
                <a:srgbClr val="FF0000"/>
              </a:solidFill>
            </a:rPr>
            <a:t>MP</a:t>
          </a:r>
          <a:r>
            <a:rPr lang="ru-RU" sz="900">
              <a:solidFill>
                <a:srgbClr val="FF0000"/>
              </a:solidFill>
            </a:rPr>
            <a:t>а</a:t>
          </a:r>
        </a:p>
      </cdr:txBody>
    </cdr:sp>
  </cdr:relSizeAnchor>
  <cdr:relSizeAnchor xmlns:cdr="http://schemas.openxmlformats.org/drawingml/2006/chartDrawing">
    <cdr:from>
      <cdr:x>0.84151</cdr:x>
      <cdr:y>0.90824</cdr:y>
    </cdr:from>
    <cdr:to>
      <cdr:x>0.96324</cdr:x>
      <cdr:y>0.98826</cdr:y>
    </cdr:to>
    <cdr:sp macro="" textlink="">
      <cdr:nvSpPr>
        <cdr:cNvPr id="3" name="TextBox 2"/>
        <cdr:cNvSpPr txBox="1"/>
      </cdr:nvSpPr>
      <cdr:spPr>
        <a:xfrm xmlns:a="http://schemas.openxmlformats.org/drawingml/2006/main">
          <a:off x="2683288" y="2267900"/>
          <a:ext cx="388158" cy="19980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900">
              <a:latin typeface="+mn-lt"/>
            </a:rPr>
            <a:t>t</a:t>
          </a:r>
          <a:r>
            <a:rPr lang="ru-RU" sz="900">
              <a:latin typeface="+mn-lt"/>
            </a:rPr>
            <a:t>, </a:t>
          </a:r>
          <a:r>
            <a:rPr lang="ru-RU" sz="900">
              <a:latin typeface="+mn-lt"/>
              <a:cs typeface="Times New Roman"/>
            </a:rPr>
            <a:t>°</a:t>
          </a:r>
          <a:r>
            <a:rPr lang="en-US" sz="900">
              <a:latin typeface="+mn-lt"/>
              <a:cs typeface="Times New Roman"/>
            </a:rPr>
            <a:t>C</a:t>
          </a:r>
          <a:endParaRPr lang="ru-RU" sz="900">
            <a:latin typeface="+mn-lt"/>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cdr:x>
      <cdr:y>0.01095</cdr:y>
    </cdr:from>
    <cdr:to>
      <cdr:x>0.19332</cdr:x>
      <cdr:y>0.11679</cdr:y>
    </cdr:to>
    <cdr:sp macro="" textlink="">
      <cdr:nvSpPr>
        <cdr:cNvPr id="2" name="TextBox 1"/>
        <cdr:cNvSpPr txBox="1"/>
      </cdr:nvSpPr>
      <cdr:spPr>
        <a:xfrm xmlns:a="http://schemas.openxmlformats.org/drawingml/2006/main">
          <a:off x="0" y="22860"/>
          <a:ext cx="617220" cy="22098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a:t>Е, </a:t>
          </a:r>
          <a:r>
            <a:rPr lang="en-US" sz="900">
              <a:solidFill>
                <a:srgbClr val="FF0000"/>
              </a:solidFill>
            </a:rPr>
            <a:t>MPa</a:t>
          </a:r>
          <a:endParaRPr lang="ru-RU" sz="900">
            <a:solidFill>
              <a:srgbClr val="FF0000"/>
            </a:solidFill>
          </a:endParaRPr>
        </a:p>
      </cdr:txBody>
    </cdr:sp>
  </cdr:relSizeAnchor>
  <cdr:relSizeAnchor xmlns:cdr="http://schemas.openxmlformats.org/drawingml/2006/chartDrawing">
    <cdr:from>
      <cdr:x>0.87459</cdr:x>
      <cdr:y>0.90874</cdr:y>
    </cdr:from>
    <cdr:to>
      <cdr:x>1</cdr:x>
      <cdr:y>0.98617</cdr:y>
    </cdr:to>
    <cdr:sp macro="" textlink="">
      <cdr:nvSpPr>
        <cdr:cNvPr id="3" name="TextBox 2"/>
        <cdr:cNvSpPr txBox="1"/>
      </cdr:nvSpPr>
      <cdr:spPr>
        <a:xfrm xmlns:a="http://schemas.openxmlformats.org/drawingml/2006/main">
          <a:off x="2788795" y="2311748"/>
          <a:ext cx="399882" cy="1969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900">
              <a:latin typeface="+mn-lt"/>
            </a:rPr>
            <a:t>t</a:t>
          </a:r>
          <a:r>
            <a:rPr lang="ru-RU" sz="900">
              <a:latin typeface="+mn-lt"/>
            </a:rPr>
            <a:t>, </a:t>
          </a:r>
          <a:r>
            <a:rPr lang="ru-RU" sz="900">
              <a:latin typeface="+mn-lt"/>
              <a:cs typeface="Times New Roman"/>
            </a:rPr>
            <a:t>°</a:t>
          </a:r>
          <a:r>
            <a:rPr lang="en-US" sz="900">
              <a:latin typeface="+mn-lt"/>
              <a:cs typeface="Times New Roman"/>
            </a:rPr>
            <a:t>C</a:t>
          </a:r>
          <a:endParaRPr lang="ru-RU" sz="900">
            <a:latin typeface="+mn-lt"/>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3.1361E-7</cdr:x>
      <cdr:y>0.01095</cdr:y>
    </cdr:from>
    <cdr:to>
      <cdr:x>0.15993</cdr:x>
      <cdr:y>0.09247</cdr:y>
    </cdr:to>
    <cdr:sp macro="" textlink="">
      <cdr:nvSpPr>
        <cdr:cNvPr id="2" name="TextBox 1"/>
        <cdr:cNvSpPr txBox="1"/>
      </cdr:nvSpPr>
      <cdr:spPr>
        <a:xfrm xmlns:a="http://schemas.openxmlformats.org/drawingml/2006/main">
          <a:off x="1" y="29845"/>
          <a:ext cx="509954" cy="22220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a:t>Е, </a:t>
          </a:r>
          <a:r>
            <a:rPr lang="en-US" sz="900">
              <a:solidFill>
                <a:srgbClr val="FF0000"/>
              </a:solidFill>
            </a:rPr>
            <a:t>MPa</a:t>
          </a:r>
          <a:endParaRPr lang="ru-RU" sz="900"/>
        </a:p>
      </cdr:txBody>
    </cdr:sp>
  </cdr:relSizeAnchor>
  <cdr:relSizeAnchor xmlns:cdr="http://schemas.openxmlformats.org/drawingml/2006/chartDrawing">
    <cdr:from>
      <cdr:x>0.84702</cdr:x>
      <cdr:y>0.88862</cdr:y>
    </cdr:from>
    <cdr:to>
      <cdr:x>0.98346</cdr:x>
      <cdr:y>0.96989</cdr:y>
    </cdr:to>
    <cdr:sp macro="" textlink="">
      <cdr:nvSpPr>
        <cdr:cNvPr id="3" name="TextBox 2"/>
        <cdr:cNvSpPr txBox="1"/>
      </cdr:nvSpPr>
      <cdr:spPr>
        <a:xfrm xmlns:a="http://schemas.openxmlformats.org/drawingml/2006/main">
          <a:off x="2700873" y="2422027"/>
          <a:ext cx="435052" cy="22152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900">
              <a:latin typeface="+mn-lt"/>
            </a:rPr>
            <a:t>t</a:t>
          </a:r>
          <a:r>
            <a:rPr lang="ru-RU" sz="900">
              <a:latin typeface="+mn-lt"/>
            </a:rPr>
            <a:t>, </a:t>
          </a:r>
          <a:r>
            <a:rPr lang="ru-RU" sz="900">
              <a:latin typeface="+mn-lt"/>
              <a:cs typeface="Times New Roman"/>
            </a:rPr>
            <a:t>°</a:t>
          </a:r>
          <a:r>
            <a:rPr lang="en-US" sz="900">
              <a:latin typeface="+mn-lt"/>
              <a:cs typeface="Times New Roman"/>
            </a:rPr>
            <a:t>C</a:t>
          </a:r>
          <a:endParaRPr lang="ru-RU" sz="900">
            <a:latin typeface="+mn-lt"/>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cdr:x>
      <cdr:y>0.01095</cdr:y>
    </cdr:from>
    <cdr:to>
      <cdr:x>0.19332</cdr:x>
      <cdr:y>0.11679</cdr:y>
    </cdr:to>
    <cdr:sp macro="" textlink="">
      <cdr:nvSpPr>
        <cdr:cNvPr id="2" name="TextBox 1"/>
        <cdr:cNvSpPr txBox="1"/>
      </cdr:nvSpPr>
      <cdr:spPr>
        <a:xfrm xmlns:a="http://schemas.openxmlformats.org/drawingml/2006/main">
          <a:off x="0" y="22860"/>
          <a:ext cx="617220" cy="22098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a:t>Е, </a:t>
          </a:r>
          <a:r>
            <a:rPr lang="en-US" sz="900">
              <a:solidFill>
                <a:srgbClr val="FF0000"/>
              </a:solidFill>
            </a:rPr>
            <a:t>MPa</a:t>
          </a:r>
          <a:endParaRPr lang="ru-RU" sz="900"/>
        </a:p>
      </cdr:txBody>
    </cdr:sp>
  </cdr:relSizeAnchor>
  <cdr:relSizeAnchor xmlns:cdr="http://schemas.openxmlformats.org/drawingml/2006/chartDrawing">
    <cdr:from>
      <cdr:x>0.88011</cdr:x>
      <cdr:y>0.88951</cdr:y>
    </cdr:from>
    <cdr:to>
      <cdr:x>1</cdr:x>
      <cdr:y>0.98661</cdr:y>
    </cdr:to>
    <cdr:sp macro="" textlink="">
      <cdr:nvSpPr>
        <cdr:cNvPr id="3" name="TextBox 2"/>
        <cdr:cNvSpPr txBox="1"/>
      </cdr:nvSpPr>
      <cdr:spPr>
        <a:xfrm xmlns:a="http://schemas.openxmlformats.org/drawingml/2006/main">
          <a:off x="2812241" y="2335835"/>
          <a:ext cx="382298" cy="25496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900">
              <a:latin typeface="+mn-lt"/>
            </a:rPr>
            <a:t>t</a:t>
          </a:r>
          <a:r>
            <a:rPr lang="ru-RU" sz="900">
              <a:latin typeface="+mn-lt"/>
            </a:rPr>
            <a:t>, </a:t>
          </a:r>
          <a:r>
            <a:rPr lang="ru-RU" sz="900">
              <a:latin typeface="+mn-lt"/>
              <a:cs typeface="Times New Roman"/>
            </a:rPr>
            <a:t>°</a:t>
          </a:r>
          <a:r>
            <a:rPr lang="en-US" sz="900">
              <a:latin typeface="+mn-lt"/>
              <a:cs typeface="Times New Roman"/>
            </a:rPr>
            <a:t>C</a:t>
          </a:r>
          <a:endParaRPr lang="ru-RU" sz="900">
            <a:latin typeface="+mn-lt"/>
          </a:endParaRPr>
        </a:p>
      </cdr:txBody>
    </cdr:sp>
  </cdr:relSizeAnchor>
</c:userShape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DefaultPlaceholder_-1854013440"/>
        <w:category>
          <w:name w:val="Общие"/>
          <w:gallery w:val="placeholder"/>
        </w:category>
        <w:types>
          <w:type w:val="bbPlcHdr"/>
        </w:types>
        <w:behaviors>
          <w:behavior w:val="content"/>
        </w:behaviors>
        <w:guid w:val="{893F777A-2258-445E-AB20-938097A65AE0}"/>
      </w:docPartPr>
      <w:docPartBody>
        <w:p w:rsidR="00D0414D" w:rsidRDefault="00DF1023">
          <w:r w:rsidRPr="00485C21">
            <w:rPr>
              <w:rStyle w:val="a3"/>
            </w:rPr>
            <w:t>Место для ввода текста.</w:t>
          </w:r>
        </w:p>
      </w:docPartBody>
    </w:docPart>
    <w:docPart>
      <w:docPartPr>
        <w:name w:val="D103DDBD8087004CBBD3DE0F7AFCF05D"/>
        <w:category>
          <w:name w:val="Общие"/>
          <w:gallery w:val="placeholder"/>
        </w:category>
        <w:types>
          <w:type w:val="bbPlcHdr"/>
        </w:types>
        <w:behaviors>
          <w:behavior w:val="content"/>
        </w:behaviors>
        <w:guid w:val="{3F2C492A-E97A-8D4A-A319-28C0F03C8807}"/>
      </w:docPartPr>
      <w:docPartBody>
        <w:p w:rsidR="00177C73" w:rsidRDefault="00177C73" w:rsidP="00177C73">
          <w:pPr>
            <w:pStyle w:val="D103DDBD8087004CBBD3DE0F7AFCF05D"/>
          </w:pPr>
          <w:r w:rsidRPr="00F116A7">
            <w:rPr>
              <w:rStyle w:val="a3"/>
            </w:rPr>
            <w:t>Место для ввода текста.</w:t>
          </w:r>
        </w:p>
      </w:docPartBody>
    </w:docPart>
    <w:docPart>
      <w:docPartPr>
        <w:name w:val="1C881830993E954F966EF01866A9F589"/>
        <w:category>
          <w:name w:val="Общие"/>
          <w:gallery w:val="placeholder"/>
        </w:category>
        <w:types>
          <w:type w:val="bbPlcHdr"/>
        </w:types>
        <w:behaviors>
          <w:behavior w:val="content"/>
        </w:behaviors>
        <w:guid w:val="{BBB6089F-D743-7A45-A81F-BED7A1478EC9}"/>
      </w:docPartPr>
      <w:docPartBody>
        <w:p w:rsidR="00177C73" w:rsidRDefault="00177C73" w:rsidP="00177C73">
          <w:pPr>
            <w:pStyle w:val="1C881830993E954F966EF01866A9F589"/>
          </w:pPr>
          <w:r w:rsidRPr="00485C21">
            <w:rPr>
              <w:rStyle w:val="a3"/>
            </w:rPr>
            <w:t>Место для ввода текста.</w:t>
          </w:r>
        </w:p>
      </w:docPartBody>
    </w:docPart>
    <w:docPart>
      <w:docPartPr>
        <w:name w:val="B72562AC76277F4787E01087E2445FD7"/>
        <w:category>
          <w:name w:val="Общие"/>
          <w:gallery w:val="placeholder"/>
        </w:category>
        <w:types>
          <w:type w:val="bbPlcHdr"/>
        </w:types>
        <w:behaviors>
          <w:behavior w:val="content"/>
        </w:behaviors>
        <w:guid w:val="{799C87C6-04AE-3448-9A71-03305B8D598D}"/>
      </w:docPartPr>
      <w:docPartBody>
        <w:p w:rsidR="00177C73" w:rsidRDefault="00177C73" w:rsidP="00177C73">
          <w:pPr>
            <w:pStyle w:val="B72562AC76277F4787E01087E2445FD7"/>
          </w:pPr>
          <w:r w:rsidRPr="00485C21">
            <w:rPr>
              <w:rStyle w:val="a3"/>
            </w:rPr>
            <w:t>Место для ввода текста.</w:t>
          </w:r>
        </w:p>
      </w:docPartBody>
    </w:docPart>
    <w:docPart>
      <w:docPartPr>
        <w:name w:val="255D060D3A254A4AA2857EA7E0B3B4F1"/>
        <w:category>
          <w:name w:val="Общие"/>
          <w:gallery w:val="placeholder"/>
        </w:category>
        <w:types>
          <w:type w:val="bbPlcHdr"/>
        </w:types>
        <w:behaviors>
          <w:behavior w:val="content"/>
        </w:behaviors>
        <w:guid w:val="{1FF83FF5-947C-274E-ABBB-5B32B3F6400B}"/>
      </w:docPartPr>
      <w:docPartBody>
        <w:p w:rsidR="008D786A" w:rsidRDefault="00675406" w:rsidP="00675406">
          <w:pPr>
            <w:pStyle w:val="255D060D3A254A4AA2857EA7E0B3B4F1"/>
          </w:pPr>
          <w:r w:rsidRPr="00305903">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0"/>
    <w:family w:val="decorative"/>
    <w:pitch w:val="variable"/>
    <w:sig w:usb0="00000003" w:usb1="10000000" w:usb2="00000000" w:usb3="00000000" w:csb0="80000001" w:csb1="00000000"/>
  </w:font>
  <w:font w:name="Symbol">
    <w:panose1 w:val="05050102010706020507"/>
    <w:charset w:val="00"/>
    <w:family w:val="decorative"/>
    <w:pitch w:val="variable"/>
    <w:sig w:usb0="00000003" w:usb1="10000000" w:usb2="00000000" w:usb3="00000000" w:csb0="80000001"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2FF" w:usb1="420024FF" w:usb2="00000000" w:usb3="00000000" w:csb0="0000019F" w:csb1="00000000"/>
  </w:font>
  <w:font w:name="PalatinoLinotype,Italic">
    <w:altName w:val="Palatino Linotype"/>
    <w:panose1 w:val="020B0604020202020204"/>
    <w:charset w:val="00"/>
    <w:family w:val="roman"/>
    <w:notTrueType/>
    <w:pitch w:val="default"/>
  </w:font>
  <w:font w:name="PalatinoLinotype,Bold">
    <w:altName w:val="Palatino Linotype"/>
    <w:panose1 w:val="020B0604020202020204"/>
    <w:charset w:val="00"/>
    <w:family w:val="roman"/>
    <w:notTrueType/>
    <w:pitch w:val="default"/>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08"/>
  <w:characterSpacingControl w:val="doNotCompress"/>
  <w:compat>
    <w:useFELayout/>
    <w:compatSetting w:name="compatibilityMode" w:uri="http://schemas.microsoft.com/office/word" w:val="12"/>
    <w:compatSetting w:name="useWord2013TrackBottomHyphenation" w:uri="http://schemas.microsoft.com/office/word" w:val="1"/>
  </w:compat>
  <w:rsids>
    <w:rsidRoot w:val="00DF1023"/>
    <w:rsid w:val="0005098C"/>
    <w:rsid w:val="0008211A"/>
    <w:rsid w:val="00124E60"/>
    <w:rsid w:val="00160D44"/>
    <w:rsid w:val="00177C73"/>
    <w:rsid w:val="001A1E79"/>
    <w:rsid w:val="001C512E"/>
    <w:rsid w:val="0021751E"/>
    <w:rsid w:val="002F24C1"/>
    <w:rsid w:val="00345BB3"/>
    <w:rsid w:val="004142B4"/>
    <w:rsid w:val="0043324A"/>
    <w:rsid w:val="00465473"/>
    <w:rsid w:val="00675406"/>
    <w:rsid w:val="00697DE5"/>
    <w:rsid w:val="00715D9B"/>
    <w:rsid w:val="008A5EA2"/>
    <w:rsid w:val="008D786A"/>
    <w:rsid w:val="00A409AD"/>
    <w:rsid w:val="00B64A2F"/>
    <w:rsid w:val="00CD6DB9"/>
    <w:rsid w:val="00D0414D"/>
    <w:rsid w:val="00D259D1"/>
    <w:rsid w:val="00DD4F47"/>
    <w:rsid w:val="00DF1023"/>
    <w:rsid w:val="00E77002"/>
    <w:rsid w:val="00FD6E1B"/>
    <w:rsid w:val="00FE719E"/>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E719E"/>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uiPriority w:val="99"/>
    <w:semiHidden/>
    <w:rsid w:val="008D786A"/>
    <w:rPr>
      <w:color w:val="808080"/>
    </w:rPr>
  </w:style>
  <w:style w:type="paragraph" w:customStyle="1" w:styleId="255D060D3A254A4AA2857EA7E0B3B4F1">
    <w:name w:val="255D060D3A254A4AA2857EA7E0B3B4F1"/>
    <w:rsid w:val="00675406"/>
    <w:pPr>
      <w:spacing w:after="0" w:line="240" w:lineRule="auto"/>
    </w:pPr>
    <w:rPr>
      <w:sz w:val="24"/>
      <w:szCs w:val="24"/>
    </w:rPr>
  </w:style>
  <w:style w:type="paragraph" w:customStyle="1" w:styleId="D103DDBD8087004CBBD3DE0F7AFCF05D">
    <w:name w:val="D103DDBD8087004CBBD3DE0F7AFCF05D"/>
    <w:rsid w:val="00177C73"/>
    <w:pPr>
      <w:spacing w:after="0" w:line="240" w:lineRule="auto"/>
    </w:pPr>
    <w:rPr>
      <w:sz w:val="24"/>
      <w:szCs w:val="24"/>
    </w:rPr>
  </w:style>
  <w:style w:type="paragraph" w:customStyle="1" w:styleId="1C881830993E954F966EF01866A9F589">
    <w:name w:val="1C881830993E954F966EF01866A9F589"/>
    <w:rsid w:val="00177C73"/>
    <w:pPr>
      <w:spacing w:after="0" w:line="240" w:lineRule="auto"/>
    </w:pPr>
    <w:rPr>
      <w:sz w:val="24"/>
      <w:szCs w:val="24"/>
    </w:rPr>
  </w:style>
  <w:style w:type="paragraph" w:customStyle="1" w:styleId="B72562AC76277F4787E01087E2445FD7">
    <w:name w:val="B72562AC76277F4787E01087E2445FD7"/>
    <w:rsid w:val="00177C73"/>
    <w:pPr>
      <w:spacing w:after="0" w:line="240"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EDD74F9-9038-440C-A5C7-0A54ACF90179}">
  <we:reference id="wa104382081" version="1.46.0.0" store="ru-RU" storeType="OMEX"/>
  <we:alternateReferences>
    <we:reference id="wa104382081" version="1.46.0.0" store="" storeType="OMEX"/>
  </we:alternateReferences>
  <we:properties>
    <we:property name="MENDELEY_CITATIONS" value="[{&quot;citationID&quot;:&quot;MENDELEY_CITATION_0fa6fdb1-929f-44fb-9a28-9a9c5b8da86f&quot;,&quot;properties&quot;:{&quot;noteIndex&quot;:0},&quot;isEdited&quot;:false,&quot;manualOverride&quot;:{&quot;isManuallyOverridden&quot;:false,&quot;citeprocText&quot;:&quot;[1–4]&quot;,&quot;manualOverrideText&quot;:&quot;&quot;},&quot;citationItems&quot;:[{&quot;id&quot;:&quot;338d4d03-ca9a-3b55-b706-43a51800b56b&quot;,&quot;itemData&quot;:{&quot;type&quot;:&quot;paper-conference&quot;,&quot;id&quot;:&quot;338d4d03-ca9a-3b55-b706-43a51800b56b&quot;,&quot;title&quot;:&quot;On the Development of the Manufacturing Technology of Fiberglass Cylindrical Shells of Gas Exhaust Trunks by Buildup Winding&quot;,&quot;author&quot;:[{&quot;family&quot;:&quot;Astashkin&quot;,&quot;given&quot;:&quot;V M&quot;,&quot;parse-names&quot;:false,&quot;dropping-particle&quot;:&quot;&quot;,&quot;non-dropping-particle&quot;:&quot;&quot;},{&quot;family&quot;:&quot;Mishnev&quot;,&quot;given&quot;:&quot;M&quot;,&quot;parse-names&quot;:false,&quot;dropping-particle&quot;:&quot;v&quot;,&quot;non-dropping-particle&quot;:&quot;&quot;}],&quot;container-title&quot;:&quot;Procedia Engineering&quot;,&quot;container-title-short&quot;:&quot;Procedia Eng&quot;,&quot;DOI&quot;:&quot;10.1016/j.proeng.2016.07.144&quot;,&quot;ISSN&quot;:&quot;18777058&quot;,&quot;issued&quot;:{&quot;date-parts&quot;:[[2016]]},&quot;abstract&quot;:&quot;The new mobile technology for manufacturing of large-sized shells made of polymeric composite materials (PCM) based on a wet winding with rearing is set forward. The basic principles of the technology are developed, the equipment is manufactured, its approbation is held, and the development prototypes of shells made of fiberglass are produced. The proposed method allows producing the shells of the theoretically unlimited length directly at the construction site. The most promising implementation direction is the vertical-based production of large-sized gas exhaust liners made of PCM for chimneys. The technology is oriented at large-sized structures, the diameter of the gas exhaust duct of which is more than 3 m.&quot;,&quot;volume&quot;:&quot;150&quot;},&quot;isTemporary&quot;:false},{&quot;id&quot;:&quot;34e123d7-1319-3e6b-a0e9-bf7f14fdd7e9&quot;,&quot;itemData&quot;:{&quot;type&quot;:&quot;paper-conference&quot;,&quot;id&quot;:&quot;34e123d7-1319-3e6b-a0e9-bf7f14fdd7e9&quot;,&quot;title&quot;:&quot;FRP chimney liners for power plant flue gas desulfurization - A chimney supplier's perspective&quot;,&quot;author&quot;:[{&quot;family&quot;:&quot;Bochicchio&quot;,&quot;given&quot;:&quot;Victor A.&quot;,&quot;parse-names&quot;:false,&quot;dropping-particle&quot;:&quot;&quot;,&quot;non-dropping-particle&quot;:&quot;&quot;}],&quot;container-title&quot;:&quot;NACE - International Corrosion Conference Series&quot;,&quot;ISSN&quot;:&quot;03614409&quot;,&quot;issued&quot;:{&quot;date-parts&quot;:[[2011]]},&quot;abstract&quot;:&quot;The addition of Wet Flue Gas Desulphurization (WFGD) systems to existing coal fired power plants, and at several new plants, has resulted in the installation of over 90 FRP chimney liners in concrete chimneys during the past 6 years. The lower flue gas temperatures in power plants with WFGD increases corrosion concerns for chimney lining materials and often leads to the selection of FRP as the liner material of choice. Although the design and manufacture of the FRP liner is usually performed by a specialty FRP supplier, the integration of the liner into the overall chimney design and arrangement, and the prescription of many of the requirements for the design of the FRP liner are the responsibility of the chimney supplier. This paper explores various features of FRP liners and chimneys, how they relate to each other and the factors affecting decisions made during the design and installation process. Proper, timely coordination and communication between the chimney supplier and the FRP liner supplier generally results in a well-designed and successful chimney project. © 2011 by NACE International.&quot;,&quot;container-title-short&quot;:&quot;&quot;},&quot;isTemporary&quot;:false},{&quot;id&quot;:&quot;ad02a247-b8a2-357a-bae5-59b35639d3ef&quot;,&quot;itemData&quot;:{&quot;type&quot;:&quot;article-journal&quot;,&quot;id&quot;:&quot;ad02a247-b8a2-357a-bae5-59b35639d3ef&quot;,&quot;title&quot;:&quot;Thermal analysis of FRP chimneys using consistent laminated shell element&quot;,&quot;author&quot;:[{&quot;family&quot;:&quot;Damatty&quot;,&quot;given&quot;:&quot;A. A.&quot;,&quot;parse-names&quot;:false,&quot;dropping-particle&quot;:&quot;&quot;,&quot;non-dropping-particle&quot;:&quot;el&quot;},{&quot;family&quot;:&quot;Awad&quot;,&quot;given&quot;:&quot;A. S.&quot;,&quot;parse-names&quot;:false,&quot;dropping-particle&quot;:&quot;&quot;,&quot;non-dropping-particle&quot;:&quot;&quot;},{&quot;family&quot;:&quot;Vickery&quot;,&quot;given&quot;:&quot;B. J.&quot;,&quot;parse-names&quot;:false,&quot;dropping-particle&quot;:&quot;&quot;,&quot;non-dropping-particle&quot;:&quot;&quot;}],&quot;container-title&quot;:&quot;Thin-Walled Structures&quot;,&quot;DOI&quot;:&quot;10.1016/S0263-8231(99)00041-5&quot;,&quot;ISSN&quot;:&quot;02638231&quot;,&quot;issued&quot;:{&quot;date-parts&quot;:[[2000]]},&quot;abstract&quot;:&quot;Due to their high corrosion and chemical resistance, fiber reinforced plastic (FRP) materials are increasingly being used in the construction of industrial chimneys. The design of a chimney is governed by wind loads as well as thermal loads resulting from the differences among the ambient, the operating and the curing temperatures. This study involves an investigation for the thermal stresses induced in angle-ply laminated FRP chimneys, using an in-house developed laminated shell element model. The finite element model is verified by performing thermal analysis of a number of plate and shell problems and comparing the results to those available in the literature. An extensive parametric study is then conducted using the shell element model to identify the parameters which significantly affect thermal stresses induced in FRP chimneys. The study indicates that the thermal stresses are only affected by the inclination of the lamina plies, the percentage of fibers content and the through thickness temperature distribution. Analyses also show that localized cracks in the direction perpendicular to the fibers are expected to occur due to the thermal loads. Finally, thermal stress values that can be used in the design of FRP chimneys, when cracking is considered, are presented as function of the through thickness temperature distributions.&quot;,&quot;container-title-short&quot;:&quot;&quot;},&quot;isTemporary&quot;:false},{&quot;id&quot;:&quot;3334bf16-331e-34a7-9971-f044c1c1809a&quot;,&quot;itemData&quot;:{&quot;type&quot;:&quot;article-journal&quot;,&quot;id&quot;:&quot;3334bf16-331e-34a7-9971-f044c1c1809a&quot;,&quot;title&quot;:&quot;FRP chimney liners for power plant flue gas desulfurization&quot;,&quot;author&quot;:[{&quot;family&quot;:&quot;Bochicchio&quot;,&quot;given&quot;:&quot;Victor A.&quot;,&quot;parse-names&quot;:false,&quot;dropping-particle&quot;:&quot;&quot;,&quot;non-dropping-particle&quot;:&quot;&quot;}],&quot;container-title&quot;:&quot;Materials Performance&quot;,&quot;container-title-short&quot;:&quot;Mater Perform&quot;,&quot;ISSN&quot;:&quot;00941492&quot;,&quot;issued&quot;:{&quot;date-parts&quot;:[[2011]]}},&quot;isTemporary&quot;:false}],&quot;citationTag&quot;:&quot;MENDELEY_CITATION_v3_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&quot;},{&quot;citationID&quot;:&quot;MENDELEY_CITATION_f438261a-8a7e-4023-82ba-1ad837251b30&quot;,&quot;properties&quot;:{&quot;noteIndex&quot;:0},&quot;isEdited&quot;:false,&quot;manualOverride&quot;:{&quot;isManuallyOverridden&quot;:false,&quot;citeprocText&quot;:&quot;[5–8]&quot;,&quot;manualOverrideText&quot;:&quot;&quot;},&quot;citationItems&quot;:[{&quot;id&quot;:&quot;06ca93fe-0b82-3a21-9dd6-9a6d3d08a325&quot;,&quot;itemData&quot;:{&quot;type&quot;:&quot;article-journal&quot;,&quot;id&quot;:&quot;06ca93fe-0b82-3a21-9dd6-9a6d3d08a325&quot;,&quot;title&quot;:&quot;Effect of thermal ageing on the impact and flexural damage behaviour of carbon fibre-reinforced epoxy laminates&quot;,&quot;author&quot;:[{&quot;family&quot;:&quot;García-Moreno&quot;,&quot;given&quot;:&quot;Irene&quot;,&quot;parse-names&quot;:false,&quot;dropping-particle&quot;:&quot;&quot;,&quot;non-dropping-particle&quot;:&quot;&quot;},{&quot;family&quot;:&quot;Caminero&quot;,&quot;given&quot;:&quot;Miguel Ángel&quot;,&quot;parse-names&quot;:false,&quot;dropping-particle&quot;:&quot;&quot;,&quot;non-dropping-particle&quot;:&quot;&quot;},{&quot;family&quot;:&quot;Rodríguez&quot;,&quot;given&quot;:&quot;Gloria Patricia&quot;,&quot;parse-names&quot;:false,&quot;dropping-particle&quot;:&quot;&quot;,&quot;non-dropping-particle&quot;:&quot;&quot;},{&quot;family&quot;:&quot;López-Cela&quot;,&quot;given&quot;:&quot;Juan José&quot;,&quot;parse-names&quot;:false,&quot;dropping-particle&quot;:&quot;&quot;,&quot;non-dropping-particle&quot;:&quot;&quot;}],&quot;container-title&quot;:&quot;Polymers&quot;,&quot;container-title-short&quot;:&quot;Polymers (Basel)&quot;,&quot;DOI&quot;:&quot;10.3390/polym11010080&quot;,&quot;ISSN&quot;:&quot;20734360&quot;,&quot;issued&quot;:{&quot;date-parts&quot;:[[2019]]},&quot;abstract&quot;:&quot;Most of the composite materials that are used in aerospace structures have been manufactured using a thermostable matrix, as epoxy resin. The region of stability of these polymers is defined by the glass transition temperature (T g ). However, operating temperatures close and above the T g can cause a variation in the properties of the polymer and consequently, modify the mechanical properties of the composite material. Therefore, it is necessary to understand the failure mechanisms that occur in the material in order to ensure stability and durability. The effect of temperature and time of exposure on the impact and flexural mechanical responses of carbon/epoxy composites are studied in this work. For that purpose, ageing treatments at temperatures below and above the T g have been considered and then, impact and flexural tests have been performed. It was observed that thermal ageing cause two different effects: at temperatures below the T g , there is an increase of the maximum strength because of a post-curing effect; however, the mechanical properties decrease at higher temperatures of thermal ageing due to the thermo-oxidation of the epoxy resin and the loss of adhesion in the matrix/fibre interface.&quot;},&quot;isTemporary&quot;:false},{&quot;id&quot;:&quot;f1046583-8a8d-3d81-abcc-595321aa5e13&quot;,&quot;itemData&quot;:{&quot;type&quot;:&quot;article-journal&quot;,&quot;id&quot;:&quot;f1046583-8a8d-3d81-abcc-595321aa5e13&quot;,&quot;title&quot;:&quot;Thermal aging of an anhydride-cured epoxy resin&quot;,&quot;author&quot;:[{&quot;family&quot;:&quot;Yang&quot;,&quot;given&quot;:&quot;Yongming&quot;,&quot;parse-names&quot;:false,&quot;dropping-particle&quot;:&quot;&quot;,&quot;non-dropping-particle&quot;:&quot;&quot;},{&quot;family&quot;:&quot;Xian&quot;,&quot;given&quot;:&quot;Guijun&quot;,&quot;parse-names&quot;:false,&quot;dropping-particle&quot;:&quot;&quot;,&quot;non-dropping-particle&quot;:&quot;&quot;},{&quot;family&quot;:&quot;Li&quot;,&quot;given&quot;:&quot;Hui&quot;,&quot;parse-names&quot;:false,&quot;dropping-particle&quot;:&quot;&quot;,&quot;non-dropping-particle&quot;:&quot;&quot;},{&quot;family&quot;:&quot;Sui&quot;,&quot;given&quot;:&quot;Lili&quot;,&quot;parse-names&quot;:false,&quot;dropping-particle&quot;:&quot;&quot;,&quot;non-dropping-particle&quot;:&quot;&quot;}],&quot;container-title&quot;:&quot;Polymer Degradation and Stability&quot;,&quot;container-title-short&quot;:&quot;Polym Degrad Stab&quot;,&quot;DOI&quot;:&quot;10.1016/j.polymdegradstab.2015.04.017&quot;,&quot;ISSN&quot;:&quot;01413910&quot;,&quot;issued&quot;:{&quot;date-parts&quot;:[[2015]]},&quot;abstract&quot;:&quot;Fiber reinforced polymer (FRP) composites with anhydride cured epoxy resin matrices are widely used in civil engineering (e.g., pultruded FRP plates and bars), and their thermal aging behavior is a concern when they are subjected to elevated temperatures (e.g., FRP chimney). In the present article, thermal aging of an epoxy resin matrix at 130°C-160°C for 30 days was performed, and the effects on the flexural properties, molecular structures, free volume fraction, and mechanical properties were investigated. FTIR spectroscopy indicated that oxidation and molecular rearrangement occurred in the skin of the epoxy samples during thermal aging. Dynamic mechanical thermal analysis (DMTA) further illustrates the dominant effect of the molecular rearrangement in the sample skin with a thickness less than 100 μm, leading to a new high temperature tan δ peak. The free volume fraction of the skin and the bulk epoxy sample was characterized by positron annihilation lifetime spectroscopy (PALS). The results indicate that a noticeable reduction of the apparent free volume fraction occurred in the sample skin, while the bulk sample was only slightly affected. The flexural results indicate that thermal aging obviously reduced the break strain, while the flexural strength was only slightly affected and the modulus increased.&quot;},&quot;isTemporary&quot;:false},{&quot;id&quot;:&quot;54a2f01f-73de-305b-9250-e06ea5f5709f&quot;,&quot;itemData&quot;:{&quot;type&quot;:&quot;article-journal&quot;,&quot;id&quot;:&quot;54a2f01f-73de-305b-9250-e06ea5f5709f&quot;,&quot;title&quot;:&quot;Effect of continuous high temperature exposure on the adhesive strength of epoxy adhesive, CFRP and adhesively bonded CFRP-aluminum alloy joints&quot;,&quot;author&quot;:[{&quot;family&quot;:&quot;Qin&quot;,&quot;given&quot;:&quot;Guofeng&quot;,&quot;parse-names&quot;:false,&quot;dropping-particle&quot;:&quot;&quot;,&quot;non-dropping-particle&quot;:&quot;&quot;},{&quot;family&quot;:&quot;Na&quot;,&quot;given&quot;:&quot;Jingxin&quot;,&quot;parse-names&quot;:false,&quot;dropping-particle&quot;:&quot;&quot;,&quot;non-dropping-particle&quot;:&quot;&quot;},{&quot;family&quot;:&quot;Mu&quot;,&quot;given&quot;:&quot;Wenlong&quot;,&quot;parse-names&quot;:false,&quot;dropping-particle&quot;:&quot;&quot;,&quot;non-dropping-particle&quot;:&quot;&quot;},{&quot;family&quot;:&quot;Tan&quot;,&quot;given&quot;:&quot;Wei&quot;,&quot;parse-names&quot;:false,&quot;dropping-particle&quot;:&quot;&quot;,&quot;non-dropping-particle&quot;:&quot;&quot;},{&quot;family&quot;:&quot;Yang&quot;,&quot;given&quot;:&quot;Jiazhou&quot;,&quot;parse-names&quot;:false,&quot;dropping-particle&quot;:&quot;&quot;,&quot;non-dropping-particle&quot;:&quot;&quot;},{&quot;family&quot;:&quot;Ren&quot;,&quot;given&quot;:&quot;Junming&quot;,&quot;parse-names&quot;:false,&quot;dropping-particle&quot;:&quot;&quot;,&quot;non-dropping-particle&quot;:&quot;&quot;}],&quot;container-title&quot;:&quot;Composites Part B: Engineering&quot;,&quot;container-title-short&quot;:&quot;Compos B Eng&quot;,&quot;DOI&quot;:&quot;10.1016/j.compositesb.2018.07.059&quot;,&quot;ISSN&quot;:&quot;13598368&quot;,&quot;issued&quot;:{&quot;date-parts&quot;:[[2018]]},&quot;abstract&quot;:&quot;To investigate the degradation mechanism of adhesively bonded CFRP (carbon fiber reinforced plastics)-aluminum alloy joints applied to high speed EMUs (electric multiple units) after experiencing continuous high temperature environment, bulk specimens, CFRP plates and adhesive joints, including thick-adherend shear joints (TSJs), scarf joints (SJs) with scarf angle 45° (SJ45°) and butt joints (BJs) were exposed at 80 °C for 30 days and then tested every 10 days. Chemical analysis, such as fourier transform infrared spectroscopy (FTIR), thermogravimetric Analysis (TGA) and differential scanning calorimeter (DSC) were conducted to analyze the variations of composition, glass transformation temperature (Tg) and thermal stability of the adhesive Araldite® 2015 and CFRP. Bulk specimens were also used to investigate the mechanical properties (failure strength, Young's modulus, strain) of the adhesive Araldite® 2015. The failure strength of CFRP after thermal exposure was tested with consideration of different surface treatments, and scanning electron microscopy (SEM) was also used to investigate the fracture surfaces of CFRP. The failure strength and failure surfaces of CFRP- aluminum alloy joints were analyzed to study the rules of degradation process. The results show that the post curing behavior of the adhesive Araldite® 2015 was verified by the composition analysis, leading to the obvious improvement of Tg, thermal stability, tensile strength and Young's modulus. However, CFRP degraded after thermal exposure, resulting in the slight decreases of Tg and thermal stability. The shear and normal strength of degraded CFRP dropped sharply because of the modification of epoxy matrix and decrease of interlaminar strength, although it regained to approximately 90% of unaged CFRP after the improvement of surface roughness. For adhesively bonded CFRP-aluminum alloy joints, with increasing proportion of normal stress and exposure time, the failure strength of adhesively declined faster because of the larger areas of fiber tear and interface failure, illustrating that the effect of CFRP degradation and interface failure were more obvious than that of post curing behavior of the adhesive Araldite® 2015. Therefore, CFRP degradation and interface failure were the main causes for the degradation of adhesively bonded CFRP-aluminum alloy joints subjected to thermal environment.&quot;},&quot;isTemporary&quot;:false},{&quot;id&quot;:&quot;a5afe67b-c3e3-3bf6-8771-e2b86e94dd20&quot;,&quot;itemData&quot;:{&quot;type&quot;:&quot;article-journal&quot;,&quot;id&quot;:&quot;a5afe67b-c3e3-3bf6-8771-e2b86e94dd20&quot;,&quot;title&quot;:&quot;Prolonged Thermal Relaxation of the Thermosetting Polymers&quot;,&quot;author&quot;:[{&quot;family&quot;:&quot;Korolev&quot;,&quot;given&quot;:&quot;Alexander&quot;,&quot;parse-names&quot;:false,&quot;dropping-particle&quot;:&quot;&quot;,&quot;non-dropping-particle&quot;:&quot;&quot;},{&quot;family&quot;:&quot;Mishnev&quot;,&quot;given&quot;:&quot;Maxim&quot;,&quot;parse-names&quot;:false,&quot;dropping-particle&quot;:&quot;&quot;,&quot;non-dropping-particle&quot;:&quot;&quot;},{&quot;family&quot;:&quot;Vatin&quot;,&quot;given&quot;:&quot;Nikolai Ivanovich&quot;,&quot;parse-names&quot;:false,&quot;dropping-particle&quot;:&quot;&quot;,&quot;non-dropping-particle&quot;:&quot;&quot;},{&quot;family&quot;:&quot;Ignatova&quot;,&quot;given&quot;:&quot;Anastasia&quot;,&quot;parse-names&quot;:false,&quot;dropping-particle&quot;:&quot;&quot;,&quot;non-dropping-particle&quot;:&quot;&quot;}],&quot;container-title&quot;:&quot;Polymers&quot;,&quot;container-title-short&quot;:&quot;Polymers (Basel)&quot;,&quot;accessed&quot;:{&quot;date-parts&quot;:[[2022,5,16]]},&quot;DOI&quot;:&quot;10.3390/polym13234104&quot;,&quot;ISSN&quot;:&quot;2073-4360&quot;,&quot;URL&quot;:&quot;https://www.mdpi.com/2073-4360/13/23/4104&quot;,&quot;issued&quot;:{&quot;date-parts&quot;:[[2021,11,25]]},&quot;page&quot;:&quot;4104&quot;,&quot;abstract&quot;:&quot;&lt;p&gt;The rigidity of structures made of polymer composite materials, operated at elevated temperatures, is mainly determined by the residual rigidity of the polymer binder (which is very sensitive to elevated temperatures); therefore, the study of ways to increase the rigidity of polymer materials under heating (including prolonged heating) is relevant. In the previous research, cured thermosetting polymer structure’s non-stability, especially under heating, is determined by its supra-molecular structure domain’s conglomerate character and the high entropy of such structures. The polymer elasticity modeling proved the significance of the entropy factor and layer (EPL) model application. The prolonged heating makes it possible to release adsorptive inter-layer bonds and volatile groups. As a result, the polymer structure is changing, and inner stress relaxation occurs due to this thermo-process, called thermo-relaxation. The present study suggests researching thermo-relaxation’s influence on polymers’ deformability under load and heating. The research results prove the significant polymer structure modification due to thermo-relaxation, with the polymer entropy parameter decreasing, the glassing onset temperature point (Tg) increasing by 1.3–1.7 times, and the modulus of elasticity under heating increasing by 1.5–2 times.&lt;/p&gt;&quot;,&quot;issue&quot;:&quot;23&quot;,&quot;volume&quot;:&quot;13&quot;},&quot;isTemporary&quot;:false}],&quot;citationTag&quot;:&quot;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&quot;},{&quot;citationID&quot;:&quot;MENDELEY_CITATION_804163fa-472a-496d-af51-16d0d6f0c698&quot;,&quot;properties&quot;:{&quot;noteIndex&quot;:0},&quot;isEdited&quot;:false,&quot;manualOverride&quot;:{&quot;isManuallyOverridden&quot;:false,&quot;citeprocText&quot;:&quot;[9–11]&quot;,&quot;manualOverrideText&quot;:&quot;&quot;},&quot;citationTag&quot;:&quot;MENDELEY_CITATION_v3_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&quot;,&quot;citationItems&quot;:[{&quot;id&quot;:&quot;5bd99adf-6e6d-3df8-a642-38402965db37&quot;,&quot;itemData&quot;:{&quot;type&quot;:&quot;article-journal&quot;,&quot;id&quot;:&quot;5bd99adf-6e6d-3df8-a642-38402965db37&quot;,&quot;title&quot;:&quot;Thermal expansion of glassy polymers&quot;,&quot;author&quot;:[{&quot;family&quot;:&quot;Davy&quot;,&quot;given&quot;:&quot;K W M&quot;,&quot;parse-names&quot;:false,&quot;dropping-particle&quot;:&quot;&quot;,&quot;non-dropping-particle&quot;:&quot;&quot;},{&quot;family&quot;:&quot;Braden&quot;,&quot;given&quot;:&quot;M&quot;,&quot;parse-names&quot;:false,&quot;dropping-particle&quot;:&quot;&quot;,&quot;non-dropping-particle&quot;:&quot;&quot;}],&quot;container-title&quot;:&quot;Biomaterials&quot;,&quot;container-title-short&quot;:&quot;Biomaterials&quot;,&quot;DOI&quot;:&quot;10.1016/0142-9612(92)90157-J&quot;,&quot;ISSN&quot;:&quot;01429612&quot;,&quot;issued&quot;:{&quot;date-parts&quot;:[[1992]]},&quot;abstract&quot;:&quot;The thermal expansion of a number of glassy polymers of interest in dentistry has been studied using a quartz dilatometer. In some cases, the expansion was linear and therefore the coefficient of thermal expansion readily determined. Other polymers exhibited non-linear behaviour and values appropriate to different temperature ranges are quoted. The linear coefficient of thermal expansion was, to a first approximation, a function of both the molar volume and van der Waal's volume of the repeating unit. © 1992.&quot;,&quot;issue&quot;:&quot;14&quot;,&quot;volume&quot;:&quot;13&quot;},&quot;isTemporary&quot;:false},{&quot;id&quot;:&quot;80e919db-b1ed-3a63-832b-abb67eab1129&quot;,&quot;itemData&quot;:{&quot;type&quot;:&quot;article-journal&quot;,&quot;id&quot;:&quot;80e919db-b1ed-3a63-832b-abb67eab1129&quot;,&quot;title&quot;:&quot;Thermal expansion of polymers from 4.2 K to room temperature&quot;,&quot;author&quot;:[{&quot;family&quot;:&quot;Schwarz&quot;,&quot;given&quot;:&quot;G&quot;,&quot;parse-names&quot;:false,&quot;dropping-particle&quot;:&quot;&quot;,&quot;non-dropping-particle&quot;:&quot;&quot;}],&quot;container-title&quot;:&quot;Cryogenics&quot;,&quot;container-title-short&quot;:&quot;Cryogenics (Guildf)&quot;,&quot;DOI&quot;:&quot;10.1016/0011-2275(88)90009-4&quot;,&quot;ISSN&quot;:&quot;00112275&quot;,&quot;issued&quot;:{&quot;date-parts&quot;:[[1988]]},&quot;abstract&quot;:&quot;The thermal expansion of polymers is investigated from 4.2 K to room temperature. Samples of thermoplastic polymers and a weakly cross-linked epoxy resin were used with an inductive dilatometer. Thermal expansion data are presented. © 1988.&quot;,&quot;issue&quot;:&quot;4&quot;,&quot;volume&quot;:&quot;28&quot;},&quot;isTemporary&quot;:false},{&quot;id&quot;:&quot;7a8a7106-676f-32a6-a18d-8eae7a486c68&quot;,&quot;itemData&quot;:{&quot;type&quot;:&quot;article-journal&quot;,&quot;id&quot;:&quot;7a8a7106-676f-32a6-a18d-8eae7a486c68&quot;,&quot;title&quot;:&quot;Identification of the temperature dependence of the thermal expansion coefficient of polymers&quot;,&quot;author&quot;:[{&quot;family&quot;:&quot;Shardakov&quot;,&quot;given&quot;:&quot;Igor N&quot;,&quot;parse-names&quot;:false,&quot;dropping-particle&quot;:&quot;&quot;,&quot;non-dropping-particle&quot;:&quot;&quot;},{&quot;family&quot;:&quot;Trufanov&quot;,&quot;given&quot;:&quot;Aleksandr N&quot;,&quot;parse-names&quot;:false,&quot;dropping-particle&quot;:&quot;&quot;,&quot;non-dropping-particle&quot;:&quot;&quot;}],&quot;container-title&quot;:&quot;Polymers&quot;,&quot;container-title-short&quot;:&quot;Polymers (Basel)&quot;,&quot;DOI&quot;:&quot;10.3390/polym13183035&quot;,&quot;ISSN&quot;:&quot;20734360&quot;,&quot;issued&quot;:{&quot;date-parts&quot;:[[2021]]},&quot;abstract&quot;:&quot;In this paper, we proposed an approach to study the strain response of polymer film samples under various temperature effects and note their corresponding effects. The advantages of the developed approach are determined by the fact that thin films of material are used as samples where it is possible to generate a sufficiently uniform temperature field in a wide range of temperature change rates. A dynamic mechanical analyzer was used for the experimental implementation of the above approach for two UV-curable polymers and one type of epoxy resin. Experimental results have shown that the thermal expansion coefficients for these polymers depend significantly not only on the temperature but also on its change rate. The strain response of the polymer to heating and cooling, with the same absolute values of the rate of temperature change, differs significantly, and this dissimilarity becomes stronger with its increasing. The results of thermomechanical experiments for massive samples on traditional dilatometer are shown to compare with the results for film samples. The discovered dependences of the temperature expansion coefficient on the temperature and its change rate can be used for mathematical modeling of thermomechanical processes arising during the operation of products made of polymers.&quot;,&quot;issue&quot;:&quot;18&quot;,&quot;volume&quot;:&quot;13&quot;},&quot;isTemporary&quot;:false}]},{&quot;citationID&quot;:&quot;MENDELEY_CITATION_4c67cea6-b096-4d0c-ba00-c61ec95408c2&quot;,&quot;properties&quot;:{&quot;noteIndex&quot;:0},&quot;isEdited&quot;:false,&quot;manualOverride&quot;:{&quot;isManuallyOverridden&quot;:false,&quot;citeprocText&quot;:&quot;[12–14]&quot;,&quot;manualOverrideText&quot;:&quot;&quot;},&quot;citationTag&quot;:&quot;MENDELEY_CITATION_v3_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&quot;,&quot;citationItems&quot;:[{&quot;id&quot;:&quot;3b344a2a-b814-3e96-aec0-666908559e9d&quot;,&quot;itemData&quot;:{&quot;type&quot;:&quot;article-journal&quot;,&quot;id&quot;:&quot;3b344a2a-b814-3e96-aec0-666908559e9d&quot;,&quot;title&quot;:&quot;Influence of conformational change of chain unit on the intrinsic negative thermal expansion of polymers&quot;,&quot;author&quot;:[{&quot;family&quot;:&quot;Sun&quot;,&quot;given&quot;:&quot;Qiangsheng&quot;,&quot;parse-names&quot;:false,&quot;dropping-particle&quot;:&quot;&quot;,&quot;non-dropping-particle&quot;:&quot;&quot;},{&quot;family&quot;:&quot;Jin&quot;,&quot;given&quot;:&quot;Ke&quot;,&quot;parse-names&quot;:false,&quot;dropping-particle&quot;:&quot;&quot;,&quot;non-dropping-particle&quot;:&quot;&quot;},{&quot;family&quot;:&quot;Huang&quot;,&quot;given&quot;:&quot;Yuhui&quot;,&quot;parse-names&quot;:false,&quot;dropping-particle&quot;:&quot;&quot;,&quot;non-dropping-particle&quot;:&quot;&quot;},{&quot;family&quot;:&quot;Guo&quot;,&quot;given&quot;:&quot;Jia&quot;,&quot;parse-names&quot;:false,&quot;dropping-particle&quot;:&quot;&quot;,&quot;non-dropping-particle&quot;:&quot;&quot;},{&quot;family&quot;:&quot;Rungrotmongkol&quot;,&quot;given&quot;:&quot;Thanyada&quot;,&quot;parse-names&quot;:false,&quot;dropping-particle&quot;:&quot;&quot;,&quot;non-dropping-particle&quot;:&quot;&quot;},{&quot;family&quot;:&quot;Maitarad&quot;,&quot;given&quot;:&quot;Phornphimon&quot;,&quot;parse-names&quot;:false,&quot;dropping-particle&quot;:&quot;&quot;,&quot;non-dropping-particle&quot;:&quot;&quot;},{&quot;family&quot;:&quot;Wang&quot;,&quot;given&quot;:&quot;Changchun&quot;,&quot;parse-names&quot;:false,&quot;dropping-particle&quot;:&quot;&quot;,&quot;non-dropping-particle&quot;:&quot;&quot;}],&quot;container-title&quot;:&quot;Chinese Chemical Letters&quot;,&quot;DOI&quot;:&quot;10.1016/j.cclet.2020.09.046&quot;,&quot;ISSN&quot;:&quot;10018417&quot;,&quot;issued&quot;:{&quot;date-parts&quot;:[[2020]]},&quot;abstract&quot;:&quot;Negative thermal expansion (NTE) behavior has roused wide interest for the control of thermomechanical properties of functional materials. Although NTE behaviors have been found in kinds of compounds, it remains challenging for polymers to achieve intrinsic NTE property. In this work, we systematically studied the conformational change of dibenzocyclooctadiene (DBCOD) derivatives between chair (C) and twist-boat (TB) forms based on density-functional theory (DFT) calculations, and found clear evidence of the relationship between the structure of DBCOD units and the thermal contraction behavior of the related polymers. In order to obtain the polymer with NTE property, two conditions should be met for the thermal contracting DBCOD related units as follows: (i) the TB conformation can turn into C conformation as the temperature increases, and (ii) the volume of C conformation is smaller than that of TB conformation. This rule should offer a guidance to exploration of the new intrinsic NTE polymers in the future. © 2020 Chinese Chemical Society and Institute of Materia Medica, Chinese Academy of Medical Sciences.&quot;,&quot;container-title-short&quot;:&quot;&quot;},&quot;isTemporary&quot;:false},{&quot;id&quot;:&quot;5c8be51f-0522-311f-bdb1-0224de7b3472&quot;,&quot;itemData&quot;:{&quot;type&quot;:&quot;article-journal&quot;,&quot;id&quot;:&quot;5c8be51f-0522-311f-bdb1-0224de7b3472&quot;,&quot;title&quot;:&quot;Tuning Epoxy Thermomechanics via Thermal Isomerization: A Route to Negative Coefficient of Thermal Expansion Materials&quot;,&quot;author&quot;:[{&quot;family&quot;:&quot;Foster&quot;,&quot;given&quot;:&quot;Jeffrey C&quot;,&quot;parse-names&quot;:false,&quot;dropping-particle&quot;:&quot;&quot;,&quot;non-dropping-particle&quot;:&quot;&quot;},{&quot;family&quot;:&quot;Staiger&quot;,&quot;given&quot;:&quot;Chad L&quot;,&quot;parse-names&quot;:false,&quot;dropping-particle&quot;:&quot;&quot;,&quot;non-dropping-particle&quot;:&quot;&quot;},{&quot;family&quot;:&quot;Dugger&quot;,&quot;given&quot;:&quot;Jason W&quot;,&quot;parse-names&quot;:false,&quot;dropping-particle&quot;:&quot;&quot;,&quot;non-dropping-particle&quot;:&quot;&quot;},{&quot;family&quot;:&quot;Redline&quot;,&quot;given&quot;:&quot;Erica M&quot;,&quot;parse-names&quot;:false,&quot;dropping-particle&quot;:&quot;&quot;,&quot;non-dropping-particle&quot;:&quot;&quot;}],&quot;container-title&quot;:&quot;ACS Macro Letters&quot;,&quot;container-title-short&quot;:&quot;ACS Macro Lett&quot;,&quot;DOI&quot;:&quot;10.1021/acsmacrolett.1c00312&quot;,&quot;ISSN&quot;:&quot;21611653&quot;,&quot;issued&quot;:{&quot;date-parts&quot;:[[2021]]},&quot;abstract&quot;:&quot;Fine control over the thermal expansion and contraction behavior of polymer materials is challenging. Most polymers have large coefficients of thermal expansion (CTEs), which preclude long performance lifetimes of composite materials. Herein, we report the design and synthesis of epoxy thermosets with low CTE values below their Tg and large contraction behavior above Tg by incorporating thermally contractile dibenzocyclooctane (DBCO) motifs within the thermoset network. This atypical thermomechanical behavior was rationalized in terms of a twist-boat to chair conformational equilibrium of the DBCO linkages. We anticipate these findings to be generally useful in the preparation of materials with designed CTE values.&quot;,&quot;issue&quot;:&quot;7&quot;,&quot;volume&quot;:&quot;10&quot;},&quot;isTemporary&quot;:false},{&quot;id&quot;:&quot;267b125f-9fcf-320c-8525-feddda8361f9&quot;,&quot;itemData&quot;:{&quot;type&quot;:&quot;article-journal&quot;,&quot;id&quot;:&quot;267b125f-9fcf-320c-8525-feddda8361f9&quot;,&quot;title&quot;:&quot;Temperature-dependent coefficient of thermal expansion (CTE) of injection molded, short-glass-fiber-reinforced polymers&quot;,&quot;author&quot;:[{&quot;family&quot;:&quot;Heinle&quot;,&quot;given&quot;:&quot;Martina&quot;,&quot;parse-names&quot;:false,&quot;dropping-particle&quot;:&quot;&quot;,&quot;non-dropping-particle&quot;:&quot;&quot;},{&quot;family&quot;:&quot;Drummer&quot;,&quot;given&quot;:&quot;Dietmar&quot;,&quot;parse-names&quot;:false,&quot;dropping-particle&quot;:&quot;&quot;,&quot;non-dropping-particle&quot;:&quot;&quot;}],&quot;container-title&quot;:&quot;Polymer Engineering and Science&quot;,&quot;container-title-short&quot;:&quot;Polym Eng Sci&quot;,&quot;DOI&quot;:&quot;10.1002/pen.24159&quot;,&quot;ISSN&quot;:&quot;15482634&quot;,&quot;issued&quot;:{&quot;date-parts&quot;:[[2015]]},&quot;abstract&quot;:&quot;A deep understanding of the anisotropic, composite-, geometry-, and temperature-dependent coefficient of thermal expansion (CTE) of short-fiber-reinforced polymers is often needed in material development and at early stages of the design process of injection molded parts. Usually, the data available does not reflect the complex behavior and the knowledge about the influences and interactions are missing. This paper deals with a method for calculating the composite-, geometry-, and temperature-dependent anisotropic CTE of parts made from short-fiber reinforced polymers without respectively low preload to create an understanding of its origins and influential factors. Here, a good accordance between the measurements and calculations was achieved.&quot;,&quot;issue&quot;:&quot;11&quot;,&quot;volume&quot;:&quot;55&quot;},&quot;isTemporary&quot;:false}]},{&quot;citationID&quot;:&quot;MENDELEY_CITATION_49908b55-ce8a-41f4-b526-3550a946df88&quot;,&quot;properties&quot;:{&quot;noteIndex&quot;:0},&quot;isEdited&quot;:false,&quot;manualOverride&quot;:{&quot;isManuallyOverridden&quot;:false,&quot;citeprocText&quot;:&quot;[15,16]&quot;,&quot;manualOverrideText&quot;:&quot;&quot;},&quot;citationTag&quot;:&quot;MENDELEY_CITATION_v3_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&quot;,&quot;citationItems&quot;:[{&quot;id&quot;:&quot;dcd24bed-8571-3781-bab5-eb8d9e9906ad&quot;,&quot;itemData&quot;:{&quot;type&quot;:&quot;article-journal&quot;,&quot;id&quot;:&quot;dcd24bed-8571-3781-bab5-eb8d9e9906ad&quot;,&quot;title&quot;:&quot;An analytical approach to determine coefficients of thermal expansion of CNT/polymer nanocomposites&quot;,&quot;author&quot;:[{&quot;family&quot;:&quot;Abbasi&quot;,&quot;given&quot;:&quot;A&quot;,&quot;parse-names&quot;:false,&quot;dropping-particle&quot;:&quot;&quot;,&quot;non-dropping-particle&quot;:&quot;&quot;},{&quot;family&quot;:&quot;Mondali&quot;,&quot;given&quot;:&quot;M&quot;,&quot;parse-names&quot;:false,&quot;dropping-particle&quot;:&quot;&quot;,&quot;non-dropping-particle&quot;:&quot;&quot;}],&quot;container-title&quot;:&quot;Proceedings of the Institution of Mechanical Engineers, Part C: Journal of Mechanical Engineering Science&quot;,&quot;container-title-short&quot;:&quot;Proc Inst Mech Eng C J Mech Eng Sci&quot;,&quot;DOI&quot;:&quot;10.1177/0954406220920685&quot;,&quot;ISSN&quot;:&quot;20412983&quot;,&quot;issued&quot;:{&quot;date-parts&quot;:[[2020]]},&quot;abstract&quot;:&quot;In this study, thermo-mechanical properties of CNT/polymer nanocomposite were investigated. Semi-continuum analytical method was used to simulate thermal behavior of CNT-reinforced polymers. CNT was modeled in an atomistic scale, whereas polymer was modeled as a continuum. Interfacial effects or the Van Der Waals interactions between matrix and CNT were simulated employing cohesive strength. The results indicate that using the cohesive law for CNT/polymer interface could provide very close results to the available experimental data. Also, adding a small quantity of CNTs to polymer leads to a slight decrease in the radial and axial thermal expansion coefficients of polymer matrix depending on temperature, volume fraction, aspect ratio, and also diameter of CNTs.&quot;,&quot;issue&quot;:&quot;21&quot;,&quot;volume&quot;:&quot;234&quot;},&quot;isTemporary&quot;:false},{&quot;id&quot;:&quot;4f601c9b-d620-385d-839f-8fde20d22979&quot;,&quot;itemData&quot;:{&quot;type&quot;:&quot;article-journal&quot;,&quot;id&quot;:&quot;4f601c9b-d620-385d-839f-8fde20d22979&quot;,&quot;title&quot;:&quot;Thermal conductivity, elastic modulus, and coefficient of thermal expansion of polymer composites filled with ceramic particles for electronic packaging&quot;,&quot;author&quot;:[{&quot;family&quot;:&quot;Wong&quot;,&quot;given&quot;:&quot;C P&quot;,&quot;parse-names&quot;:false,&quot;dropping-particle&quot;:&quot;&quot;,&quot;non-dropping-particle&quot;:&quot;&quot;},{&quot;family&quot;:&quot;Bollampally&quot;,&quot;given&quot;:&quot;Raja S&quot;,&quot;parse-names&quot;:false,&quot;dropping-particle&quot;:&quot;&quot;,&quot;non-dropping-particle&quot;:&quot;&quot;}],&quot;container-title&quot;:&quot;Journal of Applied Polymer Science&quot;,&quot;container-title-short&quot;:&quot;J Appl Polym Sci&quot;,&quot;DOI&quot;:&quot;10.1002/(SICI)1097-4628(19991227)74:14&lt;3396::AID-APP13&gt;3.0.CO;2-3&quot;,&quot;ISSN&quot;:&quot;00218995&quot;,&quot;issued&quot;:{&quot;date-parts&quot;:[[1999]]},&quot;abstract&quot;:&quot;The effective thermal conductivity, elastic modulus, and coefficient of thermal expansion of epoxy resins filled with ceramic fillers like silica, alumina, and aluminum nitride were determined. The data obtained was compared with theoretical and semitheoretical equations in the literature that are used to predict the properties of two phase mixtures. It was found that Agari's model provided a good estimate of the composite thermal conductivity. The Hashin-Shtrikman lower bound for composite modulus fits the modulus data fairly well at low concentrations of the filler. Also, it was found that the coefficients of thermal expansion of the filled composites lie in between Schapery's upper and lower bounds.&quot;,&quot;issue&quot;:&quot;14&quot;,&quot;volume&quot;:&quot;74&quot;},&quot;isTemporary&quot;:false}]},{&quot;citationID&quot;:&quot;MENDELEY_CITATION_6e99af08-2431-4b41-855b-4e977a9621ec&quot;,&quot;properties&quot;:{&quot;noteIndex&quot;:0},&quot;isEdited&quot;:false,&quot;manualOverride&quot;:{&quot;isManuallyOverridden&quot;:false,&quot;citeprocText&quot;:&quot;[17–24]&quot;,&quot;manualOverrideText&quot;:&quot;&quot;},&quot;citationTag&quot;:&quot;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&quot;,&quot;citationItems&quot;:[{&quot;id&quot;:&quot;9e343f3c-26f3-3a85-b5aa-0815fe28cb7b&quot;,&quot;itemData&quot;:{&quot;type&quot;:&quot;article-journal&quot;,&quot;id&quot;:&quot;9e343f3c-26f3-3a85-b5aa-0815fe28cb7b&quot;,&quot;title&quot;:&quot;Thermal expansion of epoxy and polyester polymer mortars - Plain mortars and fibre-reinforced mortars&quot;,&quot;author&quot;:[{&quot;family&quot;:&quot;Ribeiro&quot;,&quot;given&quot;:&quot;M C S&quot;,&quot;parse-names&quot;:false,&quot;dropping-particle&quot;:&quot;&quot;,&quot;non-dropping-particle&quot;:&quot;&quot;},{&quot;family&quot;:&quot;Reis&quot;,&quot;given&quot;:&quot;J M L&quot;,&quot;parse-names&quot;:false,&quot;dropping-particle&quot;:&quot;&quot;,&quot;non-dropping-particle&quot;:&quot;&quot;},{&quot;family&quot;:&quot;Ferreira&quot;,&quot;given&quot;:&quot;A J M&quot;,&quot;parse-names&quot;:false,&quot;dropping-particle&quot;:&quot;&quot;,&quot;non-dropping-particle&quot;:&quot;&quot;},{&quot;family&quot;:&quot;Marques&quot;,&quot;given&quot;:&quot;A T&quot;,&quot;parse-names&quot;:false,&quot;dropping-particle&quot;:&quot;&quot;,&quot;non-dropping-particle&quot;:&quot;&quot;}],&quot;container-title&quot;:&quot;Polymer Testing&quot;,&quot;container-title-short&quot;:&quot;Polym Test&quot;,&quot;DOI&quot;:&quot;10.1016/S0142-9418(03)00021-7&quot;,&quot;ISSN&quot;:&quot;01429418&quot;,&quot;issued&quot;:{&quot;date-parts&quot;:[[2003]]},&quot;abstract&quot;:&quot;The study was conducted in order to determine the coefficient of thermal expansion of two specific binder formulations of epoxy and unsaturated polyester polymer mortars. The variation of this parameter with temperature was also analysed. Polymer concrete and mortars have been observed to have lower coefficients of thermal expansion at lower temperatures than at higher temperatures. Plots of strains vs. temperature are often bilinear, indicating a sharp change in the coefficient of thermal expansion (International Congress on Polymers in Concrete, July 1995). To determine how this discontinuity varies for these two materials, specimens of both formulations were tested for several temperature ranges between -20 and 60 °C. In addition, to determine the influence of fibre reinforcements on thermal expansion of polymer mortars, epoxy polymer mortars reinforced with both carbon and glass chopped fibres were also tested for thermal expansion. It was concluded that, for both formulations, the variation of thermal expansion with temperature follows a parabolic law rather than a bilinear law. The reinforcement of chopped glass fibres (1%) has no significant effect on thermal expansion of epoxy polymer mortar, while the inclusion of carbon fibres (2%) on the same mortar formulation has a reducing effect on thermal expansion of this composite material for temperatures above room temperature. © 2003 Elsevier Ltd. All rights reserved.&quot;,&quot;issue&quot;:&quot;8&quot;,&quot;volume&quot;:&quot;22&quot;},&quot;isTemporary&quot;:false},{&quot;id&quot;:&quot;664e17d0-98f4-3312-b593-6133b76eaae0&quot;,&quot;itemData&quot;:{&quot;type&quot;:&quot;article-journal&quot;,&quot;id&quot;:&quot;664e17d0-98f4-3312-b593-6133b76eaae0&quot;,&quot;title&quot;:&quot;Thermal properties characterization of glass fiber hybrid polymer composite materials&quot;,&quot;author&quot;:[{&quot;family&quot;:&quot;Vaggar&quot;,&quot;given&quot;:&quot;Gurushanth B&quot;,&quot;parse-names&quot;:false,&quot;dropping-particle&quot;:&quot;&quot;,&quot;non-dropping-particle&quot;:&quot;&quot;},{&quot;family&quot;:&quot;Kamate&quot;,&quot;given&quot;:&quot;S C&quot;,&quot;parse-names&quot;:false,&quot;dropping-particle&quot;:&quot;&quot;,&quot;non-dropping-particle&quot;:&quot;&quot;},{&quot;family&quot;:&quot;Badyankal&quot;,&quot;given&quot;:&quot;Pramod&quot;,&quot;parse-names&quot;:false,&quot;dropping-particle&quot;:&quot;v&quot;,&quot;non-dropping-particle&quot;:&quot;&quot;}],&quot;container-title&quot;:&quot;International Journal of Engineering and Technology(UAE)&quot;,&quot;DOI&quot;:&quot;10.14419/ijet.v7i3.34.19359&quot;,&quot;ISSN&quot;:&quot;2227524X&quot;,&quot;issued&quot;:{&quot;date-parts&quot;:[[2018]]},&quot;abstract&quot;:&quot;In the current work characterization of thermal properties are find out to the prepared specimens of silicon filler hybrid composite materials (silicon filler glass - fiber chop strand). The specimens were prepared by hand layup followed by compression molding machine by non-heating molding technique. Thermal conductivity (K), Coefficient thermal expansion (CTE) and Thermal gravimetric analysis (TGA) are found by composite slab method and by thermal muffler oven in a laboratory. The guard heater is used to supply heat which is measured by voltmeter and ammeter. Thermocouples are placed between the interface of the copper plates and the specimen of silicon filled hybrid polymer composite material (HPC), to read the temperatures. By the experimental readings it is found that the K of silicon filler hybrid composite material directly proportional to the % of silicon fillers for the different trails. The CTE inversely varies with % of silicon fillers and in thermal gravimetric analysis the failure of material takes place at 300°C for a time of 20 minutes and also reduction in mass of silicon inserted hybrid composite material. From the results it has been concluded that the considerable enhance in thermal conductivity with negligible decrease in CTE and increase in thermal resistivity of hybrid composite materials.&quot;,&quot;issue&quot;:&quot;3.34 Special Issue  34&quot;,&quot;volume&quot;:&quot;7&quot;,&quot;container-title-short&quot;:&quot;&quot;},&quot;isTemporary&quot;:false},{&quot;id&quot;:&quot;2531e982-a3d4-3c79-9a7c-753f00eebc6d&quot;,&quot;itemData&quot;:{&quot;type&quot;:&quot;article-journal&quot;,&quot;id&quot;:&quot;2531e982-a3d4-3c79-9a7c-753f00eebc6d&quot;,&quot;title&quot;:&quot;Ultra high thermal conductivity polymer composites&quot;,&quot;author&quot;:[{&quot;family&quot;:&quot;Chen&quot;,&quot;given&quot;:&quot;Yu Mao&quot;,&quot;parse-names&quot;:false,&quot;dropping-particle&quot;:&quot;&quot;,&quot;non-dropping-particle&quot;:&quot;&quot;},{&quot;family&quot;:&quot;Ting&quot;,&quot;given&quot;:&quot;Jyh Ming&quot;,&quot;parse-names&quot;:false,&quot;dropping-particle&quot;:&quot;&quot;,&quot;non-dropping-particle&quot;:&quot;&quot;}],&quot;container-title&quot;:&quot;Carbon&quot;,&quot;container-title-short&quot;:&quot;Carbon N Y&quot;,&quot;DOI&quot;:&quot;10.1016/S0008-6223(01)00112-9&quot;,&quot;ISSN&quot;:&quot;00086223&quot;,&quot;issued&quot;:{&quot;date-parts&quot;:[[2002]]},&quot;abstract&quot;:&quot;Epoxy composites based on vapor grown carbon fiber (VGCF) were fabricated and analyzed for room temperature thermophysical properties. An unprecedented high thermal conductivity of 695 W/m K for polymer matrix composites was obtained. The densities of all the composites are lower than 1.5 g/cc. In addition the high value of coefficient of thermal expansion (CTE) of the polymer material was largely reduced by the incorporation of VGCF. Also, unlike metal matrix composite (MMC), the epoxy composite has an electrically insulating surface. Based on the composite thermal conductivities, the room temperature thermal conductivity of VGCF, heat-treated at 2600 °C, was estimated to be 1260 W/m K. Furthermore, the longitudinal CTE of the heat-treated VGCF was determined, for the first time, to be -1.5 ppm/K. © 2002 Published by Elsevier Science Ltd.&quot;,&quot;issue&quot;:&quot;3&quot;,&quot;volume&quot;:&quot;40&quot;},&quot;isTemporary&quot;:false},{&quot;id&quot;:&quot;a9ddf236-7f26-3f7f-9c08-6e9763217192&quot;,&quot;itemData&quot;:{&quot;type&quot;:&quot;article-journal&quot;,&quot;id&quot;:&quot;a9ddf236-7f26-3f7f-9c08-6e9763217192&quot;,&quot;title&quot;:&quot;Effects of added SiO 2 nanoparticles on the thermal expansion behavior of shape memory polymer nanocomposites&quot;,&quot;author&quot;:[{&quot;family&quot;:&quot;Mahmoodi&quot;,&quot;given&quot;:&quot;Mohammad Javad&quot;,&quot;parse-names&quot;:false,&quot;dropping-particle&quot;:&quot;&quot;,&quot;non-dropping-particle&quot;:&quot;&quot;},{&quot;family&quot;:&quot;Hassanzadeh-Aghdam&quot;,&quot;given&quot;:&quot;Mohammad Kazem&quot;,&quot;parse-names&quot;:false,&quot;dropping-particle&quot;:&quot;&quot;,&quot;non-dropping-particle&quot;:&quot;&quot;},{&quot;family&quot;:&quot;Ansari&quot;,&quot;given&quot;:&quot;Reza&quot;,&quot;parse-names&quot;:false,&quot;dropping-particle&quot;:&quot;&quot;,&quot;non-dropping-particle&quot;:&quot;&quot;}],&quot;container-title&quot;:&quot;Journal of Intelligent Material Systems and Structures&quot;,&quot;container-title-short&quot;:&quot;J Intell Mater Syst Struct&quot;,&quot;DOI&quot;:&quot;10.1177/1045389X18806405&quot;,&quot;ISSN&quot;:&quot;15308138&quot;,&quot;issued&quot;:{&quot;date-parts&quot;:[[2019]]},&quot;abstract&quot;:&quot;In this study, a unit cell–based micromechanical approach is proposed to analyze the coefficient of thermal expansion of shape memory polymer nanocomposites containing SiO 2 nanoparticles. The interphase region created due to the interaction between the SiO 2 nanoparticles and shape memory polymer is modeled as the third phase in the nanocomposite representative volume element. The influences of the temperature, volume fraction, and diameter of the SiO 2 nanoparticles on the thermal expansion behavior of shape memory polymer nanocomposite are explored. It is observed that the coefficient of thermal expansion of shape memory polymer nanocomposite decreases with the increase in the volume fraction up to 12%. Also, the results reveal that with the increase in temperature, the shape memory polymer nanocomposite coefficient of thermal expansion linearly increases. The role of interphase region on the thermal expansion response of the shape memory polymer nanocomposite is found to be very important. In the presence of interphase, the reduction in nanoparticle diameter leads to lower coefficient of thermal expansion for shape memory polymer nanocomposite, while the variation of nanoparticles diameter does not affect the coefficient of thermal expansion in the absence of interphase. Based on the simulation results, the shape memory polymer nanocomposite coefficient of thermal expansion decreases as the interphase thickness increases. In addition, the contribution of interphase coefficient of thermal expansion to the shape memory polymer nanocomposite coefficient of thermal expansion is more significant than that of interphase elastic modulus.&quot;,&quot;issue&quot;:&quot;1&quot;,&quot;volume&quot;:&quot;30&quot;},&quot;isTemporary&quot;:false},{&quot;id&quot;:&quot;5b0aa8a1-693a-350f-8c92-72b69a99b653&quot;,&quot;itemData&quot;:{&quot;type&quot;:&quot;article-journal&quot;,&quot;id&quot;:&quot;5b0aa8a1-693a-350f-8c92-72b69a99b653&quot;,&quot;title&quot;:&quot;Parameters influencing the thermal expansion of polymers and fibre composites&quot;,&quot;author&quot;:[{&quot;family&quot;:&quot;Baschek&quot;,&quot;given&quot;:&quot;G&quot;,&quot;parse-names&quot;:false,&quot;dropping-particle&quot;:&quot;&quot;,&quot;non-dropping-particle&quot;:&quot;&quot;},{&quot;family&quot;:&quot;Hartwig&quot;,&quot;given&quot;:&quot;G&quot;,&quot;parse-names&quot;:false,&quot;dropping-particle&quot;:&quot;&quot;,&quot;non-dropping-particle&quot;:&quot;&quot;}],&quot;container-title&quot;:&quot;Cryogenics&quot;,&quot;container-title-short&quot;:&quot;Cryogenics (Guildf)&quot;,&quot;DOI&quot;:&quot;10.1016/S0011-2275(97)00117-3&quot;,&quot;ISSN&quot;:&quot;00112275&quot;,&quot;issued&quot;:{&quot;date-parts&quot;:[[1998]]},&quot;abstract&quot;:&quot;Thermal expansion of polymers and fibre composites is an important design parameter in cryogenics. Measurements have been carried out with a laser interference dilatometer and an inductive dilatometer. Parameters which might influence the thermal expansion have been investigated. For polymers the influence of annealing has been studied. Annealing at a temperature near to the main glass transition yielded deviations of about 5% compared to those of untreated samples. The very large expansion of polymers can be drastically varied by reinforcement with fibres of different fibre arrangements. For carbon fibre angle-plies even negative expansion can be achieved (Humphreys, E.A. and Rosen, B.W., Properties analysis of laminates. In Engineered Materials Handbook, Vol. 1, Composites. ASM International, USA, 1987, p. 226). This behaviour arises from thermally induced shear stresses between the laminates. For carbon fibre reinforced polymers (CRPs) with different fibre angles the influences of thermal cycling, mechanical creep loading and geometrical shape (plates, half-tubes and tubes) on the expansion behaviour has been investigated. The expansion is influenced in a different manner by thermal cycling and mechanical creep loading. The largest effects arise from thermal cycling and mechanical creep loading of CRPs. The geometrical shape of the specimens influences the expansion behaviour remarkably. The expansion of tubes is smaller compared to that of plates. The reason is coupling of radial and azimuthal components existing for cylindrical samples. © 1998 Elsevier Science Ltd. All rights reserved.&quot;,&quot;issue&quot;:&quot;1&quot;,&quot;volume&quot;:&quot;38&quot;},&quot;isTemporary&quot;:false},{&quot;id&quot;:&quot;94844b83-2de8-3bf1-b1e3-8ed080b6c2e7&quot;,&quot;itemData&quot;:{&quot;type&quot;:&quot;article-journal&quot;,&quot;id&quot;:&quot;94844b83-2de8-3bf1-b1e3-8ed080b6c2e7&quot;,&quot;title&quot;:&quot;Mechanical Behavior of a Unidirectional Basalt-Fiber-Reinforced Plastic Under Thermomechanical Loadings&quot;,&quot;author&quot;:[{&quot;family&quot;:&quot;Lobanov&quot;,&quot;given&quot;:&quot;D S&quot;,&quot;parse-names&quot;:false,&quot;dropping-particle&quot;:&quot;&quot;,&quot;non-dropping-particle&quot;:&quot;&quot;},{&quot;family&quot;:&quot;Slovikov&quot;,&quot;given&quot;:&quot;S&quot;,&quot;parse-names&quot;:false,&quot;dropping-particle&quot;:&quot;v&quot;,&quot;non-dropping-particle&quot;:&quot;&quot;}],&quot;container-title&quot;:&quot;Mechanics of Composite Materials&quot;,&quot;DOI&quot;:&quot;10.1007/s11029-018-9746-4&quot;,&quot;ISSN&quot;:&quot;01915665&quot;,&quot;issued&quot;:{&quot;date-parts&quot;:[[2018]]},&quot;abstract&quot;:&quot;The results of experimental investigations of unidirectional composites based on basalt fibers and an epoxy resin are presented. Uniaxial tensile tests at increased operation temperatures were carried out using a specimen fixation technique imitating the operation conditions of structures. The mechanical properties at temperatures of 50, 70, 80, 90, 100, 110, and 120°С and the coefficient of linear thermal expansion in the temperature range from 25 to 150°С of the basalt-fiber-reinforced plastic (BFRP) were determined. The effects of a preliminary thermal cycling and thermal aging on the static mechanical properties of the BFRP are analyzed. The temperature dependences and deformation diagrams of BFRP specimens are obtain.&quot;,&quot;issue&quot;:&quot;3&quot;,&quot;volume&quot;:&quot;54&quot;,&quot;container-title-short&quot;:&quot;&quot;},&quot;isTemporary&quot;:false},{&quot;id&quot;:&quot;4665c208-f8d4-39ef-b183-4d20f83b6165&quot;,&quot;itemData&quot;:{&quot;type&quot;:&quot;article-journal&quot;,&quot;id&quot;:&quot;4665c208-f8d4-39ef-b183-4d20f83b6165&quot;,&quot;title&quot;:&quot;Large negative thermal expansion of a polymer driven by a submolecular conformational change&quot;,&quot;author&quot;:[{&quot;family&quot;:&quot;Shen&quot;,&quot;given&quot;:&quot;Xingyuan&quot;,&quot;parse-names&quot;:false,&quot;dropping-particle&quot;:&quot;&quot;,&quot;non-dropping-particle&quot;:&quot;&quot;},{&quot;family&quot;:&quot;Viney&quot;,&quot;given&quot;:&quot;Christopher&quot;,&quot;parse-names&quot;:false,&quot;dropping-particle&quot;:&quot;&quot;,&quot;non-dropping-particle&quot;:&quot;&quot;},{&quot;family&quot;:&quot;Johnson&quot;,&quot;given&quot;:&quot;Erin R&quot;,&quot;parse-names&quot;:false,&quot;dropping-particle&quot;:&quot;&quot;,&quot;non-dropping-particle&quot;:&quot;&quot;},{&quot;family&quot;:&quot;Wang&quot;,&quot;given&quot;:&quot;Changchun&quot;,&quot;parse-names&quot;:false,&quot;dropping-particle&quot;:&quot;&quot;,&quot;non-dropping-particle&quot;:&quot;&quot;},{&quot;family&quot;:&quot;Lu&quot;,&quot;given&quot;:&quot;Jennifer Q&quot;,&quot;parse-names&quot;:false,&quot;dropping-particle&quot;:&quot;&quot;,&quot;non-dropping-particle&quot;:&quot;&quot;}],&quot;container-title&quot;:&quot;Nature Chemistry&quot;,&quot;container-title-short&quot;:&quot;Nat Chem&quot;,&quot;DOI&quot;:&quot;10.1038/nchem.1780&quot;,&quot;ISSN&quot;:&quot;17554330&quot;,&quot;issued&quot;:{&quot;date-parts&quot;:[[2013]]},&quot;abstract&quot;:&quot;Mechanoresponsive polymers hold great technological potential in drug delivery, 'smart' optical systems and microelectromechanical systems. However, hysteresis and fatigue (associated with large-scale polymer chain rearrangement) are often problematic. Here, we describe a polyarylamide film that contains s-dibenzocyclooctadiene (DBCOD), which can generate unconventional and completely reversible thermal contraction under low-energy stimulation. The films exhibit a giant negative thermal expansion coefficient of approximately -1,200 ppm K -1 at ambient or near-ambient temperatures, much higher than any known negative-thermal-expansion materials under similar operating conditions. Mechanical characterization, calorimetry, spectroscopic analysis and density-functional theory calculations all point to the conformational change of the DBCOD moiety, from the thermodynamic global energy minimum (twist-boat) to a local minimum (chair), as the origin of this abnormal thermal shrinkage. This newly identified, low-energy-driven, thermally agile molecular subunit opens a new pathway to creating near-infrared-based macromolecular switches and motors, and for ambient thermal energy storage and conversion. © 2013 Macmillan Publishers Limited.&quot;,&quot;issue&quot;:&quot;12&quot;,&quot;volume&quot;:&quot;5&quot;},&quot;isTemporary&quot;:false},{&quot;id&quot;:&quot;f0bd4151-b233-3749-bdc9-df2f590510ee&quot;,&quot;itemData&quot;:{&quot;type&quot;:&quot;article-journal&quot;,&quot;id&quot;:&quot;f0bd4151-b233-3749-bdc9-df2f590510ee&quot;,&quot;title&quot;:&quot;A molecular dynamics simulation of the glass transition temperature and volumetric thermal expansion coefficient of thermoset polymer based epoxy nanocomposite reinforced by CNT: A statistical study&quot;,&quot;author&quot;:[{&quot;family&quot;:&quot;Hadipeykani&quot;,&quot;given&quot;:&quot;Majid&quot;,&quot;parse-names&quot;:false,&quot;dropping-particle&quot;:&quot;&quot;,&quot;non-dropping-particle&quot;:&quot;&quot;},{&quot;family&quot;:&quot;Aghadavoudi&quot;,&quot;given&quot;:&quot;Farshid&quot;,&quot;parse-names&quot;:false,&quot;dropping-particle&quot;:&quot;&quot;,&quot;non-dropping-particle&quot;:&quot;&quot;},{&quot;family&quot;:&quot;Toghraie&quot;,&quot;given&quot;:&quot;Davood&quot;,&quot;parse-names&quot;:false,&quot;dropping-particle&quot;:&quot;&quot;,&quot;non-dropping-particle&quot;:&quot;&quot;}],&quot;container-title&quot;:&quot;Physica A: Statistical Mechanics and its Applications&quot;,&quot;DOI&quot;:&quot;10.1016/j.physa.2019.123995&quot;,&quot;ISSN&quot;:&quot;03784371&quot;,&quot;issued&quot;:{&quot;date-parts&quot;:[[2020]]},&quot;abstract&quot;:&quot;A molecular dynamics simulation study is performed to predict the glass transition temperature ( Tg) and the volumetric coefficient of thermal expansion (CTE) of thermoset polymer based nanocomposite reinforced by carbon nanotube (CNT). An atomistic model of cross-linked Diglycidyl ether bisphenol A (DGEBA) epoxy and Diethylenetriamine (DETA) was built as a matrix by employingCondensed-phase optimized molecular potentials for atomistic simulation (COMPASS27) force field. Different molecular models were constructed with various types of CNT embedded in epoxy simulation boxes. Tg was determined based on density variation with temperature. Furthermore, a new method is proposed to compute the CTE based on density variation with temperature. The effects of CNT diameter, volume fraction and chirality on Tg and CTE of nanocomposites were investigated using molecular dynamics simulation. For all cases, studied and CTE were less than pure epoxy (between 3.77% to 10.05% for Tg and respectively 14.24% to 32.23% and 23.82% to 41.65% for CTE below and above of Tg ). Increasing the CNT diameter in nanocomposite increases Tg and CTE (5.0% for Tg and 20.0% for CTE when the diameter of CNT changed 7.8A0 to 15.6A0). On the other hand increasing volume fraction of CNT in the nanocomposite decreases Tg and CTE (2.7% for Tg and 13.8% for CTE when the volume fraction of CNT in the nanocomposites changed 3.36% to 5.23%). Chirality studies under constant weight fraction of nanocomposites show that applying armchair CNT instead of zigzag CNT, decreases Tg and increases CTE (2.1% for Tg and 5.8% for CTE)&quot;,&quot;volume&quot;:&quot;546&quot;,&quot;container-title-short&quot;:&quot;&quot;},&quot;isTemporary&quot;:false}]},{&quot;citationID&quot;:&quot;MENDELEY_CITATION_8485635b-9c13-46e6-8db6-0104e48bc116&quot;,&quot;properties&quot;:{&quot;noteIndex&quot;:0},&quot;isEdited&quot;:false,&quot;manualOverride&quot;:{&quot;isManuallyOverridden&quot;:false,&quot;citeprocText&quot;:&quot;[25–27]&quot;,&quot;manualOverrideText&quot;:&quot;&quot;},&quot;citationTag&quot;:&quot;MENDELEY_CITATION_v3_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&quot;,&quot;citationItems&quot;:[{&quot;id&quot;:&quot;6a0d46ab-2740-342d-a717-a43932630f10&quot;,&quot;itemData&quot;:{&quot;type&quot;:&quot;article-journal&quot;,&quot;id&quot;:&quot;6a0d46ab-2740-342d-a717-a43932630f10&quot;,&quot;title&quot;:&quot;Evolution of the coefficient of thermal expansion of a thermosetting polymer during cure reaction&quot;,&quot;author&quot;:[{&quot;family&quot;:&quot;Leroy&quot;,&quot;given&quot;:&quot;Eric&quot;,&quot;parse-names&quot;:false,&quot;dropping-particle&quot;:&quot;&quot;,&quot;non-dropping-particle&quot;:&quot;&quot;},{&quot;family&quot;:&quot;Dupuy&quot;,&quot;given&quot;:&quot;Jérôme&quot;,&quot;parse-names&quot;:false,&quot;dropping-particle&quot;:&quot;&quot;,&quot;non-dropping-particle&quot;:&quot;&quot;},{&quot;family&quot;:&quot;Maazouz&quot;,&quot;given&quot;:&quot;Abderrahim&quot;,&quot;parse-names&quot;:false,&quot;dropping-particle&quot;:&quot;&quot;,&quot;non-dropping-particle&quot;:&quot;&quot;},{&quot;family&quot;:&quot;Seytre&quot;,&quot;given&quot;:&quot;Gérard&quot;,&quot;parse-names&quot;:false,&quot;dropping-particle&quot;:&quot;&quot;,&quot;non-dropping-particle&quot;:&quot;&quot;}],&quot;container-title&quot;:&quot;Polymer&quot;,&quot;container-title-short&quot;:&quot;Polymer (Guildf)&quot;,&quot;DOI&quot;:&quot;10.1016/j.polymer.2005.07.061&quot;,&quot;ISSN&quot;:&quot;00323861&quot;,&quot;issued&quot;:{&quot;date-parts&quot;:[[2005]]},&quot;abstract&quot;:&quot;The evolution of the coefficient of thermal expansion (CTE) of a thermosetting polymer during cure reaction is an important parameter for industrial applications such as composite processing since it influences the development of internal stresses in the material. The CTE being almost impossible to measure on a reacting thermoset, we propose to use an indirect method based on the modelling of ionic conductivity by a modified WLF equation, allowing to calculate the evolution of CTE from dielectric spectroscopy measurements. This method is applied to a dicyanate ester thermosetting polymer, leading to encouraging results both qualitatively and quantitatively. © 2005 Elsevier Ltd. All rights reserved.&quot;,&quot;issue&quot;:&quot;23&quot;,&quot;volume&quot;:&quot;46&quot;},&quot;isTemporary&quot;:false},{&quot;id&quot;:&quot;2513964c-7be6-3ad3-9d05-f5c4ec3fcd9a&quot;,&quot;itemData&quot;:{&quot;type&quot;:&quot;article-journal&quot;,&quot;id&quot;:&quot;2513964c-7be6-3ad3-9d05-f5c4ec3fcd9a&quot;,&quot;title&quot;:&quot;Thermal expansion adjustable polymer matrix composites with giant negative thermal expansion filler&quot;,&quot;author&quot;:[{&quot;family&quot;:&quot;Takenaka&quot;,&quot;given&quot;:&quot;Koshi&quot;,&quot;parse-names&quot;:false,&quot;dropping-particle&quot;:&quot;&quot;,&quot;non-dropping-particle&quot;:&quot;&quot;},{&quot;family&quot;:&quot;Ichigo&quot;,&quot;given&quot;:&quot;Masayoshi&quot;,&quot;parse-names&quot;:false,&quot;dropping-particle&quot;:&quot;&quot;,&quot;non-dropping-particle&quot;:&quot;&quot;}],&quot;container-title&quot;:&quot;Composites Science and Technology&quot;,&quot;container-title-short&quot;:&quot;Compos Sci Technol&quot;,&quot;DOI&quot;:&quot;10.1016/j.compscitech.2014.08.029&quot;,&quot;ISSN&quot;:&quot;02663538&quot;,&quot;issued&quot;:{&quot;date-parts&quot;:[[2014]]},&quot;abstract&quot;:&quot;Polymer matrix composites filled with giant negative thermal expansion (NTE) materials were formed by injection moulding. Antiperovskite manganese nitrides, thermal expansion compensating filler of the composites, exhibit NTE greater than -30ppmK-1 in α (coefficient of linear thermal expansion). This gigantic NTE, several to ten times as large as that of conventional NTE materials, can compensate large thermal expansion of polyamide-imide polymer and thermal expansion of the composites is adjustable in a wide range of α value from positive to even negative. Quantitative analyses reveal that thermal expansion of the composites is less than the estimate based on the volume-weighted sum, which is ascribed to much larger elastic modulus of the nitride filler.&quot;,&quot;volume&quot;:&quot;104&quot;},&quot;isTemporary&quot;:false},{&quot;id&quot;:&quot;dad60464-ac86-342d-b6c3-5774a478cee3&quot;,&quot;itemData&quot;:{&quot;type&quot;:&quot;article-journal&quot;,&quot;id&quot;:&quot;dad60464-ac86-342d-b6c3-5774a478cee3&quot;,&quot;title&quot;:&quot;Testing Contraction and Thermal Expansion Coefficient of Construction and Moulding Polymer Composites&quot;,&quot;author&quot;:[{&quot;family&quot;:&quot;Pyrzowski&quot;,&quot;given&quot;:&quot;Łukasz&quot;,&quot;parse-names&quot;:false,&quot;dropping-particle&quot;:&quot;&quot;,&quot;non-dropping-particle&quot;:&quot;&quot;}],&quot;container-title&quot;:&quot;Polish Maritime Research&quot;,&quot;DOI&quot;:&quot;10.2478/pomr-2018-0036&quot;,&quot;ISSN&quot;:&quot;20837429&quot;,&quot;issued&quot;:{&quot;date-parts&quot;:[[2018]]},&quot;abstract&quot;:&quot;The paper presents results of systematic tests of contraction and thermal expansion coefficients of materials based on polymer composites. The information on the above material properties is essential both at the design stage and during the use of finished products. Components for the samples were selected in such a way as to represent typical materials used for production of construction and moulding elements. The performed tests made it possible to monitor the analysed parameters at different stages of the technological process.&quot;,&quot;issue&quot;:&quot;s1&quot;,&quot;volume&quot;:&quot;25&quot;,&quot;container-title-short&quot;:&quot;&quot;},&quot;isTemporary&quot;:false}]},{&quot;citationID&quot;:&quot;MENDELEY_CITATION_1b1a2eee-2b74-4899-8756-c6dcb6303f87&quot;,&quot;properties&quot;:{&quot;noteIndex&quot;:0},&quot;isEdited&quot;:false,&quot;manualOverride&quot;:{&quot;isManuallyOverridden&quot;:false,&quot;citeprocText&quot;:&quot;[27,28]&quot;,&quot;manualOverrideText&quot;:&quot;&quot;},&quot;citationItems&quot;:[{&quot;id&quot;:&quot;dad60464-ac86-342d-b6c3-5774a478cee3&quot;,&quot;itemData&quot;:{&quot;type&quot;:&quot;article-journal&quot;,&quot;id&quot;:&quot;dad60464-ac86-342d-b6c3-5774a478cee3&quot;,&quot;title&quot;:&quot;Testing Contraction and Thermal Expansion Coefficient of Construction and Moulding Polymer Composites&quot;,&quot;author&quot;:[{&quot;family&quot;:&quot;Pyrzowski&quot;,&quot;given&quot;:&quot;Łukasz&quot;,&quot;parse-names&quot;:false,&quot;dropping-particle&quot;:&quot;&quot;,&quot;non-dropping-particle&quot;:&quot;&quot;}],&quot;container-title&quot;:&quot;Polish Maritime Research&quot;,&quot;DOI&quot;:&quot;10.2478/pomr-2018-0036&quot;,&quot;ISSN&quot;:&quot;20837429&quot;,&quot;issued&quot;:{&quot;date-parts&quot;:[[2018]]},&quot;abstract&quot;:&quot;The paper presents results of systematic tests of contraction and thermal expansion coefficients of materials based on polymer composites. The information on the above material properties is essential both at the design stage and during the use of finished products. Components for the samples were selected in such a way as to represent typical materials used for production of construction and moulding elements. The performed tests made it possible to monitor the analysed parameters at different stages of the technological process.&quot;,&quot;issue&quot;:&quot;s1&quot;,&quot;volume&quot;:&quot;25&quot;,&quot;container-title-short&quot;:&quot;&quot;},&quot;isTemporary&quot;:false},{&quot;id&quot;:&quot;448d4a4e-2bf3-33df-ab7b-e02838fa2ff9&quot;,&quot;itemData&quot;:{&quot;type&quot;:&quot;article-journal&quot;,&quot;id&quot;:&quot;448d4a4e-2bf3-33df-ab7b-e02838fa2ff9&quot;,&quot;title&quot;:&quot;An Approximate Relation Between Elastic Moduli and Thermal Expansivities&quot;,&quot;author&quot;:[{&quot;family&quot;:&quot;R. E. Barker Jr.&quot;,&quot;given&quot;:&quot;&quot;,&quot;parse-names&quot;:false,&quot;dropping-particle&quot;:&quot;&quot;,&quot;non-dropping-particle&quot;:&quot;&quot;}],&quot;container-title&quot;:&quot;Journal of Applied Physics&quot;,&quot;container-title-short&quot;:&quot;J Appl Phys&quot;,&quot;issued&quot;:{&quot;date-parts&quot;:[[1963]]},&quot;issue&quot;:&quot;107&quot;,&quot;volume&quot;:&quot;34&quot;},&quot;isTemporary&quot;:false}],&quot;citationTag&quot;:&quot;MENDELEY_CITATION_v3_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&quot;},{&quot;citationID&quot;:&quot;MENDELEY_CITATION_87f22ac2-cb5d-4bcc-8ae3-f2f9b0f32e26&quot;,&quot;properties&quot;:{&quot;noteIndex&quot;:0},&quot;isEdited&quot;:false,&quot;manualOverride&quot;:{&quot;isManuallyOverridden&quot;:false,&quot;citeprocText&quot;:&quot;[29,30]&quot;,&quot;manualOverrideText&quot;:&quot;&quot;},&quot;citationItems&quot;:[{&quot;id&quot;:&quot;463513ed-3bb8-363f-80d8-357cd687b3d5&quot;,&quot;itemData&quot;:{&quot;type&quot;:&quot;article-journal&quot;,&quot;id&quot;:&quot;463513ed-3bb8-363f-80d8-357cd687b3d5&quot;,&quot;title&quot;:&quot;Multi-scale second-order computational homogenization of multi-phase materials: A nested finite element solution strategy&quot;,&quot;author&quot;:[{&quot;family&quot;:&quot;Kouznetsova&quot;,&quot;given&quot;:&quot;V. G.&quot;,&quot;parse-names&quot;:false,&quot;dropping-particle&quot;:&quot;&quot;,&quot;non-dropping-particle&quot;:&quot;&quot;},{&quot;family&quot;:&quot;Geers&quot;,&quot;given&quot;:&quot;M. G.D.&quot;,&quot;parse-names&quot;:false,&quot;dropping-particle&quot;:&quot;&quot;,&quot;non-dropping-particle&quot;:&quot;&quot;},{&quot;family&quot;:&quot;Brekelmans&quot;,&quot;given&quot;:&quot;W. A.M.&quot;,&quot;parse-names&quot;:false,&quot;dropping-particle&quot;:&quot;&quot;,&quot;non-dropping-particle&quot;:&quot;&quot;}],&quot;container-title&quot;:&quot;Computer Methods in Applied Mechanics and Engineering&quot;,&quot;DOI&quot;:&quot;10.1016/j.cma.2003.12.073&quot;,&quot;ISSN&quot;:&quot;00457825&quot;,&quot;issued&quot;:{&quot;date-parts&quot;:[[2004]]},&quot;abstract&quot;:&quot;This paper presents the detailed implementation and computational aspects of a novel second-order computational homogenization procedure, which is suitable for a multi-scale modelling of macroscopic localization and size effects. The second-order scheme is an extension of the classical (first-order) computational homogenization framework and is based on a proper incorporation of the gradient of the macroscopic deformation gradient tensor into the kinematical macro-micro scale transition. From the microstructural analysis the macroscopic stress and higher-order stress tensors are obtained, thus delivering a microstructurally based constitutive response of the macroscopic second gradient continuum. The higher-order macroscopic constitutive tangents are derived through static condensation of the microscopic global tangent matrix. For the solution of the second gradient equilibrium problem on the macrolevel a mixed finite element formulation is developed. As an example, the second-order computational homogenization approach is applied for the multi-scale analysis of simple shear of a constrained heterogeneous strip, where a pronounced boundary size effect appears. © 2004 Elsevier B.V. All rights reserved.&quot;,&quot;container-title-short&quot;:&quot;Comput Methods Appl Mech Eng&quot;},&quot;isTemporary&quot;:false},{&quot;id&quot;:&quot;b4eb20d4-71bf-3e92-aef6-27f8f6a6bd6e&quot;,&quot;itemData&quot;:{&quot;type&quot;:&quot;paper-conference&quot;,&quot;id&quot;:&quot;b4eb20d4-71bf-3e92-aef6-27f8f6a6bd6e&quot;,&quot;title&quot;:&quot;Multi-scale computational homogenization: Trends and challenges&quot;,&quot;author&quot;:[{&quot;family&quot;:&quot;Geers&quot;,&quot;given&quot;:&quot;M. G.D.&quot;,&quot;parse-names&quot;:false,&quot;dropping-particle&quot;:&quot;&quot;,&quot;non-dropping-particle&quot;:&quot;&quot;},{&quot;family&quot;:&quot;Kouznetsova&quot;,&quot;given&quot;:&quot;V. G.&quot;,&quot;parse-names&quot;:false,&quot;dropping-particle&quot;:&quot;&quot;,&quot;non-dropping-particle&quot;:&quot;&quot;},{&quot;family&quot;:&quot;Brekelmans&quot;,&quot;given&quot;:&quot;W. A.M.&quot;,&quot;parse-names&quot;:false,&quot;dropping-particle&quot;:&quot;&quot;,&quot;non-dropping-particle&quot;:&quot;&quot;}],&quot;container-title&quot;:&quot;Journal of Computational and Applied Mathematics&quot;,&quot;DOI&quot;:&quot;10.1016/j.cam.2009.08.077&quot;,&quot;ISSN&quot;:&quot;03770427&quot;,&quot;issued&quot;:{&quot;date-parts&quot;:[[2010]]},&quot;abstract&quot;:&quot;In the past decades, considerable progress had been made in bridging the mechanics of materials to other disciplines, e.g. downscaling to the field of materials science or upscaling to the field of structural engineering. Within this wide context, this paper reviews the state-of-the-art of a particular, yet powerful, method, i.e. computational homogenization. The paper discusses the main trends since the early developments of this approach up to the ongoing contributions and upcoming challenges in the field. © 2009 Elsevier B.V. All rights reserved.&quot;,&quot;container-title-short&quot;:&quot;J Comput Appl Math&quot;},&quot;isTemporary&quot;:false}],&quot;citationTag&quot;:&quot;MENDELEY_CITATION_v3_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&quot;},{&quot;citationID&quot;:&quot;MENDELEY_CITATION_d671fb4f-8b08-47b4-be3c-a7b87c437c72&quot;,&quot;properties&quot;:{&quot;noteIndex&quot;:0},&quot;isEdited&quot;:false,&quot;manualOverride&quot;:{&quot;isManuallyOverridden&quot;:false,&quot;citeprocText&quot;:&quot;[31]&quot;,&quot;manualOverrideText&quot;:&quot;&quot;},&quot;citationItems&quot;:[{&quot;id&quot;:&quot;779e1d16-e7bd-39a3-8bc0-6f3b174ad5cb&quot;,&quot;itemData&quot;:{&quot;type&quot;:&quot;article-journal&quot;,&quot;id&quot;:&quot;779e1d16-e7bd-39a3-8bc0-6f3b174ad5cb&quot;,&quot;title&quot;:&quot;Thermal expansion coefficients of plain-weave fabric laminates&quot;,&quot;author&quot;:[{&quot;family&quot;:&quot;Ganesh&quot;,&quot;given&quot;:&quot;V. K.&quot;,&quot;parse-names&quot;:false,&quot;dropping-particle&quot;:&quot;&quot;,&quot;non-dropping-particle&quot;:&quot;&quot;},{&quot;family&quot;:&quot;Naik&quot;,&quot;given&quot;:&quot;N. K.&quot;,&quot;parse-names&quot;:false,&quot;dropping-particle&quot;:&quot;&quot;,&quot;non-dropping-particle&quot;:&quot;&quot;}],&quot;container-title&quot;:&quot;Composites Science and Technology&quot;,&quot;container-title-short&quot;:&quot;Compos Sci Technol&quot;,&quot;DOI&quot;:&quot;10.1016/0266-3538(94)90108-2&quot;,&quot;ISSN&quot;:&quot;02663538&quot;,&quot;issued&quot;:{&quot;date-parts&quot;:[[1994]]},&quot;abstract&quot;:&quot;An analytical method is presented for the prediction of the on-axis linear thermal expansion coefficient (TEC) of a two-dimensional, orthogonal plain-weave fabric laminate. The studies were carried out for three idealised laminate configurations. The possible shifts of layers with respect to each other along the x, y and z directions were considered for the laminates. The predicted TEC values were compared with experimental results which validate the analytical predictions. The effect of fabric geometry on the plain-weave fabric laminate TEC was investigated and, for comparison, the effect of fabric geometry on the elastic properties of plain-weave fabric laminates is also presented. It was observed that there is a significant effect of fabric geometrical parameters on the thermo-elastic behaviour of woven-fabric laminates. The woven-fabric laminate TEC values are compared with those for unidirectionally reinforced crossply laminates. © 1994.&quot;,&quot;issue&quot;:&quot;3&quot;,&quot;volume&quot;:&quot;51&quot;},&quot;isTemporary&quot;:false}],&quot;citationTag&quot;:&quot;MENDELEY_CITATION_v3_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&quot;},{&quot;citationID&quot;:&quot;MENDELEY_CITATION_bebbe55e-9135-42d7-b065-d6cf5d3c64da&quot;,&quot;properties&quot;:{&quot;noteIndex&quot;:0},&quot;isEdited&quot;:false,&quot;manualOverride&quot;:{&quot;isManuallyOverridden&quot;:false,&quot;citeprocText&quot;:&quot;[32–34]&quot;,&quot;manualOverrideText&quot;:&quot;&quot;},&quot;citationItems&quot;:[{&quot;id&quot;:&quot;d661dee9-c2c3-3e6a-a809-8087e4126fe5&quot;,&quot;itemData&quot;:{&quot;type&quot;:&quot;article-journal&quot;,&quot;id&quot;:&quot;d661dee9-c2c3-3e6a-a809-8087e4126fe5&quot;,&quot;title&quot;:&quot;Three-dimensional modeling of woven-fabric composites for effective thermo-mechanical and thermal properties&quot;,&quot;author&quot;:[{&quot;family&quot;:&quot;Dasgupta&quot;,&quot;given&quot;:&quot;A.&quot;,&quot;parse-names&quot;:false,&quot;dropping-particle&quot;:&quot;&quot;,&quot;non-dropping-particle&quot;:&quot;&quot;},{&quot;family&quot;:&quot;Agarwal&quot;,&quot;given&quot;:&quot;R. K.&quot;,&quot;parse-names&quot;:false,&quot;dropping-particle&quot;:&quot;&quot;,&quot;non-dropping-particle&quot;:&quot;&quot;},{&quot;family&quot;:&quot;Bhandarkar&quot;,&quot;given&quot;:&quot;S. M.&quot;,&quot;parse-names&quot;:false,&quot;dropping-particle&quot;:&quot;&quot;,&quot;non-dropping-particle&quot;:&quot;&quot;}],&quot;container-title&quot;:&quot;Composites Science and Technology&quot;,&quot;container-title-short&quot;:&quot;Compos Sci Technol&quot;,&quot;DOI&quot;:&quot;10.1016/0266-3538(95)00111-5&quot;,&quot;ISSN&quot;:&quot;02663538&quot;,&quot;issued&quot;:{&quot;date-parts&quot;:[[1996]]},&quot;abstract&quot;:&quot;This paper presents effective thermo-mechanical and thermal properties of plain-weave fabric-reinforced composite laminates obtained from micromechanical analyses and a two-scale asymptotic homogenization theory. A unit cell, enclosing the characteristic periodic repeat pattern in the fabric weave, is isolated and modeled. The orthotropic tensors for effective mechanical stiffness, coefficient of thermal expansion and thermal conductivity are obtained by numerically solving appropriate microscale boundary value problems (BVPs) in the unit cell by the use of three-dimensional finite element analyses. Further, analytical models consisting of series-parallel thermal resistance networks are developed in order, to obtain orthotropic thermal conductivity. The numerical and analytical models are explicitly based on the properties of the constituent materials and three-dimensional features of the weave style. Results obtained from the models are compared with experimental values and with models available in the literature. Non-linear mechanical constitutive behavior due to resin stress/strain non-linearity and to transverse yarn damage under in-plane uni-axial loads are also investigated. Parametric studies are conducted to examine the effect of varying fiber volume fractions on the effective thermal properties.&quot;,&quot;issue&quot;:&quot;3&quot;,&quot;volume&quot;:&quot;56&quot;},&quot;isTemporary&quot;:false},{&quot;id&quot;:&quot;1d660db8-619d-3ccb-9926-dba08d7b9714&quot;,&quot;itemData&quot;:{&quot;type&quot;:&quot;article-journal&quot;,&quot;id&quot;:&quot;1d660db8-619d-3ccb-9926-dba08d7b9714&quot;,&quot;title&quot;:&quot;The unit cell method in predictions of thermal expansion properties of textile reinforced composites&quot;,&quot;author&quot;:[{&quot;family&quot;:&quot;Gou&quot;,&quot;given&quot;:&quot;Jian Jun&quot;,&quot;parse-names&quot;:false,&quot;dropping-particle&quot;:&quot;&quot;,&quot;non-dropping-particle&quot;:&quot;&quot;},{&quot;family&quot;:&quot;Gong&quot;,&quot;given&quot;:&quot;Chun Lin&quot;,&quot;parse-names&quot;:false,&quot;dropping-particle&quot;:&quot;&quot;,&quot;non-dropping-particle&quot;:&quot;&quot;},{&quot;family&quot;:&quot;Gu&quot;,&quot;given&quot;:&quot;Liang Xian&quot;,&quot;parse-names&quot;:false,&quot;dropping-particle&quot;:&quot;&quot;,&quot;non-dropping-particle&quot;:&quot;&quot;},{&quot;family&quot;:&quot;Li&quot;,&quot;given&quot;:&quot;Shuguang&quot;,&quot;parse-names&quot;:false,&quot;dropping-particle&quot;:&quot;&quot;,&quot;non-dropping-particle&quot;:&quot;&quot;},{&quot;family&quot;:&quot;Tao&quot;,&quot;given&quot;:&quot;Wen Quan&quot;,&quot;parse-names&quot;:false,&quot;dropping-particle&quot;:&quot;&quot;,&quot;non-dropping-particle&quot;:&quot;&quot;}],&quot;container-title&quot;:&quot;Composite Structures&quot;,&quot;container-title-short&quot;:&quot;Compos Struct&quot;,&quot;DOI&quot;:&quot;10.1016/j.compstruct.2018.04.045&quot;,&quot;ISSN&quot;:&quot;02638223&quot;,&quot;issued&quot;:{&quot;date-parts&quot;:[[2018]]},&quot;abstract&quot;:&quot;Thermal expansion properties of textile reinforced composites with certain structure symmetries can be efficiently calculated by a size-limited unit cell. In this paper, a general approach is developed for the establishment of such a unit cell model. For the derivation of unit cell boundary conditions, three rules are summarized according to the displacement fields in translational, reflectional and 180° rotational symmetric structures under a uniform temperature change loading. The application scope of present unit cell method is clarified from the thermal and mechanical point of views. Three typical composites, i.e., unidirectional fiber reinforced composite, plain woven composite and multi-harness (4HS, 5HS, 6HS, 7HS and 8HS) satin woven composites are then studied, and four, three and two size-reducing unit cells are formulated, respectively. The thermal expansion behaviors of each composite are analyzed, and the effective thermal expansion coefficients are predicted. The influence of structure symmetries on the deformation pattern of unit cell models is clarified. The numerical models are validated by the identical results obtained from unit cells of different sizes and also by the results available in literatures. The approach developed in this paper can be applied to thermal expansion studies of any other composites with relevant structure symmetries.&quot;,&quot;volume&quot;:&quot;195&quot;},&quot;isTemporary&quot;:false},{&quot;id&quot;:&quot;b04b26a5-467e-3f72-b5f8-2ff73eb4bd49&quot;,&quot;itemData&quot;:{&quot;type&quot;:&quot;article-journal&quot;,&quot;id&quot;:&quot;b04b26a5-467e-3f72-b5f8-2ff73eb4bd49&quot;,&quot;title&quot;:&quot;A multiscale modeling for predicting the thermal expansion behaviors of 3D C/SiC composites considering porosity and fiber volume fraction&quot;,&quot;author&quot;:[{&quot;family&quot;:&quot;Sun&quot;,&quot;given&quot;:&quot;Zheng&quot;,&quot;parse-names&quot;:false,&quot;dropping-particle&quot;:&quot;&quot;,&quot;non-dropping-particle&quot;:&quot;&quot;},{&quot;family&quot;:&quot;Shan&quot;,&quot;given&quot;:&quot;Zhongde&quot;,&quot;parse-names&quot;:false,&quot;dropping-particle&quot;:&quot;&quot;,&quot;non-dropping-particle&quot;:&quot;&quot;},{&quot;family&quot;:&quot;Shao&quot;,&quot;given&quot;:&quot;Tianmin&quot;,&quot;parse-names&quot;:false,&quot;dropping-particle&quot;:&quot;&quot;,&quot;non-dropping-particle&quot;:&quot;&quot;},{&quot;family&quot;:&quot;Li&quot;,&quot;given&quot;:&quot;Jiahua&quot;,&quot;parse-names&quot;:false,&quot;dropping-particle&quot;:&quot;&quot;,&quot;non-dropping-particle&quot;:&quot;&quot;},{&quot;family&quot;:&quot;Wu&quot;,&quot;given&quot;:&quot;Xiaochuan&quot;,&quot;parse-names&quot;:false,&quot;dropping-particle&quot;:&quot;&quot;,&quot;non-dropping-particle&quot;:&quot;&quot;}],&quot;container-title&quot;:&quot;Ceramics International&quot;,&quot;container-title-short&quot;:&quot;Ceram Int&quot;,&quot;DOI&quot;:&quot;10.1016/j.ceramint.2020.11.142&quot;,&quot;ISSN&quot;:&quot;02728842&quot;,&quot;issued&quot;:{&quot;date-parts&quot;:[[2021]]},&quot;abstract&quot;:&quot;Coefficients of thermal expansion (CTEs) are an essential design criterion of the three-dimensional carbon fiber reinforced SiC matrix composites (3D C/SiC). Representative volume element (RVE) models of microscale, void/matrix, and mesoscale developed in this work were used to investigate the CTEs of these composites. A coupled temp-displacement steady-state analysis step was created for assessing the thermal expansions behaviors of the composites by applying periodic displacement and temperature boundary conditions. Three RVE models of cuboid, hexagonal and fiber random distribution were respectively established to comparatively study the influence of fiber package pattern on the CTEs at microscale. Similarly, the effects of different void size, locations, and shapes on the CTEs of the matrix are comparatively analyzed by the void/matrix models. The prediction results at mesoscale corresponded closely to the experimental results. The effect of the porosities on the CTEs was studied by the void/matrix RVE models. The voids were effective in lowering the CTE of the 3D C/SiC composites. Furthermore, the effect of fiber volume fractions on the CTE were also taken into consideration. Equal in-plane and out-of-plane CTEs were realized by selecting appropriate fiber volume fractions for the different directions. The multiscale models developed in this work can be used to predict the thermal expansion behaviors of other complex structure composites.&quot;,&quot;issue&quot;:&quot;6&quot;,&quot;volume&quot;:&quot;47&quot;},&quot;isTemporary&quot;:false}],&quot;citationTag&quot;:&quot;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&quot;},{&quot;citationID&quot;:&quot;MENDELEY_CITATION_6e74176c-ae40-40e4-83ea-a11355ca2408&quot;,&quot;properties&quot;:{&quot;noteIndex&quot;:0},&quot;isEdited&quot;:false,&quot;manualOverride&quot;:{&quot;isManuallyOverridden&quot;:false,&quot;citeprocText&quot;:&quot;[35]&quot;,&quot;manualOverrideText&quot;:&quot;&quot;},&quot;citationItems&quot;:[{&quot;id&quot;:&quot;5afffef8-5648-3e9b-8a33-a869e51169d8&quot;,&quot;itemData&quot;:{&quot;type&quot;:&quot;article-journal&quot;,&quot;id&quot;:&quot;5afffef8-5648-3e9b-8a33-a869e51169d8&quot;,&quot;title&quot;:&quot;Identification of the temperature dependence of the thermal expansion coefficient of polymers&quot;,&quot;author&quot;:[{&quot;family&quot;:&quot;Shardakov&quot;,&quot;given&quot;:&quot;Igor N.&quot;,&quot;parse-names&quot;:false,&quot;dropping-particle&quot;:&quot;&quot;,&quot;non-dropping-particle&quot;:&quot;&quot;},{&quot;family&quot;:&quot;Trufanov&quot;,&quot;given&quot;:&quot;Aleksandr N.&quot;,&quot;parse-names&quot;:false,&quot;dropping-particle&quot;:&quot;&quot;,&quot;non-dropping-particle&quot;:&quot;&quot;}],&quot;container-title&quot;:&quot;Polymers&quot;,&quot;container-title-short&quot;:&quot;Polymers (Basel)&quot;,&quot;DOI&quot;:&quot;10.3390/polym13183035&quot;,&quot;ISSN&quot;:&quot;20734360&quot;,&quot;issued&quot;:{&quot;date-parts&quot;:[[2021]]},&quot;abstract&quot;:&quot;In this paper, we proposed an approach to study the strain response of polymer film samples under various temperature effects and note their corresponding effects. The advantages of the developed approach are determined by the fact that thin films of material are used as samples where it is possible to generate a sufficiently uniform temperature field in a wide range of temperature change rates. A dynamic mechanical analyzer was used for the experimental implementation of the above approach for two UV-curable polymers and one type of epoxy resin. Experimental results have shown that the thermal expansion coefficients for these polymers depend significantly not only on the temperature but also on its change rate. The strain response of the polymer to heating and cooling, with the same absolute values of the rate of temperature change, differs significantly, and this dissimilarity becomes stronger with its increasing. The results of thermomechanical experiments for massive samples on traditional dilatometer are shown to compare with the results for film samples. The discovered dependences of the temperature expansion coefficient on the temperature and its change rate can be used for mathematical modeling of thermomechanical processes arising during the operation of products made of polymers.&quot;,&quot;issue&quot;:&quot;18&quot;,&quot;volume&quot;:&quot;13&quot;},&quot;isTemporary&quot;:false}],&quot;citationTag&quot;:&quot;MENDELEY_CITATION_v3_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&quot;},{&quot;citationID&quot;:&quot;MENDELEY_CITATION_334ec54a-728d-4e3d-a712-385498dcfd7f&quot;,&quot;properties&quot;:{&quot;noteIndex&quot;:0},&quot;isEdited&quot;:false,&quot;manualOverride&quot;:{&quot;isManuallyOverridden&quot;:false,&quot;citeprocText&quot;:&quot;[29,30]&quot;,&quot;manualOverrideText&quot;:&quot;&quot;},&quot;citationItems&quot;:[{&quot;id&quot;:&quot;463513ed-3bb8-363f-80d8-357cd687b3d5&quot;,&quot;itemData&quot;:{&quot;type&quot;:&quot;article-journal&quot;,&quot;id&quot;:&quot;463513ed-3bb8-363f-80d8-357cd687b3d5&quot;,&quot;title&quot;:&quot;Multi-scale second-order computational homogenization of multi-phase materials: A nested finite element solution strategy&quot;,&quot;author&quot;:[{&quot;family&quot;:&quot;Kouznetsova&quot;,&quot;given&quot;:&quot;V. G.&quot;,&quot;parse-names&quot;:false,&quot;dropping-particle&quot;:&quot;&quot;,&quot;non-dropping-particle&quot;:&quot;&quot;},{&quot;family&quot;:&quot;Geers&quot;,&quot;given&quot;:&quot;M. G.D.&quot;,&quot;parse-names&quot;:false,&quot;dropping-particle&quot;:&quot;&quot;,&quot;non-dropping-particle&quot;:&quot;&quot;},{&quot;family&quot;:&quot;Brekelmans&quot;,&quot;given&quot;:&quot;W. A.M.&quot;,&quot;parse-names&quot;:false,&quot;dropping-particle&quot;:&quot;&quot;,&quot;non-dropping-particle&quot;:&quot;&quot;}],&quot;container-title&quot;:&quot;Computer Methods in Applied Mechanics and Engineering&quot;,&quot;DOI&quot;:&quot;10.1016/j.cma.2003.12.073&quot;,&quot;ISSN&quot;:&quot;00457825&quot;,&quot;issued&quot;:{&quot;date-parts&quot;:[[2004]]},&quot;abstract&quot;:&quot;This paper presents the detailed implementation and computational aspects of a novel second-order computational homogenization procedure, which is suitable for a multi-scale modelling of macroscopic localization and size effects. The second-order scheme is an extension of the classical (first-order) computational homogenization framework and is based on a proper incorporation of the gradient of the macroscopic deformation gradient tensor into the kinematical macro-micro scale transition. From the microstructural analysis the macroscopic stress and higher-order stress tensors are obtained, thus delivering a microstructurally based constitutive response of the macroscopic second gradient continuum. The higher-order macroscopic constitutive tangents are derived through static condensation of the microscopic global tangent matrix. For the solution of the second gradient equilibrium problem on the macrolevel a mixed finite element formulation is developed. As an example, the second-order computational homogenization approach is applied for the multi-scale analysis of simple shear of a constrained heterogeneous strip, where a pronounced boundary size effect appears. © 2004 Elsevier B.V. All rights reserved.&quot;,&quot;container-title-short&quot;:&quot;Comput Methods Appl Mech Eng&quot;},&quot;isTemporary&quot;:false},{&quot;id&quot;:&quot;b4eb20d4-71bf-3e92-aef6-27f8f6a6bd6e&quot;,&quot;itemData&quot;:{&quot;type&quot;:&quot;paper-conference&quot;,&quot;id&quot;:&quot;b4eb20d4-71bf-3e92-aef6-27f8f6a6bd6e&quot;,&quot;title&quot;:&quot;Multi-scale computational homogenization: Trends and challenges&quot;,&quot;author&quot;:[{&quot;family&quot;:&quot;Geers&quot;,&quot;given&quot;:&quot;M. G.D.&quot;,&quot;parse-names&quot;:false,&quot;dropping-particle&quot;:&quot;&quot;,&quot;non-dropping-particle&quot;:&quot;&quot;},{&quot;family&quot;:&quot;Kouznetsova&quot;,&quot;given&quot;:&quot;V. G.&quot;,&quot;parse-names&quot;:false,&quot;dropping-particle&quot;:&quot;&quot;,&quot;non-dropping-particle&quot;:&quot;&quot;},{&quot;family&quot;:&quot;Brekelmans&quot;,&quot;given&quot;:&quot;W. A.M.&quot;,&quot;parse-names&quot;:false,&quot;dropping-particle&quot;:&quot;&quot;,&quot;non-dropping-particle&quot;:&quot;&quot;}],&quot;container-title&quot;:&quot;Journal of Computational and Applied Mathematics&quot;,&quot;DOI&quot;:&quot;10.1016/j.cam.2009.08.077&quot;,&quot;ISSN&quot;:&quot;03770427&quot;,&quot;issued&quot;:{&quot;date-parts&quot;:[[2010]]},&quot;abstract&quot;:&quot;In the past decades, considerable progress had been made in bridging the mechanics of materials to other disciplines, e.g. downscaling to the field of materials science or upscaling to the field of structural engineering. Within this wide context, this paper reviews the state-of-the-art of a particular, yet powerful, method, i.e. computational homogenization. The paper discusses the main trends since the early developments of this approach up to the ongoing contributions and upcoming challenges in the field. © 2009 Elsevier B.V. All rights reserved.&quot;,&quot;container-title-short&quot;:&quot;J Comput Appl Math&quot;},&quot;isTemporary&quot;:false}],&quot;citationTag&quot;:&quot;MENDELEY_CITATION_v3_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&quot;},{&quot;citationID&quot;:&quot;MENDELEY_CITATION_9e6e926f-263c-4558-a99a-d8b7c6860884&quot;,&quot;properties&quot;:{&quot;noteIndex&quot;:0},&quot;isEdited&quot;:false,&quot;manualOverride&quot;:{&quot;isManuallyOverridden&quot;:false,&quot;citeprocText&quot;:&quot;[36–38]&quot;,&quot;manualOverrideText&quot;:&quot;&quot;},&quot;citationItems&quot;:[{&quot;id&quot;:&quot;23734fea-6c92-3f77-8281-7512ea53d540&quot;,&quot;itemData&quot;:{&quot;type&quot;:&quot;article-journal&quot;,&quot;id&quot;:&quot;23734fea-6c92-3f77-8281-7512ea53d540&quot;,&quot;title&quot;:&quot;Effect of Long-Term Thermal Relaxation of Epoxy Binder on Thermoelasticity of Fiberglass Plastics: Multiscale Modeling and Experiments&quot;,&quot;author&quot;:[{&quot;family&quot;:&quot;Mishnev&quot;,&quot;given&quot;:&quot;Maxim&quot;,&quot;parse-names&quot;:false,&quot;dropping-particle&quot;:&quot;&quot;,&quot;non-dropping-particle&quot;:&quot;&quot;},{&quot;family&quot;:&quot;Korolev&quot;,&quot;given&quot;:&quot;Alexander&quot;,&quot;parse-names&quot;:false,&quot;dropping-particle&quot;:&quot;&quot;,&quot;non-dropping-particle&quot;:&quot;&quot;},{&quot;family&quot;:&quot;Ekaterina&quot;,&quot;given&quot;:&quot;Bartashevich&quot;,&quot;parse-names&quot;:false,&quot;dropping-particle&quot;:&quot;&quot;,&quot;non-dropping-particle&quot;:&quot;&quot;},{&quot;family&quot;:&quot;Dmitrii&quot;,&quot;given&quot;:&quot;Ulrikh&quot;,&quot;parse-names&quot;:false,&quot;dropping-particle&quot;:&quot;&quot;,&quot;non-dropping-particle&quot;:&quot;&quot;}],&quot;container-title&quot;:&quot;Polymers&quot;,&quot;container-title-short&quot;:&quot;Polymers (Basel)&quot;,&quot;accessed&quot;:{&quot;date-parts&quot;:[[2022,5,16]]},&quot;DOI&quot;:&quot;10.3390/polym14091712&quot;,&quot;ISSN&quot;:&quot;2073-4360&quot;,&quot;URL&quot;:&quot;https://www.mdpi.com/2073-4360/14/9/1712&quot;,&quot;issued&quot;:{&quot;date-parts&quot;:[[2022,4,22]]},&quot;page&quot;:&quot;1712&quot;,&quot;abstract&quot;:&quot;&lt;p&gt;The work is devoted to the prediction and experimental research of the elastic bending modulus of glass-reinforced plastics with an epoxy matrix on anhydride hardener reinforced with different glass fabrics. Experimental studies have been carried out to assess the effect of thermal relaxation of the polymer matrix structure due to long-term exposure to elevated temperatures (above the glass transition temperature of the polymer matrix) on the GRP elastic bending modulus at temperatures ranging from 25 to 180 °C. It has been shown that due to the thermal relaxation of the polymer matrix structure, the GRP modulus increases significantly at temperatures above 110 °C and decreases slightly at lower temperatures. Using a multiscale simulation based on a combination of the finite-element homogenization method in the Material Designer module of the ANSYS software package and three-point bending simulation in the ANSYS APDL module, the elastic modulus of FRP was predicted concerning the temperature, its averaged structural properties, and thermal relaxation of the polymer matrix structure. We have also carried out the prediction of the temperature dependences of the modulus of elasticity of glass-reinforced plastics on different types of glass fabrics in the range from 25 to 200 °C by using the entropic approach and the layered model.&lt;/p&gt;&quot;,&quot;issue&quot;:&quot;9&quot;,&quot;volume&quot;:&quot;14&quot;},&quot;isTemporary&quot;:false},{&quot;id&quot;:&quot;fac8c7b2-51aa-3756-81a7-66216e8796d0&quot;,&quot;itemData&quot;:{&quot;type&quot;:&quot;webpage&quot;,&quot;id&quot;:&quot;fac8c7b2-51aa-3756-81a7-66216e8796d0&quot;,&quot;title&quot;:&quot;Ansys. Material Designer Users Guide. Theory documentation&quot;,&quot;accessed&quot;:{&quot;date-parts&quot;:[[2022,4,17]]},&quot;URL&quot;:&quot;https://ansyshelp.ansys.com/account/secured?returnurl=/Views/Secured/corp/v212/en/acp_md/acp_md_theory.html&quot;,&quot;container-title-short&quot;:&quot;&quot;},&quot;isTemporary&quot;:false},{&quot;id&quot;:&quot;3598a55b-b214-3be2-892b-fd225ca29d93&quot;,&quot;itemData&quot;:{&quot;type&quot;:&quot;article-journal&quot;,&quot;id&quot;:&quot;3598a55b-b214-3be2-892b-fd225ca29d93&quot;,&quot;title&quot;:&quot;Prediction of elastic characteristics of fiber-reinforced plastic in bending: multi-scale finite element modeling and experiment&quot;,&quot;author&quot;:[{&quot;family&quot;:&quot;Mishnev&quot;,&quot;given&quot;:&quot;M.&quot;,&quot;parse-names&quot;:false,&quot;dropping-particle&quot;:&quot;v.&quot;,&quot;non-dropping-particle&quot;:&quot;&quot;},{&quot;family&quot;:&quot;Zadorin&quot;,&quot;given&quot;:&quot;A. A.&quot;,&quot;parse-names&quot;:false,&quot;dropping-particle&quot;:&quot;&quot;,&quot;non-dropping-particle&quot;:&quot;&quot;},{&quot;family&quot;:&quot;Khoroshilov&quot;,&quot;given&quot;:&quot;N. A.&quot;,&quot;parse-names&quot;:false,&quot;dropping-particle&quot;:&quot;&quot;,&quot;non-dropping-particle&quot;:&quot;&quot;}],&quot;container-title&quot;:&quot;Construction of Unique Buildings and Structures&quot;,&quot;accessed&quot;:{&quot;date-parts&quot;:[[2022,5,16]]},&quot;URL&quot;:&quot;https://unistroy.spbstu.ru/article/2022.99.1/&quot;,&quot;issued&quot;:{&quot;date-parts&quot;:[[2021]]},&quot;container-title-short&quot;:&quot;&quot;},&quot;isTemporary&quot;:false}],&quot;citationTag&quot;:&quot;MENDELEY_CITATION_v3_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&quot;},{&quot;citationID&quot;:&quot;MENDELEY_CITATION_12631f18-e518-4c5c-b16c-a5e4a1cdd3c3&quot;,&quot;properties&quot;:{&quot;noteIndex&quot;:0},&quot;isEdited&quot;:false,&quot;manualOverride&quot;:{&quot;isManuallyOverridden&quot;:false,&quot;citeprocText&quot;:&quot;[36,38]&quot;,&quot;manualOverrideText&quot;:&quot;&quot;},&quot;citationItems&quot;:[{&quot;id&quot;:&quot;23734fea-6c92-3f77-8281-7512ea53d540&quot;,&quot;itemData&quot;:{&quot;type&quot;:&quot;article-journal&quot;,&quot;id&quot;:&quot;23734fea-6c92-3f77-8281-7512ea53d540&quot;,&quot;title&quot;:&quot;Effect of Long-Term Thermal Relaxation of Epoxy Binder on Thermoelasticity of Fiberglass Plastics: Multiscale Modeling and Experiments&quot;,&quot;author&quot;:[{&quot;family&quot;:&quot;Mishnev&quot;,&quot;given&quot;:&quot;Maxim&quot;,&quot;parse-names&quot;:false,&quot;dropping-particle&quot;:&quot;&quot;,&quot;non-dropping-particle&quot;:&quot;&quot;},{&quot;family&quot;:&quot;Korolev&quot;,&quot;given&quot;:&quot;Alexander&quot;,&quot;parse-names&quot;:false,&quot;dropping-particle&quot;:&quot;&quot;,&quot;non-dropping-particle&quot;:&quot;&quot;},{&quot;family&quot;:&quot;Ekaterina&quot;,&quot;given&quot;:&quot;Bartashevich&quot;,&quot;parse-names&quot;:false,&quot;dropping-particle&quot;:&quot;&quot;,&quot;non-dropping-particle&quot;:&quot;&quot;},{&quot;family&quot;:&quot;Dmitrii&quot;,&quot;given&quot;:&quot;Ulrikh&quot;,&quot;parse-names&quot;:false,&quot;dropping-particle&quot;:&quot;&quot;,&quot;non-dropping-particle&quot;:&quot;&quot;}],&quot;container-title&quot;:&quot;Polymers&quot;,&quot;container-title-short&quot;:&quot;Polymers (Basel)&quot;,&quot;accessed&quot;:{&quot;date-parts&quot;:[[2022,5,16]]},&quot;DOI&quot;:&quot;10.3390/polym14091712&quot;,&quot;ISSN&quot;:&quot;2073-4360&quot;,&quot;URL&quot;:&quot;https://www.mdpi.com/2073-4360/14/9/1712&quot;,&quot;issued&quot;:{&quot;date-parts&quot;:[[2022,4,22]]},&quot;page&quot;:&quot;1712&quot;,&quot;abstract&quot;:&quot;&lt;p&gt;The work is devoted to the prediction and experimental research of the elastic bending modulus of glass-reinforced plastics with an epoxy matrix on anhydride hardener reinforced with different glass fabrics. Experimental studies have been carried out to assess the effect of thermal relaxation of the polymer matrix structure due to long-term exposure to elevated temperatures (above the glass transition temperature of the polymer matrix) on the GRP elastic bending modulus at temperatures ranging from 25 to 180 °C. It has been shown that due to the thermal relaxation of the polymer matrix structure, the GRP modulus increases significantly at temperatures above 110 °C and decreases slightly at lower temperatures. Using a multiscale simulation based on a combination of the finite-element homogenization method in the Material Designer module of the ANSYS software package and three-point bending simulation in the ANSYS APDL module, the elastic modulus of FRP was predicted concerning the temperature, its averaged structural properties, and thermal relaxation of the polymer matrix structure. We have also carried out the prediction of the temperature dependences of the modulus of elasticity of glass-reinforced plastics on different types of glass fabrics in the range from 25 to 200 °C by using the entropic approach and the layered model.&lt;/p&gt;&quot;,&quot;issue&quot;:&quot;9&quot;,&quot;volume&quot;:&quot;14&quot;},&quot;isTemporary&quot;:false},{&quot;id&quot;:&quot;3598a55b-b214-3be2-892b-fd225ca29d93&quot;,&quot;itemData&quot;:{&quot;type&quot;:&quot;article-journal&quot;,&quot;id&quot;:&quot;3598a55b-b214-3be2-892b-fd225ca29d93&quot;,&quot;title&quot;:&quot;Prediction of elastic characteristics of fiber-reinforced plastic in bending: multi-scale finite element modeling and experiment&quot;,&quot;author&quot;:[{&quot;family&quot;:&quot;Mishnev&quot;,&quot;given&quot;:&quot;M.&quot;,&quot;parse-names&quot;:false,&quot;dropping-particle&quot;:&quot;v.&quot;,&quot;non-dropping-particle&quot;:&quot;&quot;},{&quot;family&quot;:&quot;Zadorin&quot;,&quot;given&quot;:&quot;A. A.&quot;,&quot;parse-names&quot;:false,&quot;dropping-particle&quot;:&quot;&quot;,&quot;non-dropping-particle&quot;:&quot;&quot;},{&quot;family&quot;:&quot;Khoroshilov&quot;,&quot;given&quot;:&quot;N. A.&quot;,&quot;parse-names&quot;:false,&quot;dropping-particle&quot;:&quot;&quot;,&quot;non-dropping-particle&quot;:&quot;&quot;}],&quot;container-title&quot;:&quot;Construction of Unique Buildings and Structures&quot;,&quot;accessed&quot;:{&quot;date-parts&quot;:[[2022,5,16]]},&quot;URL&quot;:&quot;https://unistroy.spbstu.ru/article/2022.99.1/&quot;,&quot;issued&quot;:{&quot;date-parts&quot;:[[2021]]},&quot;container-title-short&quot;:&quot;&quot;},&quot;isTemporary&quot;:false}],&quot;citationTag&quot;:&quot;MENDELEY_CITATION_v3_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&quot;},{&quot;citationID&quot;:&quot;MENDELEY_CITATION_69ad862b-792b-433e-9cb1-2194f86487b1&quot;,&quot;properties&quot;:{&quot;noteIndex&quot;:0},&quot;isEdited&quot;:false,&quot;manualOverride&quot;:{&quot;isManuallyOverridden&quot;:false,&quot;citeprocText&quot;:&quot;[8]&quot;,&quot;manualOverrideText&quot;:&quot;&quot;},&quot;citationItems&quot;:[{&quot;id&quot;:&quot;a5afe67b-c3e3-3bf6-8771-e2b86e94dd20&quot;,&quot;itemData&quot;:{&quot;type&quot;:&quot;article-journal&quot;,&quot;id&quot;:&quot;a5afe67b-c3e3-3bf6-8771-e2b86e94dd20&quot;,&quot;title&quot;:&quot;Prolonged Thermal Relaxation of the Thermosetting Polymers&quot;,&quot;author&quot;:[{&quot;family&quot;:&quot;Korolev&quot;,&quot;given&quot;:&quot;Alexander&quot;,&quot;parse-names&quot;:false,&quot;dropping-particle&quot;:&quot;&quot;,&quot;non-dropping-particle&quot;:&quot;&quot;},{&quot;family&quot;:&quot;Mishnev&quot;,&quot;given&quot;:&quot;Maxim&quot;,&quot;parse-names&quot;:false,&quot;dropping-particle&quot;:&quot;&quot;,&quot;non-dropping-particle&quot;:&quot;&quot;},{&quot;family&quot;:&quot;Vatin&quot;,&quot;given&quot;:&quot;Nikolai Ivanovich&quot;,&quot;parse-names&quot;:false,&quot;dropping-particle&quot;:&quot;&quot;,&quot;non-dropping-particle&quot;:&quot;&quot;},{&quot;family&quot;:&quot;Ignatova&quot;,&quot;given&quot;:&quot;Anastasia&quot;,&quot;parse-names&quot;:false,&quot;dropping-particle&quot;:&quot;&quot;,&quot;non-dropping-particle&quot;:&quot;&quot;}],&quot;container-title&quot;:&quot;Polymers&quot;,&quot;container-title-short&quot;:&quot;Polymers (Basel)&quot;,&quot;accessed&quot;:{&quot;date-parts&quot;:[[2022,5,16]]},&quot;DOI&quot;:&quot;10.3390/polym13234104&quot;,&quot;ISSN&quot;:&quot;2073-4360&quot;,&quot;URL&quot;:&quot;https://www.mdpi.com/2073-4360/13/23/4104&quot;,&quot;issued&quot;:{&quot;date-parts&quot;:[[2021,11,25]]},&quot;page&quot;:&quot;4104&quot;,&quot;abstract&quot;:&quot;&lt;p&gt;The rigidity of structures made of polymer composite materials, operated at elevated temperatures, is mainly determined by the residual rigidity of the polymer binder (which is very sensitive to elevated temperatures); therefore, the study of ways to increase the rigidity of polymer materials under heating (including prolonged heating) is relevant. In the previous research, cured thermosetting polymer structure’s non-stability, especially under heating, is determined by its supra-molecular structure domain’s conglomerate character and the high entropy of such structures. The polymer elasticity modeling proved the significance of the entropy factor and layer (EPL) model application. The prolonged heating makes it possible to release adsorptive inter-layer bonds and volatile groups. As a result, the polymer structure is changing, and inner stress relaxation occurs due to this thermo-process, called thermo-relaxation. The present study suggests researching thermo-relaxation’s influence on polymers’ deformability under load and heating. The research results prove the significant polymer structure modification due to thermo-relaxation, with the polymer entropy parameter decreasing, the glassing onset temperature point (Tg) increasing by 1.3–1.7 times, and the modulus of elasticity under heating increasing by 1.5–2 times.&lt;/p&gt;&quot;,&quot;issue&quot;:&quot;23&quot;,&quot;volume&quot;:&quot;13&quot;},&quot;isTemporary&quot;:false}],&quot;citationTag&quot;:&quot;MENDELEY_CITATION_v3_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&quot;},{&quot;citationID&quot;:&quot;MENDELEY_CITATION_35ce15c4-6b2d-4205-8395-ce4513f16bf4&quot;,&quot;properties&quot;:{&quot;noteIndex&quot;:0},&quot;isEdited&quot;:false,&quot;manualOverride&quot;:{&quot;isManuallyOverridden&quot;:false,&quot;citeprocText&quot;:&quot;[28]&quot;,&quot;manualOverrideText&quot;:&quot;&quot;},&quot;citationTag&quot;:&quot;MENDELEY_CITATION_v3_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&quot;,&quot;citationItems&quot;:[{&quot;id&quot;:&quot;448d4a4e-2bf3-33df-ab7b-e02838fa2ff9&quot;,&quot;itemData&quot;:{&quot;type&quot;:&quot;article-journal&quot;,&quot;id&quot;:&quot;448d4a4e-2bf3-33df-ab7b-e02838fa2ff9&quot;,&quot;title&quot;:&quot;An Approximate Relation Between Elastic Moduli and Thermal Expansivities&quot;,&quot;author&quot;:[{&quot;family&quot;:&quot;R. E. Barker Jr.&quot;,&quot;given&quot;:&quot;&quot;,&quot;parse-names&quot;:false,&quot;dropping-particle&quot;:&quot;&quot;,&quot;non-dropping-particle&quot;:&quot;&quot;}],&quot;container-title&quot;:&quot;Journal of Applied Physics&quot;,&quot;container-title-short&quot;:&quot;J Appl Phys&quot;,&quot;issued&quot;:{&quot;date-parts&quot;:[[1963]]},&quot;issue&quot;:&quot;107&quot;,&quot;volume&quot;:&quot;34&quot;},&quot;isTemporary&quot;:false}]}]"/>
    <we:property name="MENDELEY_CITATIONS_LOCALE_CODE" value="&quot;en-US&quot;"/>
    <we:property name="MENDELEY_CITATIONS_STYLE" value="{&quot;id&quot;:&quot;https://www.zotero.org/styles/gost-r-7-0-5-2008-numeric&quot;,&quot;title&quot;:&quot;Russian GOST R 7.0.5-2008 (numeric)&quot;,&quot;format&quot;:&quot;numeric&quot;,&quot;defaultLocale&quot;:&quot;en-US&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84F0FE-7D04-455B-BBF5-A672ED926E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C:\Users\mmvch\OneDrive\Work\2022\ГЗ\Публикации\КЛТР\polymers-template (1).dot</Template>
  <TotalTime>50</TotalTime>
  <Pages>16</Pages>
  <Words>4844</Words>
  <Characters>27613</Characters>
  <Application>Microsoft Office Word</Application>
  <DocSecurity>0</DocSecurity>
  <Lines>230</Lines>
  <Paragraphs>64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32393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creator>Максим Мишнев</dc:creator>
  <cp:lastModifiedBy>Microsoft Office User</cp:lastModifiedBy>
  <cp:revision>9</cp:revision>
  <cp:lastPrinted>2022-12-20T11:56:00Z</cp:lastPrinted>
  <dcterms:created xsi:type="dcterms:W3CDTF">2022-12-29T10:31:00Z</dcterms:created>
  <dcterms:modified xsi:type="dcterms:W3CDTF">2022-12-29T12:16:00Z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99330f1c412403fb1c131ca73d0289745d41f4c05f2244d5d127d3e41bb5aca7</vt:lpwstr>
  </property>
</Properties>
</file>