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5F052" w14:textId="77777777" w:rsidR="00DD59CE" w:rsidRPr="001408E8" w:rsidRDefault="00DD59CE" w:rsidP="00DD59CE">
      <w:pPr>
        <w:spacing w:after="240" w:line="240" w:lineRule="auto"/>
        <w:jc w:val="center"/>
        <w:rPr>
          <w:sz w:val="28"/>
          <w:szCs w:val="28"/>
        </w:rPr>
      </w:pPr>
      <w:r w:rsidRPr="001408E8">
        <w:rPr>
          <w:sz w:val="28"/>
          <w:szCs w:val="28"/>
        </w:rPr>
        <w:t>Integrated assessment modelling of future air quality in the UK to 2050, and synergies with net zero strategies.</w:t>
      </w:r>
    </w:p>
    <w:p w14:paraId="6B012E76" w14:textId="77777777" w:rsidR="00DD59CE" w:rsidRPr="001408E8" w:rsidRDefault="00DD59CE" w:rsidP="00DD59CE">
      <w:pPr>
        <w:spacing w:after="240" w:line="240" w:lineRule="auto"/>
        <w:jc w:val="center"/>
        <w:rPr>
          <w:vertAlign w:val="superscript"/>
        </w:rPr>
      </w:pPr>
      <w:r w:rsidRPr="001408E8">
        <w:t>Helen ApSimon</w:t>
      </w:r>
      <w:r w:rsidRPr="001408E8">
        <w:rPr>
          <w:vertAlign w:val="superscript"/>
        </w:rPr>
        <w:t>1</w:t>
      </w:r>
      <w:r w:rsidRPr="001408E8">
        <w:t>, Tim Oxley</w:t>
      </w:r>
      <w:r w:rsidRPr="001408E8">
        <w:rPr>
          <w:vertAlign w:val="superscript"/>
        </w:rPr>
        <w:t>1*</w:t>
      </w:r>
      <w:r w:rsidRPr="001408E8">
        <w:t>, Huw Woodward</w:t>
      </w:r>
      <w:r w:rsidRPr="001408E8">
        <w:rPr>
          <w:vertAlign w:val="superscript"/>
        </w:rPr>
        <w:t>1</w:t>
      </w:r>
      <w:r w:rsidRPr="001408E8">
        <w:t>, Daniel Mehlig</w:t>
      </w:r>
      <w:r w:rsidRPr="001408E8">
        <w:rPr>
          <w:vertAlign w:val="superscript"/>
        </w:rPr>
        <w:t>1</w:t>
      </w:r>
      <w:r w:rsidRPr="001408E8">
        <w:t>, Mike Holland</w:t>
      </w:r>
      <w:r w:rsidRPr="001408E8">
        <w:rPr>
          <w:vertAlign w:val="superscript"/>
        </w:rPr>
        <w:t>2</w:t>
      </w:r>
      <w:r w:rsidRPr="001408E8">
        <w:t>, Sarah Reeves</w:t>
      </w:r>
      <w:r w:rsidRPr="001408E8">
        <w:rPr>
          <w:vertAlign w:val="superscript"/>
        </w:rPr>
        <w:t>3</w:t>
      </w:r>
    </w:p>
    <w:p w14:paraId="2760594F" w14:textId="77777777" w:rsidR="00DD59CE" w:rsidRPr="006322B7" w:rsidRDefault="00DD59CE" w:rsidP="00DD59CE">
      <w:pPr>
        <w:spacing w:after="120" w:line="240" w:lineRule="auto"/>
        <w:contextualSpacing/>
        <w:rPr>
          <w:sz w:val="20"/>
          <w:szCs w:val="20"/>
        </w:rPr>
      </w:pPr>
      <w:r w:rsidRPr="006322B7">
        <w:rPr>
          <w:sz w:val="20"/>
          <w:szCs w:val="20"/>
          <w:vertAlign w:val="superscript"/>
        </w:rPr>
        <w:t>1</w:t>
      </w:r>
      <w:r w:rsidRPr="006322B7">
        <w:rPr>
          <w:sz w:val="20"/>
          <w:szCs w:val="20"/>
        </w:rPr>
        <w:t xml:space="preserve"> Centre for Environmental Policy, Imperial College London, SW7 2AZ, United Kingdom</w:t>
      </w:r>
    </w:p>
    <w:p w14:paraId="364EE9AA" w14:textId="77777777" w:rsidR="00DD59CE" w:rsidRPr="001408E8" w:rsidRDefault="00DD59CE" w:rsidP="00DD59CE">
      <w:pPr>
        <w:spacing w:after="120" w:line="240" w:lineRule="auto"/>
        <w:contextualSpacing/>
        <w:rPr>
          <w:sz w:val="20"/>
          <w:szCs w:val="20"/>
        </w:rPr>
      </w:pPr>
      <w:r w:rsidRPr="001408E8">
        <w:rPr>
          <w:sz w:val="20"/>
          <w:szCs w:val="20"/>
          <w:vertAlign w:val="superscript"/>
        </w:rPr>
        <w:t xml:space="preserve">2 </w:t>
      </w:r>
      <w:r w:rsidRPr="001408E8">
        <w:rPr>
          <w:bCs/>
          <w:sz w:val="20"/>
          <w:szCs w:val="20"/>
        </w:rPr>
        <w:t>EMRC, 2 New Building, Whitchurch Hill, Reading RG8 7PW</w:t>
      </w:r>
      <w:r w:rsidRPr="001408E8">
        <w:rPr>
          <w:sz w:val="20"/>
          <w:szCs w:val="20"/>
        </w:rPr>
        <w:t xml:space="preserve"> </w:t>
      </w:r>
    </w:p>
    <w:p w14:paraId="0C6700EB" w14:textId="77777777" w:rsidR="00DD59CE" w:rsidRDefault="00DD59CE" w:rsidP="00DD59CE">
      <w:pPr>
        <w:spacing w:after="120" w:line="240" w:lineRule="auto"/>
        <w:contextualSpacing/>
        <w:rPr>
          <w:sz w:val="20"/>
          <w:szCs w:val="20"/>
        </w:rPr>
      </w:pPr>
      <w:r w:rsidRPr="006322B7">
        <w:rPr>
          <w:sz w:val="20"/>
          <w:szCs w:val="20"/>
          <w:vertAlign w:val="superscript"/>
        </w:rPr>
        <w:t>3</w:t>
      </w:r>
      <w:r w:rsidRPr="006322B7">
        <w:rPr>
          <w:sz w:val="20"/>
          <w:szCs w:val="20"/>
        </w:rPr>
        <w:t xml:space="preserve"> </w:t>
      </w:r>
      <w:r w:rsidRPr="001810A2">
        <w:rPr>
          <w:sz w:val="20"/>
          <w:szCs w:val="20"/>
        </w:rPr>
        <w:t>Department for Environment, Food and Rural Affairs, 2 Marsham Street, London, SW1P 4DF</w:t>
      </w:r>
    </w:p>
    <w:p w14:paraId="669AE8E6" w14:textId="77777777" w:rsidR="00DD59CE" w:rsidRDefault="00DD59CE" w:rsidP="00DD59CE">
      <w:pPr>
        <w:spacing w:after="120" w:line="240" w:lineRule="auto"/>
        <w:contextualSpacing/>
        <w:rPr>
          <w:sz w:val="20"/>
          <w:szCs w:val="20"/>
        </w:rPr>
      </w:pPr>
    </w:p>
    <w:p w14:paraId="5FE59BDD" w14:textId="77777777" w:rsidR="00DD59CE" w:rsidRDefault="00DD59CE" w:rsidP="00DD59CE">
      <w:pPr>
        <w:spacing w:after="120" w:line="240" w:lineRule="auto"/>
        <w:contextualSpacing/>
        <w:rPr>
          <w:sz w:val="20"/>
          <w:szCs w:val="20"/>
        </w:rPr>
      </w:pPr>
      <w:r w:rsidRPr="00BE3221">
        <w:rPr>
          <w:sz w:val="20"/>
          <w:szCs w:val="20"/>
        </w:rPr>
        <w:t>*</w:t>
      </w:r>
      <w:r>
        <w:rPr>
          <w:sz w:val="20"/>
          <w:szCs w:val="20"/>
        </w:rPr>
        <w:t xml:space="preserve"> </w:t>
      </w:r>
      <w:r w:rsidRPr="00BE3221">
        <w:rPr>
          <w:sz w:val="20"/>
          <w:szCs w:val="20"/>
        </w:rPr>
        <w:t>Corresponding Author</w:t>
      </w:r>
      <w:r>
        <w:rPr>
          <w:sz w:val="20"/>
          <w:szCs w:val="20"/>
        </w:rPr>
        <w:t xml:space="preserve">, </w:t>
      </w:r>
      <w:hyperlink r:id="rId5" w:history="1">
        <w:r w:rsidRPr="00793752">
          <w:rPr>
            <w:rStyle w:val="Hyperlink"/>
            <w:sz w:val="20"/>
            <w:szCs w:val="20"/>
          </w:rPr>
          <w:t>t.oxley@imperial.ac.uk</w:t>
        </w:r>
      </w:hyperlink>
      <w:r>
        <w:rPr>
          <w:sz w:val="20"/>
          <w:szCs w:val="20"/>
        </w:rPr>
        <w:t xml:space="preserve"> </w:t>
      </w:r>
    </w:p>
    <w:p w14:paraId="4AFEF185" w14:textId="7F0909A3" w:rsidR="008D474C" w:rsidRDefault="008D474C" w:rsidP="00BC1EF1">
      <w:pPr>
        <w:spacing w:after="120" w:line="240" w:lineRule="auto"/>
      </w:pPr>
    </w:p>
    <w:p w14:paraId="18C3A05D" w14:textId="77777777" w:rsidR="00DD59CE" w:rsidRDefault="00DD59CE" w:rsidP="00BC1EF1">
      <w:pPr>
        <w:spacing w:after="120" w:line="240" w:lineRule="auto"/>
      </w:pPr>
    </w:p>
    <w:p w14:paraId="444B4DBA" w14:textId="27D577BD" w:rsidR="00BC1EF1" w:rsidRPr="00BC1EF1" w:rsidRDefault="00BC1EF1" w:rsidP="00BC1EF1">
      <w:pPr>
        <w:spacing w:after="120" w:line="240" w:lineRule="auto"/>
        <w:jc w:val="center"/>
        <w:rPr>
          <w:sz w:val="28"/>
          <w:szCs w:val="28"/>
          <w:u w:val="single"/>
        </w:rPr>
      </w:pPr>
      <w:r w:rsidRPr="00BC1EF1">
        <w:rPr>
          <w:sz w:val="28"/>
          <w:szCs w:val="28"/>
          <w:u w:val="single"/>
        </w:rPr>
        <w:t xml:space="preserve">Supplementary </w:t>
      </w:r>
      <w:r w:rsidR="00E4139F">
        <w:rPr>
          <w:sz w:val="28"/>
          <w:szCs w:val="28"/>
          <w:u w:val="single"/>
        </w:rPr>
        <w:t>Material</w:t>
      </w:r>
    </w:p>
    <w:p w14:paraId="2C64EE31" w14:textId="3583A0CB" w:rsidR="00BC1EF1" w:rsidRDefault="00A17369" w:rsidP="00BC1EF1">
      <w:pPr>
        <w:spacing w:after="120" w:line="240" w:lineRule="auto"/>
      </w:pPr>
      <w:r>
        <w:rPr>
          <w:noProof/>
          <w:sz w:val="20"/>
          <w:szCs w:val="20"/>
        </w:rPr>
        <w:lastRenderedPageBreak/>
        <mc:AlternateContent>
          <mc:Choice Requires="wps">
            <w:drawing>
              <wp:anchor distT="0" distB="0" distL="114300" distR="114300" simplePos="0" relativeHeight="251659264" behindDoc="0" locked="0" layoutInCell="1" allowOverlap="0" wp14:anchorId="39CFA7C8" wp14:editId="66EA3899">
                <wp:simplePos x="0" y="0"/>
                <wp:positionH relativeFrom="column">
                  <wp:posOffset>0</wp:posOffset>
                </wp:positionH>
                <wp:positionV relativeFrom="page">
                  <wp:posOffset>1002030</wp:posOffset>
                </wp:positionV>
                <wp:extent cx="5448300" cy="8329295"/>
                <wp:effectExtent l="0" t="0" r="0" b="0"/>
                <wp:wrapTopAndBottom/>
                <wp:docPr id="1" name="Text Box 1"/>
                <wp:cNvGraphicFramePr/>
                <a:graphic xmlns:a="http://schemas.openxmlformats.org/drawingml/2006/main">
                  <a:graphicData uri="http://schemas.microsoft.com/office/word/2010/wordprocessingShape">
                    <wps:wsp>
                      <wps:cNvSpPr txBox="1"/>
                      <wps:spPr>
                        <a:xfrm>
                          <a:off x="0" y="0"/>
                          <a:ext cx="5448300" cy="8329295"/>
                        </a:xfrm>
                        <a:prstGeom prst="rect">
                          <a:avLst/>
                        </a:prstGeom>
                        <a:solidFill>
                          <a:schemeClr val="lt1"/>
                        </a:solidFill>
                        <a:ln w="6350">
                          <a:noFill/>
                        </a:ln>
                      </wps:spPr>
                      <wps:txbx>
                        <w:txbxContent>
                          <w:p w14:paraId="330AF38C" w14:textId="77777777" w:rsidR="007A3E17" w:rsidRDefault="00BC1EF1" w:rsidP="007A3E17">
                            <w:pPr>
                              <w:keepNext/>
                            </w:pPr>
                            <w:bookmarkStart w:id="0" w:name="_Hlk124853787"/>
                            <w:bookmarkEnd w:id="0"/>
                            <w:r>
                              <w:rPr>
                                <w:noProof/>
                              </w:rPr>
                              <w:drawing>
                                <wp:inline distT="0" distB="0" distL="0" distR="0" wp14:anchorId="084EE728" wp14:editId="02677117">
                                  <wp:extent cx="5248406" cy="741651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
                                            <a:extLst>
                                              <a:ext uri="{28A0092B-C50C-407E-A947-70E740481C1C}">
                                                <a14:useLocalDpi xmlns:a14="http://schemas.microsoft.com/office/drawing/2010/main" val="0"/>
                                              </a:ext>
                                            </a:extLst>
                                          </a:blip>
                                          <a:stretch>
                                            <a:fillRect/>
                                          </a:stretch>
                                        </pic:blipFill>
                                        <pic:spPr>
                                          <a:xfrm>
                                            <a:off x="0" y="0"/>
                                            <a:ext cx="5265344" cy="7440447"/>
                                          </a:xfrm>
                                          <a:prstGeom prst="rect">
                                            <a:avLst/>
                                          </a:prstGeom>
                                        </pic:spPr>
                                      </pic:pic>
                                    </a:graphicData>
                                  </a:graphic>
                                </wp:inline>
                              </w:drawing>
                            </w:r>
                          </w:p>
                          <w:p w14:paraId="7A05B8AB" w14:textId="46323F8B" w:rsidR="00BC1EF1" w:rsidRPr="007A3E17" w:rsidRDefault="007A3E17" w:rsidP="007A3E17">
                            <w:pPr>
                              <w:pStyle w:val="Caption"/>
                              <w:rPr>
                                <w:b w:val="0"/>
                                <w:bCs w:val="0"/>
                                <w:i/>
                                <w:iCs/>
                                <w:sz w:val="22"/>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17369">
                              <w:rPr>
                                <w:i/>
                                <w:iCs/>
                                <w:noProof/>
                              </w:rPr>
                              <w:t>1</w:t>
                            </w:r>
                            <w:r w:rsidRPr="007A3E17">
                              <w:rPr>
                                <w:i/>
                                <w:iCs/>
                              </w:rPr>
                              <w:fldChar w:fldCharType="end"/>
                            </w:r>
                            <w:r w:rsidRPr="007A3E17">
                              <w:rPr>
                                <w:i/>
                                <w:iCs/>
                              </w:rPr>
                              <w:t xml:space="preserve"> </w:t>
                            </w:r>
                            <w:r w:rsidRPr="007A3E17">
                              <w:rPr>
                                <w:b w:val="0"/>
                                <w:bCs w:val="0"/>
                                <w:i/>
                                <w:iCs/>
                              </w:rPr>
                              <w:t>- NOx emissions from international and in-transit shipping in sea areas surrounding the United Kingdom</w:t>
                            </w:r>
                            <w:r w:rsidR="00BE3EE7">
                              <w:rPr>
                                <w:b w:val="0"/>
                                <w:bCs w:val="0"/>
                                <w:i/>
                                <w:iCs/>
                              </w:rPr>
                              <w:t xml:space="preserve">, when combined with domestic shipping, exceed the UK </w:t>
                            </w:r>
                            <w:r w:rsidR="00FF53D0">
                              <w:rPr>
                                <w:b w:val="0"/>
                                <w:bCs w:val="0"/>
                                <w:i/>
                                <w:iCs/>
                              </w:rPr>
                              <w:t>land-based</w:t>
                            </w:r>
                            <w:r w:rsidR="00BE3EE7">
                              <w:rPr>
                                <w:b w:val="0"/>
                                <w:bCs w:val="0"/>
                                <w:i/>
                                <w:iCs/>
                              </w:rPr>
                              <w:t xml:space="preserve"> emissions of NOx in 2018.</w:t>
                            </w:r>
                          </w:p>
                          <w:p w14:paraId="488A6657" w14:textId="7044B11B" w:rsidR="00BC1EF1" w:rsidRDefault="00BC1EF1" w:rsidP="00BC1EF1"/>
                          <w:p w14:paraId="164B435C" w14:textId="77777777" w:rsidR="00BC1EF1" w:rsidRDefault="00BC1EF1" w:rsidP="00BC1E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FA7C8" id="_x0000_t202" coordsize="21600,21600" o:spt="202" path="m,l,21600r21600,l21600,xe">
                <v:stroke joinstyle="miter"/>
                <v:path gradientshapeok="t" o:connecttype="rect"/>
              </v:shapetype>
              <v:shape id="Text Box 1" o:spid="_x0000_s1026" type="#_x0000_t202" style="position:absolute;margin-left:0;margin-top:78.9pt;width:429pt;height:655.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" o:allowoverlap="f" fillcolor="white [3201]" stroked="f" strokeweight=".5pt">
                <v:textbox>
                  <w:txbxContent>
                    <w:p w14:paraId="330AF38C" w14:textId="77777777" w:rsidR="007A3E17" w:rsidRDefault="00BC1EF1" w:rsidP="007A3E17">
                      <w:pPr>
                        <w:keepNext/>
                      </w:pPr>
                      <w:bookmarkStart w:id="2" w:name="_Hlk124853787"/>
                      <w:bookmarkEnd w:id="2"/>
                      <w:r>
                        <w:rPr>
                          <w:noProof/>
                        </w:rPr>
                        <w:drawing>
                          <wp:inline distT="0" distB="0" distL="0" distR="0" wp14:anchorId="084EE728" wp14:editId="02677117">
                            <wp:extent cx="5248406" cy="741651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5265344" cy="7440447"/>
                                    </a:xfrm>
                                    <a:prstGeom prst="rect">
                                      <a:avLst/>
                                    </a:prstGeom>
                                  </pic:spPr>
                                </pic:pic>
                              </a:graphicData>
                            </a:graphic>
                          </wp:inline>
                        </w:drawing>
                      </w:r>
                    </w:p>
                    <w:p w14:paraId="7A05B8AB" w14:textId="46323F8B" w:rsidR="00BC1EF1" w:rsidRPr="007A3E17" w:rsidRDefault="007A3E17" w:rsidP="007A3E17">
                      <w:pPr>
                        <w:pStyle w:val="Caption"/>
                        <w:rPr>
                          <w:b w:val="0"/>
                          <w:bCs w:val="0"/>
                          <w:i/>
                          <w:iCs/>
                          <w:sz w:val="22"/>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17369">
                        <w:rPr>
                          <w:i/>
                          <w:iCs/>
                          <w:noProof/>
                        </w:rPr>
                        <w:t>1</w:t>
                      </w:r>
                      <w:r w:rsidRPr="007A3E17">
                        <w:rPr>
                          <w:i/>
                          <w:iCs/>
                        </w:rPr>
                        <w:fldChar w:fldCharType="end"/>
                      </w:r>
                      <w:r w:rsidRPr="007A3E17">
                        <w:rPr>
                          <w:i/>
                          <w:iCs/>
                        </w:rPr>
                        <w:t xml:space="preserve"> </w:t>
                      </w:r>
                      <w:r w:rsidRPr="007A3E17">
                        <w:rPr>
                          <w:b w:val="0"/>
                          <w:bCs w:val="0"/>
                          <w:i/>
                          <w:iCs/>
                        </w:rPr>
                        <w:t>- NOx emissions from international and in-transit shipping in sea areas surrounding the United Kingdom</w:t>
                      </w:r>
                      <w:r w:rsidR="00BE3EE7">
                        <w:rPr>
                          <w:b w:val="0"/>
                          <w:bCs w:val="0"/>
                          <w:i/>
                          <w:iCs/>
                        </w:rPr>
                        <w:t xml:space="preserve">, when combined with domestic shipping, exceed the UK </w:t>
                      </w:r>
                      <w:r w:rsidR="00FF53D0">
                        <w:rPr>
                          <w:b w:val="0"/>
                          <w:bCs w:val="0"/>
                          <w:i/>
                          <w:iCs/>
                        </w:rPr>
                        <w:t>land-based</w:t>
                      </w:r>
                      <w:r w:rsidR="00BE3EE7">
                        <w:rPr>
                          <w:b w:val="0"/>
                          <w:bCs w:val="0"/>
                          <w:i/>
                          <w:iCs/>
                        </w:rPr>
                        <w:t xml:space="preserve"> emissions of NOx in 2018.</w:t>
                      </w:r>
                    </w:p>
                    <w:p w14:paraId="488A6657" w14:textId="7044B11B" w:rsidR="00BC1EF1" w:rsidRDefault="00BC1EF1" w:rsidP="00BC1EF1"/>
                    <w:p w14:paraId="164B435C" w14:textId="77777777" w:rsidR="00BC1EF1" w:rsidRDefault="00BC1EF1" w:rsidP="00BC1EF1"/>
                  </w:txbxContent>
                </v:textbox>
                <w10:wrap type="topAndBottom" anchory="page"/>
              </v:shape>
            </w:pict>
          </mc:Fallback>
        </mc:AlternateContent>
      </w:r>
    </w:p>
    <w:p w14:paraId="5A50518F" w14:textId="7615A7CD" w:rsidR="00BC1EF1" w:rsidRDefault="00A17369" w:rsidP="00A17369">
      <w:pPr>
        <w:spacing w:after="120" w:line="240" w:lineRule="auto"/>
      </w:pPr>
      <w:r>
        <w:rPr>
          <w:noProof/>
          <w:sz w:val="20"/>
          <w:szCs w:val="20"/>
          <w:lang w:val="en-US"/>
        </w:rPr>
        <w:lastRenderedPageBreak/>
        <mc:AlternateContent>
          <mc:Choice Requires="wps">
            <w:drawing>
              <wp:anchor distT="0" distB="0" distL="114300" distR="114300" simplePos="0" relativeHeight="251661312" behindDoc="0" locked="0" layoutInCell="1" allowOverlap="0" wp14:anchorId="386ED4A6" wp14:editId="312430D2">
                <wp:simplePos x="0" y="0"/>
                <wp:positionH relativeFrom="column">
                  <wp:posOffset>25400</wp:posOffset>
                </wp:positionH>
                <wp:positionV relativeFrom="page">
                  <wp:posOffset>913881</wp:posOffset>
                </wp:positionV>
                <wp:extent cx="5821045" cy="8679815"/>
                <wp:effectExtent l="0" t="0" r="8255" b="6985"/>
                <wp:wrapTopAndBottom/>
                <wp:docPr id="25" name="Text Box 25"/>
                <wp:cNvGraphicFramePr/>
                <a:graphic xmlns:a="http://schemas.openxmlformats.org/drawingml/2006/main">
                  <a:graphicData uri="http://schemas.microsoft.com/office/word/2010/wordprocessingShape">
                    <wps:wsp>
                      <wps:cNvSpPr txBox="1"/>
                      <wps:spPr>
                        <a:xfrm>
                          <a:off x="0" y="0"/>
                          <a:ext cx="5821045" cy="8679815"/>
                        </a:xfrm>
                        <a:prstGeom prst="rect">
                          <a:avLst/>
                        </a:prstGeom>
                        <a:solidFill>
                          <a:schemeClr val="lt1"/>
                        </a:solidFill>
                        <a:ln w="6350">
                          <a:noFill/>
                        </a:ln>
                      </wps:spPr>
                      <wps:txbx>
                        <w:txbxContent>
                          <w:p w14:paraId="2FF70474" w14:textId="77777777" w:rsidR="00A17369" w:rsidRDefault="00BC1EF1" w:rsidP="00A17369">
                            <w:pPr>
                              <w:keepNext/>
                            </w:pPr>
                            <w:r>
                              <w:rPr>
                                <w:noProof/>
                              </w:rPr>
                              <w:drawing>
                                <wp:inline distT="0" distB="0" distL="0" distR="0" wp14:anchorId="049B9277" wp14:editId="0A332067">
                                  <wp:extent cx="5602884" cy="4623516"/>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a:extLst>
                                              <a:ext uri="{28A0092B-C50C-407E-A947-70E740481C1C}">
                                                <a14:useLocalDpi xmlns:a14="http://schemas.microsoft.com/office/drawing/2010/main" val="0"/>
                                              </a:ext>
                                            </a:extLst>
                                          </a:blip>
                                          <a:stretch>
                                            <a:fillRect/>
                                          </a:stretch>
                                        </pic:blipFill>
                                        <pic:spPr>
                                          <a:xfrm>
                                            <a:off x="0" y="0"/>
                                            <a:ext cx="5619839" cy="4637507"/>
                                          </a:xfrm>
                                          <a:prstGeom prst="rect">
                                            <a:avLst/>
                                          </a:prstGeom>
                                        </pic:spPr>
                                      </pic:pic>
                                    </a:graphicData>
                                  </a:graphic>
                                </wp:inline>
                              </w:drawing>
                            </w:r>
                          </w:p>
                          <w:p w14:paraId="7EBFEE75" w14:textId="448A21A3" w:rsidR="00BC1EF1" w:rsidRPr="00A17369" w:rsidRDefault="00A17369" w:rsidP="00A17369">
                            <w:pPr>
                              <w:pStyle w:val="Caption"/>
                              <w:jc w:val="center"/>
                              <w:rPr>
                                <w:b w:val="0"/>
                                <w:bCs w:val="0"/>
                                <w:i/>
                                <w:iCs/>
                                <w:szCs w:val="24"/>
                              </w:rPr>
                            </w:pPr>
                            <w:r w:rsidRPr="00A17369">
                              <w:rPr>
                                <w:i/>
                                <w:iCs/>
                                <w:szCs w:val="24"/>
                              </w:rPr>
                              <w:t>Figure S.</w:t>
                            </w:r>
                            <w:r w:rsidRPr="00A17369">
                              <w:rPr>
                                <w:i/>
                                <w:iCs/>
                                <w:szCs w:val="24"/>
                              </w:rPr>
                              <w:fldChar w:fldCharType="begin"/>
                            </w:r>
                            <w:r w:rsidRPr="00A17369">
                              <w:rPr>
                                <w:i/>
                                <w:iCs/>
                                <w:szCs w:val="24"/>
                              </w:rPr>
                              <w:instrText xml:space="preserve"> SEQ Figure \* ARABIC </w:instrText>
                            </w:r>
                            <w:r w:rsidRPr="00A17369">
                              <w:rPr>
                                <w:i/>
                                <w:iCs/>
                                <w:szCs w:val="24"/>
                              </w:rPr>
                              <w:fldChar w:fldCharType="separate"/>
                            </w:r>
                            <w:r w:rsidRPr="00A17369">
                              <w:rPr>
                                <w:i/>
                                <w:iCs/>
                                <w:noProof/>
                                <w:szCs w:val="24"/>
                              </w:rPr>
                              <w:t>2</w:t>
                            </w:r>
                            <w:r w:rsidRPr="00A17369">
                              <w:rPr>
                                <w:i/>
                                <w:iCs/>
                                <w:szCs w:val="24"/>
                              </w:rPr>
                              <w:fldChar w:fldCharType="end"/>
                            </w:r>
                            <w:r w:rsidRPr="00A17369">
                              <w:rPr>
                                <w:b w:val="0"/>
                                <w:bCs w:val="0"/>
                                <w:i/>
                                <w:iCs/>
                                <w:szCs w:val="24"/>
                              </w:rPr>
                              <w:t xml:space="preserve"> - Comparison modelled concentrations against AURN measurements for B2018</w:t>
                            </w:r>
                          </w:p>
                          <w:tbl>
                            <w:tblPr>
                              <w:tblW w:w="8760" w:type="dxa"/>
                              <w:tblLook w:val="04A0" w:firstRow="1" w:lastRow="0" w:firstColumn="1" w:lastColumn="0" w:noHBand="0" w:noVBand="1"/>
                            </w:tblPr>
                            <w:tblGrid>
                              <w:gridCol w:w="1514"/>
                              <w:gridCol w:w="1241"/>
                              <w:gridCol w:w="1015"/>
                              <w:gridCol w:w="1391"/>
                              <w:gridCol w:w="630"/>
                              <w:gridCol w:w="737"/>
                              <w:gridCol w:w="730"/>
                              <w:gridCol w:w="834"/>
                              <w:gridCol w:w="668"/>
                            </w:tblGrid>
                            <w:tr w:rsidR="00A17369" w:rsidRPr="00FD72E9" w14:paraId="6D42B081" w14:textId="77777777" w:rsidTr="00C81FAA">
                              <w:trPr>
                                <w:trHeight w:val="300"/>
                              </w:trPr>
                              <w:tc>
                                <w:tcPr>
                                  <w:tcW w:w="8760" w:type="dxa"/>
                                  <w:gridSpan w:val="9"/>
                                  <w:tcBorders>
                                    <w:top w:val="nil"/>
                                    <w:left w:val="nil"/>
                                    <w:bottom w:val="single" w:sz="8" w:space="0" w:color="auto"/>
                                    <w:right w:val="nil"/>
                                  </w:tcBorders>
                                  <w:shd w:val="clear" w:color="auto" w:fill="auto"/>
                                  <w:noWrap/>
                                  <w:vAlign w:val="center"/>
                                  <w:hideMark/>
                                </w:tcPr>
                                <w:p w14:paraId="24AF1EF0" w14:textId="5BCA96C1"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Table S.</w:t>
                                  </w:r>
                                  <w:r>
                                    <w:rPr>
                                      <w:rFonts w:ascii="Calibri" w:eastAsia="Times New Roman" w:hAnsi="Calibri" w:cs="Calibri"/>
                                      <w:b/>
                                      <w:bCs/>
                                      <w:color w:val="000000"/>
                                      <w:lang w:val="en-US" w:eastAsia="en-GB"/>
                                    </w:rPr>
                                    <w:t>1</w:t>
                                  </w:r>
                                  <w:r w:rsidRPr="00FD72E9">
                                    <w:rPr>
                                      <w:rFonts w:ascii="Calibri" w:eastAsia="Times New Roman" w:hAnsi="Calibri" w:cs="Calibri"/>
                                      <w:b/>
                                      <w:bCs/>
                                      <w:color w:val="000000"/>
                                      <w:lang w:val="en-US" w:eastAsia="en-GB"/>
                                    </w:rPr>
                                    <w:t xml:space="preserve"> -</w:t>
                                  </w:r>
                                  <w:r w:rsidRPr="00FD72E9">
                                    <w:rPr>
                                      <w:rFonts w:ascii="Calibri" w:eastAsia="Times New Roman" w:hAnsi="Calibri" w:cs="Calibri"/>
                                      <w:color w:val="000000"/>
                                      <w:lang w:val="en-US" w:eastAsia="en-GB"/>
                                    </w:rPr>
                                    <w:t xml:space="preserve"> (B2018) Statistical comparison at monitoring locations</w:t>
                                  </w:r>
                                  <w:r>
                                    <w:rPr>
                                      <w:rFonts w:ascii="Calibri" w:eastAsia="Times New Roman" w:hAnsi="Calibri" w:cs="Calibri"/>
                                      <w:color w:val="000000"/>
                                      <w:lang w:val="en-US" w:eastAsia="en-GB"/>
                                    </w:rPr>
                                    <w:t xml:space="preserve">. </w:t>
                                  </w:r>
                                  <w:r w:rsidRPr="00F52AD7">
                                    <w:rPr>
                                      <w:rFonts w:ascii="Calibri" w:eastAsia="Times New Roman" w:hAnsi="Calibri" w:cs="Calibri"/>
                                      <w:color w:val="000000"/>
                                      <w:lang w:eastAsia="en-GB"/>
                                    </w:rPr>
                                    <w:t>N=number of measurements, Obs.=mean of all measurements, Mod.=mean of all modelled concentrations, r=Pearson correlation, FAC2=fraction of modelled values within a factor 2 of measured value, NMSE=Normalised Mean-Square Error, RMSE=Root Mean-Square Error, NAD=Normalised absolute difference.</w:t>
                                  </w:r>
                                </w:p>
                              </w:tc>
                            </w:tr>
                            <w:tr w:rsidR="00A17369" w:rsidRPr="00FD72E9" w14:paraId="73CDA7F8" w14:textId="77777777" w:rsidTr="00C81FAA">
                              <w:trPr>
                                <w:trHeight w:val="300"/>
                              </w:trPr>
                              <w:tc>
                                <w:tcPr>
                                  <w:tcW w:w="1514" w:type="dxa"/>
                                  <w:tcBorders>
                                    <w:top w:val="nil"/>
                                    <w:left w:val="nil"/>
                                    <w:bottom w:val="single" w:sz="8" w:space="0" w:color="auto"/>
                                    <w:right w:val="nil"/>
                                  </w:tcBorders>
                                  <w:shd w:val="clear" w:color="auto" w:fill="auto"/>
                                  <w:noWrap/>
                                  <w:vAlign w:val="center"/>
                                  <w:hideMark/>
                                </w:tcPr>
                                <w:p w14:paraId="327A4478"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Model</w:t>
                                  </w:r>
                                </w:p>
                              </w:tc>
                              <w:tc>
                                <w:tcPr>
                                  <w:tcW w:w="1241" w:type="dxa"/>
                                  <w:tcBorders>
                                    <w:top w:val="nil"/>
                                    <w:left w:val="nil"/>
                                    <w:bottom w:val="single" w:sz="8" w:space="0" w:color="auto"/>
                                    <w:right w:val="nil"/>
                                  </w:tcBorders>
                                  <w:shd w:val="clear" w:color="auto" w:fill="auto"/>
                                  <w:vAlign w:val="center"/>
                                  <w:hideMark/>
                                </w:tcPr>
                                <w:p w14:paraId="17A16FF6"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N</w:t>
                                  </w:r>
                                </w:p>
                              </w:tc>
                              <w:tc>
                                <w:tcPr>
                                  <w:tcW w:w="1015" w:type="dxa"/>
                                  <w:tcBorders>
                                    <w:top w:val="nil"/>
                                    <w:left w:val="nil"/>
                                    <w:bottom w:val="single" w:sz="8" w:space="0" w:color="auto"/>
                                    <w:right w:val="nil"/>
                                  </w:tcBorders>
                                  <w:shd w:val="clear" w:color="auto" w:fill="auto"/>
                                  <w:noWrap/>
                                  <w:vAlign w:val="center"/>
                                  <w:hideMark/>
                                </w:tcPr>
                                <w:p w14:paraId="2750E4F8"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UKIAM</w:t>
                                  </w:r>
                                </w:p>
                              </w:tc>
                              <w:tc>
                                <w:tcPr>
                                  <w:tcW w:w="1391" w:type="dxa"/>
                                  <w:tcBorders>
                                    <w:top w:val="nil"/>
                                    <w:left w:val="nil"/>
                                    <w:bottom w:val="single" w:sz="8" w:space="0" w:color="auto"/>
                                    <w:right w:val="nil"/>
                                  </w:tcBorders>
                                  <w:shd w:val="clear" w:color="auto" w:fill="auto"/>
                                  <w:noWrap/>
                                  <w:vAlign w:val="center"/>
                                  <w:hideMark/>
                                </w:tcPr>
                                <w:p w14:paraId="656CC53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EMEP4UK</w:t>
                                  </w:r>
                                </w:p>
                              </w:tc>
                              <w:tc>
                                <w:tcPr>
                                  <w:tcW w:w="630" w:type="dxa"/>
                                  <w:tcBorders>
                                    <w:top w:val="nil"/>
                                    <w:left w:val="nil"/>
                                    <w:bottom w:val="single" w:sz="8" w:space="0" w:color="auto"/>
                                    <w:right w:val="nil"/>
                                  </w:tcBorders>
                                  <w:shd w:val="clear" w:color="auto" w:fill="auto"/>
                                  <w:noWrap/>
                                  <w:vAlign w:val="center"/>
                                  <w:hideMark/>
                                </w:tcPr>
                                <w:p w14:paraId="18D61DD5"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r</w:t>
                                  </w:r>
                                </w:p>
                              </w:tc>
                              <w:tc>
                                <w:tcPr>
                                  <w:tcW w:w="737" w:type="dxa"/>
                                  <w:tcBorders>
                                    <w:top w:val="nil"/>
                                    <w:left w:val="nil"/>
                                    <w:bottom w:val="single" w:sz="8" w:space="0" w:color="auto"/>
                                    <w:right w:val="nil"/>
                                  </w:tcBorders>
                                  <w:shd w:val="clear" w:color="auto" w:fill="auto"/>
                                  <w:noWrap/>
                                  <w:vAlign w:val="center"/>
                                  <w:hideMark/>
                                </w:tcPr>
                                <w:p w14:paraId="694321DC"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FAC2</w:t>
                                  </w:r>
                                </w:p>
                              </w:tc>
                              <w:tc>
                                <w:tcPr>
                                  <w:tcW w:w="730" w:type="dxa"/>
                                  <w:tcBorders>
                                    <w:top w:val="nil"/>
                                    <w:left w:val="nil"/>
                                    <w:bottom w:val="single" w:sz="8" w:space="0" w:color="auto"/>
                                    <w:right w:val="nil"/>
                                  </w:tcBorders>
                                  <w:shd w:val="clear" w:color="auto" w:fill="auto"/>
                                  <w:noWrap/>
                                  <w:vAlign w:val="center"/>
                                  <w:hideMark/>
                                </w:tcPr>
                                <w:p w14:paraId="4F76D89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FB</w:t>
                                  </w:r>
                                </w:p>
                              </w:tc>
                              <w:tc>
                                <w:tcPr>
                                  <w:tcW w:w="834" w:type="dxa"/>
                                  <w:tcBorders>
                                    <w:top w:val="nil"/>
                                    <w:left w:val="nil"/>
                                    <w:bottom w:val="single" w:sz="8" w:space="0" w:color="auto"/>
                                    <w:right w:val="nil"/>
                                  </w:tcBorders>
                                  <w:shd w:val="clear" w:color="auto" w:fill="auto"/>
                                  <w:noWrap/>
                                  <w:vAlign w:val="center"/>
                                  <w:hideMark/>
                                </w:tcPr>
                                <w:p w14:paraId="1D5F6F9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RMSE</w:t>
                                  </w:r>
                                </w:p>
                              </w:tc>
                              <w:tc>
                                <w:tcPr>
                                  <w:tcW w:w="668" w:type="dxa"/>
                                  <w:tcBorders>
                                    <w:top w:val="nil"/>
                                    <w:left w:val="nil"/>
                                    <w:bottom w:val="single" w:sz="8" w:space="0" w:color="auto"/>
                                    <w:right w:val="nil"/>
                                  </w:tcBorders>
                                  <w:shd w:val="clear" w:color="auto" w:fill="auto"/>
                                  <w:noWrap/>
                                  <w:vAlign w:val="center"/>
                                  <w:hideMark/>
                                </w:tcPr>
                                <w:p w14:paraId="71480AA7"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NAD</w:t>
                                  </w:r>
                                </w:p>
                              </w:tc>
                            </w:tr>
                            <w:tr w:rsidR="00A17369" w:rsidRPr="00FD72E9" w14:paraId="2681C181" w14:textId="77777777" w:rsidTr="00C81FAA">
                              <w:trPr>
                                <w:trHeight w:val="324"/>
                              </w:trPr>
                              <w:tc>
                                <w:tcPr>
                                  <w:tcW w:w="1514" w:type="dxa"/>
                                  <w:tcBorders>
                                    <w:top w:val="nil"/>
                                    <w:left w:val="nil"/>
                                    <w:bottom w:val="single" w:sz="8" w:space="0" w:color="auto"/>
                                    <w:right w:val="nil"/>
                                  </w:tcBorders>
                                  <w:shd w:val="clear" w:color="auto" w:fill="auto"/>
                                  <w:noWrap/>
                                  <w:vAlign w:val="center"/>
                                  <w:hideMark/>
                                </w:tcPr>
                                <w:p w14:paraId="33B1C650" w14:textId="77777777" w:rsidR="00A17369" w:rsidRPr="00FD72E9" w:rsidRDefault="00A17369" w:rsidP="00A17369">
                                  <w:pPr>
                                    <w:spacing w:after="0" w:line="240" w:lineRule="auto"/>
                                    <w:rPr>
                                      <w:rFonts w:ascii="Calibri" w:eastAsia="Times New Roman" w:hAnsi="Calibri" w:cs="Calibri"/>
                                      <w:color w:val="000000"/>
                                      <w:lang w:eastAsia="en-GB"/>
                                    </w:rPr>
                                  </w:pPr>
                                  <w:r w:rsidRPr="00FD72E9">
                                    <w:rPr>
                                      <w:rFonts w:ascii="Calibri" w:eastAsia="Times New Roman" w:hAnsi="Calibri" w:cs="Calibri"/>
                                      <w:color w:val="000000"/>
                                      <w:lang w:val="en-US" w:eastAsia="en-GB"/>
                                    </w:rPr>
                                    <w:t>Total PM</w:t>
                                  </w:r>
                                  <w:r w:rsidRPr="00FD72E9">
                                    <w:rPr>
                                      <w:rFonts w:ascii="Calibri" w:eastAsia="Times New Roman" w:hAnsi="Calibri" w:cs="Calibri"/>
                                      <w:color w:val="000000"/>
                                      <w:vertAlign w:val="subscript"/>
                                      <w:lang w:val="en-US" w:eastAsia="en-GB"/>
                                    </w:rPr>
                                    <w:t>2.5</w:t>
                                  </w:r>
                                </w:p>
                              </w:tc>
                              <w:tc>
                                <w:tcPr>
                                  <w:tcW w:w="1241" w:type="dxa"/>
                                  <w:tcBorders>
                                    <w:top w:val="nil"/>
                                    <w:left w:val="nil"/>
                                    <w:bottom w:val="single" w:sz="8" w:space="0" w:color="auto"/>
                                    <w:right w:val="nil"/>
                                  </w:tcBorders>
                                  <w:shd w:val="clear" w:color="auto" w:fill="auto"/>
                                  <w:vAlign w:val="center"/>
                                  <w:hideMark/>
                                </w:tcPr>
                                <w:p w14:paraId="4611B039"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51</w:t>
                                  </w:r>
                                </w:p>
                              </w:tc>
                              <w:tc>
                                <w:tcPr>
                                  <w:tcW w:w="1015" w:type="dxa"/>
                                  <w:tcBorders>
                                    <w:top w:val="nil"/>
                                    <w:left w:val="nil"/>
                                    <w:bottom w:val="single" w:sz="8" w:space="0" w:color="auto"/>
                                    <w:right w:val="nil"/>
                                  </w:tcBorders>
                                  <w:shd w:val="clear" w:color="auto" w:fill="auto"/>
                                  <w:noWrap/>
                                  <w:vAlign w:val="center"/>
                                  <w:hideMark/>
                                </w:tcPr>
                                <w:p w14:paraId="2FA24749"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9.41</w:t>
                                  </w:r>
                                </w:p>
                              </w:tc>
                              <w:tc>
                                <w:tcPr>
                                  <w:tcW w:w="1391" w:type="dxa"/>
                                  <w:tcBorders>
                                    <w:top w:val="nil"/>
                                    <w:left w:val="nil"/>
                                    <w:bottom w:val="single" w:sz="8" w:space="0" w:color="auto"/>
                                    <w:right w:val="nil"/>
                                  </w:tcBorders>
                                  <w:shd w:val="clear" w:color="auto" w:fill="auto"/>
                                  <w:noWrap/>
                                  <w:vAlign w:val="center"/>
                                  <w:hideMark/>
                                </w:tcPr>
                                <w:p w14:paraId="7F95876B"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9.43</w:t>
                                  </w:r>
                                </w:p>
                              </w:tc>
                              <w:tc>
                                <w:tcPr>
                                  <w:tcW w:w="630" w:type="dxa"/>
                                  <w:tcBorders>
                                    <w:top w:val="nil"/>
                                    <w:left w:val="nil"/>
                                    <w:bottom w:val="single" w:sz="8" w:space="0" w:color="auto"/>
                                    <w:right w:val="nil"/>
                                  </w:tcBorders>
                                  <w:shd w:val="clear" w:color="auto" w:fill="auto"/>
                                  <w:noWrap/>
                                  <w:vAlign w:val="center"/>
                                  <w:hideMark/>
                                </w:tcPr>
                                <w:p w14:paraId="26791426"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0.83</w:t>
                                  </w:r>
                                </w:p>
                              </w:tc>
                              <w:tc>
                                <w:tcPr>
                                  <w:tcW w:w="737" w:type="dxa"/>
                                  <w:tcBorders>
                                    <w:top w:val="nil"/>
                                    <w:left w:val="nil"/>
                                    <w:bottom w:val="single" w:sz="8" w:space="0" w:color="auto"/>
                                    <w:right w:val="nil"/>
                                  </w:tcBorders>
                                  <w:shd w:val="clear" w:color="auto" w:fill="auto"/>
                                  <w:noWrap/>
                                  <w:vAlign w:val="center"/>
                                  <w:hideMark/>
                                </w:tcPr>
                                <w:p w14:paraId="0E06CE73"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1</w:t>
                                  </w:r>
                                </w:p>
                              </w:tc>
                              <w:tc>
                                <w:tcPr>
                                  <w:tcW w:w="730" w:type="dxa"/>
                                  <w:tcBorders>
                                    <w:top w:val="nil"/>
                                    <w:left w:val="nil"/>
                                    <w:bottom w:val="single" w:sz="8" w:space="0" w:color="auto"/>
                                    <w:right w:val="nil"/>
                                  </w:tcBorders>
                                  <w:shd w:val="clear" w:color="auto" w:fill="auto"/>
                                  <w:noWrap/>
                                  <w:vAlign w:val="center"/>
                                  <w:hideMark/>
                                </w:tcPr>
                                <w:p w14:paraId="362AC0AF"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w:t>
                                  </w:r>
                                </w:p>
                              </w:tc>
                              <w:tc>
                                <w:tcPr>
                                  <w:tcW w:w="834" w:type="dxa"/>
                                  <w:tcBorders>
                                    <w:top w:val="nil"/>
                                    <w:left w:val="nil"/>
                                    <w:bottom w:val="single" w:sz="8" w:space="0" w:color="auto"/>
                                    <w:right w:val="nil"/>
                                  </w:tcBorders>
                                  <w:shd w:val="clear" w:color="auto" w:fill="auto"/>
                                  <w:noWrap/>
                                  <w:vAlign w:val="center"/>
                                  <w:hideMark/>
                                </w:tcPr>
                                <w:p w14:paraId="212EC82D"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1.09</w:t>
                                  </w:r>
                                </w:p>
                              </w:tc>
                              <w:tc>
                                <w:tcPr>
                                  <w:tcW w:w="668" w:type="dxa"/>
                                  <w:tcBorders>
                                    <w:top w:val="nil"/>
                                    <w:left w:val="nil"/>
                                    <w:bottom w:val="single" w:sz="8" w:space="0" w:color="auto"/>
                                    <w:right w:val="nil"/>
                                  </w:tcBorders>
                                  <w:shd w:val="clear" w:color="auto" w:fill="auto"/>
                                  <w:noWrap/>
                                  <w:vAlign w:val="center"/>
                                  <w:hideMark/>
                                </w:tcPr>
                                <w:p w14:paraId="1AC22E95"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0.04</w:t>
                                  </w:r>
                                </w:p>
                              </w:tc>
                            </w:tr>
                          </w:tbl>
                          <w:p w14:paraId="242BFCD6" w14:textId="6C145864" w:rsidR="00BC1EF1" w:rsidRDefault="00BC1EF1" w:rsidP="00BC1EF1"/>
                          <w:p w14:paraId="479FE93A" w14:textId="1FAEC4A7" w:rsidR="00A17369" w:rsidRPr="00A17369" w:rsidRDefault="00A17369" w:rsidP="00A17369">
                            <w:pPr>
                              <w:rPr>
                                <w:rFonts w:eastAsiaTheme="minorEastAsia"/>
                                <w:bCs/>
                                <w:color w:val="000000" w:themeColor="text1"/>
                                <w:sz w:val="28"/>
                                <w:szCs w:val="28"/>
                              </w:rPr>
                            </w:pPr>
                            <w:r>
                              <w:rPr>
                                <w:bCs/>
                                <w:color w:val="000000" w:themeColor="text1"/>
                              </w:rPr>
                              <w:t>Fractional bias (FB):</w:t>
                            </w:r>
                            <w:r>
                              <w:rPr>
                                <w:bCs/>
                                <w:color w:val="000000" w:themeColor="text1"/>
                              </w:rPr>
                              <w:tab/>
                            </w:r>
                            <w:r>
                              <w:rPr>
                                <w:bCs/>
                                <w:color w:val="000000" w:themeColor="text1"/>
                              </w:rPr>
                              <w:tab/>
                            </w:r>
                            <w:r w:rsidRPr="00A17369">
                              <w:rPr>
                                <w:bCs/>
                                <w:color w:val="000000" w:themeColor="text1"/>
                                <w:sz w:val="28"/>
                                <w:szCs w:val="28"/>
                              </w:rPr>
                              <w:tab/>
                            </w:r>
                            <m:oMath>
                              <m:r>
                                <m:rPr>
                                  <m:sty m:val="p"/>
                                </m:rPr>
                                <w:rPr>
                                  <w:rFonts w:ascii="Cambria Math" w:hAnsi="Cambria Math"/>
                                  <w:color w:val="000000" w:themeColor="text1"/>
                                  <w:sz w:val="28"/>
                                  <w:szCs w:val="28"/>
                                </w:rPr>
                                <m:t>FB</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r>
                                    <w:rPr>
                                      <w:rFonts w:ascii="Cambria Math" w:hAnsi="Cambria Math"/>
                                      <w:color w:val="000000" w:themeColor="text1"/>
                                      <w:sz w:val="28"/>
                                      <w:szCs w:val="28"/>
                                    </w:rPr>
                                    <m:t>2</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r>
                                        <w:rPr>
                                          <w:rFonts w:ascii="Cambria Math" w:hAnsi="Cambria Math"/>
                                          <w:color w:val="000000" w:themeColor="text1"/>
                                          <w:sz w:val="28"/>
                                          <w:szCs w:val="28"/>
                                        </w:rPr>
                                        <m:t>+</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46C712AE" w14:textId="448A7BC0" w:rsidR="00A17369" w:rsidRPr="00A17369" w:rsidRDefault="00A17369" w:rsidP="00A17369">
                            <w:pPr>
                              <w:rPr>
                                <w:rFonts w:eastAsiaTheme="minorEastAsia"/>
                                <w:bCs/>
                                <w:color w:val="000000" w:themeColor="text1"/>
                                <w:sz w:val="28"/>
                                <w:szCs w:val="28"/>
                              </w:rPr>
                            </w:pPr>
                            <w:r>
                              <w:rPr>
                                <w:rFonts w:eastAsiaTheme="minorEastAsia"/>
                                <w:bCs/>
                                <w:color w:val="000000" w:themeColor="text1"/>
                              </w:rPr>
                              <w:t>Normalised Mean-Square Error:</w:t>
                            </w:r>
                            <w:r>
                              <w:rPr>
                                <w:rFonts w:eastAsiaTheme="minorEastAsia"/>
                                <w:bCs/>
                                <w:color w:val="000000" w:themeColor="text1"/>
                              </w:rPr>
                              <w:tab/>
                            </w:r>
                            <w:r>
                              <w:rPr>
                                <w:rFonts w:eastAsiaTheme="minorEastAsia"/>
                                <w:bCs/>
                                <w:color w:val="000000" w:themeColor="text1"/>
                              </w:rPr>
                              <w:tab/>
                            </w:r>
                            <m:oMath>
                              <m:r>
                                <m:rPr>
                                  <m:sty m:val="p"/>
                                </m:rPr>
                                <w:rPr>
                                  <w:rFonts w:ascii="Cambria Math" w:hAnsi="Cambria Math"/>
                                  <w:color w:val="000000" w:themeColor="text1"/>
                                  <w:sz w:val="28"/>
                                  <w:szCs w:val="28"/>
                                </w:rPr>
                                <m:t>NMSE</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acc>
                                    <m:accPr>
                                      <m:chr m:val="̅"/>
                                      <m:ctrlPr>
                                        <w:rPr>
                                          <w:rFonts w:ascii="Cambria Math" w:hAnsi="Cambria Math"/>
                                          <w:bCs/>
                                          <w:i/>
                                          <w:color w:val="000000" w:themeColor="text1"/>
                                          <w:sz w:val="28"/>
                                          <w:szCs w:val="28"/>
                                        </w:rPr>
                                      </m:ctrlPr>
                                    </m:accPr>
                                    <m:e>
                                      <m:sSup>
                                        <m:sSupPr>
                                          <m:ctrlPr>
                                            <w:rPr>
                                              <w:rFonts w:ascii="Cambria Math" w:hAnsi="Cambria Math"/>
                                              <w:bCs/>
                                              <w:i/>
                                              <w:color w:val="000000" w:themeColor="text1"/>
                                              <w:sz w:val="28"/>
                                              <w:szCs w:val="28"/>
                                            </w:rPr>
                                          </m:ctrlPr>
                                        </m:sSupPr>
                                        <m:e>
                                          <m:d>
                                            <m:dPr>
                                              <m:ctrlPr>
                                                <w:rPr>
                                                  <w:rFonts w:ascii="Cambria Math" w:hAnsi="Cambria Math"/>
                                                  <w:bCs/>
                                                  <w:i/>
                                                  <w:color w:val="000000" w:themeColor="text1"/>
                                                  <w:sz w:val="28"/>
                                                  <w:szCs w:val="28"/>
                                                </w:rPr>
                                              </m:ctrlPr>
                                            </m:d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d>
                                        </m:e>
                                        <m:sup>
                                          <m:r>
                                            <w:rPr>
                                              <w:rFonts w:ascii="Cambria Math" w:hAnsi="Cambria Math"/>
                                              <w:color w:val="000000" w:themeColor="text1"/>
                                              <w:sz w:val="28"/>
                                              <w:szCs w:val="28"/>
                                            </w:rPr>
                                            <m:t>2</m:t>
                                          </m:r>
                                        </m:sup>
                                      </m:sSup>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36B60DE1" w14:textId="4DCADBB5" w:rsidR="00A17369" w:rsidRPr="00A17369" w:rsidRDefault="00A17369" w:rsidP="00A17369">
                            <w:pPr>
                              <w:rPr>
                                <w:rFonts w:eastAsiaTheme="minorEastAsia"/>
                                <w:bCs/>
                                <w:color w:val="000000" w:themeColor="text1"/>
                                <w:sz w:val="28"/>
                                <w:szCs w:val="28"/>
                              </w:rPr>
                            </w:pPr>
                            <w:r>
                              <w:rPr>
                                <w:rFonts w:eastAsiaTheme="minorEastAsia"/>
                                <w:bCs/>
                                <w:color w:val="000000" w:themeColor="text1"/>
                              </w:rPr>
                              <w:t>Normalised Absolute Difference:</w:t>
                            </w:r>
                            <w:r>
                              <w:rPr>
                                <w:rFonts w:eastAsiaTheme="minorEastAsia"/>
                                <w:bCs/>
                                <w:color w:val="000000" w:themeColor="text1"/>
                              </w:rPr>
                              <w:tab/>
                            </w:r>
                            <m:oMath>
                              <m:r>
                                <m:rPr>
                                  <m:sty m:val="p"/>
                                </m:rPr>
                                <w:rPr>
                                  <w:rFonts w:ascii="Cambria Math" w:hAnsi="Cambria Math"/>
                                  <w:color w:val="000000" w:themeColor="text1"/>
                                  <w:sz w:val="28"/>
                                  <w:szCs w:val="28"/>
                                </w:rPr>
                                <m:t>NAD</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acc>
                                    <m:accPr>
                                      <m:chr m:val="̅"/>
                                      <m:ctrlPr>
                                        <w:rPr>
                                          <w:rFonts w:ascii="Cambria Math" w:hAnsi="Cambria Math"/>
                                          <w:bCs/>
                                          <w:i/>
                                          <w:color w:val="000000" w:themeColor="text1"/>
                                          <w:sz w:val="28"/>
                                          <w:szCs w:val="28"/>
                                        </w:rPr>
                                      </m:ctrlPr>
                                    </m:accPr>
                                    <m:e>
                                      <m:d>
                                        <m:dPr>
                                          <m:begChr m:val="|"/>
                                          <m:endChr m:val="|"/>
                                          <m:ctrlPr>
                                            <w:rPr>
                                              <w:rFonts w:ascii="Cambria Math" w:hAnsi="Cambria Math"/>
                                              <w:bCs/>
                                              <w:i/>
                                              <w:color w:val="000000" w:themeColor="text1"/>
                                              <w:sz w:val="28"/>
                                              <w:szCs w:val="28"/>
                                            </w:rPr>
                                          </m:ctrlPr>
                                        </m:d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d>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r>
                                        <w:rPr>
                                          <w:rFonts w:ascii="Cambria Math" w:hAnsi="Cambria Math"/>
                                          <w:color w:val="000000" w:themeColor="text1"/>
                                          <w:sz w:val="28"/>
                                          <w:szCs w:val="28"/>
                                        </w:rPr>
                                        <m:t>+</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638FE71E" w14:textId="40DD2E31" w:rsidR="00A17369" w:rsidRPr="00A17369" w:rsidRDefault="00A17369" w:rsidP="00BC1EF1">
                            <w:pPr>
                              <w:rPr>
                                <w:rFonts w:eastAsiaTheme="minorEastAsia"/>
                                <w:bCs/>
                                <w:color w:val="000000" w:themeColor="text1"/>
                              </w:rPr>
                            </w:pPr>
                            <w:r>
                              <w:rPr>
                                <w:rFonts w:eastAsiaTheme="minorEastAsia"/>
                                <w:bCs/>
                                <w:color w:val="000000" w:themeColor="text1"/>
                              </w:rPr>
                              <w:t xml:space="preserve">Here </w:t>
                            </w:r>
                            <m:oMath>
                              <m:sSub>
                                <m:sSubPr>
                                  <m:ctrlPr>
                                    <w:rPr>
                                      <w:rFonts w:ascii="Cambria Math" w:eastAsiaTheme="minorEastAsia" w:hAnsi="Cambria Math"/>
                                      <w:bCs/>
                                      <w:i/>
                                      <w:color w:val="000000" w:themeColor="text1"/>
                                    </w:rPr>
                                  </m:ctrlPr>
                                </m:sSubPr>
                                <m:e>
                                  <m:r>
                                    <w:rPr>
                                      <w:rFonts w:ascii="Cambria Math" w:eastAsiaTheme="minorEastAsia" w:hAnsi="Cambria Math"/>
                                      <w:color w:val="000000" w:themeColor="text1"/>
                                    </w:rPr>
                                    <m:t>C</m:t>
                                  </m:r>
                                </m:e>
                                <m:sub>
                                  <m:r>
                                    <w:rPr>
                                      <w:rFonts w:ascii="Cambria Math" w:eastAsiaTheme="minorEastAsia" w:hAnsi="Cambria Math"/>
                                      <w:color w:val="000000" w:themeColor="text1"/>
                                    </w:rPr>
                                    <m:t>o</m:t>
                                  </m:r>
                                </m:sub>
                              </m:sSub>
                            </m:oMath>
                            <w:r>
                              <w:rPr>
                                <w:rFonts w:eastAsiaTheme="minorEastAsia"/>
                                <w:bCs/>
                                <w:color w:val="000000" w:themeColor="text1"/>
                              </w:rPr>
                              <w:t xml:space="preserve"> is the measured, or observed, concentration and </w:t>
                            </w:r>
                            <m:oMath>
                              <m:sSub>
                                <m:sSubPr>
                                  <m:ctrlPr>
                                    <w:rPr>
                                      <w:rFonts w:ascii="Cambria Math" w:eastAsiaTheme="minorEastAsia" w:hAnsi="Cambria Math"/>
                                      <w:bCs/>
                                      <w:i/>
                                      <w:color w:val="000000" w:themeColor="text1"/>
                                    </w:rPr>
                                  </m:ctrlPr>
                                </m:sSubPr>
                                <m:e>
                                  <m:r>
                                    <w:rPr>
                                      <w:rFonts w:ascii="Cambria Math" w:eastAsiaTheme="minorEastAsia" w:hAnsi="Cambria Math"/>
                                      <w:color w:val="000000" w:themeColor="text1"/>
                                    </w:rPr>
                                    <m:t>C</m:t>
                                  </m:r>
                                </m:e>
                                <m:sub>
                                  <m:r>
                                    <w:rPr>
                                      <w:rFonts w:ascii="Cambria Math" w:eastAsiaTheme="minorEastAsia" w:hAnsi="Cambria Math"/>
                                      <w:color w:val="000000" w:themeColor="text1"/>
                                    </w:rPr>
                                    <m:t>p</m:t>
                                  </m:r>
                                </m:sub>
                              </m:sSub>
                            </m:oMath>
                            <w:r>
                              <w:rPr>
                                <w:rFonts w:eastAsiaTheme="minorEastAsia"/>
                                <w:bCs/>
                                <w:color w:val="000000" w:themeColor="text1"/>
                              </w:rPr>
                              <w:t xml:space="preserve"> is the modelled concentration. The overbar indicates that the mean is taken.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6ED4A6" id="_x0000_t202" coordsize="21600,21600" o:spt="202" path="m,l,21600r21600,l21600,xe">
                <v:stroke joinstyle="miter"/>
                <v:path gradientshapeok="t" o:connecttype="rect"/>
              </v:shapetype>
              <v:shape id="Text Box 25" o:spid="_x0000_s1027" type="#_x0000_t202" style="position:absolute;margin-left:2pt;margin-top:71.95pt;width:458.35pt;height:68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" o:allowoverlap="f" fillcolor="white [3201]" stroked="f" strokeweight=".5pt">
                <v:textbox>
                  <w:txbxContent>
                    <w:p w14:paraId="2FF70474" w14:textId="77777777" w:rsidR="00A17369" w:rsidRDefault="00BC1EF1" w:rsidP="00A17369">
                      <w:pPr>
                        <w:keepNext/>
                      </w:pPr>
                      <w:r>
                        <w:rPr>
                          <w:noProof/>
                        </w:rPr>
                        <w:drawing>
                          <wp:inline distT="0" distB="0" distL="0" distR="0" wp14:anchorId="049B9277" wp14:editId="0A332067">
                            <wp:extent cx="5602884" cy="4623516"/>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a:extLst>
                                        <a:ext uri="{28A0092B-C50C-407E-A947-70E740481C1C}">
                                          <a14:useLocalDpi xmlns:a14="http://schemas.microsoft.com/office/drawing/2010/main" val="0"/>
                                        </a:ext>
                                      </a:extLst>
                                    </a:blip>
                                    <a:stretch>
                                      <a:fillRect/>
                                    </a:stretch>
                                  </pic:blipFill>
                                  <pic:spPr>
                                    <a:xfrm>
                                      <a:off x="0" y="0"/>
                                      <a:ext cx="5619839" cy="4637507"/>
                                    </a:xfrm>
                                    <a:prstGeom prst="rect">
                                      <a:avLst/>
                                    </a:prstGeom>
                                  </pic:spPr>
                                </pic:pic>
                              </a:graphicData>
                            </a:graphic>
                          </wp:inline>
                        </w:drawing>
                      </w:r>
                    </w:p>
                    <w:p w14:paraId="7EBFEE75" w14:textId="448A21A3" w:rsidR="00BC1EF1" w:rsidRPr="00A17369" w:rsidRDefault="00A17369" w:rsidP="00A17369">
                      <w:pPr>
                        <w:pStyle w:val="Caption"/>
                        <w:jc w:val="center"/>
                        <w:rPr>
                          <w:b w:val="0"/>
                          <w:bCs w:val="0"/>
                          <w:i/>
                          <w:iCs/>
                          <w:szCs w:val="24"/>
                        </w:rPr>
                      </w:pPr>
                      <w:r w:rsidRPr="00A17369">
                        <w:rPr>
                          <w:i/>
                          <w:iCs/>
                          <w:szCs w:val="24"/>
                        </w:rPr>
                        <w:t>Figure S.</w:t>
                      </w:r>
                      <w:r w:rsidRPr="00A17369">
                        <w:rPr>
                          <w:i/>
                          <w:iCs/>
                          <w:szCs w:val="24"/>
                        </w:rPr>
                        <w:fldChar w:fldCharType="begin"/>
                      </w:r>
                      <w:r w:rsidRPr="00A17369">
                        <w:rPr>
                          <w:i/>
                          <w:iCs/>
                          <w:szCs w:val="24"/>
                        </w:rPr>
                        <w:instrText xml:space="preserve"> SEQ Figure \* ARABIC </w:instrText>
                      </w:r>
                      <w:r w:rsidRPr="00A17369">
                        <w:rPr>
                          <w:i/>
                          <w:iCs/>
                          <w:szCs w:val="24"/>
                        </w:rPr>
                        <w:fldChar w:fldCharType="separate"/>
                      </w:r>
                      <w:r w:rsidRPr="00A17369">
                        <w:rPr>
                          <w:i/>
                          <w:iCs/>
                          <w:noProof/>
                          <w:szCs w:val="24"/>
                        </w:rPr>
                        <w:t>2</w:t>
                      </w:r>
                      <w:r w:rsidRPr="00A17369">
                        <w:rPr>
                          <w:i/>
                          <w:iCs/>
                          <w:szCs w:val="24"/>
                        </w:rPr>
                        <w:fldChar w:fldCharType="end"/>
                      </w:r>
                      <w:r w:rsidRPr="00A17369">
                        <w:rPr>
                          <w:b w:val="0"/>
                          <w:bCs w:val="0"/>
                          <w:i/>
                          <w:iCs/>
                          <w:szCs w:val="24"/>
                        </w:rPr>
                        <w:t xml:space="preserve"> - Comparison modelled concentrations against AURN measurements for B2018</w:t>
                      </w:r>
                    </w:p>
                    <w:tbl>
                      <w:tblPr>
                        <w:tblW w:w="8760" w:type="dxa"/>
                        <w:tblLook w:val="04A0" w:firstRow="1" w:lastRow="0" w:firstColumn="1" w:lastColumn="0" w:noHBand="0" w:noVBand="1"/>
                      </w:tblPr>
                      <w:tblGrid>
                        <w:gridCol w:w="1514"/>
                        <w:gridCol w:w="1241"/>
                        <w:gridCol w:w="1015"/>
                        <w:gridCol w:w="1391"/>
                        <w:gridCol w:w="630"/>
                        <w:gridCol w:w="737"/>
                        <w:gridCol w:w="730"/>
                        <w:gridCol w:w="834"/>
                        <w:gridCol w:w="668"/>
                      </w:tblGrid>
                      <w:tr w:rsidR="00A17369" w:rsidRPr="00FD72E9" w14:paraId="6D42B081" w14:textId="77777777" w:rsidTr="00C81FAA">
                        <w:trPr>
                          <w:trHeight w:val="300"/>
                        </w:trPr>
                        <w:tc>
                          <w:tcPr>
                            <w:tcW w:w="8760" w:type="dxa"/>
                            <w:gridSpan w:val="9"/>
                            <w:tcBorders>
                              <w:top w:val="nil"/>
                              <w:left w:val="nil"/>
                              <w:bottom w:val="single" w:sz="8" w:space="0" w:color="auto"/>
                              <w:right w:val="nil"/>
                            </w:tcBorders>
                            <w:shd w:val="clear" w:color="auto" w:fill="auto"/>
                            <w:noWrap/>
                            <w:vAlign w:val="center"/>
                            <w:hideMark/>
                          </w:tcPr>
                          <w:p w14:paraId="24AF1EF0" w14:textId="5BCA96C1"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Table S.</w:t>
                            </w:r>
                            <w:r>
                              <w:rPr>
                                <w:rFonts w:ascii="Calibri" w:eastAsia="Times New Roman" w:hAnsi="Calibri" w:cs="Calibri"/>
                                <w:b/>
                                <w:bCs/>
                                <w:color w:val="000000"/>
                                <w:lang w:val="en-US" w:eastAsia="en-GB"/>
                              </w:rPr>
                              <w:t>1</w:t>
                            </w:r>
                            <w:r w:rsidRPr="00FD72E9">
                              <w:rPr>
                                <w:rFonts w:ascii="Calibri" w:eastAsia="Times New Roman" w:hAnsi="Calibri" w:cs="Calibri"/>
                                <w:b/>
                                <w:bCs/>
                                <w:color w:val="000000"/>
                                <w:lang w:val="en-US" w:eastAsia="en-GB"/>
                              </w:rPr>
                              <w:t xml:space="preserve"> -</w:t>
                            </w:r>
                            <w:r w:rsidRPr="00FD72E9">
                              <w:rPr>
                                <w:rFonts w:ascii="Calibri" w:eastAsia="Times New Roman" w:hAnsi="Calibri" w:cs="Calibri"/>
                                <w:color w:val="000000"/>
                                <w:lang w:val="en-US" w:eastAsia="en-GB"/>
                              </w:rPr>
                              <w:t xml:space="preserve"> (B2018) Statistical comparison at monitoring locations</w:t>
                            </w:r>
                            <w:r>
                              <w:rPr>
                                <w:rFonts w:ascii="Calibri" w:eastAsia="Times New Roman" w:hAnsi="Calibri" w:cs="Calibri"/>
                                <w:color w:val="000000"/>
                                <w:lang w:val="en-US" w:eastAsia="en-GB"/>
                              </w:rPr>
                              <w:t xml:space="preserve">. </w:t>
                            </w:r>
                            <w:r w:rsidRPr="00F52AD7">
                              <w:rPr>
                                <w:rFonts w:ascii="Calibri" w:eastAsia="Times New Roman" w:hAnsi="Calibri" w:cs="Calibri"/>
                                <w:color w:val="000000"/>
                                <w:lang w:eastAsia="en-GB"/>
                              </w:rPr>
                              <w:t>N=number of measurements, Obs.=mean of all measurements, Mod.=mean of all modelled concentrations, r=Pearson correlation, FAC2=fraction of modelled values within a factor 2 of measured value, NMSE=Normalised Mean-Square Error, RMSE=Root Mean-Square Error, NAD=Normalised absolute difference.</w:t>
                            </w:r>
                          </w:p>
                        </w:tc>
                      </w:tr>
                      <w:tr w:rsidR="00A17369" w:rsidRPr="00FD72E9" w14:paraId="73CDA7F8" w14:textId="77777777" w:rsidTr="00C81FAA">
                        <w:trPr>
                          <w:trHeight w:val="300"/>
                        </w:trPr>
                        <w:tc>
                          <w:tcPr>
                            <w:tcW w:w="1514" w:type="dxa"/>
                            <w:tcBorders>
                              <w:top w:val="nil"/>
                              <w:left w:val="nil"/>
                              <w:bottom w:val="single" w:sz="8" w:space="0" w:color="auto"/>
                              <w:right w:val="nil"/>
                            </w:tcBorders>
                            <w:shd w:val="clear" w:color="auto" w:fill="auto"/>
                            <w:noWrap/>
                            <w:vAlign w:val="center"/>
                            <w:hideMark/>
                          </w:tcPr>
                          <w:p w14:paraId="327A4478"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Model</w:t>
                            </w:r>
                          </w:p>
                        </w:tc>
                        <w:tc>
                          <w:tcPr>
                            <w:tcW w:w="1241" w:type="dxa"/>
                            <w:tcBorders>
                              <w:top w:val="nil"/>
                              <w:left w:val="nil"/>
                              <w:bottom w:val="single" w:sz="8" w:space="0" w:color="auto"/>
                              <w:right w:val="nil"/>
                            </w:tcBorders>
                            <w:shd w:val="clear" w:color="auto" w:fill="auto"/>
                            <w:vAlign w:val="center"/>
                            <w:hideMark/>
                          </w:tcPr>
                          <w:p w14:paraId="17A16FF6"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N</w:t>
                            </w:r>
                          </w:p>
                        </w:tc>
                        <w:tc>
                          <w:tcPr>
                            <w:tcW w:w="1015" w:type="dxa"/>
                            <w:tcBorders>
                              <w:top w:val="nil"/>
                              <w:left w:val="nil"/>
                              <w:bottom w:val="single" w:sz="8" w:space="0" w:color="auto"/>
                              <w:right w:val="nil"/>
                            </w:tcBorders>
                            <w:shd w:val="clear" w:color="auto" w:fill="auto"/>
                            <w:noWrap/>
                            <w:vAlign w:val="center"/>
                            <w:hideMark/>
                          </w:tcPr>
                          <w:p w14:paraId="2750E4F8"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UKIAM</w:t>
                            </w:r>
                          </w:p>
                        </w:tc>
                        <w:tc>
                          <w:tcPr>
                            <w:tcW w:w="1391" w:type="dxa"/>
                            <w:tcBorders>
                              <w:top w:val="nil"/>
                              <w:left w:val="nil"/>
                              <w:bottom w:val="single" w:sz="8" w:space="0" w:color="auto"/>
                              <w:right w:val="nil"/>
                            </w:tcBorders>
                            <w:shd w:val="clear" w:color="auto" w:fill="auto"/>
                            <w:noWrap/>
                            <w:vAlign w:val="center"/>
                            <w:hideMark/>
                          </w:tcPr>
                          <w:p w14:paraId="656CC53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EMEP4UK</w:t>
                            </w:r>
                          </w:p>
                        </w:tc>
                        <w:tc>
                          <w:tcPr>
                            <w:tcW w:w="630" w:type="dxa"/>
                            <w:tcBorders>
                              <w:top w:val="nil"/>
                              <w:left w:val="nil"/>
                              <w:bottom w:val="single" w:sz="8" w:space="0" w:color="auto"/>
                              <w:right w:val="nil"/>
                            </w:tcBorders>
                            <w:shd w:val="clear" w:color="auto" w:fill="auto"/>
                            <w:noWrap/>
                            <w:vAlign w:val="center"/>
                            <w:hideMark/>
                          </w:tcPr>
                          <w:p w14:paraId="18D61DD5"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r</w:t>
                            </w:r>
                          </w:p>
                        </w:tc>
                        <w:tc>
                          <w:tcPr>
                            <w:tcW w:w="737" w:type="dxa"/>
                            <w:tcBorders>
                              <w:top w:val="nil"/>
                              <w:left w:val="nil"/>
                              <w:bottom w:val="single" w:sz="8" w:space="0" w:color="auto"/>
                              <w:right w:val="nil"/>
                            </w:tcBorders>
                            <w:shd w:val="clear" w:color="auto" w:fill="auto"/>
                            <w:noWrap/>
                            <w:vAlign w:val="center"/>
                            <w:hideMark/>
                          </w:tcPr>
                          <w:p w14:paraId="694321DC"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FAC2</w:t>
                            </w:r>
                          </w:p>
                        </w:tc>
                        <w:tc>
                          <w:tcPr>
                            <w:tcW w:w="730" w:type="dxa"/>
                            <w:tcBorders>
                              <w:top w:val="nil"/>
                              <w:left w:val="nil"/>
                              <w:bottom w:val="single" w:sz="8" w:space="0" w:color="auto"/>
                              <w:right w:val="nil"/>
                            </w:tcBorders>
                            <w:shd w:val="clear" w:color="auto" w:fill="auto"/>
                            <w:noWrap/>
                            <w:vAlign w:val="center"/>
                            <w:hideMark/>
                          </w:tcPr>
                          <w:p w14:paraId="4F76D89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FB</w:t>
                            </w:r>
                          </w:p>
                        </w:tc>
                        <w:tc>
                          <w:tcPr>
                            <w:tcW w:w="834" w:type="dxa"/>
                            <w:tcBorders>
                              <w:top w:val="nil"/>
                              <w:left w:val="nil"/>
                              <w:bottom w:val="single" w:sz="8" w:space="0" w:color="auto"/>
                              <w:right w:val="nil"/>
                            </w:tcBorders>
                            <w:shd w:val="clear" w:color="auto" w:fill="auto"/>
                            <w:noWrap/>
                            <w:vAlign w:val="center"/>
                            <w:hideMark/>
                          </w:tcPr>
                          <w:p w14:paraId="1D5F6F93"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RMSE</w:t>
                            </w:r>
                          </w:p>
                        </w:tc>
                        <w:tc>
                          <w:tcPr>
                            <w:tcW w:w="668" w:type="dxa"/>
                            <w:tcBorders>
                              <w:top w:val="nil"/>
                              <w:left w:val="nil"/>
                              <w:bottom w:val="single" w:sz="8" w:space="0" w:color="auto"/>
                              <w:right w:val="nil"/>
                            </w:tcBorders>
                            <w:shd w:val="clear" w:color="auto" w:fill="auto"/>
                            <w:noWrap/>
                            <w:vAlign w:val="center"/>
                            <w:hideMark/>
                          </w:tcPr>
                          <w:p w14:paraId="71480AA7" w14:textId="77777777" w:rsidR="00A17369" w:rsidRPr="00FD72E9" w:rsidRDefault="00A17369" w:rsidP="00A17369">
                            <w:pPr>
                              <w:spacing w:after="0" w:line="240" w:lineRule="auto"/>
                              <w:jc w:val="center"/>
                              <w:rPr>
                                <w:rFonts w:ascii="Calibri" w:eastAsia="Times New Roman" w:hAnsi="Calibri" w:cs="Calibri"/>
                                <w:b/>
                                <w:bCs/>
                                <w:color w:val="000000"/>
                                <w:lang w:eastAsia="en-GB"/>
                              </w:rPr>
                            </w:pPr>
                            <w:r w:rsidRPr="00FD72E9">
                              <w:rPr>
                                <w:rFonts w:ascii="Calibri" w:eastAsia="Times New Roman" w:hAnsi="Calibri" w:cs="Calibri"/>
                                <w:b/>
                                <w:bCs/>
                                <w:color w:val="000000"/>
                                <w:lang w:val="en-US" w:eastAsia="en-GB"/>
                              </w:rPr>
                              <w:t>NAD</w:t>
                            </w:r>
                          </w:p>
                        </w:tc>
                      </w:tr>
                      <w:tr w:rsidR="00A17369" w:rsidRPr="00FD72E9" w14:paraId="2681C181" w14:textId="77777777" w:rsidTr="00C81FAA">
                        <w:trPr>
                          <w:trHeight w:val="324"/>
                        </w:trPr>
                        <w:tc>
                          <w:tcPr>
                            <w:tcW w:w="1514" w:type="dxa"/>
                            <w:tcBorders>
                              <w:top w:val="nil"/>
                              <w:left w:val="nil"/>
                              <w:bottom w:val="single" w:sz="8" w:space="0" w:color="auto"/>
                              <w:right w:val="nil"/>
                            </w:tcBorders>
                            <w:shd w:val="clear" w:color="auto" w:fill="auto"/>
                            <w:noWrap/>
                            <w:vAlign w:val="center"/>
                            <w:hideMark/>
                          </w:tcPr>
                          <w:p w14:paraId="33B1C650" w14:textId="77777777" w:rsidR="00A17369" w:rsidRPr="00FD72E9" w:rsidRDefault="00A17369" w:rsidP="00A17369">
                            <w:pPr>
                              <w:spacing w:after="0" w:line="240" w:lineRule="auto"/>
                              <w:rPr>
                                <w:rFonts w:ascii="Calibri" w:eastAsia="Times New Roman" w:hAnsi="Calibri" w:cs="Calibri"/>
                                <w:color w:val="000000"/>
                                <w:lang w:eastAsia="en-GB"/>
                              </w:rPr>
                            </w:pPr>
                            <w:r w:rsidRPr="00FD72E9">
                              <w:rPr>
                                <w:rFonts w:ascii="Calibri" w:eastAsia="Times New Roman" w:hAnsi="Calibri" w:cs="Calibri"/>
                                <w:color w:val="000000"/>
                                <w:lang w:val="en-US" w:eastAsia="en-GB"/>
                              </w:rPr>
                              <w:t>Total PM</w:t>
                            </w:r>
                            <w:r w:rsidRPr="00FD72E9">
                              <w:rPr>
                                <w:rFonts w:ascii="Calibri" w:eastAsia="Times New Roman" w:hAnsi="Calibri" w:cs="Calibri"/>
                                <w:color w:val="000000"/>
                                <w:vertAlign w:val="subscript"/>
                                <w:lang w:val="en-US" w:eastAsia="en-GB"/>
                              </w:rPr>
                              <w:t>2.5</w:t>
                            </w:r>
                          </w:p>
                        </w:tc>
                        <w:tc>
                          <w:tcPr>
                            <w:tcW w:w="1241" w:type="dxa"/>
                            <w:tcBorders>
                              <w:top w:val="nil"/>
                              <w:left w:val="nil"/>
                              <w:bottom w:val="single" w:sz="8" w:space="0" w:color="auto"/>
                              <w:right w:val="nil"/>
                            </w:tcBorders>
                            <w:shd w:val="clear" w:color="auto" w:fill="auto"/>
                            <w:vAlign w:val="center"/>
                            <w:hideMark/>
                          </w:tcPr>
                          <w:p w14:paraId="4611B039"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51</w:t>
                            </w:r>
                          </w:p>
                        </w:tc>
                        <w:tc>
                          <w:tcPr>
                            <w:tcW w:w="1015" w:type="dxa"/>
                            <w:tcBorders>
                              <w:top w:val="nil"/>
                              <w:left w:val="nil"/>
                              <w:bottom w:val="single" w:sz="8" w:space="0" w:color="auto"/>
                              <w:right w:val="nil"/>
                            </w:tcBorders>
                            <w:shd w:val="clear" w:color="auto" w:fill="auto"/>
                            <w:noWrap/>
                            <w:vAlign w:val="center"/>
                            <w:hideMark/>
                          </w:tcPr>
                          <w:p w14:paraId="2FA24749"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9.41</w:t>
                            </w:r>
                          </w:p>
                        </w:tc>
                        <w:tc>
                          <w:tcPr>
                            <w:tcW w:w="1391" w:type="dxa"/>
                            <w:tcBorders>
                              <w:top w:val="nil"/>
                              <w:left w:val="nil"/>
                              <w:bottom w:val="single" w:sz="8" w:space="0" w:color="auto"/>
                              <w:right w:val="nil"/>
                            </w:tcBorders>
                            <w:shd w:val="clear" w:color="auto" w:fill="auto"/>
                            <w:noWrap/>
                            <w:vAlign w:val="center"/>
                            <w:hideMark/>
                          </w:tcPr>
                          <w:p w14:paraId="7F95876B"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9.43</w:t>
                            </w:r>
                          </w:p>
                        </w:tc>
                        <w:tc>
                          <w:tcPr>
                            <w:tcW w:w="630" w:type="dxa"/>
                            <w:tcBorders>
                              <w:top w:val="nil"/>
                              <w:left w:val="nil"/>
                              <w:bottom w:val="single" w:sz="8" w:space="0" w:color="auto"/>
                              <w:right w:val="nil"/>
                            </w:tcBorders>
                            <w:shd w:val="clear" w:color="auto" w:fill="auto"/>
                            <w:noWrap/>
                            <w:vAlign w:val="center"/>
                            <w:hideMark/>
                          </w:tcPr>
                          <w:p w14:paraId="26791426"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0.83</w:t>
                            </w:r>
                          </w:p>
                        </w:tc>
                        <w:tc>
                          <w:tcPr>
                            <w:tcW w:w="737" w:type="dxa"/>
                            <w:tcBorders>
                              <w:top w:val="nil"/>
                              <w:left w:val="nil"/>
                              <w:bottom w:val="single" w:sz="8" w:space="0" w:color="auto"/>
                              <w:right w:val="nil"/>
                            </w:tcBorders>
                            <w:shd w:val="clear" w:color="auto" w:fill="auto"/>
                            <w:noWrap/>
                            <w:vAlign w:val="center"/>
                            <w:hideMark/>
                          </w:tcPr>
                          <w:p w14:paraId="0E06CE73"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1</w:t>
                            </w:r>
                          </w:p>
                        </w:tc>
                        <w:tc>
                          <w:tcPr>
                            <w:tcW w:w="730" w:type="dxa"/>
                            <w:tcBorders>
                              <w:top w:val="nil"/>
                              <w:left w:val="nil"/>
                              <w:bottom w:val="single" w:sz="8" w:space="0" w:color="auto"/>
                              <w:right w:val="nil"/>
                            </w:tcBorders>
                            <w:shd w:val="clear" w:color="auto" w:fill="auto"/>
                            <w:noWrap/>
                            <w:vAlign w:val="center"/>
                            <w:hideMark/>
                          </w:tcPr>
                          <w:p w14:paraId="362AC0AF"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w:t>
                            </w:r>
                          </w:p>
                        </w:tc>
                        <w:tc>
                          <w:tcPr>
                            <w:tcW w:w="834" w:type="dxa"/>
                            <w:tcBorders>
                              <w:top w:val="nil"/>
                              <w:left w:val="nil"/>
                              <w:bottom w:val="single" w:sz="8" w:space="0" w:color="auto"/>
                              <w:right w:val="nil"/>
                            </w:tcBorders>
                            <w:shd w:val="clear" w:color="auto" w:fill="auto"/>
                            <w:noWrap/>
                            <w:vAlign w:val="center"/>
                            <w:hideMark/>
                          </w:tcPr>
                          <w:p w14:paraId="212EC82D"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1.09</w:t>
                            </w:r>
                          </w:p>
                        </w:tc>
                        <w:tc>
                          <w:tcPr>
                            <w:tcW w:w="668" w:type="dxa"/>
                            <w:tcBorders>
                              <w:top w:val="nil"/>
                              <w:left w:val="nil"/>
                              <w:bottom w:val="single" w:sz="8" w:space="0" w:color="auto"/>
                              <w:right w:val="nil"/>
                            </w:tcBorders>
                            <w:shd w:val="clear" w:color="auto" w:fill="auto"/>
                            <w:noWrap/>
                            <w:vAlign w:val="center"/>
                            <w:hideMark/>
                          </w:tcPr>
                          <w:p w14:paraId="1AC22E95" w14:textId="77777777" w:rsidR="00A17369" w:rsidRPr="00FD72E9" w:rsidRDefault="00A17369" w:rsidP="00A17369">
                            <w:pPr>
                              <w:spacing w:after="0" w:line="240" w:lineRule="auto"/>
                              <w:jc w:val="right"/>
                              <w:rPr>
                                <w:rFonts w:ascii="Calibri" w:eastAsia="Times New Roman" w:hAnsi="Calibri" w:cs="Calibri"/>
                                <w:color w:val="000000"/>
                                <w:lang w:eastAsia="en-GB"/>
                              </w:rPr>
                            </w:pPr>
                            <w:r w:rsidRPr="00FD72E9">
                              <w:rPr>
                                <w:rFonts w:ascii="Calibri" w:eastAsia="Times New Roman" w:hAnsi="Calibri" w:cs="Calibri"/>
                                <w:color w:val="000000"/>
                                <w:lang w:val="en-US" w:eastAsia="en-GB"/>
                              </w:rPr>
                              <w:t>0.04</w:t>
                            </w:r>
                          </w:p>
                        </w:tc>
                      </w:tr>
                    </w:tbl>
                    <w:p w14:paraId="242BFCD6" w14:textId="6C145864" w:rsidR="00BC1EF1" w:rsidRDefault="00BC1EF1" w:rsidP="00BC1EF1"/>
                    <w:p w14:paraId="479FE93A" w14:textId="1FAEC4A7" w:rsidR="00A17369" w:rsidRPr="00A17369" w:rsidRDefault="00A17369" w:rsidP="00A17369">
                      <w:pPr>
                        <w:rPr>
                          <w:rFonts w:eastAsiaTheme="minorEastAsia"/>
                          <w:bCs/>
                          <w:color w:val="000000" w:themeColor="text1"/>
                          <w:sz w:val="28"/>
                          <w:szCs w:val="28"/>
                        </w:rPr>
                      </w:pPr>
                      <w:r>
                        <w:rPr>
                          <w:bCs/>
                          <w:color w:val="000000" w:themeColor="text1"/>
                        </w:rPr>
                        <w:t>Fractional bias (FB):</w:t>
                      </w:r>
                      <w:r>
                        <w:rPr>
                          <w:bCs/>
                          <w:color w:val="000000" w:themeColor="text1"/>
                        </w:rPr>
                        <w:tab/>
                      </w:r>
                      <w:r>
                        <w:rPr>
                          <w:bCs/>
                          <w:color w:val="000000" w:themeColor="text1"/>
                        </w:rPr>
                        <w:tab/>
                      </w:r>
                      <w:r w:rsidRPr="00A17369">
                        <w:rPr>
                          <w:bCs/>
                          <w:color w:val="000000" w:themeColor="text1"/>
                          <w:sz w:val="28"/>
                          <w:szCs w:val="28"/>
                        </w:rPr>
                        <w:tab/>
                      </w:r>
                      <m:oMath>
                        <m:r>
                          <m:rPr>
                            <m:sty m:val="p"/>
                          </m:rPr>
                          <w:rPr>
                            <w:rFonts w:ascii="Cambria Math" w:hAnsi="Cambria Math"/>
                            <w:color w:val="000000" w:themeColor="text1"/>
                            <w:sz w:val="28"/>
                            <w:szCs w:val="28"/>
                          </w:rPr>
                          <m:t>FB</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r>
                              <w:rPr>
                                <w:rFonts w:ascii="Cambria Math" w:hAnsi="Cambria Math"/>
                                <w:color w:val="000000" w:themeColor="text1"/>
                                <w:sz w:val="28"/>
                                <w:szCs w:val="28"/>
                              </w:rPr>
                              <m:t>2</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r>
                                  <w:rPr>
                                    <w:rFonts w:ascii="Cambria Math" w:hAnsi="Cambria Math"/>
                                    <w:color w:val="000000" w:themeColor="text1"/>
                                    <w:sz w:val="28"/>
                                    <w:szCs w:val="28"/>
                                  </w:rPr>
                                  <m:t>+</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46C712AE" w14:textId="448A7BC0" w:rsidR="00A17369" w:rsidRPr="00A17369" w:rsidRDefault="00A17369" w:rsidP="00A17369">
                      <w:pPr>
                        <w:rPr>
                          <w:rFonts w:eastAsiaTheme="minorEastAsia"/>
                          <w:bCs/>
                          <w:color w:val="000000" w:themeColor="text1"/>
                          <w:sz w:val="28"/>
                          <w:szCs w:val="28"/>
                        </w:rPr>
                      </w:pPr>
                      <w:r>
                        <w:rPr>
                          <w:rFonts w:eastAsiaTheme="minorEastAsia"/>
                          <w:bCs/>
                          <w:color w:val="000000" w:themeColor="text1"/>
                        </w:rPr>
                        <w:t>Normalised Mean-Square Error:</w:t>
                      </w:r>
                      <w:r>
                        <w:rPr>
                          <w:rFonts w:eastAsiaTheme="minorEastAsia"/>
                          <w:bCs/>
                          <w:color w:val="000000" w:themeColor="text1"/>
                        </w:rPr>
                        <w:tab/>
                      </w:r>
                      <w:r>
                        <w:rPr>
                          <w:rFonts w:eastAsiaTheme="minorEastAsia"/>
                          <w:bCs/>
                          <w:color w:val="000000" w:themeColor="text1"/>
                        </w:rPr>
                        <w:tab/>
                      </w:r>
                      <m:oMath>
                        <m:r>
                          <m:rPr>
                            <m:sty m:val="p"/>
                          </m:rPr>
                          <w:rPr>
                            <w:rFonts w:ascii="Cambria Math" w:hAnsi="Cambria Math"/>
                            <w:color w:val="000000" w:themeColor="text1"/>
                            <w:sz w:val="28"/>
                            <w:szCs w:val="28"/>
                          </w:rPr>
                          <m:t>NMSE</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acc>
                              <m:accPr>
                                <m:chr m:val="̅"/>
                                <m:ctrlPr>
                                  <w:rPr>
                                    <w:rFonts w:ascii="Cambria Math" w:hAnsi="Cambria Math"/>
                                    <w:bCs/>
                                    <w:i/>
                                    <w:color w:val="000000" w:themeColor="text1"/>
                                    <w:sz w:val="28"/>
                                    <w:szCs w:val="28"/>
                                  </w:rPr>
                                </m:ctrlPr>
                              </m:accPr>
                              <m:e>
                                <m:sSup>
                                  <m:sSupPr>
                                    <m:ctrlPr>
                                      <w:rPr>
                                        <w:rFonts w:ascii="Cambria Math" w:hAnsi="Cambria Math"/>
                                        <w:bCs/>
                                        <w:i/>
                                        <w:color w:val="000000" w:themeColor="text1"/>
                                        <w:sz w:val="28"/>
                                        <w:szCs w:val="28"/>
                                      </w:rPr>
                                    </m:ctrlPr>
                                  </m:sSupPr>
                                  <m:e>
                                    <m:d>
                                      <m:dPr>
                                        <m:ctrlPr>
                                          <w:rPr>
                                            <w:rFonts w:ascii="Cambria Math" w:hAnsi="Cambria Math"/>
                                            <w:bCs/>
                                            <w:i/>
                                            <w:color w:val="000000" w:themeColor="text1"/>
                                            <w:sz w:val="28"/>
                                            <w:szCs w:val="28"/>
                                          </w:rPr>
                                        </m:ctrlPr>
                                      </m:d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d>
                                  </m:e>
                                  <m:sup>
                                    <m:r>
                                      <w:rPr>
                                        <w:rFonts w:ascii="Cambria Math" w:hAnsi="Cambria Math"/>
                                        <w:color w:val="000000" w:themeColor="text1"/>
                                        <w:sz w:val="28"/>
                                        <w:szCs w:val="28"/>
                                      </w:rPr>
                                      <m:t>2</m:t>
                                    </m:r>
                                  </m:sup>
                                </m:sSup>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36B60DE1" w14:textId="4DCADBB5" w:rsidR="00A17369" w:rsidRPr="00A17369" w:rsidRDefault="00A17369" w:rsidP="00A17369">
                      <w:pPr>
                        <w:rPr>
                          <w:rFonts w:eastAsiaTheme="minorEastAsia"/>
                          <w:bCs/>
                          <w:color w:val="000000" w:themeColor="text1"/>
                          <w:sz w:val="28"/>
                          <w:szCs w:val="28"/>
                        </w:rPr>
                      </w:pPr>
                      <w:r>
                        <w:rPr>
                          <w:rFonts w:eastAsiaTheme="minorEastAsia"/>
                          <w:bCs/>
                          <w:color w:val="000000" w:themeColor="text1"/>
                        </w:rPr>
                        <w:t>Normalised Absolute Difference:</w:t>
                      </w:r>
                      <w:r>
                        <w:rPr>
                          <w:rFonts w:eastAsiaTheme="minorEastAsia"/>
                          <w:bCs/>
                          <w:color w:val="000000" w:themeColor="text1"/>
                        </w:rPr>
                        <w:tab/>
                      </w:r>
                      <m:oMath>
                        <m:r>
                          <m:rPr>
                            <m:sty m:val="p"/>
                          </m:rPr>
                          <w:rPr>
                            <w:rFonts w:ascii="Cambria Math" w:hAnsi="Cambria Math"/>
                            <w:color w:val="000000" w:themeColor="text1"/>
                            <w:sz w:val="28"/>
                            <w:szCs w:val="28"/>
                          </w:rPr>
                          <m:t>NAD</m:t>
                        </m:r>
                        <m:r>
                          <w:rPr>
                            <w:rFonts w:ascii="Cambria Math" w:hAnsi="Cambria Math"/>
                            <w:color w:val="000000" w:themeColor="text1"/>
                            <w:sz w:val="28"/>
                            <w:szCs w:val="28"/>
                          </w:rPr>
                          <m:t>=</m:t>
                        </m:r>
                        <m:f>
                          <m:fPr>
                            <m:ctrlPr>
                              <w:rPr>
                                <w:rFonts w:ascii="Cambria Math" w:hAnsi="Cambria Math"/>
                                <w:bCs/>
                                <w:i/>
                                <w:color w:val="000000" w:themeColor="text1"/>
                                <w:sz w:val="28"/>
                                <w:szCs w:val="28"/>
                              </w:rPr>
                            </m:ctrlPr>
                          </m:fPr>
                          <m:num>
                            <m:acc>
                              <m:accPr>
                                <m:chr m:val="̅"/>
                                <m:ctrlPr>
                                  <w:rPr>
                                    <w:rFonts w:ascii="Cambria Math" w:hAnsi="Cambria Math"/>
                                    <w:bCs/>
                                    <w:i/>
                                    <w:color w:val="000000" w:themeColor="text1"/>
                                    <w:sz w:val="28"/>
                                    <w:szCs w:val="28"/>
                                  </w:rPr>
                                </m:ctrlPr>
                              </m:accPr>
                              <m:e>
                                <m:d>
                                  <m:dPr>
                                    <m:begChr m:val="|"/>
                                    <m:endChr m:val="|"/>
                                    <m:ctrlPr>
                                      <w:rPr>
                                        <w:rFonts w:ascii="Cambria Math" w:hAnsi="Cambria Math"/>
                                        <w:bCs/>
                                        <w:i/>
                                        <w:color w:val="000000" w:themeColor="text1"/>
                                        <w:sz w:val="28"/>
                                        <w:szCs w:val="28"/>
                                      </w:rPr>
                                    </m:ctrlPr>
                                  </m:d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r>
                                      <w:rPr>
                                        <w:rFonts w:ascii="Cambria Math" w:hAnsi="Cambria Math"/>
                                        <w:color w:val="000000" w:themeColor="text1"/>
                                        <w:sz w:val="28"/>
                                        <w:szCs w:val="28"/>
                                      </w:rPr>
                                      <m:t>-</m:t>
                                    </m:r>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d>
                              </m:e>
                            </m:acc>
                          </m:num>
                          <m:den>
                            <m:d>
                              <m:dPr>
                                <m:ctrlPr>
                                  <w:rPr>
                                    <w:rFonts w:ascii="Cambria Math" w:hAnsi="Cambria Math"/>
                                    <w:bCs/>
                                    <w:i/>
                                    <w:color w:val="000000" w:themeColor="text1"/>
                                    <w:sz w:val="28"/>
                                    <w:szCs w:val="28"/>
                                  </w:rPr>
                                </m:ctrlPr>
                              </m:dPr>
                              <m:e>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o</m:t>
                                        </m:r>
                                      </m:sub>
                                    </m:sSub>
                                  </m:e>
                                </m:acc>
                                <m:r>
                                  <w:rPr>
                                    <w:rFonts w:ascii="Cambria Math" w:hAnsi="Cambria Math"/>
                                    <w:color w:val="000000" w:themeColor="text1"/>
                                    <w:sz w:val="28"/>
                                    <w:szCs w:val="28"/>
                                  </w:rPr>
                                  <m:t>+</m:t>
                                </m:r>
                                <m:acc>
                                  <m:accPr>
                                    <m:chr m:val="̅"/>
                                    <m:ctrlPr>
                                      <w:rPr>
                                        <w:rFonts w:ascii="Cambria Math" w:hAnsi="Cambria Math"/>
                                        <w:bCs/>
                                        <w:i/>
                                        <w:color w:val="000000" w:themeColor="text1"/>
                                        <w:sz w:val="28"/>
                                        <w:szCs w:val="28"/>
                                      </w:rPr>
                                    </m:ctrlPr>
                                  </m:accPr>
                                  <m:e>
                                    <m:sSub>
                                      <m:sSubPr>
                                        <m:ctrlPr>
                                          <w:rPr>
                                            <w:rFonts w:ascii="Cambria Math" w:hAnsi="Cambria Math"/>
                                            <w:bCs/>
                                            <w:i/>
                                            <w:color w:val="000000" w:themeColor="text1"/>
                                            <w:sz w:val="28"/>
                                            <w:szCs w:val="28"/>
                                          </w:rPr>
                                        </m:ctrlPr>
                                      </m:sSubPr>
                                      <m:e>
                                        <m:r>
                                          <w:rPr>
                                            <w:rFonts w:ascii="Cambria Math" w:hAnsi="Cambria Math"/>
                                            <w:color w:val="000000" w:themeColor="text1"/>
                                            <w:sz w:val="28"/>
                                            <w:szCs w:val="28"/>
                                          </w:rPr>
                                          <m:t>C</m:t>
                                        </m:r>
                                      </m:e>
                                      <m:sub>
                                        <m:r>
                                          <w:rPr>
                                            <w:rFonts w:ascii="Cambria Math" w:hAnsi="Cambria Math"/>
                                            <w:color w:val="000000" w:themeColor="text1"/>
                                            <w:sz w:val="28"/>
                                            <w:szCs w:val="28"/>
                                          </w:rPr>
                                          <m:t>p</m:t>
                                        </m:r>
                                      </m:sub>
                                    </m:sSub>
                                  </m:e>
                                </m:acc>
                              </m:e>
                            </m:d>
                          </m:den>
                        </m:f>
                        <m:r>
                          <w:rPr>
                            <w:rFonts w:ascii="Cambria Math" w:hAnsi="Cambria Math"/>
                            <w:color w:val="000000" w:themeColor="text1"/>
                            <w:sz w:val="28"/>
                            <w:szCs w:val="28"/>
                          </w:rPr>
                          <m:t xml:space="preserve"> </m:t>
                        </m:r>
                      </m:oMath>
                    </w:p>
                    <w:p w14:paraId="638FE71E" w14:textId="40DD2E31" w:rsidR="00A17369" w:rsidRPr="00A17369" w:rsidRDefault="00A17369" w:rsidP="00BC1EF1">
                      <w:pPr>
                        <w:rPr>
                          <w:rFonts w:eastAsiaTheme="minorEastAsia"/>
                          <w:bCs/>
                          <w:color w:val="000000" w:themeColor="text1"/>
                        </w:rPr>
                      </w:pPr>
                      <w:r>
                        <w:rPr>
                          <w:rFonts w:eastAsiaTheme="minorEastAsia"/>
                          <w:bCs/>
                          <w:color w:val="000000" w:themeColor="text1"/>
                        </w:rPr>
                        <w:t xml:space="preserve">Here </w:t>
                      </w:r>
                      <m:oMath>
                        <m:sSub>
                          <m:sSubPr>
                            <m:ctrlPr>
                              <w:rPr>
                                <w:rFonts w:ascii="Cambria Math" w:eastAsiaTheme="minorEastAsia" w:hAnsi="Cambria Math"/>
                                <w:bCs/>
                                <w:i/>
                                <w:color w:val="000000" w:themeColor="text1"/>
                              </w:rPr>
                            </m:ctrlPr>
                          </m:sSubPr>
                          <m:e>
                            <m:r>
                              <w:rPr>
                                <w:rFonts w:ascii="Cambria Math" w:eastAsiaTheme="minorEastAsia" w:hAnsi="Cambria Math"/>
                                <w:color w:val="000000" w:themeColor="text1"/>
                              </w:rPr>
                              <m:t>C</m:t>
                            </m:r>
                          </m:e>
                          <m:sub>
                            <m:r>
                              <w:rPr>
                                <w:rFonts w:ascii="Cambria Math" w:eastAsiaTheme="minorEastAsia" w:hAnsi="Cambria Math"/>
                                <w:color w:val="000000" w:themeColor="text1"/>
                              </w:rPr>
                              <m:t>o</m:t>
                            </m:r>
                          </m:sub>
                        </m:sSub>
                      </m:oMath>
                      <w:r>
                        <w:rPr>
                          <w:rFonts w:eastAsiaTheme="minorEastAsia"/>
                          <w:bCs/>
                          <w:color w:val="000000" w:themeColor="text1"/>
                        </w:rPr>
                        <w:t xml:space="preserve"> is the measured, or observed, concentration and </w:t>
                      </w:r>
                      <m:oMath>
                        <m:sSub>
                          <m:sSubPr>
                            <m:ctrlPr>
                              <w:rPr>
                                <w:rFonts w:ascii="Cambria Math" w:eastAsiaTheme="minorEastAsia" w:hAnsi="Cambria Math"/>
                                <w:bCs/>
                                <w:i/>
                                <w:color w:val="000000" w:themeColor="text1"/>
                              </w:rPr>
                            </m:ctrlPr>
                          </m:sSubPr>
                          <m:e>
                            <m:r>
                              <w:rPr>
                                <w:rFonts w:ascii="Cambria Math" w:eastAsiaTheme="minorEastAsia" w:hAnsi="Cambria Math"/>
                                <w:color w:val="000000" w:themeColor="text1"/>
                              </w:rPr>
                              <m:t>C</m:t>
                            </m:r>
                          </m:e>
                          <m:sub>
                            <m:r>
                              <w:rPr>
                                <w:rFonts w:ascii="Cambria Math" w:eastAsiaTheme="minorEastAsia" w:hAnsi="Cambria Math"/>
                                <w:color w:val="000000" w:themeColor="text1"/>
                              </w:rPr>
                              <m:t>p</m:t>
                            </m:r>
                          </m:sub>
                        </m:sSub>
                      </m:oMath>
                      <w:r>
                        <w:rPr>
                          <w:rFonts w:eastAsiaTheme="minorEastAsia"/>
                          <w:bCs/>
                          <w:color w:val="000000" w:themeColor="text1"/>
                        </w:rPr>
                        <w:t xml:space="preserve"> is the modelled concentration. The overbar indicates that the mean is taken.</w:t>
                      </w:r>
                    </w:p>
                  </w:txbxContent>
                </v:textbox>
                <w10:wrap type="topAndBottom" anchory="page"/>
              </v:shape>
            </w:pict>
          </mc:Fallback>
        </mc:AlternateContent>
      </w:r>
      <w:r w:rsidR="00BC1EF1">
        <w:br w:type="page"/>
      </w:r>
    </w:p>
    <w:p w14:paraId="77050ED9" w14:textId="6BE11E2D" w:rsidR="00953EDD" w:rsidRDefault="00953EDD">
      <w:pPr>
        <w:rPr>
          <w:sz w:val="20"/>
          <w:szCs w:val="20"/>
        </w:rPr>
      </w:pPr>
      <w:r w:rsidRPr="00DD2D91">
        <w:rPr>
          <w:noProof/>
          <w:sz w:val="20"/>
          <w:szCs w:val="20"/>
        </w:rPr>
        <w:lastRenderedPageBreak/>
        <mc:AlternateContent>
          <mc:Choice Requires="wps">
            <w:drawing>
              <wp:anchor distT="0" distB="107950" distL="114300" distR="114300" simplePos="0" relativeHeight="251667456" behindDoc="0" locked="0" layoutInCell="1" allowOverlap="0" wp14:anchorId="364F915F" wp14:editId="391A285F">
                <wp:simplePos x="0" y="0"/>
                <wp:positionH relativeFrom="column">
                  <wp:posOffset>0</wp:posOffset>
                </wp:positionH>
                <wp:positionV relativeFrom="page">
                  <wp:posOffset>963930</wp:posOffset>
                </wp:positionV>
                <wp:extent cx="5736590" cy="9131300"/>
                <wp:effectExtent l="0" t="0" r="0" b="0"/>
                <wp:wrapTopAndBottom/>
                <wp:docPr id="33" name="Text Box 33"/>
                <wp:cNvGraphicFramePr/>
                <a:graphic xmlns:a="http://schemas.openxmlformats.org/drawingml/2006/main">
                  <a:graphicData uri="http://schemas.microsoft.com/office/word/2010/wordprocessingShape">
                    <wps:wsp>
                      <wps:cNvSpPr txBox="1"/>
                      <wps:spPr>
                        <a:xfrm>
                          <a:off x="0" y="0"/>
                          <a:ext cx="5736590" cy="9131300"/>
                        </a:xfrm>
                        <a:prstGeom prst="rect">
                          <a:avLst/>
                        </a:prstGeom>
                        <a:solidFill>
                          <a:schemeClr val="lt1"/>
                        </a:solidFill>
                        <a:ln w="6350">
                          <a:noFill/>
                        </a:ln>
                      </wps:spPr>
                      <wps:txbx>
                        <w:txbxContent>
                          <w:p w14:paraId="0B5AB504" w14:textId="77777777" w:rsidR="00953EDD" w:rsidRDefault="00953EDD" w:rsidP="00953EDD">
                            <w:pPr>
                              <w:keepNext/>
                            </w:pPr>
                            <w:r>
                              <w:rPr>
                                <w:noProof/>
                              </w:rPr>
                              <w:drawing>
                                <wp:inline distT="0" distB="0" distL="0" distR="0" wp14:anchorId="77246BC3" wp14:editId="4B472275">
                                  <wp:extent cx="2700000" cy="3981600"/>
                                  <wp:effectExtent l="19050" t="19050" r="247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2">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r>
                              <w:rPr>
                                <w:noProof/>
                              </w:rPr>
                              <w:drawing>
                                <wp:inline distT="0" distB="0" distL="0" distR="0" wp14:anchorId="0301BDD8" wp14:editId="74DCCB0D">
                                  <wp:extent cx="2700000" cy="3981600"/>
                                  <wp:effectExtent l="19050" t="19050" r="24765" b="1905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p>
                          <w:p w14:paraId="31DF0AA2" w14:textId="77777777" w:rsidR="00953EDD" w:rsidRDefault="00953EDD" w:rsidP="00953EDD">
                            <w:pPr>
                              <w:keepNext/>
                            </w:pPr>
                            <w:r>
                              <w:rPr>
                                <w:noProof/>
                              </w:rPr>
                              <w:drawing>
                                <wp:inline distT="0" distB="0" distL="0" distR="0" wp14:anchorId="5566ABC8" wp14:editId="5ED90460">
                                  <wp:extent cx="2700000" cy="3981600"/>
                                  <wp:effectExtent l="19050" t="19050" r="24765" b="1905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4">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r>
                              <w:rPr>
                                <w:noProof/>
                              </w:rPr>
                              <w:drawing>
                                <wp:inline distT="0" distB="0" distL="0" distR="0" wp14:anchorId="4689C638" wp14:editId="2E86290A">
                                  <wp:extent cx="2700000" cy="3981600"/>
                                  <wp:effectExtent l="19050" t="19050" r="24765" b="1905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5">
                                            <a:extLst>
                                              <a:ext uri="{28A0092B-C50C-407E-A947-70E740481C1C}">
                                                <a14:useLocalDpi xmlns:a14="http://schemas.microsoft.com/office/drawing/2010/main" val="0"/>
                                              </a:ext>
                                            </a:extLst>
                                          </a:blip>
                                          <a:stretch>
                                            <a:fillRect/>
                                          </a:stretch>
                                        </pic:blipFill>
                                        <pic:spPr>
                                          <a:xfrm>
                                            <a:off x="0" y="0"/>
                                            <a:ext cx="2700000" cy="3981600"/>
                                          </a:xfrm>
                                          <a:prstGeom prst="rect">
                                            <a:avLst/>
                                          </a:prstGeom>
                                          <a:ln w="19050">
                                            <a:solidFill>
                                              <a:schemeClr val="tx1"/>
                                            </a:solidFill>
                                          </a:ln>
                                        </pic:spPr>
                                      </pic:pic>
                                    </a:graphicData>
                                  </a:graphic>
                                </wp:inline>
                              </w:drawing>
                            </w:r>
                          </w:p>
                          <w:p w14:paraId="54A7BAD2" w14:textId="3456FB05" w:rsidR="00953EDD" w:rsidRPr="00A47C0F" w:rsidRDefault="00953EDD" w:rsidP="00A47C0F">
                            <w:pPr>
                              <w:pStyle w:val="Caption"/>
                              <w:spacing w:after="120"/>
                              <w:rPr>
                                <w:b w:val="0"/>
                                <w:bCs w:val="0"/>
                                <w:i/>
                                <w:iCs/>
                              </w:rPr>
                            </w:pPr>
                            <w:r w:rsidRPr="00A47C0F">
                              <w:rPr>
                                <w:i/>
                                <w:iCs/>
                              </w:rPr>
                              <w:t xml:space="preserve">Figure </w:t>
                            </w:r>
                            <w:r w:rsidR="00A47C0F" w:rsidRPr="00A47C0F">
                              <w:rPr>
                                <w:i/>
                                <w:iCs/>
                              </w:rPr>
                              <w:t>S.</w:t>
                            </w:r>
                            <w:r w:rsidRPr="00A47C0F">
                              <w:rPr>
                                <w:i/>
                                <w:iCs/>
                              </w:rPr>
                              <w:fldChar w:fldCharType="begin"/>
                            </w:r>
                            <w:r w:rsidRPr="00A47C0F">
                              <w:rPr>
                                <w:i/>
                                <w:iCs/>
                              </w:rPr>
                              <w:instrText xml:space="preserve"> SEQ Figure \* ARABIC </w:instrText>
                            </w:r>
                            <w:r w:rsidRPr="00A47C0F">
                              <w:rPr>
                                <w:i/>
                                <w:iCs/>
                              </w:rPr>
                              <w:fldChar w:fldCharType="separate"/>
                            </w:r>
                            <w:r w:rsidR="00A47C0F" w:rsidRPr="00A47C0F">
                              <w:rPr>
                                <w:i/>
                                <w:iCs/>
                                <w:noProof/>
                              </w:rPr>
                              <w:t>3</w:t>
                            </w:r>
                            <w:r w:rsidRPr="00A47C0F">
                              <w:rPr>
                                <w:i/>
                                <w:iCs/>
                                <w:noProof/>
                              </w:rPr>
                              <w:fldChar w:fldCharType="end"/>
                            </w:r>
                            <w:r w:rsidR="00A47C0F" w:rsidRPr="00A47C0F">
                              <w:rPr>
                                <w:i/>
                                <w:iCs/>
                                <w:noProof/>
                              </w:rPr>
                              <w:t xml:space="preserve"> – </w:t>
                            </w:r>
                            <w:r w:rsidR="00A47C0F" w:rsidRPr="00A47C0F">
                              <w:rPr>
                                <w:b w:val="0"/>
                                <w:bCs w:val="0"/>
                                <w:i/>
                                <w:iCs/>
                                <w:noProof/>
                              </w:rPr>
                              <w:t>Maps of total PM</w:t>
                            </w:r>
                            <w:r w:rsidR="00A47C0F" w:rsidRPr="00A47C0F">
                              <w:rPr>
                                <w:b w:val="0"/>
                                <w:bCs w:val="0"/>
                                <w:i/>
                                <w:iCs/>
                                <w:noProof/>
                                <w:vertAlign w:val="subscript"/>
                              </w:rPr>
                              <w:t>2.5</w:t>
                            </w:r>
                            <w:r w:rsidR="00A47C0F" w:rsidRPr="00A47C0F">
                              <w:rPr>
                                <w:b w:val="0"/>
                                <w:bCs w:val="0"/>
                                <w:i/>
                                <w:iCs/>
                                <w:noProof/>
                              </w:rPr>
                              <w:t xml:space="preserve"> concentrations in 2040. There is already a clear reduction in concentrations relative to 2018</w:t>
                            </w:r>
                            <w:r w:rsidR="00A47C0F">
                              <w:rPr>
                                <w:b w:val="0"/>
                                <w:bCs w:val="0"/>
                                <w:i/>
                                <w:iCs/>
                                <w:noProof/>
                              </w:rPr>
                              <w:t xml:space="preserve"> (see Figure 3)</w:t>
                            </w:r>
                            <w:r w:rsidR="00A47C0F" w:rsidRPr="00A47C0F">
                              <w:rPr>
                                <w:b w:val="0"/>
                                <w:bCs w:val="0"/>
                                <w:i/>
                                <w:iCs/>
                                <w:noProof/>
                              </w:rPr>
                              <w:t xml:space="preserve"> for the baseline (business-as-usual) scenario; Progressively more ambitious abatement strategies show a further significant redcution of concentrations across the UK.</w:t>
                            </w:r>
                          </w:p>
                          <w:p w14:paraId="41B6FF8D" w14:textId="77777777" w:rsidR="00953EDD" w:rsidRDefault="00953EDD" w:rsidP="00953E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F915F" id="Text Box 33" o:spid="_x0000_s1028" type="#_x0000_t202" style="position:absolute;margin-left:0;margin-top:75.9pt;width:451.7pt;height:719pt;z-index:251667456;visibility:visible;mso-wrap-style:square;mso-width-percent:0;mso-height-percent:0;mso-wrap-distance-left:9pt;mso-wrap-distance-top:0;mso-wrap-distance-right:9pt;mso-wrap-distance-bottom:8.5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" o:allowoverlap="f" fillcolor="white [3201]" stroked="f" strokeweight=".5pt">
                <v:textbox>
                  <w:txbxContent>
                    <w:p w14:paraId="0B5AB504" w14:textId="77777777" w:rsidR="00953EDD" w:rsidRDefault="00953EDD" w:rsidP="00953EDD">
                      <w:pPr>
                        <w:keepNext/>
                      </w:pPr>
                      <w:r>
                        <w:rPr>
                          <w:noProof/>
                        </w:rPr>
                        <w:drawing>
                          <wp:inline distT="0" distB="0" distL="0" distR="0" wp14:anchorId="77246BC3" wp14:editId="4B472275">
                            <wp:extent cx="2700000" cy="3981600"/>
                            <wp:effectExtent l="19050" t="19050" r="247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6">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r>
                        <w:rPr>
                          <w:noProof/>
                        </w:rPr>
                        <w:drawing>
                          <wp:inline distT="0" distB="0" distL="0" distR="0" wp14:anchorId="0301BDD8" wp14:editId="74DCCB0D">
                            <wp:extent cx="2700000" cy="3981600"/>
                            <wp:effectExtent l="19050" t="19050" r="24765" b="1905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p>
                    <w:p w14:paraId="31DF0AA2" w14:textId="77777777" w:rsidR="00953EDD" w:rsidRDefault="00953EDD" w:rsidP="00953EDD">
                      <w:pPr>
                        <w:keepNext/>
                      </w:pPr>
                      <w:r>
                        <w:rPr>
                          <w:noProof/>
                        </w:rPr>
                        <w:drawing>
                          <wp:inline distT="0" distB="0" distL="0" distR="0" wp14:anchorId="5566ABC8" wp14:editId="5ED90460">
                            <wp:extent cx="2700000" cy="3981600"/>
                            <wp:effectExtent l="19050" t="19050" r="24765" b="1905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8">
                                      <a:extLst>
                                        <a:ext uri="{28A0092B-C50C-407E-A947-70E740481C1C}">
                                          <a14:useLocalDpi xmlns:a14="http://schemas.microsoft.com/office/drawing/2010/main" val="0"/>
                                        </a:ext>
                                      </a:extLst>
                                    </a:blip>
                                    <a:stretch>
                                      <a:fillRect/>
                                    </a:stretch>
                                  </pic:blipFill>
                                  <pic:spPr>
                                    <a:xfrm>
                                      <a:off x="0" y="0"/>
                                      <a:ext cx="2700000" cy="3981600"/>
                                    </a:xfrm>
                                    <a:prstGeom prst="rect">
                                      <a:avLst/>
                                    </a:prstGeom>
                                    <a:ln>
                                      <a:solidFill>
                                        <a:schemeClr val="tx1"/>
                                      </a:solidFill>
                                    </a:ln>
                                  </pic:spPr>
                                </pic:pic>
                              </a:graphicData>
                            </a:graphic>
                          </wp:inline>
                        </w:drawing>
                      </w:r>
                      <w:r>
                        <w:rPr>
                          <w:noProof/>
                        </w:rPr>
                        <w:drawing>
                          <wp:inline distT="0" distB="0" distL="0" distR="0" wp14:anchorId="4689C638" wp14:editId="2E86290A">
                            <wp:extent cx="2700000" cy="3981600"/>
                            <wp:effectExtent l="19050" t="19050" r="24765" b="1905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9">
                                      <a:extLst>
                                        <a:ext uri="{28A0092B-C50C-407E-A947-70E740481C1C}">
                                          <a14:useLocalDpi xmlns:a14="http://schemas.microsoft.com/office/drawing/2010/main" val="0"/>
                                        </a:ext>
                                      </a:extLst>
                                    </a:blip>
                                    <a:stretch>
                                      <a:fillRect/>
                                    </a:stretch>
                                  </pic:blipFill>
                                  <pic:spPr>
                                    <a:xfrm>
                                      <a:off x="0" y="0"/>
                                      <a:ext cx="2700000" cy="3981600"/>
                                    </a:xfrm>
                                    <a:prstGeom prst="rect">
                                      <a:avLst/>
                                    </a:prstGeom>
                                    <a:ln w="19050">
                                      <a:solidFill>
                                        <a:schemeClr val="tx1"/>
                                      </a:solidFill>
                                    </a:ln>
                                  </pic:spPr>
                                </pic:pic>
                              </a:graphicData>
                            </a:graphic>
                          </wp:inline>
                        </w:drawing>
                      </w:r>
                    </w:p>
                    <w:p w14:paraId="54A7BAD2" w14:textId="3456FB05" w:rsidR="00953EDD" w:rsidRPr="00A47C0F" w:rsidRDefault="00953EDD" w:rsidP="00A47C0F">
                      <w:pPr>
                        <w:pStyle w:val="Caption"/>
                        <w:spacing w:after="120"/>
                        <w:rPr>
                          <w:b w:val="0"/>
                          <w:bCs w:val="0"/>
                          <w:i/>
                          <w:iCs/>
                        </w:rPr>
                      </w:pPr>
                      <w:r w:rsidRPr="00A47C0F">
                        <w:rPr>
                          <w:i/>
                          <w:iCs/>
                        </w:rPr>
                        <w:t xml:space="preserve">Figure </w:t>
                      </w:r>
                      <w:r w:rsidR="00A47C0F" w:rsidRPr="00A47C0F">
                        <w:rPr>
                          <w:i/>
                          <w:iCs/>
                        </w:rPr>
                        <w:t>S.</w:t>
                      </w:r>
                      <w:r w:rsidRPr="00A47C0F">
                        <w:rPr>
                          <w:i/>
                          <w:iCs/>
                        </w:rPr>
                        <w:fldChar w:fldCharType="begin"/>
                      </w:r>
                      <w:r w:rsidRPr="00A47C0F">
                        <w:rPr>
                          <w:i/>
                          <w:iCs/>
                        </w:rPr>
                        <w:instrText xml:space="preserve"> SEQ Figure \* ARABIC </w:instrText>
                      </w:r>
                      <w:r w:rsidRPr="00A47C0F">
                        <w:rPr>
                          <w:i/>
                          <w:iCs/>
                        </w:rPr>
                        <w:fldChar w:fldCharType="separate"/>
                      </w:r>
                      <w:r w:rsidR="00A47C0F" w:rsidRPr="00A47C0F">
                        <w:rPr>
                          <w:i/>
                          <w:iCs/>
                          <w:noProof/>
                        </w:rPr>
                        <w:t>3</w:t>
                      </w:r>
                      <w:r w:rsidRPr="00A47C0F">
                        <w:rPr>
                          <w:i/>
                          <w:iCs/>
                          <w:noProof/>
                        </w:rPr>
                        <w:fldChar w:fldCharType="end"/>
                      </w:r>
                      <w:r w:rsidR="00A47C0F" w:rsidRPr="00A47C0F">
                        <w:rPr>
                          <w:i/>
                          <w:iCs/>
                          <w:noProof/>
                        </w:rPr>
                        <w:t xml:space="preserve"> – </w:t>
                      </w:r>
                      <w:r w:rsidR="00A47C0F" w:rsidRPr="00A47C0F">
                        <w:rPr>
                          <w:b w:val="0"/>
                          <w:bCs w:val="0"/>
                          <w:i/>
                          <w:iCs/>
                          <w:noProof/>
                        </w:rPr>
                        <w:t>Maps of total PM</w:t>
                      </w:r>
                      <w:r w:rsidR="00A47C0F" w:rsidRPr="00A47C0F">
                        <w:rPr>
                          <w:b w:val="0"/>
                          <w:bCs w:val="0"/>
                          <w:i/>
                          <w:iCs/>
                          <w:noProof/>
                          <w:vertAlign w:val="subscript"/>
                        </w:rPr>
                        <w:t>2.5</w:t>
                      </w:r>
                      <w:r w:rsidR="00A47C0F" w:rsidRPr="00A47C0F">
                        <w:rPr>
                          <w:b w:val="0"/>
                          <w:bCs w:val="0"/>
                          <w:i/>
                          <w:iCs/>
                          <w:noProof/>
                        </w:rPr>
                        <w:t xml:space="preserve"> concentrations in 2040. There is already a clear reduction in concentrations relative to 2018</w:t>
                      </w:r>
                      <w:r w:rsidR="00A47C0F">
                        <w:rPr>
                          <w:b w:val="0"/>
                          <w:bCs w:val="0"/>
                          <w:i/>
                          <w:iCs/>
                          <w:noProof/>
                        </w:rPr>
                        <w:t xml:space="preserve"> (see Figure 3)</w:t>
                      </w:r>
                      <w:r w:rsidR="00A47C0F" w:rsidRPr="00A47C0F">
                        <w:rPr>
                          <w:b w:val="0"/>
                          <w:bCs w:val="0"/>
                          <w:i/>
                          <w:iCs/>
                          <w:noProof/>
                        </w:rPr>
                        <w:t xml:space="preserve"> for the baseline (business-as-usual) scenario; Progressively more ambitious abatement strategies show a further significant redcution of concentrations across the UK.</w:t>
                      </w:r>
                    </w:p>
                    <w:p w14:paraId="41B6FF8D" w14:textId="77777777" w:rsidR="00953EDD" w:rsidRDefault="00953EDD" w:rsidP="00953EDD"/>
                  </w:txbxContent>
                </v:textbox>
                <w10:wrap type="topAndBottom" anchory="page"/>
              </v:shape>
            </w:pict>
          </mc:Fallback>
        </mc:AlternateContent>
      </w:r>
      <w:r>
        <w:rPr>
          <w:sz w:val="20"/>
          <w:szCs w:val="20"/>
        </w:rPr>
        <w:br w:type="page"/>
      </w:r>
    </w:p>
    <w:p w14:paraId="0AF7976D" w14:textId="1717CCC6" w:rsidR="005C6605" w:rsidRDefault="00953EDD" w:rsidP="005C6605">
      <w:pPr>
        <w:spacing w:after="120" w:line="240" w:lineRule="auto"/>
        <w:jc w:val="both"/>
        <w:rPr>
          <w:sz w:val="20"/>
          <w:szCs w:val="20"/>
        </w:rPr>
      </w:pPr>
      <w:r>
        <w:rPr>
          <w:noProof/>
          <w:sz w:val="20"/>
          <w:szCs w:val="20"/>
        </w:rPr>
        <w:lastRenderedPageBreak/>
        <mc:AlternateContent>
          <mc:Choice Requires="wps">
            <w:drawing>
              <wp:anchor distT="0" distB="0" distL="114300" distR="114300" simplePos="0" relativeHeight="251662336" behindDoc="0" locked="0" layoutInCell="1" allowOverlap="0" wp14:anchorId="15C36F83" wp14:editId="63D3F4F1">
                <wp:simplePos x="0" y="0"/>
                <wp:positionH relativeFrom="column">
                  <wp:posOffset>-230270</wp:posOffset>
                </wp:positionH>
                <wp:positionV relativeFrom="page">
                  <wp:posOffset>798195</wp:posOffset>
                </wp:positionV>
                <wp:extent cx="5910580" cy="8898890"/>
                <wp:effectExtent l="0" t="0" r="0" b="0"/>
                <wp:wrapTopAndBottom/>
                <wp:docPr id="2" name="Text Box 2"/>
                <wp:cNvGraphicFramePr/>
                <a:graphic xmlns:a="http://schemas.openxmlformats.org/drawingml/2006/main">
                  <a:graphicData uri="http://schemas.microsoft.com/office/word/2010/wordprocessingShape">
                    <wps:wsp>
                      <wps:cNvSpPr txBox="1"/>
                      <wps:spPr>
                        <a:xfrm>
                          <a:off x="0" y="0"/>
                          <a:ext cx="5910580" cy="8898890"/>
                        </a:xfrm>
                        <a:prstGeom prst="rect">
                          <a:avLst/>
                        </a:prstGeom>
                        <a:solidFill>
                          <a:schemeClr val="lt1"/>
                        </a:solidFill>
                        <a:ln w="6350">
                          <a:noFill/>
                        </a:ln>
                      </wps:spPr>
                      <wps:txbx>
                        <w:txbxContent>
                          <w:p w14:paraId="76B2773F" w14:textId="2A857857" w:rsidR="007A3E17" w:rsidRDefault="005860CE" w:rsidP="007A3E17">
                            <w:pPr>
                              <w:keepNext/>
                            </w:pPr>
                            <w:r w:rsidRPr="005860CE">
                              <w:rPr>
                                <w:noProof/>
                              </w:rPr>
                              <w:drawing>
                                <wp:inline distT="0" distB="0" distL="0" distR="0" wp14:anchorId="5D665C46" wp14:editId="7575A171">
                                  <wp:extent cx="5692462" cy="8165205"/>
                                  <wp:effectExtent l="0" t="0" r="3810" b="7620"/>
                                  <wp:docPr id="7" name="Picture 3">
                                    <a:extLst xmlns:a="http://schemas.openxmlformats.org/drawingml/2006/main">
                                      <a:ext uri="{FF2B5EF4-FFF2-40B4-BE49-F238E27FC236}">
                                        <a16:creationId xmlns:a16="http://schemas.microsoft.com/office/drawing/2014/main" id="{96DF86CA-B87E-4CEB-A2E7-7BC7BE95424C}"/>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96DF86CA-B87E-4CEB-A2E7-7BC7BE95424C}"/>
                                              </a:ext>
                                            </a:extLst>
                                          </pic:cNvPr>
                                          <pic:cNvPicPr/>
                                        </pic:nvPicPr>
                                        <pic:blipFill>
                                          <a:blip r:embed="rId20"/>
                                          <a:stretch>
                                            <a:fillRect/>
                                          </a:stretch>
                                        </pic:blipFill>
                                        <pic:spPr>
                                          <a:xfrm>
                                            <a:off x="0" y="0"/>
                                            <a:ext cx="5710672" cy="8191325"/>
                                          </a:xfrm>
                                          <a:prstGeom prst="rect">
                                            <a:avLst/>
                                          </a:prstGeom>
                                        </pic:spPr>
                                      </pic:pic>
                                    </a:graphicData>
                                  </a:graphic>
                                </wp:inline>
                              </w:drawing>
                            </w:r>
                          </w:p>
                          <w:p w14:paraId="3795935D" w14:textId="496BB3A7" w:rsidR="007A3E17" w:rsidRPr="007A3E17" w:rsidRDefault="007A3E17" w:rsidP="007A3E17">
                            <w:pPr>
                              <w:pStyle w:val="Caption"/>
                              <w:rPr>
                                <w:b w:val="0"/>
                                <w:bCs w:val="0"/>
                                <w:i/>
                                <w:iCs/>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47C0F">
                              <w:rPr>
                                <w:i/>
                                <w:iCs/>
                                <w:noProof/>
                              </w:rPr>
                              <w:t>4</w:t>
                            </w:r>
                            <w:r w:rsidRPr="007A3E17">
                              <w:rPr>
                                <w:i/>
                                <w:iCs/>
                              </w:rPr>
                              <w:fldChar w:fldCharType="end"/>
                            </w:r>
                            <w:r w:rsidRPr="007A3E17">
                              <w:rPr>
                                <w:i/>
                                <w:iCs/>
                              </w:rPr>
                              <w:t xml:space="preserve"> </w:t>
                            </w:r>
                            <w:r w:rsidR="005860CE">
                              <w:rPr>
                                <w:i/>
                                <w:iCs/>
                              </w:rPr>
                              <w:t>–</w:t>
                            </w:r>
                            <w:r w:rsidRPr="007A3E17">
                              <w:rPr>
                                <w:i/>
                                <w:iCs/>
                              </w:rPr>
                              <w:t xml:space="preserve"> </w:t>
                            </w:r>
                            <w:r w:rsidR="005860CE">
                              <w:rPr>
                                <w:b w:val="0"/>
                                <w:bCs w:val="0"/>
                                <w:i/>
                                <w:iCs/>
                              </w:rPr>
                              <w:t xml:space="preserve">Map of the Index of Multiple Deprivation (IMD) at the LSOA level. Reproduced from </w:t>
                            </w:r>
                            <w:hyperlink r:id="rId21" w:history="1">
                              <w:r w:rsidR="005860CE" w:rsidRPr="006578FA">
                                <w:rPr>
                                  <w:rStyle w:val="Hyperlink"/>
                                  <w:b w:val="0"/>
                                  <w:bCs w:val="0"/>
                                  <w:i/>
                                  <w:iCs/>
                                </w:rPr>
                                <w:t>https://www.gov.uk/government/statistics/english-indices-of-deprivation-2019</w:t>
                              </w:r>
                            </w:hyperlink>
                            <w:r w:rsidR="005860CE">
                              <w:rPr>
                                <w:b w:val="0"/>
                                <w:bCs w:val="0"/>
                                <w:i/>
                                <w:iCs/>
                              </w:rPr>
                              <w:t xml:space="preserve"> </w:t>
                            </w:r>
                          </w:p>
                          <w:p w14:paraId="69AD8007" w14:textId="37774C2F" w:rsidR="007A3E17" w:rsidRDefault="007A3E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C36F83" id="Text Box 2" o:spid="_x0000_s1029" type="#_x0000_t202" style="position:absolute;left:0;text-align:left;margin-left:-18.15pt;margin-top:62.85pt;width:465.4pt;height:700.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" o:allowoverlap="f" fillcolor="white [3201]" stroked="f" strokeweight=".5pt">
                <v:textbox>
                  <w:txbxContent>
                    <w:p w14:paraId="76B2773F" w14:textId="2A857857" w:rsidR="007A3E17" w:rsidRDefault="005860CE" w:rsidP="007A3E17">
                      <w:pPr>
                        <w:keepNext/>
                      </w:pPr>
                      <w:r w:rsidRPr="005860CE">
                        <w:rPr>
                          <w:noProof/>
                        </w:rPr>
                        <w:drawing>
                          <wp:inline distT="0" distB="0" distL="0" distR="0" wp14:anchorId="5D665C46" wp14:editId="7575A171">
                            <wp:extent cx="5692462" cy="8165205"/>
                            <wp:effectExtent l="0" t="0" r="3810" b="7620"/>
                            <wp:docPr id="7" name="Picture 3">
                              <a:extLst xmlns:a="http://schemas.openxmlformats.org/drawingml/2006/main">
                                <a:ext uri="{FF2B5EF4-FFF2-40B4-BE49-F238E27FC236}">
                                  <a16:creationId xmlns:a16="http://schemas.microsoft.com/office/drawing/2014/main" id="{96DF86CA-B87E-4CEB-A2E7-7BC7BE95424C}"/>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96DF86CA-B87E-4CEB-A2E7-7BC7BE95424C}"/>
                                        </a:ext>
                                      </a:extLst>
                                    </pic:cNvPr>
                                    <pic:cNvPicPr/>
                                  </pic:nvPicPr>
                                  <pic:blipFill>
                                    <a:blip r:embed="rId22"/>
                                    <a:stretch>
                                      <a:fillRect/>
                                    </a:stretch>
                                  </pic:blipFill>
                                  <pic:spPr>
                                    <a:xfrm>
                                      <a:off x="0" y="0"/>
                                      <a:ext cx="5710672" cy="8191325"/>
                                    </a:xfrm>
                                    <a:prstGeom prst="rect">
                                      <a:avLst/>
                                    </a:prstGeom>
                                  </pic:spPr>
                                </pic:pic>
                              </a:graphicData>
                            </a:graphic>
                          </wp:inline>
                        </w:drawing>
                      </w:r>
                    </w:p>
                    <w:p w14:paraId="3795935D" w14:textId="496BB3A7" w:rsidR="007A3E17" w:rsidRPr="007A3E17" w:rsidRDefault="007A3E17" w:rsidP="007A3E17">
                      <w:pPr>
                        <w:pStyle w:val="Caption"/>
                        <w:rPr>
                          <w:b w:val="0"/>
                          <w:bCs w:val="0"/>
                          <w:i/>
                          <w:iCs/>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47C0F">
                        <w:rPr>
                          <w:i/>
                          <w:iCs/>
                          <w:noProof/>
                        </w:rPr>
                        <w:t>4</w:t>
                      </w:r>
                      <w:r w:rsidRPr="007A3E17">
                        <w:rPr>
                          <w:i/>
                          <w:iCs/>
                        </w:rPr>
                        <w:fldChar w:fldCharType="end"/>
                      </w:r>
                      <w:r w:rsidRPr="007A3E17">
                        <w:rPr>
                          <w:i/>
                          <w:iCs/>
                        </w:rPr>
                        <w:t xml:space="preserve"> </w:t>
                      </w:r>
                      <w:r w:rsidR="005860CE">
                        <w:rPr>
                          <w:i/>
                          <w:iCs/>
                        </w:rPr>
                        <w:t>–</w:t>
                      </w:r>
                      <w:r w:rsidRPr="007A3E17">
                        <w:rPr>
                          <w:i/>
                          <w:iCs/>
                        </w:rPr>
                        <w:t xml:space="preserve"> </w:t>
                      </w:r>
                      <w:r w:rsidR="005860CE">
                        <w:rPr>
                          <w:b w:val="0"/>
                          <w:bCs w:val="0"/>
                          <w:i/>
                          <w:iCs/>
                        </w:rPr>
                        <w:t xml:space="preserve">Map of the Index of Multiple Deprivation (IMD) at the LSOA level. Reproduced from </w:t>
                      </w:r>
                      <w:hyperlink r:id="rId23" w:history="1">
                        <w:r w:rsidR="005860CE" w:rsidRPr="006578FA">
                          <w:rPr>
                            <w:rStyle w:val="Hyperlink"/>
                            <w:b w:val="0"/>
                            <w:bCs w:val="0"/>
                            <w:i/>
                            <w:iCs/>
                          </w:rPr>
                          <w:t>https://www.gov.uk/government/statistics/english-indices-of-deprivation-2019</w:t>
                        </w:r>
                      </w:hyperlink>
                      <w:r w:rsidR="005860CE">
                        <w:rPr>
                          <w:b w:val="0"/>
                          <w:bCs w:val="0"/>
                          <w:i/>
                          <w:iCs/>
                        </w:rPr>
                        <w:t xml:space="preserve"> </w:t>
                      </w:r>
                    </w:p>
                    <w:p w14:paraId="69AD8007" w14:textId="37774C2F" w:rsidR="007A3E17" w:rsidRDefault="007A3E17"/>
                  </w:txbxContent>
                </v:textbox>
                <w10:wrap type="topAndBottom" anchory="page"/>
              </v:shape>
            </w:pict>
          </mc:Fallback>
        </mc:AlternateContent>
      </w:r>
    </w:p>
    <w:p w14:paraId="163330EA" w14:textId="5F6A9660" w:rsidR="005142EB" w:rsidRDefault="005142EB" w:rsidP="00BC1EF1">
      <w:pPr>
        <w:spacing w:after="120" w:line="240" w:lineRule="auto"/>
      </w:pPr>
      <w:r>
        <w:rPr>
          <w:noProof/>
        </w:rPr>
        <w:lastRenderedPageBreak/>
        <mc:AlternateContent>
          <mc:Choice Requires="wps">
            <w:drawing>
              <wp:anchor distT="0" distB="0" distL="114300" distR="114300" simplePos="0" relativeHeight="251665408" behindDoc="0" locked="0" layoutInCell="1" allowOverlap="0" wp14:anchorId="77E47722" wp14:editId="130F2F40">
                <wp:simplePos x="0" y="0"/>
                <wp:positionH relativeFrom="column">
                  <wp:posOffset>12526</wp:posOffset>
                </wp:positionH>
                <wp:positionV relativeFrom="page">
                  <wp:posOffset>889348</wp:posOffset>
                </wp:positionV>
                <wp:extent cx="5774400" cy="4222800"/>
                <wp:effectExtent l="0" t="0" r="0" b="6350"/>
                <wp:wrapTopAndBottom/>
                <wp:docPr id="3" name="Text Box 3"/>
                <wp:cNvGraphicFramePr/>
                <a:graphic xmlns:a="http://schemas.openxmlformats.org/drawingml/2006/main">
                  <a:graphicData uri="http://schemas.microsoft.com/office/word/2010/wordprocessingShape">
                    <wps:wsp>
                      <wps:cNvSpPr txBox="1"/>
                      <wps:spPr>
                        <a:xfrm>
                          <a:off x="0" y="0"/>
                          <a:ext cx="5774400" cy="4222800"/>
                        </a:xfrm>
                        <a:prstGeom prst="rect">
                          <a:avLst/>
                        </a:prstGeom>
                        <a:solidFill>
                          <a:schemeClr val="lt1"/>
                        </a:solidFill>
                        <a:ln w="6350">
                          <a:noFill/>
                        </a:ln>
                      </wps:spPr>
                      <wps:txbx>
                        <w:txbxContent>
                          <w:p w14:paraId="1E70644A" w14:textId="28E10663" w:rsidR="00DD6DAF" w:rsidRDefault="00DD6DAF">
                            <w:r>
                              <w:rPr>
                                <w:noProof/>
                              </w:rPr>
                              <w:drawing>
                                <wp:inline distT="0" distB="0" distL="0" distR="0" wp14:anchorId="34FF48F6" wp14:editId="70ECB357">
                                  <wp:extent cx="5584825" cy="3414395"/>
                                  <wp:effectExtent l="0" t="0" r="0" b="0"/>
                                  <wp:docPr id="8" name="Picture 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584825" cy="3414395"/>
                                          </a:xfrm>
                                          <a:prstGeom prst="rect">
                                            <a:avLst/>
                                          </a:prstGeom>
                                        </pic:spPr>
                                      </pic:pic>
                                    </a:graphicData>
                                  </a:graphic>
                                </wp:inline>
                              </w:drawing>
                            </w:r>
                          </w:p>
                          <w:p w14:paraId="1CDB7D3C" w14:textId="4A2DE979" w:rsidR="00DD6DAF" w:rsidRPr="00DD6DAF" w:rsidRDefault="00DD6DAF" w:rsidP="00DD6DAF">
                            <w:pPr>
                              <w:pStyle w:val="Caption"/>
                              <w:spacing w:after="120"/>
                              <w:jc w:val="center"/>
                              <w:rPr>
                                <w:i/>
                                <w:iCs/>
                                <w:sz w:val="20"/>
                                <w:szCs w:val="20"/>
                              </w:rPr>
                            </w:pPr>
                            <w:r w:rsidRPr="00DD6DAF">
                              <w:rPr>
                                <w:i/>
                                <w:iCs/>
                                <w:sz w:val="20"/>
                                <w:szCs w:val="20"/>
                              </w:rPr>
                              <w:t>Figure S.</w:t>
                            </w:r>
                            <w:r w:rsidRPr="00DD6DAF">
                              <w:rPr>
                                <w:i/>
                                <w:iCs/>
                                <w:sz w:val="20"/>
                                <w:szCs w:val="20"/>
                              </w:rPr>
                              <w:fldChar w:fldCharType="begin"/>
                            </w:r>
                            <w:r w:rsidRPr="00DD6DAF">
                              <w:rPr>
                                <w:i/>
                                <w:iCs/>
                                <w:sz w:val="20"/>
                                <w:szCs w:val="20"/>
                              </w:rPr>
                              <w:instrText xml:space="preserve"> SEQ Figure \* ARABIC </w:instrText>
                            </w:r>
                            <w:r w:rsidRPr="00DD6DAF">
                              <w:rPr>
                                <w:i/>
                                <w:iCs/>
                                <w:sz w:val="20"/>
                                <w:szCs w:val="20"/>
                              </w:rPr>
                              <w:fldChar w:fldCharType="separate"/>
                            </w:r>
                            <w:r w:rsidR="00A47C0F">
                              <w:rPr>
                                <w:i/>
                                <w:iCs/>
                                <w:noProof/>
                                <w:sz w:val="20"/>
                                <w:szCs w:val="20"/>
                              </w:rPr>
                              <w:t>5</w:t>
                            </w:r>
                            <w:r w:rsidRPr="00DD6DAF">
                              <w:rPr>
                                <w:i/>
                                <w:iCs/>
                                <w:noProof/>
                                <w:sz w:val="20"/>
                                <w:szCs w:val="20"/>
                              </w:rPr>
                              <w:fldChar w:fldCharType="end"/>
                            </w:r>
                            <w:r w:rsidRPr="00DD6DAF">
                              <w:rPr>
                                <w:i/>
                                <w:iCs/>
                                <w:sz w:val="20"/>
                                <w:szCs w:val="20"/>
                              </w:rPr>
                              <w:t xml:space="preserve"> </w:t>
                            </w:r>
                            <w:r w:rsidRPr="00DD6DAF">
                              <w:rPr>
                                <w:b w:val="0"/>
                                <w:bCs w:val="0"/>
                                <w:i/>
                                <w:iCs/>
                                <w:sz w:val="20"/>
                                <w:szCs w:val="20"/>
                              </w:rPr>
                              <w:t>– A comparison of modelled PWMC and PWMC derived from monitoring data for 2018 highlights the generally slightly higher exposures based on measurements since monitor locations tend to be in areas of higher concentrations.</w:t>
                            </w:r>
                          </w:p>
                          <w:p w14:paraId="5BBEC06E" w14:textId="77777777" w:rsidR="00DD6DAF" w:rsidRDefault="00DD6D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47722" id="Text Box 3" o:spid="_x0000_s1030" type="#_x0000_t202" style="position:absolute;margin-left:1pt;margin-top:70.05pt;width:454.7pt;height:3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" o:allowoverlap="f" fillcolor="white [3201]" stroked="f" strokeweight=".5pt">
                <v:textbox>
                  <w:txbxContent>
                    <w:p w14:paraId="1E70644A" w14:textId="28E10663" w:rsidR="00DD6DAF" w:rsidRDefault="00DD6DAF">
                      <w:r>
                        <w:rPr>
                          <w:noProof/>
                        </w:rPr>
                        <w:drawing>
                          <wp:inline distT="0" distB="0" distL="0" distR="0" wp14:anchorId="34FF48F6" wp14:editId="70ECB357">
                            <wp:extent cx="5584825" cy="3414395"/>
                            <wp:effectExtent l="0" t="0" r="0" b="0"/>
                            <wp:docPr id="8" name="Picture 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584825" cy="3414395"/>
                                    </a:xfrm>
                                    <a:prstGeom prst="rect">
                                      <a:avLst/>
                                    </a:prstGeom>
                                  </pic:spPr>
                                </pic:pic>
                              </a:graphicData>
                            </a:graphic>
                          </wp:inline>
                        </w:drawing>
                      </w:r>
                    </w:p>
                    <w:p w14:paraId="1CDB7D3C" w14:textId="4A2DE979" w:rsidR="00DD6DAF" w:rsidRPr="00DD6DAF" w:rsidRDefault="00DD6DAF" w:rsidP="00DD6DAF">
                      <w:pPr>
                        <w:pStyle w:val="Caption"/>
                        <w:spacing w:after="120"/>
                        <w:jc w:val="center"/>
                        <w:rPr>
                          <w:i/>
                          <w:iCs/>
                          <w:sz w:val="20"/>
                          <w:szCs w:val="20"/>
                        </w:rPr>
                      </w:pPr>
                      <w:r w:rsidRPr="00DD6DAF">
                        <w:rPr>
                          <w:i/>
                          <w:iCs/>
                          <w:sz w:val="20"/>
                          <w:szCs w:val="20"/>
                        </w:rPr>
                        <w:t>Figure S.</w:t>
                      </w:r>
                      <w:r w:rsidRPr="00DD6DAF">
                        <w:rPr>
                          <w:i/>
                          <w:iCs/>
                          <w:sz w:val="20"/>
                          <w:szCs w:val="20"/>
                        </w:rPr>
                        <w:fldChar w:fldCharType="begin"/>
                      </w:r>
                      <w:r w:rsidRPr="00DD6DAF">
                        <w:rPr>
                          <w:i/>
                          <w:iCs/>
                          <w:sz w:val="20"/>
                          <w:szCs w:val="20"/>
                        </w:rPr>
                        <w:instrText xml:space="preserve"> SEQ Figure \* ARABIC </w:instrText>
                      </w:r>
                      <w:r w:rsidRPr="00DD6DAF">
                        <w:rPr>
                          <w:i/>
                          <w:iCs/>
                          <w:sz w:val="20"/>
                          <w:szCs w:val="20"/>
                        </w:rPr>
                        <w:fldChar w:fldCharType="separate"/>
                      </w:r>
                      <w:r w:rsidR="00A47C0F">
                        <w:rPr>
                          <w:i/>
                          <w:iCs/>
                          <w:noProof/>
                          <w:sz w:val="20"/>
                          <w:szCs w:val="20"/>
                        </w:rPr>
                        <w:t>5</w:t>
                      </w:r>
                      <w:r w:rsidRPr="00DD6DAF">
                        <w:rPr>
                          <w:i/>
                          <w:iCs/>
                          <w:noProof/>
                          <w:sz w:val="20"/>
                          <w:szCs w:val="20"/>
                        </w:rPr>
                        <w:fldChar w:fldCharType="end"/>
                      </w:r>
                      <w:r w:rsidRPr="00DD6DAF">
                        <w:rPr>
                          <w:i/>
                          <w:iCs/>
                          <w:sz w:val="20"/>
                          <w:szCs w:val="20"/>
                        </w:rPr>
                        <w:t xml:space="preserve"> </w:t>
                      </w:r>
                      <w:r w:rsidRPr="00DD6DAF">
                        <w:rPr>
                          <w:b w:val="0"/>
                          <w:bCs w:val="0"/>
                          <w:i/>
                          <w:iCs/>
                          <w:sz w:val="20"/>
                          <w:szCs w:val="20"/>
                        </w:rPr>
                        <w:t>– A comparison of modelled PWMC and PWMC derived from monitoring data for 2018 highlights the generally slightly higher exposures based on measurements since monitor locations tend to be in areas of higher concentrations.</w:t>
                      </w:r>
                    </w:p>
                    <w:p w14:paraId="5BBEC06E" w14:textId="77777777" w:rsidR="00DD6DAF" w:rsidRDefault="00DD6DAF"/>
                  </w:txbxContent>
                </v:textbox>
                <w10:wrap type="topAndBottom" anchory="page"/>
              </v:shape>
            </w:pict>
          </mc:Fallback>
        </mc:AlternateContent>
      </w:r>
    </w:p>
    <w:p w14:paraId="1C68BCC1" w14:textId="77312E58" w:rsidR="005142EB" w:rsidRDefault="005142EB" w:rsidP="00BC1EF1">
      <w:pPr>
        <w:spacing w:after="120" w:line="240" w:lineRule="auto"/>
      </w:pPr>
    </w:p>
    <w:tbl>
      <w:tblPr>
        <w:tblW w:w="9168" w:type="dxa"/>
        <w:jc w:val="center"/>
        <w:tblLayout w:type="fixed"/>
        <w:tblCellMar>
          <w:left w:w="0" w:type="dxa"/>
          <w:right w:w="0" w:type="dxa"/>
        </w:tblCellMar>
        <w:tblLook w:val="01E0" w:firstRow="1" w:lastRow="1" w:firstColumn="1" w:lastColumn="1" w:noHBand="0" w:noVBand="0"/>
      </w:tblPr>
      <w:tblGrid>
        <w:gridCol w:w="1901"/>
        <w:gridCol w:w="1311"/>
        <w:gridCol w:w="1154"/>
        <w:gridCol w:w="1237"/>
        <w:gridCol w:w="1231"/>
        <w:gridCol w:w="1237"/>
        <w:gridCol w:w="1097"/>
      </w:tblGrid>
      <w:tr w:rsidR="005142EB" w:rsidRPr="005142EB" w14:paraId="2440B823" w14:textId="77777777" w:rsidTr="005142EB">
        <w:trPr>
          <w:trHeight w:hRule="exact" w:val="650"/>
          <w:jc w:val="center"/>
        </w:trPr>
        <w:tc>
          <w:tcPr>
            <w:tcW w:w="9168" w:type="dxa"/>
            <w:gridSpan w:val="7"/>
            <w:tcBorders>
              <w:bottom w:val="single" w:sz="12" w:space="0" w:color="auto"/>
            </w:tcBorders>
            <w:shd w:val="clear" w:color="auto" w:fill="auto"/>
          </w:tcPr>
          <w:p w14:paraId="7E8EF3A0" w14:textId="0A380C02" w:rsidR="005142EB" w:rsidRPr="005142EB" w:rsidRDefault="005142EB" w:rsidP="005142EB">
            <w:pPr>
              <w:pStyle w:val="Heading4"/>
              <w:spacing w:before="93" w:line="259" w:lineRule="auto"/>
              <w:ind w:right="101"/>
              <w:jc w:val="center"/>
              <w:rPr>
                <w:b w:val="0"/>
                <w:bCs w:val="0"/>
                <w:sz w:val="20"/>
                <w:szCs w:val="20"/>
              </w:rPr>
            </w:pPr>
            <w:r w:rsidRPr="005142EB">
              <w:rPr>
                <w:bCs w:val="0"/>
                <w:sz w:val="20"/>
                <w:szCs w:val="20"/>
              </w:rPr>
              <w:t xml:space="preserve">Table S.2 </w:t>
            </w:r>
            <w:r w:rsidRPr="005142EB">
              <w:rPr>
                <w:b w:val="0"/>
                <w:sz w:val="20"/>
                <w:szCs w:val="20"/>
              </w:rPr>
              <w:t xml:space="preserve">- </w:t>
            </w:r>
            <w:r w:rsidRPr="005142EB">
              <w:rPr>
                <w:b w:val="0"/>
                <w:bCs w:val="0"/>
                <w:sz w:val="20"/>
                <w:szCs w:val="20"/>
              </w:rPr>
              <w:t>Cumulative (2023-2040) air quality benefits in England from reduced damage to health, productivity, ecosystems and soiling of buildings, broken down by sensitivity (2020 prices, £m)</w:t>
            </w:r>
          </w:p>
          <w:p w14:paraId="355F4E04" w14:textId="4D2535A3" w:rsidR="005142EB" w:rsidRPr="005142EB" w:rsidRDefault="005142EB" w:rsidP="005142EB">
            <w:pPr>
              <w:pStyle w:val="TableParagraph"/>
              <w:jc w:val="center"/>
              <w:rPr>
                <w:b/>
                <w:sz w:val="20"/>
                <w:szCs w:val="20"/>
              </w:rPr>
            </w:pPr>
          </w:p>
        </w:tc>
      </w:tr>
      <w:tr w:rsidR="005142EB" w:rsidRPr="005142EB" w14:paraId="54C5B82B" w14:textId="77777777" w:rsidTr="005142EB">
        <w:trPr>
          <w:trHeight w:hRule="exact" w:val="650"/>
          <w:jc w:val="center"/>
        </w:trPr>
        <w:tc>
          <w:tcPr>
            <w:tcW w:w="1901" w:type="dxa"/>
            <w:tcBorders>
              <w:top w:val="single" w:sz="12" w:space="0" w:color="auto"/>
            </w:tcBorders>
            <w:shd w:val="clear" w:color="auto" w:fill="auto"/>
          </w:tcPr>
          <w:p w14:paraId="1817A967" w14:textId="77777777" w:rsidR="005142EB" w:rsidRPr="005142EB" w:rsidRDefault="005142EB" w:rsidP="003363A7">
            <w:pPr>
              <w:rPr>
                <w:sz w:val="20"/>
                <w:szCs w:val="20"/>
              </w:rPr>
            </w:pPr>
          </w:p>
        </w:tc>
        <w:tc>
          <w:tcPr>
            <w:tcW w:w="3702" w:type="dxa"/>
            <w:gridSpan w:val="3"/>
            <w:tcBorders>
              <w:top w:val="single" w:sz="12" w:space="0" w:color="auto"/>
            </w:tcBorders>
            <w:shd w:val="clear" w:color="auto" w:fill="auto"/>
          </w:tcPr>
          <w:p w14:paraId="5ECA9CCC" w14:textId="77777777" w:rsidR="005142EB" w:rsidRPr="005142EB" w:rsidRDefault="005142EB" w:rsidP="003363A7">
            <w:pPr>
              <w:pStyle w:val="TableParagraph"/>
              <w:ind w:left="857"/>
              <w:rPr>
                <w:b/>
                <w:sz w:val="20"/>
                <w:szCs w:val="20"/>
              </w:rPr>
            </w:pPr>
            <w:r w:rsidRPr="005142EB">
              <w:rPr>
                <w:b/>
                <w:sz w:val="20"/>
                <w:szCs w:val="20"/>
              </w:rPr>
              <w:t>Medium Scenario</w:t>
            </w:r>
          </w:p>
        </w:tc>
        <w:tc>
          <w:tcPr>
            <w:tcW w:w="3565" w:type="dxa"/>
            <w:gridSpan w:val="3"/>
            <w:tcBorders>
              <w:top w:val="single" w:sz="12" w:space="0" w:color="auto"/>
            </w:tcBorders>
            <w:shd w:val="clear" w:color="auto" w:fill="auto"/>
          </w:tcPr>
          <w:p w14:paraId="1DEE29C9" w14:textId="77777777" w:rsidR="005142EB" w:rsidRPr="005142EB" w:rsidRDefault="005142EB" w:rsidP="003363A7">
            <w:pPr>
              <w:pStyle w:val="TableParagraph"/>
              <w:ind w:left="974"/>
              <w:rPr>
                <w:b/>
                <w:sz w:val="20"/>
                <w:szCs w:val="20"/>
              </w:rPr>
            </w:pPr>
            <w:r w:rsidRPr="005142EB">
              <w:rPr>
                <w:b/>
                <w:sz w:val="20"/>
                <w:szCs w:val="20"/>
              </w:rPr>
              <w:t>High Scenario</w:t>
            </w:r>
          </w:p>
        </w:tc>
      </w:tr>
      <w:tr w:rsidR="005142EB" w:rsidRPr="005142EB" w14:paraId="18A1678E" w14:textId="77777777" w:rsidTr="005142EB">
        <w:trPr>
          <w:trHeight w:hRule="exact" w:val="646"/>
          <w:jc w:val="center"/>
        </w:trPr>
        <w:tc>
          <w:tcPr>
            <w:tcW w:w="1901" w:type="dxa"/>
            <w:tcBorders>
              <w:bottom w:val="single" w:sz="12" w:space="0" w:color="auto"/>
            </w:tcBorders>
          </w:tcPr>
          <w:p w14:paraId="403733A5" w14:textId="77777777" w:rsidR="005142EB" w:rsidRPr="005142EB" w:rsidRDefault="005142EB" w:rsidP="003363A7">
            <w:pPr>
              <w:rPr>
                <w:sz w:val="20"/>
                <w:szCs w:val="20"/>
              </w:rPr>
            </w:pPr>
          </w:p>
        </w:tc>
        <w:tc>
          <w:tcPr>
            <w:tcW w:w="1311" w:type="dxa"/>
            <w:tcBorders>
              <w:bottom w:val="single" w:sz="12" w:space="0" w:color="auto"/>
            </w:tcBorders>
          </w:tcPr>
          <w:p w14:paraId="20C51B9B" w14:textId="77777777" w:rsidR="005142EB" w:rsidRPr="005142EB" w:rsidRDefault="005142EB" w:rsidP="003363A7">
            <w:pPr>
              <w:pStyle w:val="TableParagraph"/>
              <w:ind w:left="221" w:right="219"/>
              <w:jc w:val="center"/>
              <w:rPr>
                <w:sz w:val="20"/>
                <w:szCs w:val="20"/>
              </w:rPr>
            </w:pPr>
            <w:r w:rsidRPr="005142EB">
              <w:rPr>
                <w:sz w:val="20"/>
                <w:szCs w:val="20"/>
              </w:rPr>
              <w:t>Low</w:t>
            </w:r>
          </w:p>
        </w:tc>
        <w:tc>
          <w:tcPr>
            <w:tcW w:w="1154" w:type="dxa"/>
            <w:tcBorders>
              <w:bottom w:val="single" w:sz="12" w:space="0" w:color="auto"/>
            </w:tcBorders>
          </w:tcPr>
          <w:p w14:paraId="44C0DAE8" w14:textId="77777777" w:rsidR="005142EB" w:rsidRPr="005142EB" w:rsidRDefault="005142EB" w:rsidP="003363A7">
            <w:pPr>
              <w:pStyle w:val="TableParagraph"/>
              <w:ind w:left="0" w:right="182"/>
              <w:jc w:val="right"/>
              <w:rPr>
                <w:sz w:val="20"/>
                <w:szCs w:val="20"/>
              </w:rPr>
            </w:pPr>
            <w:r w:rsidRPr="005142EB">
              <w:rPr>
                <w:sz w:val="20"/>
                <w:szCs w:val="20"/>
              </w:rPr>
              <w:t>Central</w:t>
            </w:r>
          </w:p>
        </w:tc>
        <w:tc>
          <w:tcPr>
            <w:tcW w:w="1237" w:type="dxa"/>
            <w:tcBorders>
              <w:bottom w:val="single" w:sz="12" w:space="0" w:color="auto"/>
            </w:tcBorders>
          </w:tcPr>
          <w:p w14:paraId="359AC8B4" w14:textId="77777777" w:rsidR="005142EB" w:rsidRPr="005142EB" w:rsidRDefault="005142EB" w:rsidP="003363A7">
            <w:pPr>
              <w:pStyle w:val="TableParagraph"/>
              <w:ind w:left="116" w:right="118"/>
              <w:jc w:val="center"/>
              <w:rPr>
                <w:sz w:val="20"/>
                <w:szCs w:val="20"/>
              </w:rPr>
            </w:pPr>
            <w:r w:rsidRPr="005142EB">
              <w:rPr>
                <w:sz w:val="20"/>
                <w:szCs w:val="20"/>
              </w:rPr>
              <w:t>High</w:t>
            </w:r>
          </w:p>
        </w:tc>
        <w:tc>
          <w:tcPr>
            <w:tcW w:w="1231" w:type="dxa"/>
            <w:tcBorders>
              <w:bottom w:val="single" w:sz="12" w:space="0" w:color="auto"/>
            </w:tcBorders>
          </w:tcPr>
          <w:p w14:paraId="0E1273BD" w14:textId="77777777" w:rsidR="005142EB" w:rsidRPr="005142EB" w:rsidRDefault="005142EB" w:rsidP="003363A7">
            <w:pPr>
              <w:pStyle w:val="TableParagraph"/>
              <w:ind w:left="180" w:right="180"/>
              <w:jc w:val="center"/>
              <w:rPr>
                <w:sz w:val="20"/>
                <w:szCs w:val="20"/>
              </w:rPr>
            </w:pPr>
            <w:r w:rsidRPr="005142EB">
              <w:rPr>
                <w:sz w:val="20"/>
                <w:szCs w:val="20"/>
              </w:rPr>
              <w:t>Low</w:t>
            </w:r>
          </w:p>
        </w:tc>
        <w:tc>
          <w:tcPr>
            <w:tcW w:w="1237" w:type="dxa"/>
            <w:tcBorders>
              <w:bottom w:val="single" w:sz="12" w:space="0" w:color="auto"/>
            </w:tcBorders>
          </w:tcPr>
          <w:p w14:paraId="74EEE509" w14:textId="77777777" w:rsidR="005142EB" w:rsidRPr="005142EB" w:rsidRDefault="005142EB" w:rsidP="003363A7">
            <w:pPr>
              <w:pStyle w:val="TableParagraph"/>
              <w:ind w:left="0" w:right="224"/>
              <w:jc w:val="right"/>
              <w:rPr>
                <w:sz w:val="20"/>
                <w:szCs w:val="20"/>
              </w:rPr>
            </w:pPr>
            <w:r w:rsidRPr="005142EB">
              <w:rPr>
                <w:sz w:val="20"/>
                <w:szCs w:val="20"/>
              </w:rPr>
              <w:t>Central</w:t>
            </w:r>
          </w:p>
        </w:tc>
        <w:tc>
          <w:tcPr>
            <w:tcW w:w="1097" w:type="dxa"/>
            <w:tcBorders>
              <w:bottom w:val="single" w:sz="12" w:space="0" w:color="auto"/>
            </w:tcBorders>
          </w:tcPr>
          <w:p w14:paraId="0BD58023" w14:textId="77777777" w:rsidR="005142EB" w:rsidRPr="005142EB" w:rsidRDefault="005142EB" w:rsidP="003363A7">
            <w:pPr>
              <w:pStyle w:val="TableParagraph"/>
              <w:ind w:left="0" w:right="1"/>
              <w:jc w:val="center"/>
              <w:rPr>
                <w:sz w:val="20"/>
                <w:szCs w:val="20"/>
              </w:rPr>
            </w:pPr>
            <w:r w:rsidRPr="005142EB">
              <w:rPr>
                <w:sz w:val="20"/>
                <w:szCs w:val="20"/>
              </w:rPr>
              <w:t>High</w:t>
            </w:r>
          </w:p>
        </w:tc>
      </w:tr>
      <w:tr w:rsidR="005142EB" w:rsidRPr="005142EB" w14:paraId="560FBAC9" w14:textId="77777777" w:rsidTr="005142EB">
        <w:trPr>
          <w:trHeight w:hRule="exact" w:val="1124"/>
          <w:jc w:val="center"/>
        </w:trPr>
        <w:tc>
          <w:tcPr>
            <w:tcW w:w="1901" w:type="dxa"/>
            <w:tcBorders>
              <w:top w:val="single" w:sz="12" w:space="0" w:color="auto"/>
              <w:bottom w:val="single" w:sz="12" w:space="0" w:color="auto"/>
            </w:tcBorders>
          </w:tcPr>
          <w:p w14:paraId="030E65D7" w14:textId="77777777" w:rsidR="005142EB" w:rsidRPr="005142EB" w:rsidRDefault="005142EB" w:rsidP="003363A7">
            <w:pPr>
              <w:pStyle w:val="TableParagraph"/>
              <w:spacing w:line="276" w:lineRule="auto"/>
              <w:ind w:left="-1" w:right="898"/>
              <w:rPr>
                <w:b/>
                <w:sz w:val="20"/>
                <w:szCs w:val="20"/>
              </w:rPr>
            </w:pPr>
            <w:r w:rsidRPr="005142EB">
              <w:rPr>
                <w:b/>
                <w:sz w:val="20"/>
                <w:szCs w:val="20"/>
              </w:rPr>
              <w:t>Total Air Quality Benefits</w:t>
            </w:r>
          </w:p>
        </w:tc>
        <w:tc>
          <w:tcPr>
            <w:tcW w:w="1311" w:type="dxa"/>
            <w:tcBorders>
              <w:top w:val="single" w:sz="12" w:space="0" w:color="auto"/>
              <w:bottom w:val="single" w:sz="12" w:space="0" w:color="auto"/>
            </w:tcBorders>
          </w:tcPr>
          <w:p w14:paraId="5A65A5DF" w14:textId="77777777" w:rsidR="005142EB" w:rsidRPr="005142EB" w:rsidRDefault="005142EB" w:rsidP="003363A7">
            <w:pPr>
              <w:pStyle w:val="TableParagraph"/>
              <w:ind w:left="0"/>
              <w:rPr>
                <w:b/>
                <w:sz w:val="20"/>
                <w:szCs w:val="20"/>
              </w:rPr>
            </w:pPr>
          </w:p>
          <w:p w14:paraId="089941C5" w14:textId="77777777" w:rsidR="005142EB" w:rsidRPr="005142EB" w:rsidRDefault="005142EB" w:rsidP="003363A7">
            <w:pPr>
              <w:pStyle w:val="TableParagraph"/>
              <w:spacing w:before="160"/>
              <w:ind w:left="221" w:right="305"/>
              <w:jc w:val="center"/>
              <w:rPr>
                <w:sz w:val="20"/>
                <w:szCs w:val="20"/>
              </w:rPr>
            </w:pPr>
            <w:r w:rsidRPr="005142EB">
              <w:rPr>
                <w:sz w:val="20"/>
                <w:szCs w:val="20"/>
              </w:rPr>
              <w:t>£5,327</w:t>
            </w:r>
          </w:p>
        </w:tc>
        <w:tc>
          <w:tcPr>
            <w:tcW w:w="1154" w:type="dxa"/>
            <w:tcBorders>
              <w:top w:val="single" w:sz="12" w:space="0" w:color="auto"/>
              <w:bottom w:val="single" w:sz="12" w:space="0" w:color="auto"/>
            </w:tcBorders>
          </w:tcPr>
          <w:p w14:paraId="7A7CE04E" w14:textId="77777777" w:rsidR="005142EB" w:rsidRPr="005142EB" w:rsidRDefault="005142EB" w:rsidP="003363A7">
            <w:pPr>
              <w:pStyle w:val="TableParagraph"/>
              <w:ind w:left="0"/>
              <w:rPr>
                <w:b/>
                <w:sz w:val="20"/>
                <w:szCs w:val="20"/>
              </w:rPr>
            </w:pPr>
          </w:p>
          <w:p w14:paraId="23B603F4" w14:textId="77777777" w:rsidR="005142EB" w:rsidRPr="005142EB" w:rsidRDefault="005142EB" w:rsidP="003363A7">
            <w:pPr>
              <w:pStyle w:val="TableParagraph"/>
              <w:spacing w:before="160"/>
              <w:ind w:left="0" w:right="177"/>
              <w:jc w:val="right"/>
              <w:rPr>
                <w:sz w:val="20"/>
                <w:szCs w:val="20"/>
              </w:rPr>
            </w:pPr>
            <w:r w:rsidRPr="005142EB">
              <w:rPr>
                <w:sz w:val="20"/>
                <w:szCs w:val="20"/>
              </w:rPr>
              <w:t>£23,150</w:t>
            </w:r>
          </w:p>
        </w:tc>
        <w:tc>
          <w:tcPr>
            <w:tcW w:w="1237" w:type="dxa"/>
            <w:tcBorders>
              <w:top w:val="single" w:sz="12" w:space="0" w:color="auto"/>
              <w:bottom w:val="single" w:sz="12" w:space="0" w:color="auto"/>
            </w:tcBorders>
          </w:tcPr>
          <w:p w14:paraId="18C2659C" w14:textId="77777777" w:rsidR="005142EB" w:rsidRPr="005142EB" w:rsidRDefault="005142EB" w:rsidP="003363A7">
            <w:pPr>
              <w:pStyle w:val="TableParagraph"/>
              <w:ind w:left="0"/>
              <w:rPr>
                <w:b/>
                <w:sz w:val="20"/>
                <w:szCs w:val="20"/>
              </w:rPr>
            </w:pPr>
          </w:p>
          <w:p w14:paraId="74C0CD76" w14:textId="77777777" w:rsidR="005142EB" w:rsidRPr="005142EB" w:rsidRDefault="005142EB" w:rsidP="003363A7">
            <w:pPr>
              <w:pStyle w:val="TableParagraph"/>
              <w:spacing w:before="160"/>
              <w:ind w:left="116" w:right="202"/>
              <w:jc w:val="center"/>
              <w:rPr>
                <w:sz w:val="20"/>
                <w:szCs w:val="20"/>
              </w:rPr>
            </w:pPr>
            <w:r w:rsidRPr="005142EB">
              <w:rPr>
                <w:sz w:val="20"/>
                <w:szCs w:val="20"/>
              </w:rPr>
              <w:t>£71,255</w:t>
            </w:r>
          </w:p>
        </w:tc>
        <w:tc>
          <w:tcPr>
            <w:tcW w:w="1231" w:type="dxa"/>
            <w:tcBorders>
              <w:top w:val="single" w:sz="12" w:space="0" w:color="auto"/>
              <w:bottom w:val="single" w:sz="12" w:space="0" w:color="auto"/>
            </w:tcBorders>
          </w:tcPr>
          <w:p w14:paraId="23972620" w14:textId="77777777" w:rsidR="005142EB" w:rsidRPr="005142EB" w:rsidRDefault="005142EB" w:rsidP="003363A7">
            <w:pPr>
              <w:pStyle w:val="TableParagraph"/>
              <w:ind w:left="0"/>
              <w:rPr>
                <w:b/>
                <w:sz w:val="20"/>
                <w:szCs w:val="20"/>
              </w:rPr>
            </w:pPr>
          </w:p>
          <w:p w14:paraId="789E4FA5" w14:textId="77777777" w:rsidR="005142EB" w:rsidRPr="005142EB" w:rsidRDefault="005142EB" w:rsidP="003363A7">
            <w:pPr>
              <w:pStyle w:val="TableParagraph"/>
              <w:spacing w:before="160"/>
              <w:ind w:left="180" w:right="266"/>
              <w:jc w:val="center"/>
              <w:rPr>
                <w:sz w:val="20"/>
                <w:szCs w:val="20"/>
              </w:rPr>
            </w:pPr>
            <w:r w:rsidRPr="005142EB">
              <w:rPr>
                <w:sz w:val="20"/>
                <w:szCs w:val="20"/>
              </w:rPr>
              <w:t>£9,142</w:t>
            </w:r>
          </w:p>
        </w:tc>
        <w:tc>
          <w:tcPr>
            <w:tcW w:w="1237" w:type="dxa"/>
            <w:tcBorders>
              <w:top w:val="single" w:sz="12" w:space="0" w:color="auto"/>
              <w:bottom w:val="single" w:sz="12" w:space="0" w:color="auto"/>
            </w:tcBorders>
          </w:tcPr>
          <w:p w14:paraId="6C626BB8" w14:textId="77777777" w:rsidR="005142EB" w:rsidRPr="005142EB" w:rsidRDefault="005142EB" w:rsidP="003363A7">
            <w:pPr>
              <w:pStyle w:val="TableParagraph"/>
              <w:ind w:left="0"/>
              <w:rPr>
                <w:b/>
                <w:sz w:val="20"/>
                <w:szCs w:val="20"/>
              </w:rPr>
            </w:pPr>
          </w:p>
          <w:p w14:paraId="16CB5893" w14:textId="77777777" w:rsidR="005142EB" w:rsidRPr="005142EB" w:rsidRDefault="005142EB" w:rsidP="003363A7">
            <w:pPr>
              <w:pStyle w:val="TableParagraph"/>
              <w:spacing w:before="160"/>
              <w:ind w:left="0" w:right="221"/>
              <w:jc w:val="right"/>
              <w:rPr>
                <w:sz w:val="20"/>
                <w:szCs w:val="20"/>
              </w:rPr>
            </w:pPr>
            <w:r w:rsidRPr="005142EB">
              <w:rPr>
                <w:sz w:val="20"/>
                <w:szCs w:val="20"/>
              </w:rPr>
              <w:t>£37,891</w:t>
            </w:r>
          </w:p>
        </w:tc>
        <w:tc>
          <w:tcPr>
            <w:tcW w:w="1097" w:type="dxa"/>
            <w:tcBorders>
              <w:top w:val="single" w:sz="12" w:space="0" w:color="auto"/>
              <w:bottom w:val="single" w:sz="12" w:space="0" w:color="auto"/>
            </w:tcBorders>
          </w:tcPr>
          <w:p w14:paraId="1211B414" w14:textId="77777777" w:rsidR="005142EB" w:rsidRPr="005142EB" w:rsidRDefault="005142EB" w:rsidP="003363A7">
            <w:pPr>
              <w:pStyle w:val="TableParagraph"/>
              <w:ind w:left="0"/>
              <w:rPr>
                <w:b/>
                <w:sz w:val="20"/>
                <w:szCs w:val="20"/>
              </w:rPr>
            </w:pPr>
          </w:p>
          <w:p w14:paraId="4C363157" w14:textId="77777777" w:rsidR="005142EB" w:rsidRPr="005142EB" w:rsidRDefault="005142EB" w:rsidP="003363A7">
            <w:pPr>
              <w:pStyle w:val="TableParagraph"/>
              <w:spacing w:before="160"/>
              <w:ind w:left="0" w:right="83"/>
              <w:jc w:val="center"/>
              <w:rPr>
                <w:sz w:val="20"/>
                <w:szCs w:val="20"/>
              </w:rPr>
            </w:pPr>
            <w:r w:rsidRPr="005142EB">
              <w:rPr>
                <w:sz w:val="20"/>
                <w:szCs w:val="20"/>
              </w:rPr>
              <w:t>£114,332</w:t>
            </w:r>
          </w:p>
        </w:tc>
      </w:tr>
    </w:tbl>
    <w:p w14:paraId="7627507D" w14:textId="70D65B69" w:rsidR="00BC1EF1" w:rsidRDefault="00BC1EF1" w:rsidP="00BC1EF1">
      <w:pPr>
        <w:spacing w:after="120" w:line="240" w:lineRule="auto"/>
      </w:pPr>
    </w:p>
    <w:p w14:paraId="6C868773" w14:textId="7250BC89" w:rsidR="005C6605" w:rsidRDefault="00DD6DAF" w:rsidP="00BC1EF1">
      <w:pPr>
        <w:spacing w:after="120" w:line="240" w:lineRule="auto"/>
      </w:pPr>
      <w:r>
        <w:rPr>
          <w:noProof/>
          <w:sz w:val="20"/>
          <w:szCs w:val="20"/>
        </w:rPr>
        <w:lastRenderedPageBreak/>
        <mc:AlternateContent>
          <mc:Choice Requires="wps">
            <w:drawing>
              <wp:anchor distT="0" distB="0" distL="114300" distR="114300" simplePos="0" relativeHeight="251664384" behindDoc="0" locked="0" layoutInCell="1" allowOverlap="0" wp14:anchorId="6242E987" wp14:editId="73662943">
                <wp:simplePos x="0" y="0"/>
                <wp:positionH relativeFrom="column">
                  <wp:posOffset>-89022</wp:posOffset>
                </wp:positionH>
                <wp:positionV relativeFrom="page">
                  <wp:posOffset>825500</wp:posOffset>
                </wp:positionV>
                <wp:extent cx="5910580" cy="9079230"/>
                <wp:effectExtent l="0" t="0" r="0" b="7620"/>
                <wp:wrapTopAndBottom/>
                <wp:docPr id="5" name="Text Box 5"/>
                <wp:cNvGraphicFramePr/>
                <a:graphic xmlns:a="http://schemas.openxmlformats.org/drawingml/2006/main">
                  <a:graphicData uri="http://schemas.microsoft.com/office/word/2010/wordprocessingShape">
                    <wps:wsp>
                      <wps:cNvSpPr txBox="1"/>
                      <wps:spPr>
                        <a:xfrm>
                          <a:off x="0" y="0"/>
                          <a:ext cx="5910580" cy="9079230"/>
                        </a:xfrm>
                        <a:prstGeom prst="rect">
                          <a:avLst/>
                        </a:prstGeom>
                        <a:solidFill>
                          <a:schemeClr val="lt1"/>
                        </a:solidFill>
                        <a:ln w="6350">
                          <a:noFill/>
                        </a:ln>
                      </wps:spPr>
                      <wps:txbx>
                        <w:txbxContent>
                          <w:p w14:paraId="391B8AE1" w14:textId="77777777" w:rsidR="005860CE" w:rsidRDefault="005860CE" w:rsidP="005860CE">
                            <w:pPr>
                              <w:keepNext/>
                            </w:pPr>
                            <w:r>
                              <w:rPr>
                                <w:noProof/>
                              </w:rPr>
                              <w:drawing>
                                <wp:inline distT="0" distB="0" distL="0" distR="0" wp14:anchorId="2AB72DF9" wp14:editId="506B6686">
                                  <wp:extent cx="5721350" cy="8107045"/>
                                  <wp:effectExtent l="0" t="0" r="0" b="8255"/>
                                  <wp:docPr id="6"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21350" cy="8107045"/>
                                          </a:xfrm>
                                          <a:prstGeom prst="rect">
                                            <a:avLst/>
                                          </a:prstGeom>
                                        </pic:spPr>
                                      </pic:pic>
                                    </a:graphicData>
                                  </a:graphic>
                                </wp:inline>
                              </w:drawing>
                            </w:r>
                          </w:p>
                          <w:p w14:paraId="70ABB3CD" w14:textId="4D7057D8" w:rsidR="005860CE" w:rsidRPr="007A3E17" w:rsidRDefault="005860CE" w:rsidP="005860CE">
                            <w:pPr>
                              <w:pStyle w:val="Caption"/>
                              <w:rPr>
                                <w:b w:val="0"/>
                                <w:bCs w:val="0"/>
                                <w:i/>
                                <w:iCs/>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47C0F">
                              <w:rPr>
                                <w:i/>
                                <w:iCs/>
                                <w:noProof/>
                              </w:rPr>
                              <w:t>6</w:t>
                            </w:r>
                            <w:r w:rsidRPr="007A3E17">
                              <w:rPr>
                                <w:i/>
                                <w:iCs/>
                              </w:rPr>
                              <w:fldChar w:fldCharType="end"/>
                            </w:r>
                            <w:r w:rsidRPr="007A3E17">
                              <w:rPr>
                                <w:i/>
                                <w:iCs/>
                              </w:rPr>
                              <w:t xml:space="preserve"> - </w:t>
                            </w:r>
                            <w:r w:rsidRPr="007A3E17">
                              <w:rPr>
                                <w:b w:val="0"/>
                                <w:bCs w:val="0"/>
                                <w:i/>
                                <w:iCs/>
                              </w:rPr>
                              <w:t>Population Weighted Mean Concentration (PWMC) and Delta PWMC for each deprivation decile across London, consistently showing higher concentrations in the most deprived deciles. The Delta PWMC shows that</w:t>
                            </w:r>
                            <w:r>
                              <w:rPr>
                                <w:b w:val="0"/>
                                <w:bCs w:val="0"/>
                                <w:i/>
                                <w:iCs/>
                              </w:rPr>
                              <w:t xml:space="preserve"> the disparity across all deciles reduces with the more ambitious abatement scenarios.</w:t>
                            </w:r>
                          </w:p>
                          <w:p w14:paraId="061DA60E" w14:textId="77777777" w:rsidR="005860CE" w:rsidRDefault="005860CE" w:rsidP="005860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2E987" id="Text Box 5" o:spid="_x0000_s1031" type="#_x0000_t202" style="position:absolute;margin-left:-7pt;margin-top:65pt;width:465.4pt;height:714.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" o:allowoverlap="f" fillcolor="white [3201]" stroked="f" strokeweight=".5pt">
                <v:textbox>
                  <w:txbxContent>
                    <w:p w14:paraId="391B8AE1" w14:textId="77777777" w:rsidR="005860CE" w:rsidRDefault="005860CE" w:rsidP="005860CE">
                      <w:pPr>
                        <w:keepNext/>
                      </w:pPr>
                      <w:r>
                        <w:rPr>
                          <w:noProof/>
                        </w:rPr>
                        <w:drawing>
                          <wp:inline distT="0" distB="0" distL="0" distR="0" wp14:anchorId="2AB72DF9" wp14:editId="506B6686">
                            <wp:extent cx="5721350" cy="8107045"/>
                            <wp:effectExtent l="0" t="0" r="0" b="8255"/>
                            <wp:docPr id="6"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721350" cy="8107045"/>
                                    </a:xfrm>
                                    <a:prstGeom prst="rect">
                                      <a:avLst/>
                                    </a:prstGeom>
                                  </pic:spPr>
                                </pic:pic>
                              </a:graphicData>
                            </a:graphic>
                          </wp:inline>
                        </w:drawing>
                      </w:r>
                    </w:p>
                    <w:p w14:paraId="70ABB3CD" w14:textId="4D7057D8" w:rsidR="005860CE" w:rsidRPr="007A3E17" w:rsidRDefault="005860CE" w:rsidP="005860CE">
                      <w:pPr>
                        <w:pStyle w:val="Caption"/>
                        <w:rPr>
                          <w:b w:val="0"/>
                          <w:bCs w:val="0"/>
                          <w:i/>
                          <w:iCs/>
                        </w:rPr>
                      </w:pPr>
                      <w:r w:rsidRPr="007A3E17">
                        <w:rPr>
                          <w:i/>
                          <w:iCs/>
                        </w:rPr>
                        <w:t>Figure S.</w:t>
                      </w:r>
                      <w:r w:rsidRPr="007A3E17">
                        <w:rPr>
                          <w:i/>
                          <w:iCs/>
                        </w:rPr>
                        <w:fldChar w:fldCharType="begin"/>
                      </w:r>
                      <w:r w:rsidRPr="007A3E17">
                        <w:rPr>
                          <w:i/>
                          <w:iCs/>
                        </w:rPr>
                        <w:instrText xml:space="preserve"> SEQ Figure \* ARABIC </w:instrText>
                      </w:r>
                      <w:r w:rsidRPr="007A3E17">
                        <w:rPr>
                          <w:i/>
                          <w:iCs/>
                        </w:rPr>
                        <w:fldChar w:fldCharType="separate"/>
                      </w:r>
                      <w:r w:rsidR="00A47C0F">
                        <w:rPr>
                          <w:i/>
                          <w:iCs/>
                          <w:noProof/>
                        </w:rPr>
                        <w:t>6</w:t>
                      </w:r>
                      <w:r w:rsidRPr="007A3E17">
                        <w:rPr>
                          <w:i/>
                          <w:iCs/>
                        </w:rPr>
                        <w:fldChar w:fldCharType="end"/>
                      </w:r>
                      <w:r w:rsidRPr="007A3E17">
                        <w:rPr>
                          <w:i/>
                          <w:iCs/>
                        </w:rPr>
                        <w:t xml:space="preserve"> - </w:t>
                      </w:r>
                      <w:r w:rsidRPr="007A3E17">
                        <w:rPr>
                          <w:b w:val="0"/>
                          <w:bCs w:val="0"/>
                          <w:i/>
                          <w:iCs/>
                        </w:rPr>
                        <w:t>Population Weighted Mean Concentration (PWMC) and Delta PWMC for each deprivation decile across London, consistently showing higher concentrations in the most deprived deciles. The Delta PWMC shows that</w:t>
                      </w:r>
                      <w:r>
                        <w:rPr>
                          <w:b w:val="0"/>
                          <w:bCs w:val="0"/>
                          <w:i/>
                          <w:iCs/>
                        </w:rPr>
                        <w:t xml:space="preserve"> the disparity across all deciles reduces with the more ambitious abatement scenarios.</w:t>
                      </w:r>
                    </w:p>
                    <w:p w14:paraId="061DA60E" w14:textId="77777777" w:rsidR="005860CE" w:rsidRDefault="005860CE" w:rsidP="005860CE"/>
                  </w:txbxContent>
                </v:textbox>
                <w10:wrap type="topAndBottom" anchory="page"/>
              </v:shape>
            </w:pict>
          </mc:Fallback>
        </mc:AlternateContent>
      </w:r>
    </w:p>
    <w:sectPr w:rsidR="005C660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647774"/>
    <w:multiLevelType w:val="hybridMultilevel"/>
    <w:tmpl w:val="7BC00C5C"/>
    <w:lvl w:ilvl="0" w:tplc="26E8209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1"/>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1EF1"/>
    <w:rsid w:val="0004239F"/>
    <w:rsid w:val="00096C4B"/>
    <w:rsid w:val="001B2651"/>
    <w:rsid w:val="0024555C"/>
    <w:rsid w:val="005142EB"/>
    <w:rsid w:val="005860CE"/>
    <w:rsid w:val="005C6605"/>
    <w:rsid w:val="007A3E17"/>
    <w:rsid w:val="008D474C"/>
    <w:rsid w:val="00953EDD"/>
    <w:rsid w:val="00A17369"/>
    <w:rsid w:val="00A47C0F"/>
    <w:rsid w:val="00B95DE7"/>
    <w:rsid w:val="00BC1EF1"/>
    <w:rsid w:val="00BE3EE7"/>
    <w:rsid w:val="00DD59CE"/>
    <w:rsid w:val="00DD6DAF"/>
    <w:rsid w:val="00E4139F"/>
    <w:rsid w:val="00EF3553"/>
    <w:rsid w:val="00FF53D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D53FA"/>
  <w15:chartTrackingRefBased/>
  <w15:docId w15:val="{9CDC90BE-1341-477B-BE45-214D8BB59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1EF1"/>
  </w:style>
  <w:style w:type="paragraph" w:styleId="Heading4">
    <w:name w:val="heading 4"/>
    <w:basedOn w:val="Normal"/>
    <w:link w:val="Heading4Char"/>
    <w:uiPriority w:val="9"/>
    <w:unhideWhenUsed/>
    <w:qFormat/>
    <w:rsid w:val="005142EB"/>
    <w:pPr>
      <w:widowControl w:val="0"/>
      <w:autoSpaceDE w:val="0"/>
      <w:autoSpaceDN w:val="0"/>
      <w:spacing w:before="75" w:after="0" w:line="240" w:lineRule="auto"/>
      <w:ind w:left="112"/>
      <w:outlineLvl w:val="3"/>
    </w:pPr>
    <w:rPr>
      <w:rFonts w:ascii="Arial" w:eastAsia="Arial" w:hAnsi="Arial" w:cs="Arial"/>
      <w:b/>
      <w:bCs/>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BC1EF1"/>
    <w:pPr>
      <w:spacing w:after="200" w:line="240" w:lineRule="auto"/>
      <w:jc w:val="both"/>
    </w:pPr>
    <w:rPr>
      <w:b/>
      <w:bCs/>
      <w:color w:val="000000" w:themeColor="text1"/>
      <w:sz w:val="24"/>
    </w:rPr>
  </w:style>
  <w:style w:type="paragraph" w:styleId="ListParagraph">
    <w:name w:val="List Paragraph"/>
    <w:basedOn w:val="Normal"/>
    <w:uiPriority w:val="34"/>
    <w:qFormat/>
    <w:rsid w:val="005C6605"/>
    <w:pPr>
      <w:ind w:left="720"/>
      <w:contextualSpacing/>
    </w:pPr>
  </w:style>
  <w:style w:type="character" w:styleId="Hyperlink">
    <w:name w:val="Hyperlink"/>
    <w:basedOn w:val="DefaultParagraphFont"/>
    <w:uiPriority w:val="99"/>
    <w:unhideWhenUsed/>
    <w:rsid w:val="005860CE"/>
    <w:rPr>
      <w:color w:val="0563C1" w:themeColor="hyperlink"/>
      <w:u w:val="single"/>
    </w:rPr>
  </w:style>
  <w:style w:type="character" w:styleId="UnresolvedMention">
    <w:name w:val="Unresolved Mention"/>
    <w:basedOn w:val="DefaultParagraphFont"/>
    <w:uiPriority w:val="99"/>
    <w:semiHidden/>
    <w:unhideWhenUsed/>
    <w:rsid w:val="005860CE"/>
    <w:rPr>
      <w:color w:val="605E5C"/>
      <w:shd w:val="clear" w:color="auto" w:fill="E1DFDD"/>
    </w:rPr>
  </w:style>
  <w:style w:type="paragraph" w:customStyle="1" w:styleId="TableParagraph">
    <w:name w:val="Table Paragraph"/>
    <w:basedOn w:val="Normal"/>
    <w:uiPriority w:val="1"/>
    <w:qFormat/>
    <w:rsid w:val="005142EB"/>
    <w:pPr>
      <w:widowControl w:val="0"/>
      <w:autoSpaceDE w:val="0"/>
      <w:autoSpaceDN w:val="0"/>
      <w:spacing w:after="0" w:line="240" w:lineRule="auto"/>
      <w:ind w:left="106"/>
    </w:pPr>
    <w:rPr>
      <w:rFonts w:ascii="Arial" w:eastAsia="Arial" w:hAnsi="Arial" w:cs="Arial"/>
      <w:lang w:val="en-US"/>
    </w:rPr>
  </w:style>
  <w:style w:type="character" w:customStyle="1" w:styleId="Heading4Char">
    <w:name w:val="Heading 4 Char"/>
    <w:basedOn w:val="DefaultParagraphFont"/>
    <w:link w:val="Heading4"/>
    <w:uiPriority w:val="9"/>
    <w:rsid w:val="005142EB"/>
    <w:rPr>
      <w:rFonts w:ascii="Arial" w:eastAsia="Arial" w:hAnsi="Arial" w:cs="Arial"/>
      <w:b/>
      <w:bCs/>
      <w:sz w:val="24"/>
      <w:szCs w:val="24"/>
      <w:lang w:val="en-US"/>
    </w:rPr>
  </w:style>
  <w:style w:type="character" w:styleId="CommentReference">
    <w:name w:val="annotation reference"/>
    <w:basedOn w:val="DefaultParagraphFont"/>
    <w:uiPriority w:val="99"/>
    <w:semiHidden/>
    <w:unhideWhenUsed/>
    <w:rsid w:val="00DD59CE"/>
    <w:rPr>
      <w:sz w:val="16"/>
      <w:szCs w:val="16"/>
    </w:rPr>
  </w:style>
  <w:style w:type="paragraph" w:styleId="CommentText">
    <w:name w:val="annotation text"/>
    <w:basedOn w:val="Normal"/>
    <w:link w:val="CommentTextChar"/>
    <w:uiPriority w:val="99"/>
    <w:unhideWhenUsed/>
    <w:rsid w:val="00DD59CE"/>
    <w:pPr>
      <w:spacing w:line="240" w:lineRule="auto"/>
    </w:pPr>
    <w:rPr>
      <w:sz w:val="20"/>
      <w:szCs w:val="20"/>
    </w:rPr>
  </w:style>
  <w:style w:type="character" w:customStyle="1" w:styleId="CommentTextChar">
    <w:name w:val="Comment Text Char"/>
    <w:basedOn w:val="DefaultParagraphFont"/>
    <w:link w:val="CommentText"/>
    <w:uiPriority w:val="99"/>
    <w:rsid w:val="00DD59C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50.jpg"/><Relationship Id="rId26" Type="http://schemas.openxmlformats.org/officeDocument/2006/relationships/image" Target="media/image9.jpg"/><Relationship Id="rId3" Type="http://schemas.openxmlformats.org/officeDocument/2006/relationships/settings" Target="settings.xml"/><Relationship Id="rId21" Type="http://schemas.openxmlformats.org/officeDocument/2006/relationships/hyperlink" Target="https://www.gov.uk/government/statistics/english-indices-of-deprivation-2019" TargetMode="External"/><Relationship Id="rId12" Type="http://schemas.openxmlformats.org/officeDocument/2006/relationships/image" Target="media/image3.jpg"/><Relationship Id="rId17" Type="http://schemas.openxmlformats.org/officeDocument/2006/relationships/image" Target="media/image40.jpg"/><Relationship Id="rId25" Type="http://schemas.openxmlformats.org/officeDocument/2006/relationships/image" Target="media/image80.jpg"/><Relationship Id="rId2" Type="http://schemas.openxmlformats.org/officeDocument/2006/relationships/styles" Target="styles.xml"/><Relationship Id="rId16" Type="http://schemas.openxmlformats.org/officeDocument/2006/relationships/image" Target="media/image30.jp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2.jpg"/><Relationship Id="rId24" Type="http://schemas.openxmlformats.org/officeDocument/2006/relationships/image" Target="media/image8.jpg"/><Relationship Id="rId5" Type="http://schemas.openxmlformats.org/officeDocument/2006/relationships/hyperlink" Target="mailto:t.oxley@imperial.ac.uk" TargetMode="External"/><Relationship Id="rId15" Type="http://schemas.openxmlformats.org/officeDocument/2006/relationships/image" Target="media/image6.jpg"/><Relationship Id="rId23" Type="http://schemas.openxmlformats.org/officeDocument/2006/relationships/hyperlink" Target="https://www.gov.uk/government/statistics/english-indices-of-deprivation-2019" TargetMode="External"/><Relationship Id="rId28" Type="http://schemas.openxmlformats.org/officeDocument/2006/relationships/fontTable" Target="fontTable.xml"/><Relationship Id="rId10" Type="http://schemas.openxmlformats.org/officeDocument/2006/relationships/image" Target="media/image10.jpg"/><Relationship Id="rId19" Type="http://schemas.openxmlformats.org/officeDocument/2006/relationships/image" Target="media/image60.jpg"/><Relationship Id="rId4" Type="http://schemas.openxmlformats.org/officeDocument/2006/relationships/webSettings" Target="webSettings.xml"/><Relationship Id="rId14" Type="http://schemas.openxmlformats.org/officeDocument/2006/relationships/image" Target="media/image5.jpg"/><Relationship Id="rId22" Type="http://schemas.openxmlformats.org/officeDocument/2006/relationships/image" Target="media/image70.png"/><Relationship Id="rId27" Type="http://schemas.openxmlformats.org/officeDocument/2006/relationships/image" Target="media/image9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7</Pages>
  <Words>136</Words>
  <Characters>778</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Oxley, Tim</dc:creator>
  <cp:keywords/>
  <dc:description/>
  <cp:lastModifiedBy>Oxley, Tim</cp:lastModifiedBy>
  <cp:revision>3</cp:revision>
  <dcterms:created xsi:type="dcterms:W3CDTF">2023-02-02T19:10:00Z</dcterms:created>
  <dcterms:modified xsi:type="dcterms:W3CDTF">2023-02-02T19:14:00Z</dcterms:modified>
</cp:coreProperties>
</file>