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3030E" w14:textId="77777777" w:rsidR="006E0F4E" w:rsidRPr="00835E8E" w:rsidRDefault="006E553C" w:rsidP="00835E8E">
      <w:pPr>
        <w:pStyle w:val="MDPI41tablecaption"/>
        <w:jc w:val="left"/>
        <w:rPr>
          <w:sz w:val="20"/>
          <w:szCs w:val="20"/>
        </w:rPr>
      </w:pPr>
      <w:r>
        <w:rPr>
          <w:b/>
          <w:sz w:val="20"/>
          <w:szCs w:val="20"/>
        </w:rPr>
        <w:t>Supplement material</w:t>
      </w:r>
      <w:r w:rsidRPr="00835E8E">
        <w:rPr>
          <w:b/>
          <w:sz w:val="20"/>
          <w:szCs w:val="20"/>
        </w:rPr>
        <w:t xml:space="preserve"> </w:t>
      </w:r>
      <w:r w:rsidRPr="00835E8E">
        <w:rPr>
          <w:sz w:val="20"/>
          <w:szCs w:val="20"/>
        </w:rPr>
        <w:t>Qualitative assessment</w:t>
      </w:r>
    </w:p>
    <w:tbl>
      <w:tblPr>
        <w:tblW w:w="13417" w:type="dxa"/>
        <w:jc w:val="center"/>
        <w:tblBorders>
          <w:top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551"/>
        <w:gridCol w:w="2977"/>
        <w:gridCol w:w="3118"/>
        <w:gridCol w:w="2644"/>
      </w:tblGrid>
      <w:tr w:rsidR="00460735" w14:paraId="5A0FD5BE" w14:textId="77777777" w:rsidTr="00175C99">
        <w:trPr>
          <w:trHeight w:val="100"/>
          <w:jc w:val="center"/>
        </w:trPr>
        <w:tc>
          <w:tcPr>
            <w:tcW w:w="13417" w:type="dxa"/>
            <w:gridSpan w:val="5"/>
          </w:tcPr>
          <w:p w14:paraId="38E8E7C2" w14:textId="77777777" w:rsidR="00175C99" w:rsidRDefault="00175C99" w:rsidP="00175C99">
            <w:pPr>
              <w:pStyle w:val="MDPI42tablebody"/>
              <w:jc w:val="left"/>
              <w:rPr>
                <w:b/>
                <w:bCs/>
              </w:rPr>
            </w:pPr>
          </w:p>
        </w:tc>
      </w:tr>
      <w:tr w:rsidR="00460735" w14:paraId="14FB65AD" w14:textId="77777777" w:rsidTr="00175C99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2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7B2D1" w14:textId="77777777" w:rsidR="006E0F4E" w:rsidRPr="00835E8E" w:rsidRDefault="006E553C" w:rsidP="00175C99">
            <w:pPr>
              <w:pStyle w:val="MDPI42tablebody"/>
              <w:jc w:val="left"/>
              <w:rPr>
                <w:b/>
                <w:bCs/>
              </w:rPr>
            </w:pPr>
            <w:r>
              <w:rPr>
                <w:b/>
                <w:bCs/>
                <w:noProof/>
                <w:snapToGrid/>
              </w:rPr>
              <mc:AlternateContent>
                <mc:Choice Requires="wpi">
                  <w:drawing>
                    <wp:anchor distT="0" distB="0" distL="114300" distR="114300" simplePos="0" relativeHeight="251658240" behindDoc="0" locked="0" layoutInCell="1" allowOverlap="1" wp14:anchorId="4CEB84B2" wp14:editId="024E8C44">
                      <wp:simplePos x="0" y="0"/>
                      <wp:positionH relativeFrom="column">
                        <wp:posOffset>666000</wp:posOffset>
                      </wp:positionH>
                      <wp:positionV relativeFrom="paragraph">
                        <wp:posOffset>3405</wp:posOffset>
                      </wp:positionV>
                      <wp:extent cx="360" cy="360"/>
                      <wp:effectExtent l="38100" t="38100" r="38100" b="38100"/>
                      <wp:wrapNone/>
                      <wp:docPr id="2" name="Pennanteckning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ennanteckning 2" o:spid="_x0000_s1025" type="#_x0000_t75" style="width:0.75pt;height:0.75pt;margin-top:-0.1pt;margin-left:52.1pt;mso-wrap-distance-bottom:0;mso-wrap-distance-left:9pt;mso-wrap-distance-right:9pt;mso-wrap-distance-top:0;mso-wrap-style:square;position:absolute;visibility:visible;z-index:251659264">
                      <v:imagedata r:id="rId9" o:title=""/>
                    </v:shape>
                  </w:pict>
                </mc:Fallback>
              </mc:AlternateContent>
            </w:r>
            <w:r w:rsidRPr="00835E8E">
              <w:rPr>
                <w:b/>
                <w:bCs/>
              </w:rPr>
              <w:t>Authors (Year)</w:t>
            </w:r>
          </w:p>
        </w:tc>
        <w:tc>
          <w:tcPr>
            <w:tcW w:w="25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3B8C4" w14:textId="77777777" w:rsidR="006E0F4E" w:rsidRPr="00835E8E" w:rsidRDefault="006E553C" w:rsidP="00175C99">
            <w:pPr>
              <w:pStyle w:val="MDPI42tablebody"/>
              <w:jc w:val="left"/>
              <w:rPr>
                <w:b/>
                <w:bCs/>
              </w:rPr>
            </w:pPr>
            <w:r w:rsidRPr="00835E8E">
              <w:rPr>
                <w:b/>
                <w:bCs/>
              </w:rPr>
              <w:t>Overall assessment</w:t>
            </w:r>
          </w:p>
        </w:tc>
        <w:tc>
          <w:tcPr>
            <w:tcW w:w="2977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73423EC" w14:textId="7B10E551" w:rsidR="006E0F4E" w:rsidRPr="00835E8E" w:rsidRDefault="00EB1F81" w:rsidP="00175C99">
            <w:pPr>
              <w:pStyle w:val="MDPI42tablebody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Using</w:t>
            </w:r>
            <w:r w:rsidRPr="00835E8E">
              <w:rPr>
                <w:b/>
                <w:bCs/>
              </w:rPr>
              <w:t xml:space="preserve"> </w:t>
            </w:r>
            <w:r w:rsidR="006E553C" w:rsidRPr="00835E8E">
              <w:rPr>
                <w:b/>
                <w:bCs/>
              </w:rPr>
              <w:t>which theory or philosophical approach did the authors proceed?</w:t>
            </w:r>
          </w:p>
        </w:tc>
        <w:tc>
          <w:tcPr>
            <w:tcW w:w="31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530428" w14:textId="77777777" w:rsidR="006E0F4E" w:rsidRPr="00835E8E" w:rsidRDefault="006E553C" w:rsidP="00175C99">
            <w:pPr>
              <w:pStyle w:val="MDPI42tablebody"/>
              <w:jc w:val="left"/>
              <w:rPr>
                <w:b/>
                <w:bCs/>
              </w:rPr>
            </w:pPr>
            <w:r w:rsidRPr="00835E8E">
              <w:rPr>
                <w:b/>
                <w:bCs/>
              </w:rPr>
              <w:t xml:space="preserve">Does the research aim </w:t>
            </w:r>
            <w:r w:rsidR="00835E8E">
              <w:rPr>
                <w:b/>
                <w:bCs/>
              </w:rPr>
              <w:br/>
            </w:r>
            <w:r w:rsidRPr="00835E8E">
              <w:rPr>
                <w:b/>
                <w:bCs/>
              </w:rPr>
              <w:t>correspond with the research question?</w:t>
            </w:r>
          </w:p>
        </w:tc>
        <w:tc>
          <w:tcPr>
            <w:tcW w:w="2644" w:type="dxa"/>
            <w:tcBorders>
              <w:bottom w:val="single" w:sz="8" w:space="0" w:color="auto"/>
            </w:tcBorders>
          </w:tcPr>
          <w:p w14:paraId="59D329E7" w14:textId="77777777" w:rsidR="006E0F4E" w:rsidRPr="00835E8E" w:rsidRDefault="006E553C" w:rsidP="00175C99">
            <w:pPr>
              <w:pStyle w:val="MDPI42tablebody"/>
              <w:jc w:val="left"/>
              <w:rPr>
                <w:b/>
                <w:bCs/>
              </w:rPr>
            </w:pPr>
            <w:r w:rsidRPr="00835E8E">
              <w:rPr>
                <w:b/>
                <w:bCs/>
              </w:rPr>
              <w:t>Participants</w:t>
            </w:r>
          </w:p>
        </w:tc>
      </w:tr>
      <w:tr w:rsidR="00460735" w14:paraId="7B78092A" w14:textId="77777777" w:rsidTr="00175C99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2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0B7860C3" w14:textId="77777777" w:rsidR="00835E8E" w:rsidRPr="00835E8E" w:rsidRDefault="006E553C" w:rsidP="00175C99">
            <w:pPr>
              <w:pStyle w:val="MDPI42tablebody"/>
              <w:jc w:val="left"/>
            </w:pPr>
            <w:proofErr w:type="spellStart"/>
            <w:r w:rsidRPr="00835E8E">
              <w:t>Jönsson</w:t>
            </w:r>
            <w:proofErr w:type="spellEnd"/>
            <w:r w:rsidRPr="00835E8E">
              <w:t xml:space="preserve"> &amp; Siverskog (2012)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2424D42F" w14:textId="523A596C" w:rsidR="00835E8E" w:rsidRPr="00835E8E" w:rsidRDefault="006E553C" w:rsidP="00175C99">
            <w:pPr>
              <w:pStyle w:val="MDPI42tablebody"/>
              <w:jc w:val="left"/>
            </w:pPr>
            <w:r w:rsidRPr="00835E8E">
              <w:t>Not the right phenomenon</w:t>
            </w:r>
            <w:r w:rsidR="00EB1F81">
              <w:t>;</w:t>
            </w:r>
            <w:r>
              <w:t xml:space="preserve"> High concerns. Not included.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3ECE385" w14:textId="77777777" w:rsidR="00835E8E" w:rsidRPr="00835E8E" w:rsidRDefault="006E553C" w:rsidP="00175C99">
            <w:pPr>
              <w:pStyle w:val="MDPI42tablebody"/>
              <w:jc w:val="left"/>
            </w:pPr>
            <w:r>
              <w:t>Social construction framework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auto"/>
          </w:tcPr>
          <w:p w14:paraId="21E133FE" w14:textId="23856DF6" w:rsidR="00835E8E" w:rsidRPr="00835E8E" w:rsidRDefault="006E553C" w:rsidP="00175C99">
            <w:pPr>
              <w:pStyle w:val="MDPI42tablebody"/>
              <w:jc w:val="left"/>
            </w:pPr>
            <w:r>
              <w:t xml:space="preserve">Unclear. </w:t>
            </w:r>
            <w:r w:rsidRPr="00835E8E">
              <w:t xml:space="preserve">The </w:t>
            </w:r>
            <w:r>
              <w:t xml:space="preserve">research </w:t>
            </w:r>
            <w:r w:rsidRPr="00835E8E">
              <w:t xml:space="preserve">question </w:t>
            </w:r>
            <w:r>
              <w:t>appears to have been</w:t>
            </w:r>
            <w:r w:rsidRPr="00835E8E">
              <w:t xml:space="preserve"> </w:t>
            </w:r>
            <w:r>
              <w:t>formulated</w:t>
            </w:r>
            <w:r w:rsidRPr="00835E8E">
              <w:t xml:space="preserve"> after finding the comments in the material, and not </w:t>
            </w:r>
            <w:r>
              <w:t>before data collection</w:t>
            </w:r>
            <w:r w:rsidRPr="00835E8E">
              <w:t>. There is no analysis of the group of participants per se</w:t>
            </w:r>
            <w:r w:rsidR="00EB1F81">
              <w:t>;</w:t>
            </w:r>
            <w:r w:rsidRPr="00835E8E">
              <w:t xml:space="preserve"> the comments </w:t>
            </w:r>
            <w:r>
              <w:br/>
            </w:r>
            <w:r w:rsidRPr="00835E8E">
              <w:t xml:space="preserve">on age are not distinctive to LGBTQ communities per se but occur in </w:t>
            </w:r>
            <w:r>
              <w:t xml:space="preserve">cisgender </w:t>
            </w:r>
            <w:r w:rsidRPr="00835E8E">
              <w:t>heterosexual settings as well.</w:t>
            </w:r>
          </w:p>
        </w:tc>
        <w:tc>
          <w:tcPr>
            <w:tcW w:w="2644" w:type="dxa"/>
            <w:tcBorders>
              <w:top w:val="single" w:sz="8" w:space="0" w:color="auto"/>
            </w:tcBorders>
          </w:tcPr>
          <w:p w14:paraId="57946679" w14:textId="77777777" w:rsidR="00835E8E" w:rsidRPr="00835E8E" w:rsidRDefault="006E553C" w:rsidP="00175C99">
            <w:pPr>
              <w:pStyle w:val="Normalweb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35E8E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Profiles on online dating sites</w:t>
            </w:r>
            <w: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. </w:t>
            </w:r>
            <w:r w:rsidRPr="00835E8E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The selection of the sample was based on self-mocking comments in LGBTQ people above the age of 60. Only 15-30% of the participants </w:t>
            </w:r>
            <w: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employed</w:t>
            </w:r>
            <w:r w:rsidRPr="00835E8E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self-mocking </w:t>
            </w:r>
            <w:r w:rsidRPr="00835E8E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comments about </w:t>
            </w:r>
            <w: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their </w:t>
            </w:r>
            <w:r w:rsidRPr="00835E8E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age</w:t>
            </w:r>
            <w: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14:paraId="732C0992" w14:textId="77777777" w:rsidR="00835E8E" w:rsidRPr="00835E8E" w:rsidRDefault="00835E8E" w:rsidP="00175C99">
            <w:pPr>
              <w:pStyle w:val="Normalweb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0735" w14:paraId="636DE284" w14:textId="77777777" w:rsidTr="00175C99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7049C73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6F2BBED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92025E5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15AC83D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2644" w:type="dxa"/>
          </w:tcPr>
          <w:p w14:paraId="72C0A459" w14:textId="77777777" w:rsidR="00835E8E" w:rsidRPr="00835E8E" w:rsidRDefault="00835E8E" w:rsidP="00175C99">
            <w:pPr>
              <w:pStyle w:val="MDPI42tablebody"/>
              <w:jc w:val="left"/>
            </w:pPr>
          </w:p>
        </w:tc>
      </w:tr>
      <w:tr w:rsidR="00460735" w14:paraId="439EFA99" w14:textId="77777777" w:rsidTr="00175C99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27" w:type="dxa"/>
            <w:vMerge/>
            <w:shd w:val="clear" w:color="auto" w:fill="auto"/>
            <w:vAlign w:val="center"/>
          </w:tcPr>
          <w:p w14:paraId="0997C948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F119524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0935296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ED3E310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2644" w:type="dxa"/>
          </w:tcPr>
          <w:p w14:paraId="11BABADA" w14:textId="77777777" w:rsidR="00835E8E" w:rsidRPr="00835E8E" w:rsidRDefault="00835E8E" w:rsidP="00175C99">
            <w:pPr>
              <w:pStyle w:val="MDPI42tablebody"/>
              <w:jc w:val="left"/>
            </w:pPr>
          </w:p>
        </w:tc>
      </w:tr>
      <w:tr w:rsidR="00460735" w14:paraId="3ACE2945" w14:textId="77777777" w:rsidTr="00175C99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27" w:type="dxa"/>
            <w:shd w:val="clear" w:color="auto" w:fill="auto"/>
            <w:vAlign w:val="center"/>
            <w:hideMark/>
          </w:tcPr>
          <w:p w14:paraId="4500A705" w14:textId="77777777" w:rsidR="00835E8E" w:rsidRPr="00835E8E" w:rsidRDefault="006E553C" w:rsidP="00175C99">
            <w:pPr>
              <w:pStyle w:val="MDPI42tablebody"/>
              <w:jc w:val="left"/>
            </w:pPr>
            <w:r w:rsidRPr="00835E8E">
              <w:t>Siverskog (2014)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5144E79" w14:textId="77777777" w:rsidR="00835E8E" w:rsidRPr="00835E8E" w:rsidRDefault="006E553C" w:rsidP="00175C99">
            <w:pPr>
              <w:pStyle w:val="MDPI42tablebody"/>
              <w:jc w:val="left"/>
            </w:pPr>
            <w:r>
              <w:t>High concerns; included for alignment with review’s phenomenon of interest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71341C3" w14:textId="77777777" w:rsidR="00835E8E" w:rsidRPr="00835E8E" w:rsidRDefault="006E553C" w:rsidP="00175C99">
            <w:pPr>
              <w:pStyle w:val="MDPI42tablebody"/>
              <w:jc w:val="left"/>
            </w:pPr>
            <w:r w:rsidRPr="00835E8E">
              <w:t>Social gerontology, queer theory and social work with a biographical approach using life story interviews. It is unclear whether this has been applied regarding methodology.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8CEAC74" w14:textId="77777777" w:rsidR="00835E8E" w:rsidRPr="00835E8E" w:rsidRDefault="006E553C" w:rsidP="00175C99">
            <w:pPr>
              <w:pStyle w:val="MDPI42tablebody"/>
              <w:jc w:val="left"/>
            </w:pPr>
            <w:r w:rsidRPr="00835E8E">
              <w:t>Yes</w:t>
            </w:r>
            <w:r w:rsidR="00382484">
              <w:t xml:space="preserve">. This study is a </w:t>
            </w:r>
            <w:proofErr w:type="spellStart"/>
            <w:r w:rsidR="00382484">
              <w:t>substudy</w:t>
            </w:r>
            <w:proofErr w:type="spellEnd"/>
            <w:r w:rsidR="00382484">
              <w:t xml:space="preserve"> of a larger study; aim of larger study not described.</w:t>
            </w:r>
          </w:p>
        </w:tc>
        <w:tc>
          <w:tcPr>
            <w:tcW w:w="2644" w:type="dxa"/>
          </w:tcPr>
          <w:p w14:paraId="2BBADD72" w14:textId="77777777" w:rsidR="00835E8E" w:rsidRPr="00835E8E" w:rsidRDefault="006E553C" w:rsidP="00175C99">
            <w:pPr>
              <w:pStyle w:val="MDPI42tablebody"/>
              <w:jc w:val="left"/>
            </w:pPr>
            <w:r>
              <w:t>Trans participants taken from the larger study (which included LGBTQ people). Recruitment procedures are unclear. Concerns with recruitment (e.g., replicability).  Same participants as in Siverskog (2015).</w:t>
            </w:r>
          </w:p>
        </w:tc>
      </w:tr>
      <w:tr w:rsidR="00460735" w14:paraId="553D1792" w14:textId="77777777" w:rsidTr="00175C99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27" w:type="dxa"/>
            <w:shd w:val="clear" w:color="auto" w:fill="auto"/>
            <w:vAlign w:val="center"/>
            <w:hideMark/>
          </w:tcPr>
          <w:p w14:paraId="12120127" w14:textId="77777777" w:rsidR="00835E8E" w:rsidRPr="00835E8E" w:rsidRDefault="006E553C" w:rsidP="00175C99">
            <w:pPr>
              <w:pStyle w:val="MDPI42tablebody"/>
              <w:jc w:val="left"/>
            </w:pPr>
            <w:r w:rsidRPr="00835E8E">
              <w:t xml:space="preserve">Siverskog </w:t>
            </w:r>
            <w:r w:rsidR="00382484">
              <w:t>(</w:t>
            </w:r>
            <w:r w:rsidRPr="00835E8E">
              <w:t>2015</w:t>
            </w:r>
            <w:r w:rsidR="00382484">
              <w:t>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7C2FAC6" w14:textId="77777777" w:rsidR="00835E8E" w:rsidRPr="00835E8E" w:rsidRDefault="006E553C" w:rsidP="00175C99">
            <w:pPr>
              <w:pStyle w:val="MDPI42tablebody"/>
              <w:jc w:val="left"/>
            </w:pPr>
            <w:r w:rsidRPr="00382484">
              <w:t>High concerns; included for alignment with review’s phenomenon of interest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E1B7450" w14:textId="77777777" w:rsidR="00835E8E" w:rsidRPr="00835E8E" w:rsidRDefault="006E553C" w:rsidP="00175C99">
            <w:pPr>
              <w:pStyle w:val="MDPI42tablebody"/>
              <w:jc w:val="left"/>
            </w:pPr>
            <w:r w:rsidRPr="00382484">
              <w:t>Critical gerontology, queer theory, feminist theory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4A20F7" w14:textId="77777777" w:rsidR="00835E8E" w:rsidRPr="00835E8E" w:rsidRDefault="006E553C" w:rsidP="00175C99">
            <w:pPr>
              <w:pStyle w:val="MDPI42tablebody"/>
              <w:jc w:val="left"/>
            </w:pPr>
            <w:r w:rsidRPr="00382484">
              <w:t xml:space="preserve">Yes. This study is a </w:t>
            </w:r>
            <w:proofErr w:type="spellStart"/>
            <w:r w:rsidRPr="00382484">
              <w:t>substudy</w:t>
            </w:r>
            <w:proofErr w:type="spellEnd"/>
            <w:r w:rsidRPr="00382484">
              <w:t xml:space="preserve"> of a larger study; aim of larger study not described.</w:t>
            </w:r>
          </w:p>
        </w:tc>
        <w:tc>
          <w:tcPr>
            <w:tcW w:w="2644" w:type="dxa"/>
          </w:tcPr>
          <w:p w14:paraId="6CDF7FF7" w14:textId="77777777" w:rsidR="00835E8E" w:rsidRPr="00835E8E" w:rsidRDefault="006E553C" w:rsidP="00175C99">
            <w:pPr>
              <w:pStyle w:val="MDPI42tablebody"/>
              <w:jc w:val="left"/>
            </w:pPr>
            <w:r w:rsidRPr="00382484">
              <w:t xml:space="preserve">Trans participants taken from the larger study (which included LGBTQ people). Recruitment procedures are unclear. Concerns with </w:t>
            </w:r>
            <w:r w:rsidRPr="00382484">
              <w:lastRenderedPageBreak/>
              <w:t>recruitment (e.g., replicability).  Same participants as in Siverskog (201</w:t>
            </w:r>
            <w:r>
              <w:t>4</w:t>
            </w:r>
            <w:r w:rsidRPr="00382484">
              <w:t>).</w:t>
            </w:r>
          </w:p>
        </w:tc>
      </w:tr>
      <w:tr w:rsidR="00460735" w14:paraId="5DC7ABBC" w14:textId="77777777" w:rsidTr="00175C99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14:paraId="23BE2B29" w14:textId="77777777" w:rsidR="00835E8E" w:rsidRPr="00835E8E" w:rsidRDefault="006E553C" w:rsidP="00175C99">
            <w:pPr>
              <w:pStyle w:val="MDPI42tablebody"/>
              <w:jc w:val="left"/>
            </w:pPr>
            <w:proofErr w:type="spellStart"/>
            <w:r w:rsidRPr="00835E8E">
              <w:lastRenderedPageBreak/>
              <w:t>Löf</w:t>
            </w:r>
            <w:proofErr w:type="spellEnd"/>
            <w:r w:rsidRPr="00835E8E">
              <w:t xml:space="preserve"> &amp; </w:t>
            </w:r>
            <w:proofErr w:type="spellStart"/>
            <w:r w:rsidRPr="00835E8E">
              <w:t>Olaison</w:t>
            </w:r>
            <w:proofErr w:type="spellEnd"/>
            <w:r w:rsidRPr="00835E8E">
              <w:t xml:space="preserve"> (2018)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8A85AE" w14:textId="77777777" w:rsidR="00835E8E" w:rsidRPr="00835E8E" w:rsidRDefault="006E553C" w:rsidP="00175C99">
            <w:pPr>
              <w:pStyle w:val="MDPI42tablebody"/>
              <w:jc w:val="left"/>
            </w:pPr>
            <w:r>
              <w:t>Insignificant concerns. Included.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A37507B" w14:textId="77777777" w:rsidR="00835E8E" w:rsidRPr="00835E8E" w:rsidRDefault="006E553C" w:rsidP="00175C99">
            <w:pPr>
              <w:pStyle w:val="MDPI42tablebody"/>
              <w:jc w:val="left"/>
            </w:pPr>
            <w:r>
              <w:t>Fraser’s status model of recognition.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7176A95" w14:textId="77777777" w:rsidR="00835E8E" w:rsidRPr="00835E8E" w:rsidRDefault="006E553C" w:rsidP="00175C99">
            <w:pPr>
              <w:pStyle w:val="MDPI42tablebody"/>
              <w:jc w:val="left"/>
            </w:pPr>
            <w:r>
              <w:t>Yes.</w:t>
            </w:r>
          </w:p>
        </w:tc>
        <w:tc>
          <w:tcPr>
            <w:tcW w:w="2644" w:type="dxa"/>
          </w:tcPr>
          <w:p w14:paraId="68609F2F" w14:textId="77777777" w:rsidR="00835E8E" w:rsidRPr="00835E8E" w:rsidRDefault="006E553C" w:rsidP="00175C99">
            <w:pPr>
              <w:pStyle w:val="MDPI42tablebody"/>
              <w:jc w:val="left"/>
            </w:pPr>
            <w:r>
              <w:t>Recruitment clearly described and suitable. No concerns.</w:t>
            </w:r>
          </w:p>
        </w:tc>
      </w:tr>
      <w:tr w:rsidR="00460735" w14:paraId="4674D5F9" w14:textId="77777777" w:rsidTr="00175C99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27" w:type="dxa"/>
            <w:vMerge/>
            <w:shd w:val="clear" w:color="auto" w:fill="auto"/>
            <w:vAlign w:val="center"/>
          </w:tcPr>
          <w:p w14:paraId="50142715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02C3E07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C544D83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92E728E" w14:textId="77777777" w:rsidR="00835E8E" w:rsidRPr="00835E8E" w:rsidRDefault="00835E8E" w:rsidP="00175C99">
            <w:pPr>
              <w:pStyle w:val="MDPI42tablebody"/>
              <w:jc w:val="left"/>
            </w:pPr>
          </w:p>
        </w:tc>
        <w:tc>
          <w:tcPr>
            <w:tcW w:w="2644" w:type="dxa"/>
          </w:tcPr>
          <w:p w14:paraId="45ED94DE" w14:textId="77777777" w:rsidR="00835E8E" w:rsidRPr="00835E8E" w:rsidRDefault="00835E8E" w:rsidP="00175C99">
            <w:pPr>
              <w:pStyle w:val="MDPI42tablebody"/>
              <w:jc w:val="left"/>
            </w:pPr>
          </w:p>
        </w:tc>
      </w:tr>
      <w:tr w:rsidR="00460735" w14:paraId="02FDD6B5" w14:textId="77777777" w:rsidTr="00175C99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2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419CAF" w14:textId="77777777" w:rsidR="00835E8E" w:rsidRPr="00835E8E" w:rsidRDefault="006E553C" w:rsidP="00175C99">
            <w:pPr>
              <w:pStyle w:val="MDPI42tablebody"/>
              <w:jc w:val="left"/>
            </w:pPr>
            <w:r w:rsidRPr="00835E8E">
              <w:t>Siverskog &amp; Bromseth (2019)</w:t>
            </w:r>
          </w:p>
        </w:tc>
        <w:tc>
          <w:tcPr>
            <w:tcW w:w="25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249646" w14:textId="77777777" w:rsidR="00835E8E" w:rsidRPr="00835E8E" w:rsidRDefault="006E553C" w:rsidP="00175C99">
            <w:pPr>
              <w:pStyle w:val="MDPI42tablebody"/>
              <w:jc w:val="left"/>
            </w:pPr>
            <w:r>
              <w:t>High concerns; included for alignment with review’s phenomenon of interest</w:t>
            </w:r>
          </w:p>
        </w:tc>
        <w:tc>
          <w:tcPr>
            <w:tcW w:w="297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A5FE2D" w14:textId="77777777" w:rsidR="00835E8E" w:rsidRPr="00835E8E" w:rsidRDefault="006E553C" w:rsidP="00175C99">
            <w:pPr>
              <w:pStyle w:val="MDPI42tablebody"/>
              <w:jc w:val="left"/>
            </w:pPr>
            <w:r w:rsidRPr="00382484">
              <w:t>Queer theory and critical gerontology, ethnographic study, Ahmed</w:t>
            </w:r>
            <w:r>
              <w:t>’</w:t>
            </w:r>
            <w:r w:rsidRPr="00382484">
              <w:t>s concept of orientation, Valentine</w:t>
            </w:r>
            <w:r>
              <w:t>’</w:t>
            </w:r>
            <w:r w:rsidRPr="00382484">
              <w:t xml:space="preserve">s </w:t>
            </w:r>
            <w:proofErr w:type="spellStart"/>
            <w:r w:rsidRPr="00382484">
              <w:t>timespaces</w:t>
            </w:r>
            <w:proofErr w:type="spellEnd"/>
          </w:p>
        </w:tc>
        <w:tc>
          <w:tcPr>
            <w:tcW w:w="31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50334" w14:textId="77777777" w:rsidR="00835E8E" w:rsidRPr="00835E8E" w:rsidRDefault="006E553C" w:rsidP="00175C99">
            <w:pPr>
              <w:pStyle w:val="MDPI42tablebody"/>
              <w:jc w:val="left"/>
            </w:pPr>
            <w:r>
              <w:t>Yes.</w:t>
            </w:r>
          </w:p>
        </w:tc>
        <w:tc>
          <w:tcPr>
            <w:tcW w:w="2644" w:type="dxa"/>
            <w:tcBorders>
              <w:bottom w:val="single" w:sz="8" w:space="0" w:color="auto"/>
            </w:tcBorders>
          </w:tcPr>
          <w:p w14:paraId="6128A938" w14:textId="77777777" w:rsidR="00835E8E" w:rsidRPr="00835E8E" w:rsidRDefault="00835E8E" w:rsidP="00175C99">
            <w:pPr>
              <w:pStyle w:val="MDPI42tablebody"/>
              <w:jc w:val="left"/>
            </w:pPr>
          </w:p>
          <w:p w14:paraId="6FF0C68C" w14:textId="77777777" w:rsidR="00835E8E" w:rsidRPr="00835E8E" w:rsidRDefault="006E553C" w:rsidP="00175C99">
            <w:pPr>
              <w:pStyle w:val="MDPI42tablebody"/>
              <w:jc w:val="left"/>
            </w:pPr>
            <w:r>
              <w:t xml:space="preserve">Participant data picked from two other studies; unknown sampling. </w:t>
            </w:r>
          </w:p>
        </w:tc>
      </w:tr>
    </w:tbl>
    <w:p w14:paraId="5F229C51" w14:textId="77777777" w:rsidR="00B60AC7" w:rsidRPr="00835E8E" w:rsidRDefault="00B60AC7" w:rsidP="00835E8E">
      <w:pPr>
        <w:jc w:val="left"/>
      </w:pPr>
    </w:p>
    <w:p w14:paraId="4DD3C2F8" w14:textId="77777777" w:rsidR="008D756C" w:rsidRDefault="006E553C" w:rsidP="00835E8E">
      <w:pPr>
        <w:spacing w:after="160"/>
        <w:jc w:val="left"/>
      </w:pPr>
      <w:r w:rsidRPr="00835E8E">
        <w:br w:type="page"/>
      </w:r>
    </w:p>
    <w:p w14:paraId="4FEB7205" w14:textId="77777777" w:rsidR="008F0FED" w:rsidRPr="008F0FED" w:rsidRDefault="006E553C" w:rsidP="008F0FED">
      <w:pPr>
        <w:pStyle w:val="MDPI41tablecaption"/>
        <w:jc w:val="left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Supplement material</w:t>
      </w:r>
      <w:r w:rsidRPr="00835E8E">
        <w:rPr>
          <w:b/>
          <w:sz w:val="20"/>
          <w:szCs w:val="20"/>
        </w:rPr>
        <w:t xml:space="preserve"> </w:t>
      </w:r>
      <w:r w:rsidRPr="00835E8E">
        <w:rPr>
          <w:sz w:val="20"/>
          <w:szCs w:val="20"/>
        </w:rPr>
        <w:t>Qualitative assessment</w:t>
      </w:r>
      <w:r>
        <w:rPr>
          <w:sz w:val="20"/>
          <w:szCs w:val="20"/>
        </w:rPr>
        <w:t xml:space="preserve"> continued</w:t>
      </w:r>
    </w:p>
    <w:tbl>
      <w:tblPr>
        <w:tblW w:w="1403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2835"/>
        <w:gridCol w:w="1985"/>
        <w:gridCol w:w="2409"/>
        <w:gridCol w:w="3261"/>
      </w:tblGrid>
      <w:tr w:rsidR="00460735" w14:paraId="33E1DC3D" w14:textId="77777777" w:rsidTr="00175C99">
        <w:trPr>
          <w:jc w:val="center"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6820010" w14:textId="77777777" w:rsidR="008D756C" w:rsidRPr="00835E8E" w:rsidRDefault="006E553C" w:rsidP="00835E8E">
            <w:pPr>
              <w:pStyle w:val="MDPI42tablebody"/>
              <w:jc w:val="left"/>
              <w:rPr>
                <w:b/>
                <w:bCs/>
              </w:rPr>
            </w:pPr>
            <w:r w:rsidRPr="00835E8E">
              <w:rPr>
                <w:b/>
                <w:bCs/>
              </w:rPr>
              <w:t>Authors (Year)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4491BEA" w14:textId="77777777" w:rsidR="008D756C" w:rsidRPr="00835E8E" w:rsidRDefault="006E553C" w:rsidP="00835E8E">
            <w:pPr>
              <w:pStyle w:val="MDPI42tablebody"/>
              <w:jc w:val="left"/>
              <w:rPr>
                <w:b/>
                <w:bCs/>
              </w:rPr>
            </w:pPr>
            <w:r w:rsidRPr="00835E8E">
              <w:rPr>
                <w:b/>
                <w:bCs/>
              </w:rPr>
              <w:t>Data collection</w:t>
            </w:r>
          </w:p>
        </w:tc>
        <w:tc>
          <w:tcPr>
            <w:tcW w:w="283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3C09907" w14:textId="77777777" w:rsidR="008D756C" w:rsidRPr="00835E8E" w:rsidRDefault="006E553C" w:rsidP="00835E8E">
            <w:pPr>
              <w:pStyle w:val="MDPI42tablebody"/>
              <w:jc w:val="left"/>
              <w:rPr>
                <w:b/>
                <w:bCs/>
              </w:rPr>
            </w:pPr>
            <w:r w:rsidRPr="00835E8E">
              <w:rPr>
                <w:b/>
                <w:bCs/>
              </w:rPr>
              <w:t>Analysis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EBB8427" w14:textId="77777777" w:rsidR="008D756C" w:rsidRPr="00835E8E" w:rsidRDefault="006E553C" w:rsidP="00835E8E">
            <w:pPr>
              <w:pStyle w:val="MDPI42tablebody"/>
              <w:jc w:val="left"/>
              <w:rPr>
                <w:b/>
                <w:bCs/>
              </w:rPr>
            </w:pPr>
            <w:r w:rsidRPr="00835E8E">
              <w:rPr>
                <w:b/>
                <w:bCs/>
              </w:rPr>
              <w:t>Researcher (s)</w:t>
            </w:r>
          </w:p>
        </w:tc>
        <w:tc>
          <w:tcPr>
            <w:tcW w:w="2409" w:type="dxa"/>
            <w:tcBorders>
              <w:top w:val="single" w:sz="8" w:space="0" w:color="auto"/>
              <w:bottom w:val="single" w:sz="8" w:space="0" w:color="auto"/>
            </w:tcBorders>
          </w:tcPr>
          <w:p w14:paraId="1AC98125" w14:textId="77777777" w:rsidR="008D756C" w:rsidRPr="00835E8E" w:rsidRDefault="006E553C" w:rsidP="00835E8E">
            <w:pPr>
              <w:pStyle w:val="MDPI42tablebody"/>
              <w:jc w:val="left"/>
              <w:rPr>
                <w:b/>
                <w:bCs/>
              </w:rPr>
            </w:pPr>
            <w:r w:rsidRPr="00835E8E">
              <w:rPr>
                <w:b/>
                <w:bCs/>
              </w:rPr>
              <w:t>Relevance</w:t>
            </w:r>
          </w:p>
        </w:tc>
        <w:tc>
          <w:tcPr>
            <w:tcW w:w="3261" w:type="dxa"/>
            <w:tcBorders>
              <w:top w:val="single" w:sz="8" w:space="0" w:color="auto"/>
              <w:bottom w:val="single" w:sz="8" w:space="0" w:color="auto"/>
            </w:tcBorders>
          </w:tcPr>
          <w:p w14:paraId="3F6C2C07" w14:textId="77777777" w:rsidR="008D756C" w:rsidRPr="00835E8E" w:rsidRDefault="006E553C" w:rsidP="00835E8E">
            <w:pPr>
              <w:pStyle w:val="MDPI42tablebody"/>
              <w:tabs>
                <w:tab w:val="left" w:pos="950"/>
              </w:tabs>
              <w:jc w:val="left"/>
              <w:rPr>
                <w:b/>
                <w:bCs/>
              </w:rPr>
            </w:pPr>
            <w:r w:rsidRPr="00835E8E">
              <w:rPr>
                <w:b/>
                <w:bCs/>
              </w:rPr>
              <w:tab/>
              <w:t>Coherence</w:t>
            </w:r>
          </w:p>
        </w:tc>
      </w:tr>
      <w:tr w:rsidR="00460735" w14:paraId="27B285D7" w14:textId="77777777" w:rsidTr="00175C99">
        <w:trPr>
          <w:jc w:val="center"/>
        </w:trPr>
        <w:tc>
          <w:tcPr>
            <w:tcW w:w="1843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7ACAE5E0" w14:textId="77777777" w:rsidR="00835E8E" w:rsidRPr="00835E8E" w:rsidRDefault="006E553C" w:rsidP="00835E8E">
            <w:pPr>
              <w:pStyle w:val="MDPI42tablebody"/>
              <w:jc w:val="left"/>
            </w:pPr>
            <w:proofErr w:type="spellStart"/>
            <w:r w:rsidRPr="00835E8E">
              <w:t>Jönsson</w:t>
            </w:r>
            <w:proofErr w:type="spellEnd"/>
            <w:r w:rsidRPr="00835E8E">
              <w:t xml:space="preserve"> &amp; Siverskog (2012)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54E1BAC9" w14:textId="77777777" w:rsidR="00835E8E" w:rsidRPr="00835E8E" w:rsidRDefault="006E553C" w:rsidP="00835E8E">
            <w:pPr>
              <w:pStyle w:val="MDPI42tablebody"/>
              <w:jc w:val="left"/>
            </w:pPr>
            <w:r>
              <w:t xml:space="preserve">Two LGBTQ-aligned web-based internet forums: participants’ profile texts were assessed and included if deemed self-mocking  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2C786F6" w14:textId="77777777" w:rsidR="00835E8E" w:rsidRPr="00835E8E" w:rsidRDefault="006E553C" w:rsidP="00835E8E">
            <w:pPr>
              <w:pStyle w:val="MDPI42tablebody"/>
              <w:jc w:val="left"/>
            </w:pPr>
            <w:r>
              <w:t xml:space="preserve">Quantitative content analysis. Authors have not described the analytical process. </w:t>
            </w:r>
            <w:r w:rsidR="00382484">
              <w:t>No description of a reflexive approach. No description of how interpretations were validated.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B917251" w14:textId="77777777" w:rsidR="00835E8E" w:rsidRPr="00835E8E" w:rsidRDefault="006E553C" w:rsidP="00835E8E">
            <w:pPr>
              <w:pStyle w:val="MDPI42tablebody"/>
              <w:jc w:val="left"/>
            </w:pPr>
            <w:r w:rsidRPr="00835E8E">
              <w:t>The authors have not described their background or their rela</w:t>
            </w:r>
            <w:r>
              <w:t>t</w:t>
            </w:r>
            <w:r w:rsidRPr="00835E8E">
              <w:t>ion</w:t>
            </w:r>
            <w:r>
              <w:t xml:space="preserve"> to, or pre-understanding of,</w:t>
            </w:r>
            <w:r w:rsidRPr="00835E8E">
              <w:t xml:space="preserve"> the topic.</w:t>
            </w:r>
          </w:p>
        </w:tc>
        <w:tc>
          <w:tcPr>
            <w:tcW w:w="2409" w:type="dxa"/>
            <w:tcBorders>
              <w:top w:val="single" w:sz="8" w:space="0" w:color="auto"/>
            </w:tcBorders>
          </w:tcPr>
          <w:p w14:paraId="45DB7D72" w14:textId="77777777" w:rsidR="00835E8E" w:rsidRDefault="00835E8E" w:rsidP="00835E8E">
            <w:pPr>
              <w:pStyle w:val="MDPI42tablebody"/>
              <w:jc w:val="left"/>
            </w:pPr>
          </w:p>
          <w:p w14:paraId="1068472C" w14:textId="50D83528" w:rsidR="00835E8E" w:rsidRPr="00835E8E" w:rsidRDefault="00EB1F81" w:rsidP="00835E8E">
            <w:pPr>
              <w:pStyle w:val="MDPI42tablebody"/>
              <w:jc w:val="left"/>
            </w:pPr>
            <w:r>
              <w:t>Because</w:t>
            </w:r>
            <w:r w:rsidRPr="00835E8E">
              <w:t xml:space="preserve"> </w:t>
            </w:r>
            <w:r w:rsidR="006E553C" w:rsidRPr="00835E8E">
              <w:t>there is no analysis about</w:t>
            </w:r>
            <w:r w:rsidR="006E553C">
              <w:t xml:space="preserve"> the comments from an</w:t>
            </w:r>
            <w:r w:rsidR="006E553C" w:rsidRPr="00835E8E">
              <w:t xml:space="preserve"> </w:t>
            </w:r>
            <w:r w:rsidR="006E553C">
              <w:t>LGBTQ point of view, and associating LGBTQ views</w:t>
            </w:r>
            <w:r w:rsidR="006E553C" w:rsidRPr="00835E8E">
              <w:t xml:space="preserve"> in relation to age, the study is not relevant to our aims.</w:t>
            </w:r>
          </w:p>
        </w:tc>
        <w:tc>
          <w:tcPr>
            <w:tcW w:w="3261" w:type="dxa"/>
            <w:tcBorders>
              <w:top w:val="single" w:sz="8" w:space="0" w:color="auto"/>
            </w:tcBorders>
            <w:vAlign w:val="center"/>
          </w:tcPr>
          <w:p w14:paraId="0B7F24C6" w14:textId="3C2EE0BE" w:rsidR="00835E8E" w:rsidRPr="00835E8E" w:rsidRDefault="006E553C" w:rsidP="00835E8E">
            <w:pPr>
              <w:pStyle w:val="MDPI42tablebody"/>
              <w:jc w:val="left"/>
            </w:pPr>
            <w:r>
              <w:t>O</w:t>
            </w:r>
            <w:r w:rsidRPr="00835E8E">
              <w:t xml:space="preserve">nly part of the </w:t>
            </w:r>
            <w:r>
              <w:t>data</w:t>
            </w:r>
            <w:r w:rsidRPr="00835E8E">
              <w:t xml:space="preserve"> </w:t>
            </w:r>
            <w:r w:rsidR="00552963">
              <w:t>was</w:t>
            </w:r>
            <w:r w:rsidR="007132EA" w:rsidRPr="00835E8E">
              <w:t xml:space="preserve"> </w:t>
            </w:r>
            <w:r w:rsidRPr="00835E8E">
              <w:t>used, as a majority of the participants did not make comments on their ages. No description whether there were contradicting findings. Analysis from a social constructive framework, but unclear how this was associated with the data.</w:t>
            </w:r>
          </w:p>
        </w:tc>
      </w:tr>
      <w:tr w:rsidR="00460735" w14:paraId="2A40E806" w14:textId="77777777" w:rsidTr="00175C99">
        <w:trPr>
          <w:jc w:val="center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6C54EA5" w14:textId="77777777" w:rsidR="00835E8E" w:rsidRPr="00835E8E" w:rsidRDefault="00835E8E" w:rsidP="00835E8E">
            <w:pPr>
              <w:pStyle w:val="MDPI42tablebody"/>
              <w:jc w:val="left"/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A66B2A2" w14:textId="77777777" w:rsidR="00835E8E" w:rsidRPr="00835E8E" w:rsidRDefault="00835E8E" w:rsidP="00835E8E">
            <w:pPr>
              <w:pStyle w:val="MDPI42tablebody"/>
              <w:jc w:val="lef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0DFCE83" w14:textId="77777777" w:rsidR="00835E8E" w:rsidRPr="00835E8E" w:rsidRDefault="00835E8E" w:rsidP="00835E8E">
            <w:pPr>
              <w:pStyle w:val="MDPI42tablebody"/>
              <w:jc w:val="left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5025361" w14:textId="77777777" w:rsidR="00835E8E" w:rsidRPr="00835E8E" w:rsidRDefault="00835E8E" w:rsidP="00835E8E">
            <w:pPr>
              <w:pStyle w:val="MDPI42tablebody"/>
              <w:jc w:val="left"/>
            </w:pPr>
          </w:p>
        </w:tc>
        <w:tc>
          <w:tcPr>
            <w:tcW w:w="2409" w:type="dxa"/>
          </w:tcPr>
          <w:p w14:paraId="15457746" w14:textId="77777777" w:rsidR="00835E8E" w:rsidRPr="00835E8E" w:rsidRDefault="00835E8E" w:rsidP="00835E8E">
            <w:pPr>
              <w:pStyle w:val="MDPI42tablebody"/>
              <w:jc w:val="left"/>
            </w:pPr>
          </w:p>
        </w:tc>
        <w:tc>
          <w:tcPr>
            <w:tcW w:w="3261" w:type="dxa"/>
          </w:tcPr>
          <w:p w14:paraId="24FD7366" w14:textId="77777777" w:rsidR="00835E8E" w:rsidRPr="00835E8E" w:rsidRDefault="00835E8E" w:rsidP="00835E8E">
            <w:pPr>
              <w:pStyle w:val="MDPI42tablebody"/>
              <w:jc w:val="left"/>
            </w:pPr>
          </w:p>
        </w:tc>
      </w:tr>
      <w:tr w:rsidR="00460735" w14:paraId="2469251E" w14:textId="77777777" w:rsidTr="00175C99">
        <w:trPr>
          <w:jc w:val="center"/>
        </w:trPr>
        <w:tc>
          <w:tcPr>
            <w:tcW w:w="1843" w:type="dxa"/>
            <w:vMerge/>
            <w:shd w:val="clear" w:color="auto" w:fill="auto"/>
            <w:vAlign w:val="center"/>
          </w:tcPr>
          <w:p w14:paraId="1711EB19" w14:textId="77777777" w:rsidR="00835E8E" w:rsidRPr="00835E8E" w:rsidRDefault="00835E8E" w:rsidP="00835E8E">
            <w:pPr>
              <w:pStyle w:val="MDPI42tablebody"/>
              <w:jc w:val="lef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574EB69" w14:textId="77777777" w:rsidR="00835E8E" w:rsidRPr="00835E8E" w:rsidRDefault="00835E8E" w:rsidP="00835E8E">
            <w:pPr>
              <w:pStyle w:val="MDPI42tablebody"/>
              <w:jc w:val="lef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77E002" w14:textId="77777777" w:rsidR="00835E8E" w:rsidRPr="00835E8E" w:rsidRDefault="00835E8E" w:rsidP="00835E8E">
            <w:pPr>
              <w:pStyle w:val="MDPI42tablebody"/>
              <w:jc w:val="left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D95D6E" w14:textId="77777777" w:rsidR="00835E8E" w:rsidRPr="00835E8E" w:rsidRDefault="00835E8E" w:rsidP="00835E8E">
            <w:pPr>
              <w:pStyle w:val="MDPI42tablebody"/>
              <w:jc w:val="left"/>
            </w:pPr>
          </w:p>
        </w:tc>
        <w:tc>
          <w:tcPr>
            <w:tcW w:w="2409" w:type="dxa"/>
          </w:tcPr>
          <w:p w14:paraId="33E22159" w14:textId="77777777" w:rsidR="00835E8E" w:rsidRPr="00835E8E" w:rsidRDefault="00835E8E" w:rsidP="00835E8E">
            <w:pPr>
              <w:pStyle w:val="MDPI42tablebody"/>
              <w:jc w:val="left"/>
            </w:pPr>
          </w:p>
        </w:tc>
        <w:tc>
          <w:tcPr>
            <w:tcW w:w="3261" w:type="dxa"/>
          </w:tcPr>
          <w:p w14:paraId="05262BC0" w14:textId="77777777" w:rsidR="00835E8E" w:rsidRPr="00835E8E" w:rsidRDefault="00835E8E" w:rsidP="00835E8E">
            <w:pPr>
              <w:pStyle w:val="MDPI42tablebody"/>
              <w:jc w:val="left"/>
            </w:pPr>
          </w:p>
        </w:tc>
      </w:tr>
      <w:tr w:rsidR="00460735" w14:paraId="2132164F" w14:textId="77777777" w:rsidTr="00175C99">
        <w:trPr>
          <w:jc w:val="center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0C1A47F" w14:textId="77777777" w:rsidR="00382484" w:rsidRPr="00835E8E" w:rsidRDefault="006E553C" w:rsidP="00382484">
            <w:pPr>
              <w:pStyle w:val="MDPI42tablebody"/>
              <w:jc w:val="left"/>
            </w:pPr>
            <w:r w:rsidRPr="00835E8E">
              <w:t>Siverskog (2014)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FD0899B" w14:textId="77777777" w:rsidR="00382484" w:rsidRPr="00835E8E" w:rsidRDefault="006E553C" w:rsidP="00382484">
            <w:pPr>
              <w:pStyle w:val="MDPI42tablebody"/>
              <w:jc w:val="left"/>
            </w:pPr>
            <w:r>
              <w:t>Concerns, as an interview guide was not included.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E3BE7B0" w14:textId="77777777" w:rsidR="00382484" w:rsidRPr="00835E8E" w:rsidRDefault="006E553C" w:rsidP="00382484">
            <w:pPr>
              <w:pStyle w:val="MDPI42tablebody"/>
              <w:jc w:val="left"/>
            </w:pPr>
            <w:r>
              <w:t xml:space="preserve">Steps in thematic analysis not described. No </w:t>
            </w:r>
            <w:r w:rsidRPr="00835E8E">
              <w:t>description</w:t>
            </w:r>
            <w:r>
              <w:t xml:space="preserve"> of a reflexive approach. No description of how interpretations were validated.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33FF64" w14:textId="77777777" w:rsidR="00382484" w:rsidRPr="00835E8E" w:rsidRDefault="006E553C" w:rsidP="00382484">
            <w:pPr>
              <w:pStyle w:val="MDPI42tablebody"/>
              <w:jc w:val="left"/>
            </w:pPr>
            <w:r w:rsidRPr="00835E8E">
              <w:t>The authors have not described their background or their rela</w:t>
            </w:r>
            <w:r>
              <w:t>t</w:t>
            </w:r>
            <w:r w:rsidRPr="00835E8E">
              <w:t>ion</w:t>
            </w:r>
            <w:r>
              <w:t xml:space="preserve"> to, or pre-understanding of,</w:t>
            </w:r>
            <w:r w:rsidRPr="00835E8E">
              <w:t xml:space="preserve"> the topic.</w:t>
            </w:r>
          </w:p>
        </w:tc>
        <w:tc>
          <w:tcPr>
            <w:tcW w:w="2409" w:type="dxa"/>
          </w:tcPr>
          <w:p w14:paraId="04D95881" w14:textId="77777777" w:rsidR="00382484" w:rsidRPr="00835E8E" w:rsidRDefault="006E553C" w:rsidP="00382484">
            <w:pPr>
              <w:pStyle w:val="MDPI42tablebody"/>
              <w:jc w:val="left"/>
            </w:pPr>
            <w:r>
              <w:t>Study is relevant for the review.</w:t>
            </w:r>
          </w:p>
        </w:tc>
        <w:tc>
          <w:tcPr>
            <w:tcW w:w="3261" w:type="dxa"/>
          </w:tcPr>
          <w:p w14:paraId="2124F0AE" w14:textId="622254F5" w:rsidR="00382484" w:rsidRPr="00835E8E" w:rsidRDefault="006E553C" w:rsidP="00382484">
            <w:pPr>
              <w:pStyle w:val="MDPI42tablebody"/>
              <w:jc w:val="left"/>
            </w:pPr>
            <w:r>
              <w:t>Unclear whether all data were used in the analysis (</w:t>
            </w:r>
            <w:r w:rsidR="00BE58BB">
              <w:t>because of</w:t>
            </w:r>
            <w:r>
              <w:t xml:space="preserve"> re-use of participants’ accounts in other studies). No description of whether there were contradictive data. </w:t>
            </w:r>
          </w:p>
        </w:tc>
      </w:tr>
      <w:tr w:rsidR="00460735" w14:paraId="4200C778" w14:textId="77777777" w:rsidTr="00175C99">
        <w:trPr>
          <w:jc w:val="center"/>
        </w:trPr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98E9909" w14:textId="77777777" w:rsidR="00382484" w:rsidRPr="00835E8E" w:rsidRDefault="00382484" w:rsidP="00382484">
            <w:pPr>
              <w:pStyle w:val="MDPI42tablebody"/>
              <w:jc w:val="left"/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91BAED" w14:textId="77777777" w:rsidR="00382484" w:rsidRPr="00835E8E" w:rsidRDefault="00382484" w:rsidP="00382484">
            <w:pPr>
              <w:pStyle w:val="MDPI42tablebody"/>
              <w:jc w:val="left"/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7BCC29C" w14:textId="77777777" w:rsidR="00382484" w:rsidRPr="00835E8E" w:rsidRDefault="00382484" w:rsidP="00382484">
            <w:pPr>
              <w:pStyle w:val="MDPI42tablebody"/>
              <w:jc w:val="left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F828A19" w14:textId="77777777" w:rsidR="00382484" w:rsidRPr="00835E8E" w:rsidRDefault="00382484" w:rsidP="00382484">
            <w:pPr>
              <w:pStyle w:val="MDPI42tablebody"/>
              <w:jc w:val="left"/>
            </w:pPr>
          </w:p>
        </w:tc>
        <w:tc>
          <w:tcPr>
            <w:tcW w:w="2409" w:type="dxa"/>
          </w:tcPr>
          <w:p w14:paraId="7DF8E075" w14:textId="77777777" w:rsidR="00382484" w:rsidRPr="00835E8E" w:rsidRDefault="00382484" w:rsidP="00382484">
            <w:pPr>
              <w:pStyle w:val="MDPI42tablebody"/>
              <w:jc w:val="left"/>
            </w:pPr>
          </w:p>
        </w:tc>
        <w:tc>
          <w:tcPr>
            <w:tcW w:w="3261" w:type="dxa"/>
          </w:tcPr>
          <w:p w14:paraId="4FC7E09D" w14:textId="77777777" w:rsidR="00382484" w:rsidRPr="00835E8E" w:rsidRDefault="00382484" w:rsidP="00382484">
            <w:pPr>
              <w:pStyle w:val="MDPI42tablebody"/>
              <w:jc w:val="left"/>
            </w:pPr>
          </w:p>
        </w:tc>
      </w:tr>
      <w:tr w:rsidR="00460735" w14:paraId="1CE89104" w14:textId="77777777" w:rsidTr="00175C99">
        <w:trPr>
          <w:jc w:val="center"/>
        </w:trPr>
        <w:tc>
          <w:tcPr>
            <w:tcW w:w="1843" w:type="dxa"/>
            <w:shd w:val="clear" w:color="auto" w:fill="auto"/>
            <w:vAlign w:val="center"/>
            <w:hideMark/>
          </w:tcPr>
          <w:p w14:paraId="32F117AB" w14:textId="77777777" w:rsidR="00382484" w:rsidRPr="00835E8E" w:rsidRDefault="006E553C" w:rsidP="00382484">
            <w:pPr>
              <w:pStyle w:val="MDPI42tablebody"/>
              <w:jc w:val="left"/>
            </w:pPr>
            <w:r w:rsidRPr="00835E8E">
              <w:t>Siverskog 2015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625C320" w14:textId="77777777" w:rsidR="00382484" w:rsidRPr="00835E8E" w:rsidRDefault="006E553C" w:rsidP="00382484">
            <w:pPr>
              <w:pStyle w:val="MDPI42tablebody"/>
              <w:jc w:val="left"/>
            </w:pPr>
            <w:r>
              <w:t>Some concerns, no interview guide (replicability)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BB91D1" w14:textId="77777777" w:rsidR="00382484" w:rsidRPr="00835E8E" w:rsidRDefault="006E553C" w:rsidP="00382484">
            <w:pPr>
              <w:pStyle w:val="MDPI42tablebody"/>
              <w:jc w:val="left"/>
            </w:pPr>
            <w:r>
              <w:t>Data analysis clearly described. No description of a reflexive approach. No description of how interpretations were validated.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D5EE0C" w14:textId="77777777" w:rsidR="00382484" w:rsidRPr="00835E8E" w:rsidRDefault="006E553C" w:rsidP="00382484">
            <w:pPr>
              <w:pStyle w:val="MDPI42tablebody"/>
              <w:jc w:val="left"/>
            </w:pPr>
            <w:r>
              <w:t>Author has described her background and pre-understanding. Re-use of participants or participant data not discussed.</w:t>
            </w:r>
          </w:p>
        </w:tc>
        <w:tc>
          <w:tcPr>
            <w:tcW w:w="2409" w:type="dxa"/>
          </w:tcPr>
          <w:p w14:paraId="611A0425" w14:textId="77777777" w:rsidR="00382484" w:rsidRPr="00835E8E" w:rsidRDefault="006E553C" w:rsidP="00382484">
            <w:pPr>
              <w:pStyle w:val="MDPI42tablebody"/>
              <w:jc w:val="left"/>
            </w:pPr>
            <w:r>
              <w:t>Study is relevant for the review.</w:t>
            </w:r>
          </w:p>
        </w:tc>
        <w:tc>
          <w:tcPr>
            <w:tcW w:w="3261" w:type="dxa"/>
          </w:tcPr>
          <w:p w14:paraId="3E1DEBB7" w14:textId="5A221B6F" w:rsidR="00382484" w:rsidRPr="00835E8E" w:rsidRDefault="006E553C" w:rsidP="00382484">
            <w:pPr>
              <w:pStyle w:val="MDPI42tablebody"/>
              <w:jc w:val="left"/>
            </w:pPr>
            <w:r w:rsidRPr="00382484">
              <w:t>Unclear whether all data were used in the analysis</w:t>
            </w:r>
            <w:r>
              <w:t xml:space="preserve"> (</w:t>
            </w:r>
            <w:r w:rsidR="00EB1F81">
              <w:t>beca</w:t>
            </w:r>
            <w:r w:rsidR="00F00AC1">
              <w:t>u</w:t>
            </w:r>
            <w:r w:rsidR="00EB1F81">
              <w:t>se of</w:t>
            </w:r>
            <w:r>
              <w:t xml:space="preserve"> re-use of participants’ accounts in other studies)</w:t>
            </w:r>
          </w:p>
        </w:tc>
      </w:tr>
      <w:tr w:rsidR="00460735" w14:paraId="0E4167FB" w14:textId="77777777" w:rsidTr="00175C99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21100F83" w14:textId="77777777" w:rsidR="00382484" w:rsidRPr="00835E8E" w:rsidRDefault="006E553C" w:rsidP="00382484">
            <w:pPr>
              <w:pStyle w:val="MDPI42tablebody"/>
              <w:jc w:val="left"/>
            </w:pPr>
            <w:proofErr w:type="spellStart"/>
            <w:r w:rsidRPr="00835E8E">
              <w:t>Löf</w:t>
            </w:r>
            <w:proofErr w:type="spellEnd"/>
            <w:r w:rsidRPr="00835E8E">
              <w:t xml:space="preserve"> &amp; </w:t>
            </w:r>
            <w:proofErr w:type="spellStart"/>
            <w:r w:rsidRPr="00835E8E">
              <w:t>Olaison</w:t>
            </w:r>
            <w:proofErr w:type="spellEnd"/>
            <w:r w:rsidRPr="00835E8E">
              <w:t xml:space="preserve"> (2018)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2FCBE4" w14:textId="77777777" w:rsidR="00382484" w:rsidRPr="00835E8E" w:rsidRDefault="006E553C" w:rsidP="00382484">
            <w:pPr>
              <w:pStyle w:val="MDPI42tablebody"/>
              <w:jc w:val="left"/>
            </w:pPr>
            <w:r>
              <w:t>Data collection clearly described.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AD9F41" w14:textId="77777777" w:rsidR="00382484" w:rsidRPr="00835E8E" w:rsidRDefault="006E553C" w:rsidP="00382484">
            <w:pPr>
              <w:pStyle w:val="MDPI42tablebody"/>
              <w:jc w:val="left"/>
            </w:pPr>
            <w:r>
              <w:t>Steps in thematic analysis clearly described. Reflexive interpretations. No description of how interpretations were validated.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C347A5" w14:textId="77777777" w:rsidR="00382484" w:rsidRPr="00835E8E" w:rsidRDefault="006E553C" w:rsidP="00382484">
            <w:pPr>
              <w:pStyle w:val="MDPI42tablebody"/>
              <w:jc w:val="left"/>
            </w:pPr>
            <w:r>
              <w:t>Authors have described their backgrounds and pre-understanding.</w:t>
            </w:r>
          </w:p>
        </w:tc>
        <w:tc>
          <w:tcPr>
            <w:tcW w:w="2409" w:type="dxa"/>
          </w:tcPr>
          <w:p w14:paraId="05A074AA" w14:textId="77777777" w:rsidR="00382484" w:rsidRPr="00835E8E" w:rsidRDefault="006E553C" w:rsidP="00382484">
            <w:pPr>
              <w:pStyle w:val="MDPI42tablebody"/>
              <w:jc w:val="left"/>
            </w:pPr>
            <w:r>
              <w:t>Study is relevant for the review.</w:t>
            </w:r>
          </w:p>
        </w:tc>
        <w:tc>
          <w:tcPr>
            <w:tcW w:w="3261" w:type="dxa"/>
          </w:tcPr>
          <w:p w14:paraId="77A84A90" w14:textId="698368C2" w:rsidR="00382484" w:rsidRPr="00835E8E" w:rsidRDefault="006E553C" w:rsidP="00382484">
            <w:pPr>
              <w:pStyle w:val="MDPI42tablebody"/>
              <w:jc w:val="left"/>
            </w:pPr>
            <w:r>
              <w:t xml:space="preserve">Most of the data </w:t>
            </w:r>
            <w:r w:rsidR="00EB1F81">
              <w:t xml:space="preserve">were </w:t>
            </w:r>
            <w:r>
              <w:t>used in the analysis; contradictive data accounted for; data support results.</w:t>
            </w:r>
          </w:p>
        </w:tc>
      </w:tr>
      <w:tr w:rsidR="00460735" w14:paraId="3815574F" w14:textId="77777777" w:rsidTr="00175C99">
        <w:trPr>
          <w:jc w:val="center"/>
        </w:trPr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3ED0C9" w14:textId="77777777" w:rsidR="00382484" w:rsidRPr="00835E8E" w:rsidRDefault="006E553C" w:rsidP="00382484">
            <w:pPr>
              <w:pStyle w:val="MDPI42tablebody"/>
              <w:jc w:val="left"/>
            </w:pPr>
            <w:r w:rsidRPr="00835E8E">
              <w:lastRenderedPageBreak/>
              <w:t>Siverskog &amp; Bromseth (2019)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DCAF99" w14:textId="77777777" w:rsidR="00382484" w:rsidRPr="00835E8E" w:rsidRDefault="006E553C" w:rsidP="00382484">
            <w:pPr>
              <w:pStyle w:val="MDPI42tablebody"/>
              <w:jc w:val="left"/>
            </w:pPr>
            <w:r>
              <w:t>Data collection is unclear. No description of procedures. Authors selected data from the two other studies to be included in this one; unclear criteria for selection.</w:t>
            </w:r>
          </w:p>
        </w:tc>
        <w:tc>
          <w:tcPr>
            <w:tcW w:w="283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494EBC" w14:textId="1493BC1A" w:rsidR="00382484" w:rsidRPr="00835E8E" w:rsidRDefault="006E553C" w:rsidP="00382484">
            <w:pPr>
              <w:pStyle w:val="MDPI42tablebody"/>
              <w:jc w:val="left"/>
            </w:pPr>
            <w:r>
              <w:t xml:space="preserve">Thematic analysis </w:t>
            </w:r>
            <w:r w:rsidR="00552963">
              <w:t>was applied</w:t>
            </w:r>
            <w:r>
              <w:t xml:space="preserve"> on selected quotes; procedure for analysis not supported by the reference provided. No description of reflexive approach. No description of how interpretations were validated.</w:t>
            </w:r>
          </w:p>
        </w:tc>
        <w:tc>
          <w:tcPr>
            <w:tcW w:w="19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5E4716" w14:textId="77777777" w:rsidR="00382484" w:rsidRPr="00835E8E" w:rsidRDefault="006E553C" w:rsidP="00382484">
            <w:pPr>
              <w:pStyle w:val="MDPI42tablebody"/>
              <w:jc w:val="left"/>
            </w:pPr>
            <w:r>
              <w:t>Authors have not described their pre-understanding. Re-use of participant data not discussed.</w:t>
            </w:r>
          </w:p>
        </w:tc>
        <w:tc>
          <w:tcPr>
            <w:tcW w:w="2409" w:type="dxa"/>
            <w:tcBorders>
              <w:bottom w:val="single" w:sz="8" w:space="0" w:color="auto"/>
            </w:tcBorders>
          </w:tcPr>
          <w:p w14:paraId="5DD9C0BA" w14:textId="77777777" w:rsidR="00382484" w:rsidRPr="00835E8E" w:rsidRDefault="006E553C" w:rsidP="00382484">
            <w:pPr>
              <w:pStyle w:val="MDPI42tablebody"/>
              <w:tabs>
                <w:tab w:val="left" w:pos="199"/>
              </w:tabs>
              <w:jc w:val="left"/>
            </w:pPr>
            <w:r>
              <w:t>Study is relevant for the review.</w:t>
            </w:r>
          </w:p>
        </w:tc>
        <w:tc>
          <w:tcPr>
            <w:tcW w:w="3261" w:type="dxa"/>
            <w:tcBorders>
              <w:bottom w:val="single" w:sz="8" w:space="0" w:color="auto"/>
            </w:tcBorders>
          </w:tcPr>
          <w:p w14:paraId="05C38015" w14:textId="77777777" w:rsidR="00382484" w:rsidRPr="00835E8E" w:rsidRDefault="006E553C" w:rsidP="00382484">
            <w:pPr>
              <w:pStyle w:val="MDPI42tablebody"/>
              <w:tabs>
                <w:tab w:val="left" w:pos="199"/>
              </w:tabs>
              <w:jc w:val="left"/>
            </w:pPr>
            <w:r>
              <w:t xml:space="preserve">The form of data collection and analysis leads to high concerns for the trustworthiness of the study. </w:t>
            </w:r>
          </w:p>
        </w:tc>
      </w:tr>
    </w:tbl>
    <w:p w14:paraId="25C33596" w14:textId="77777777" w:rsidR="008D756C" w:rsidRPr="00835E8E" w:rsidRDefault="008D756C" w:rsidP="00835E8E">
      <w:pPr>
        <w:jc w:val="left"/>
      </w:pPr>
    </w:p>
    <w:sectPr w:rsidR="008D756C" w:rsidRPr="00835E8E" w:rsidSect="006E0F4E"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2697E" w14:textId="77777777" w:rsidR="00917D7A" w:rsidRDefault="00917D7A">
      <w:pPr>
        <w:spacing w:line="240" w:lineRule="auto"/>
      </w:pPr>
      <w:r>
        <w:separator/>
      </w:r>
    </w:p>
  </w:endnote>
  <w:endnote w:type="continuationSeparator" w:id="0">
    <w:p w14:paraId="69EE9FF3" w14:textId="77777777" w:rsidR="00917D7A" w:rsidRDefault="00917D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FA6E" w14:textId="77777777" w:rsidR="005C15BD" w:rsidRDefault="006E553C" w:rsidP="008931BA">
    <w:pPr>
      <w:pStyle w:val="Sidfot"/>
      <w:tabs>
        <w:tab w:val="clear" w:pos="4513"/>
        <w:tab w:val="clear" w:pos="9026"/>
        <w:tab w:val="center" w:pos="3686"/>
        <w:tab w:val="right" w:pos="7456"/>
      </w:tabs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337A">
      <w:rPr>
        <w:noProof/>
      </w:rPr>
      <w:t>2</w:t>
    </w:r>
    <w:r>
      <w:fldChar w:fldCharType="end"/>
    </w:r>
    <w:r>
      <w:t xml:space="preserve"> (</w:t>
    </w:r>
    <w:fldSimple w:instr=" NUMPAGES   \* MERGEFORMAT ">
      <w:r w:rsidR="00BF337A">
        <w:rPr>
          <w:noProof/>
        </w:rPr>
        <w:t>2</w:t>
      </w:r>
    </w:fldSimple>
    <w:r>
      <w:t>)</w:t>
    </w:r>
  </w:p>
  <w:p w14:paraId="0DC611C6" w14:textId="77777777" w:rsidR="008931BA" w:rsidRDefault="008931BA" w:rsidP="008931BA">
    <w:pPr>
      <w:pStyle w:val="Sidfot"/>
      <w:tabs>
        <w:tab w:val="clear" w:pos="4513"/>
        <w:tab w:val="clear" w:pos="9026"/>
        <w:tab w:val="center" w:pos="3686"/>
        <w:tab w:val="right" w:pos="7456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708A8" w14:textId="77777777" w:rsidR="00BB6830" w:rsidRDefault="006E553C" w:rsidP="008931BA">
    <w:pPr>
      <w:pStyle w:val="Sidfot"/>
      <w:tabs>
        <w:tab w:val="clear" w:pos="4513"/>
        <w:tab w:val="clear" w:pos="9026"/>
        <w:tab w:val="center" w:pos="3686"/>
        <w:tab w:val="right" w:pos="7456"/>
      </w:tabs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1837">
      <w:rPr>
        <w:noProof/>
      </w:rPr>
      <w:t>1</w:t>
    </w:r>
    <w:r>
      <w:fldChar w:fldCharType="end"/>
    </w:r>
    <w:r>
      <w:t xml:space="preserve"> (</w:t>
    </w:r>
    <w:fldSimple w:instr=" NUMPAGES   \* MERGEFORMAT ">
      <w:r w:rsidR="00BC1837">
        <w:rPr>
          <w:noProof/>
        </w:rPr>
        <w:t>1</w:t>
      </w:r>
    </w:fldSimple>
    <w:r>
      <w:t>)</w:t>
    </w:r>
  </w:p>
  <w:p w14:paraId="1B63DB77" w14:textId="77777777" w:rsidR="008257E2" w:rsidRPr="005C15BD" w:rsidRDefault="008257E2" w:rsidP="005C15BD">
    <w:pPr>
      <w:pStyle w:val="Sidfo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D4D24" w14:textId="77777777" w:rsidR="00917D7A" w:rsidRDefault="00917D7A">
      <w:pPr>
        <w:spacing w:line="240" w:lineRule="auto"/>
      </w:pPr>
      <w:r>
        <w:separator/>
      </w:r>
    </w:p>
  </w:footnote>
  <w:footnote w:type="continuationSeparator" w:id="0">
    <w:p w14:paraId="48FBADF2" w14:textId="77777777" w:rsidR="00917D7A" w:rsidRDefault="00917D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189F9" w14:textId="77777777" w:rsidR="00B230ED" w:rsidRDefault="00B230ED" w:rsidP="00F27BF7">
    <w:pPr>
      <w:pStyle w:val="Sidhuvud"/>
      <w:tabs>
        <w:tab w:val="clear" w:pos="6804"/>
        <w:tab w:val="left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1717D4"/>
    <w:multiLevelType w:val="hybridMultilevel"/>
    <w:tmpl w:val="AB28A166"/>
    <w:lvl w:ilvl="0" w:tplc="A25AF2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221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C4F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9AF1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A85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E696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38ED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223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0A85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592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F4E"/>
    <w:rsid w:val="000210EC"/>
    <w:rsid w:val="00024CB9"/>
    <w:rsid w:val="00036E97"/>
    <w:rsid w:val="00067950"/>
    <w:rsid w:val="00081916"/>
    <w:rsid w:val="000B1E20"/>
    <w:rsid w:val="000D3DBB"/>
    <w:rsid w:val="001305DC"/>
    <w:rsid w:val="001409EB"/>
    <w:rsid w:val="00175C99"/>
    <w:rsid w:val="00187560"/>
    <w:rsid w:val="001B15B4"/>
    <w:rsid w:val="001F204D"/>
    <w:rsid w:val="001F5100"/>
    <w:rsid w:val="00231E7C"/>
    <w:rsid w:val="00237022"/>
    <w:rsid w:val="00245800"/>
    <w:rsid w:val="00254791"/>
    <w:rsid w:val="00271EB2"/>
    <w:rsid w:val="002A30FE"/>
    <w:rsid w:val="002E0106"/>
    <w:rsid w:val="002E37C5"/>
    <w:rsid w:val="003003DC"/>
    <w:rsid w:val="00323F11"/>
    <w:rsid w:val="003374D6"/>
    <w:rsid w:val="00382484"/>
    <w:rsid w:val="003E6C56"/>
    <w:rsid w:val="0042207C"/>
    <w:rsid w:val="00460735"/>
    <w:rsid w:val="004610B7"/>
    <w:rsid w:val="004A3F6B"/>
    <w:rsid w:val="005102EF"/>
    <w:rsid w:val="00520180"/>
    <w:rsid w:val="00540FB9"/>
    <w:rsid w:val="00552963"/>
    <w:rsid w:val="0057646F"/>
    <w:rsid w:val="00590197"/>
    <w:rsid w:val="00597261"/>
    <w:rsid w:val="005B0F94"/>
    <w:rsid w:val="005C15BD"/>
    <w:rsid w:val="005F43EE"/>
    <w:rsid w:val="00617599"/>
    <w:rsid w:val="00641B68"/>
    <w:rsid w:val="00650F57"/>
    <w:rsid w:val="00653AC9"/>
    <w:rsid w:val="006B1171"/>
    <w:rsid w:val="006E0F4E"/>
    <w:rsid w:val="006E553C"/>
    <w:rsid w:val="007132EA"/>
    <w:rsid w:val="00762EB2"/>
    <w:rsid w:val="0078347B"/>
    <w:rsid w:val="007A1FBF"/>
    <w:rsid w:val="008257E2"/>
    <w:rsid w:val="00833B7F"/>
    <w:rsid w:val="0083526F"/>
    <w:rsid w:val="00835E8E"/>
    <w:rsid w:val="00837AB5"/>
    <w:rsid w:val="00882F29"/>
    <w:rsid w:val="008931BA"/>
    <w:rsid w:val="008D756C"/>
    <w:rsid w:val="008F0FED"/>
    <w:rsid w:val="00917D7A"/>
    <w:rsid w:val="00937654"/>
    <w:rsid w:val="00942E57"/>
    <w:rsid w:val="00947969"/>
    <w:rsid w:val="00966B4A"/>
    <w:rsid w:val="009A6E85"/>
    <w:rsid w:val="009B5C8F"/>
    <w:rsid w:val="00A00D12"/>
    <w:rsid w:val="00A221BB"/>
    <w:rsid w:val="00A52332"/>
    <w:rsid w:val="00A61CB2"/>
    <w:rsid w:val="00B0239C"/>
    <w:rsid w:val="00B230ED"/>
    <w:rsid w:val="00B2734A"/>
    <w:rsid w:val="00B53934"/>
    <w:rsid w:val="00B60AC7"/>
    <w:rsid w:val="00BB6830"/>
    <w:rsid w:val="00BC1837"/>
    <w:rsid w:val="00BE58BB"/>
    <w:rsid w:val="00BF337A"/>
    <w:rsid w:val="00C27BD7"/>
    <w:rsid w:val="00C524B9"/>
    <w:rsid w:val="00C81A8F"/>
    <w:rsid w:val="00C8794E"/>
    <w:rsid w:val="00CE5D96"/>
    <w:rsid w:val="00D20F7C"/>
    <w:rsid w:val="00D24665"/>
    <w:rsid w:val="00D24C91"/>
    <w:rsid w:val="00D51369"/>
    <w:rsid w:val="00D55BBD"/>
    <w:rsid w:val="00D62DA0"/>
    <w:rsid w:val="00D7406C"/>
    <w:rsid w:val="00DD036A"/>
    <w:rsid w:val="00E04D45"/>
    <w:rsid w:val="00E479FE"/>
    <w:rsid w:val="00E76D98"/>
    <w:rsid w:val="00EB1F81"/>
    <w:rsid w:val="00ED335B"/>
    <w:rsid w:val="00EF448E"/>
    <w:rsid w:val="00F00AC1"/>
    <w:rsid w:val="00F27BF7"/>
    <w:rsid w:val="00F30BF9"/>
    <w:rsid w:val="00F6226E"/>
    <w:rsid w:val="00F75487"/>
    <w:rsid w:val="00FB1AAF"/>
    <w:rsid w:val="00FC3A96"/>
    <w:rsid w:val="00FD59B5"/>
    <w:rsid w:val="00FD5A10"/>
    <w:rsid w:val="00FF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C2730"/>
  <w15:chartTrackingRefBased/>
  <w15:docId w15:val="{39B5D1CE-8405-4032-8874-678AEFA2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F4E"/>
    <w:pPr>
      <w:spacing w:after="0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paragraph" w:styleId="Rubrik1">
    <w:name w:val="heading 1"/>
    <w:basedOn w:val="Normal"/>
    <w:next w:val="Normal"/>
    <w:link w:val="Rubrik1Char"/>
    <w:uiPriority w:val="9"/>
    <w:qFormat/>
    <w:rsid w:val="00A52332"/>
    <w:pPr>
      <w:keepNext/>
      <w:keepLines/>
      <w:spacing w:before="480" w:after="120"/>
      <w:jc w:val="left"/>
      <w:outlineLvl w:val="0"/>
    </w:pPr>
    <w:rPr>
      <w:rFonts w:asciiTheme="majorHAnsi" w:eastAsiaTheme="majorEastAsia" w:hAnsiTheme="majorHAnsi" w:cstheme="majorHAnsi"/>
      <w:sz w:val="34"/>
      <w:szCs w:val="32"/>
      <w:lang w:eastAsia="en-US"/>
    </w:rPr>
  </w:style>
  <w:style w:type="paragraph" w:styleId="Rubrik2">
    <w:name w:val="heading 2"/>
    <w:basedOn w:val="Normal"/>
    <w:next w:val="Normal"/>
    <w:link w:val="Rubrik2Char"/>
    <w:uiPriority w:val="9"/>
    <w:qFormat/>
    <w:rsid w:val="00B60AC7"/>
    <w:pPr>
      <w:keepNext/>
      <w:keepLines/>
      <w:spacing w:before="240"/>
      <w:jc w:val="left"/>
      <w:outlineLvl w:val="1"/>
    </w:pPr>
    <w:rPr>
      <w:rFonts w:asciiTheme="majorHAnsi" w:eastAsiaTheme="majorEastAsia" w:hAnsiTheme="majorHAnsi" w:cstheme="majorHAnsi"/>
      <w:sz w:val="26"/>
      <w:szCs w:val="28"/>
      <w:lang w:eastAsia="en-US"/>
    </w:rPr>
  </w:style>
  <w:style w:type="paragraph" w:styleId="Rubrik3">
    <w:name w:val="heading 3"/>
    <w:basedOn w:val="Normal"/>
    <w:next w:val="Normal"/>
    <w:link w:val="Rubrik3Char"/>
    <w:uiPriority w:val="9"/>
    <w:qFormat/>
    <w:rsid w:val="00B60AC7"/>
    <w:pPr>
      <w:keepNext/>
      <w:keepLines/>
      <w:spacing w:before="240"/>
      <w:jc w:val="left"/>
      <w:outlineLvl w:val="2"/>
    </w:pPr>
    <w:rPr>
      <w:rFonts w:asciiTheme="majorHAnsi" w:eastAsiaTheme="majorEastAsia" w:hAnsiTheme="majorHAnsi" w:cstheme="majorHAnsi"/>
      <w:b/>
      <w:sz w:val="22"/>
      <w:szCs w:val="22"/>
      <w:lang w:eastAsia="en-US"/>
    </w:rPr>
  </w:style>
  <w:style w:type="paragraph" w:styleId="Rubrik4">
    <w:name w:val="heading 4"/>
    <w:basedOn w:val="Normal"/>
    <w:next w:val="Normal"/>
    <w:link w:val="Rubrik4Char"/>
    <w:uiPriority w:val="9"/>
    <w:qFormat/>
    <w:rsid w:val="00B60AC7"/>
    <w:pPr>
      <w:keepNext/>
      <w:keepLines/>
      <w:spacing w:before="240"/>
      <w:jc w:val="left"/>
      <w:outlineLvl w:val="3"/>
    </w:pPr>
    <w:rPr>
      <w:rFonts w:asciiTheme="majorHAnsi" w:eastAsiaTheme="majorEastAsia" w:hAnsiTheme="majorHAnsi" w:cstheme="majorHAnsi"/>
      <w:i/>
      <w:iCs/>
      <w:sz w:val="22"/>
      <w:szCs w:val="22"/>
      <w:lang w:eastAsia="en-US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6B1171"/>
    <w:pPr>
      <w:keepNext/>
      <w:keepLines/>
      <w:spacing w:before="40" w:after="160"/>
      <w:jc w:val="left"/>
      <w:outlineLvl w:val="4"/>
    </w:pPr>
    <w:rPr>
      <w:rFonts w:asciiTheme="majorHAnsi" w:eastAsiaTheme="majorEastAsia" w:hAnsiTheme="majorHAnsi" w:cstheme="majorBidi"/>
      <w:color w:val="404040" w:themeColor="text1" w:themeTint="BF"/>
      <w:sz w:val="22"/>
      <w:szCs w:val="22"/>
      <w:lang w:eastAsia="en-US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1171"/>
    <w:pPr>
      <w:keepNext/>
      <w:keepLines/>
      <w:spacing w:before="40" w:after="160"/>
      <w:jc w:val="left"/>
      <w:outlineLvl w:val="5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1171"/>
    <w:pPr>
      <w:keepNext/>
      <w:keepLines/>
      <w:spacing w:before="40" w:after="160"/>
      <w:jc w:val="left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1171"/>
    <w:pPr>
      <w:keepNext/>
      <w:keepLines/>
      <w:spacing w:before="40" w:after="160"/>
      <w:jc w:val="left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en-US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1171"/>
    <w:pPr>
      <w:keepNext/>
      <w:keepLines/>
      <w:spacing w:before="40" w:after="160"/>
      <w:jc w:val="left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ED335B"/>
    <w:pPr>
      <w:tabs>
        <w:tab w:val="left" w:pos="6804"/>
      </w:tabs>
      <w:spacing w:line="240" w:lineRule="auto"/>
      <w:ind w:right="-1332"/>
      <w:jc w:val="left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character" w:customStyle="1" w:styleId="SidhuvudChar">
    <w:name w:val="Sidhuvud Char"/>
    <w:basedOn w:val="Standardstycketeckensnitt"/>
    <w:link w:val="Sidhuvud"/>
    <w:uiPriority w:val="99"/>
    <w:rsid w:val="00ED335B"/>
    <w:rPr>
      <w:rFonts w:cstheme="minorHAnsi"/>
      <w:color w:val="000000"/>
    </w:rPr>
  </w:style>
  <w:style w:type="paragraph" w:styleId="Sidfot">
    <w:name w:val="footer"/>
    <w:basedOn w:val="Normal"/>
    <w:link w:val="SidfotChar"/>
    <w:uiPriority w:val="99"/>
    <w:unhideWhenUsed/>
    <w:rsid w:val="00ED335B"/>
    <w:pPr>
      <w:tabs>
        <w:tab w:val="center" w:pos="4513"/>
        <w:tab w:val="right" w:pos="9026"/>
      </w:tabs>
      <w:spacing w:line="180" w:lineRule="atLeast"/>
      <w:jc w:val="left"/>
    </w:pPr>
    <w:rPr>
      <w:rFonts w:asciiTheme="minorHAnsi" w:eastAsiaTheme="minorHAnsi" w:hAnsiTheme="minorHAnsi" w:cstheme="minorHAnsi"/>
      <w:sz w:val="16"/>
      <w:szCs w:val="22"/>
      <w:lang w:eastAsia="en-US"/>
    </w:rPr>
  </w:style>
  <w:style w:type="character" w:customStyle="1" w:styleId="SidfotChar">
    <w:name w:val="Sidfot Char"/>
    <w:basedOn w:val="Standardstycketeckensnitt"/>
    <w:link w:val="Sidfot"/>
    <w:uiPriority w:val="99"/>
    <w:rsid w:val="00ED335B"/>
    <w:rPr>
      <w:rFonts w:cstheme="minorHAnsi"/>
      <w:color w:val="000000"/>
      <w:sz w:val="16"/>
    </w:rPr>
  </w:style>
  <w:style w:type="table" w:styleId="Tabellrutnt">
    <w:name w:val="Table Grid"/>
    <w:basedOn w:val="Normaltabell"/>
    <w:uiPriority w:val="39"/>
    <w:rsid w:val="006B1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1Char">
    <w:name w:val="Rubrik 1 Char"/>
    <w:basedOn w:val="Standardstycketeckensnitt"/>
    <w:link w:val="Rubrik1"/>
    <w:uiPriority w:val="9"/>
    <w:rsid w:val="00A52332"/>
    <w:rPr>
      <w:rFonts w:asciiTheme="majorHAnsi" w:eastAsiaTheme="majorEastAsia" w:hAnsiTheme="majorHAnsi" w:cstheme="majorHAnsi"/>
      <w:color w:val="000000"/>
      <w:sz w:val="34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B60AC7"/>
    <w:rPr>
      <w:rFonts w:asciiTheme="majorHAnsi" w:eastAsiaTheme="majorEastAsia" w:hAnsiTheme="majorHAnsi" w:cstheme="majorHAnsi"/>
      <w:color w:val="000000"/>
      <w:sz w:val="2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B60AC7"/>
    <w:rPr>
      <w:rFonts w:asciiTheme="majorHAnsi" w:eastAsiaTheme="majorEastAsia" w:hAnsiTheme="majorHAnsi" w:cstheme="majorHAnsi"/>
      <w:b/>
      <w:color w:val="000000"/>
    </w:rPr>
  </w:style>
  <w:style w:type="character" w:customStyle="1" w:styleId="Rubrik4Char">
    <w:name w:val="Rubrik 4 Char"/>
    <w:basedOn w:val="Standardstycketeckensnitt"/>
    <w:link w:val="Rubrik4"/>
    <w:uiPriority w:val="9"/>
    <w:rsid w:val="00B60AC7"/>
    <w:rPr>
      <w:rFonts w:asciiTheme="majorHAnsi" w:eastAsiaTheme="majorEastAsia" w:hAnsiTheme="majorHAnsi" w:cstheme="majorHAnsi"/>
      <w:i/>
      <w:iCs/>
      <w:color w:val="000000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6B117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6B1171"/>
    <w:rPr>
      <w:rFonts w:asciiTheme="majorHAnsi" w:eastAsiaTheme="majorEastAsia" w:hAnsiTheme="majorHAnsi" w:cstheme="majorBidi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6B1171"/>
    <w:rPr>
      <w:rFonts w:asciiTheme="majorHAnsi" w:eastAsiaTheme="majorEastAsia" w:hAnsiTheme="majorHAnsi" w:cstheme="majorBidi"/>
      <w:i/>
      <w:iCs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6B1171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6B117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1171"/>
    <w:pPr>
      <w:spacing w:after="200" w:line="240" w:lineRule="auto"/>
      <w:jc w:val="left"/>
    </w:pPr>
    <w:rPr>
      <w:rFonts w:asciiTheme="minorHAnsi" w:eastAsiaTheme="minorHAnsi" w:hAnsiTheme="minorHAnsi" w:cstheme="minorHAnsi"/>
      <w:i/>
      <w:iCs/>
      <w:color w:val="747474" w:themeColor="text2"/>
      <w:sz w:val="18"/>
      <w:szCs w:val="18"/>
      <w:lang w:eastAsia="en-US"/>
    </w:rPr>
  </w:style>
  <w:style w:type="paragraph" w:styleId="Rubrik">
    <w:name w:val="Title"/>
    <w:basedOn w:val="Normal"/>
    <w:next w:val="Normal"/>
    <w:link w:val="RubrikChar"/>
    <w:uiPriority w:val="10"/>
    <w:semiHidden/>
    <w:qFormat/>
    <w:rsid w:val="006B1171"/>
    <w:pPr>
      <w:spacing w:after="16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sz w:val="56"/>
      <w:szCs w:val="56"/>
      <w:lang w:eastAsia="en-US"/>
    </w:rPr>
  </w:style>
  <w:style w:type="character" w:customStyle="1" w:styleId="RubrikChar">
    <w:name w:val="Rubrik Char"/>
    <w:basedOn w:val="Standardstycketeckensnitt"/>
    <w:link w:val="Rubrik"/>
    <w:uiPriority w:val="10"/>
    <w:semiHidden/>
    <w:rsid w:val="00B53934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semiHidden/>
    <w:qFormat/>
    <w:rsid w:val="006B1171"/>
    <w:pPr>
      <w:numPr>
        <w:ilvl w:val="1"/>
      </w:numPr>
      <w:spacing w:after="160"/>
      <w:jc w:val="left"/>
    </w:pPr>
    <w:rPr>
      <w:rFonts w:asciiTheme="minorHAnsi" w:eastAsiaTheme="minorHAnsi" w:hAnsiTheme="minorHAnsi" w:cstheme="minorHAnsi"/>
      <w:color w:val="5A5A5A" w:themeColor="text1" w:themeTint="A5"/>
      <w:spacing w:val="15"/>
      <w:sz w:val="22"/>
      <w:szCs w:val="22"/>
      <w:lang w:eastAsia="en-US"/>
    </w:rPr>
  </w:style>
  <w:style w:type="character" w:customStyle="1" w:styleId="UnderrubrikChar">
    <w:name w:val="Underrubrik Char"/>
    <w:basedOn w:val="Standardstycketeckensnitt"/>
    <w:link w:val="Underrubrik"/>
    <w:uiPriority w:val="11"/>
    <w:semiHidden/>
    <w:rsid w:val="00B53934"/>
    <w:rPr>
      <w:color w:val="5A5A5A" w:themeColor="text1" w:themeTint="A5"/>
      <w:spacing w:val="15"/>
    </w:rPr>
  </w:style>
  <w:style w:type="character" w:styleId="Stark">
    <w:name w:val="Strong"/>
    <w:basedOn w:val="Standardstycketeckensnitt"/>
    <w:uiPriority w:val="22"/>
    <w:semiHidden/>
    <w:qFormat/>
    <w:rsid w:val="006B1171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qFormat/>
    <w:rsid w:val="006B1171"/>
    <w:rPr>
      <w:i/>
      <w:iCs/>
      <w:color w:val="auto"/>
    </w:rPr>
  </w:style>
  <w:style w:type="paragraph" w:styleId="Ingetavstnd">
    <w:name w:val="No Spacing"/>
    <w:uiPriority w:val="1"/>
    <w:qFormat/>
    <w:rsid w:val="006B1171"/>
    <w:pPr>
      <w:spacing w:after="0" w:line="240" w:lineRule="auto"/>
    </w:pPr>
  </w:style>
  <w:style w:type="paragraph" w:styleId="Citat">
    <w:name w:val="Quote"/>
    <w:basedOn w:val="Normal"/>
    <w:next w:val="Normal"/>
    <w:link w:val="CitatChar"/>
    <w:uiPriority w:val="29"/>
    <w:semiHidden/>
    <w:qFormat/>
    <w:rsid w:val="006B1171"/>
    <w:pPr>
      <w:spacing w:before="200" w:after="160"/>
      <w:ind w:left="864" w:right="864"/>
      <w:jc w:val="left"/>
    </w:pPr>
    <w:rPr>
      <w:rFonts w:asciiTheme="minorHAnsi" w:eastAsiaTheme="minorHAnsi" w:hAnsiTheme="minorHAnsi" w:cs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B53934"/>
    <w:rPr>
      <w:i/>
      <w:iCs/>
      <w:color w:val="404040" w:themeColor="text1" w:themeTint="BF"/>
    </w:rPr>
  </w:style>
  <w:style w:type="paragraph" w:styleId="Starktcitat">
    <w:name w:val="Intense Quote"/>
    <w:basedOn w:val="Normal"/>
    <w:next w:val="Normal"/>
    <w:link w:val="StarktcitatChar"/>
    <w:uiPriority w:val="30"/>
    <w:semiHidden/>
    <w:qFormat/>
    <w:rsid w:val="006B1171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B53934"/>
    <w:rPr>
      <w:i/>
      <w:iCs/>
      <w:color w:val="404040" w:themeColor="text1" w:themeTint="BF"/>
    </w:rPr>
  </w:style>
  <w:style w:type="character" w:styleId="Diskretbetoning">
    <w:name w:val="Subtle Emphasis"/>
    <w:basedOn w:val="Standardstycketeckensnitt"/>
    <w:uiPriority w:val="19"/>
    <w:semiHidden/>
    <w:qFormat/>
    <w:rsid w:val="006B1171"/>
    <w:rPr>
      <w:i/>
      <w:iCs/>
      <w:color w:val="404040" w:themeColor="text1" w:themeTint="BF"/>
    </w:rPr>
  </w:style>
  <w:style w:type="character" w:styleId="Starkbetoning">
    <w:name w:val="Intense Emphasis"/>
    <w:basedOn w:val="Standardstycketeckensnitt"/>
    <w:uiPriority w:val="21"/>
    <w:semiHidden/>
    <w:qFormat/>
    <w:rsid w:val="006B1171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qFormat/>
    <w:rsid w:val="006B1171"/>
    <w:rPr>
      <w:smallCaps/>
      <w:color w:val="404040" w:themeColor="text1" w:themeTint="BF"/>
    </w:rPr>
  </w:style>
  <w:style w:type="character" w:styleId="Starkreferens">
    <w:name w:val="Intense Reference"/>
    <w:basedOn w:val="Standardstycketeckensnitt"/>
    <w:uiPriority w:val="32"/>
    <w:semiHidden/>
    <w:qFormat/>
    <w:rsid w:val="006B1171"/>
    <w:rPr>
      <w:b/>
      <w:bCs/>
      <w:smallCaps/>
      <w:color w:val="404040" w:themeColor="text1" w:themeTint="BF"/>
      <w:spacing w:val="5"/>
    </w:rPr>
  </w:style>
  <w:style w:type="character" w:styleId="Bokenstitel">
    <w:name w:val="Book Title"/>
    <w:basedOn w:val="Standardstycketeckensnitt"/>
    <w:uiPriority w:val="33"/>
    <w:semiHidden/>
    <w:qFormat/>
    <w:rsid w:val="006B1171"/>
    <w:rPr>
      <w:b/>
      <w:bCs/>
      <w:i/>
      <w:iCs/>
      <w:spacing w:val="5"/>
    </w:rPr>
  </w:style>
  <w:style w:type="paragraph" w:styleId="Innehllsfrteckningsrubrik">
    <w:name w:val="TOC Heading"/>
    <w:basedOn w:val="Rubrik1"/>
    <w:next w:val="Normal"/>
    <w:uiPriority w:val="39"/>
    <w:unhideWhenUsed/>
    <w:qFormat/>
    <w:rsid w:val="006B1171"/>
    <w:pPr>
      <w:outlineLvl w:val="9"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6B1171"/>
    <w:pPr>
      <w:spacing w:after="160" w:line="240" w:lineRule="auto"/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B1171"/>
    <w:rPr>
      <w:rFonts w:ascii="Segoe UI" w:hAnsi="Segoe UI" w:cs="Segoe UI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7A1FBF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D24665"/>
    <w:rPr>
      <w:color w:val="808080"/>
    </w:rPr>
  </w:style>
  <w:style w:type="paragraph" w:styleId="Innehll1">
    <w:name w:val="toc 1"/>
    <w:basedOn w:val="Normal"/>
    <w:next w:val="Normal"/>
    <w:autoRedefine/>
    <w:uiPriority w:val="39"/>
    <w:unhideWhenUsed/>
    <w:rsid w:val="00B60AC7"/>
    <w:pPr>
      <w:spacing w:after="100"/>
      <w:jc w:val="left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paragraph" w:styleId="Innehll2">
    <w:name w:val="toc 2"/>
    <w:basedOn w:val="Normal"/>
    <w:next w:val="Normal"/>
    <w:autoRedefine/>
    <w:uiPriority w:val="39"/>
    <w:unhideWhenUsed/>
    <w:rsid w:val="00B60AC7"/>
    <w:pPr>
      <w:spacing w:after="100"/>
      <w:ind w:left="220"/>
      <w:jc w:val="left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paragraph" w:styleId="Innehll3">
    <w:name w:val="toc 3"/>
    <w:basedOn w:val="Normal"/>
    <w:next w:val="Normal"/>
    <w:autoRedefine/>
    <w:uiPriority w:val="39"/>
    <w:unhideWhenUsed/>
    <w:rsid w:val="00B60AC7"/>
    <w:pPr>
      <w:spacing w:after="100"/>
      <w:ind w:left="440"/>
      <w:jc w:val="left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paragraph" w:styleId="Liststycke">
    <w:name w:val="List Paragraph"/>
    <w:basedOn w:val="Normal"/>
    <w:uiPriority w:val="34"/>
    <w:qFormat/>
    <w:rsid w:val="00B60AC7"/>
    <w:pPr>
      <w:spacing w:after="160"/>
      <w:ind w:left="720"/>
      <w:contextualSpacing/>
      <w:jc w:val="left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paragraph" w:customStyle="1" w:styleId="MDPI41tablecaption">
    <w:name w:val="MDPI_4.1_table_caption"/>
    <w:qFormat/>
    <w:rsid w:val="006E0F4E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6E0F4E"/>
    <w:pPr>
      <w:adjustRightInd w:val="0"/>
      <w:snapToGrid w:val="0"/>
      <w:spacing w:after="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6E0F4E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styleId="Normalwebb">
    <w:name w:val="Normal (Web)"/>
    <w:basedOn w:val="Normal"/>
    <w:uiPriority w:val="99"/>
    <w:unhideWhenUsed/>
    <w:rsid w:val="00835E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x-none"/>
    </w:rPr>
  </w:style>
  <w:style w:type="paragraph" w:styleId="Revision">
    <w:name w:val="Revision"/>
    <w:hidden/>
    <w:uiPriority w:val="99"/>
    <w:semiHidden/>
    <w:rsid w:val="00EB1F81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27T12:21:21.83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 24575,'0'0'-8191</inkml:trace>
</inkml:ink>
</file>

<file path=word/theme/theme1.xml><?xml version="1.0" encoding="utf-8"?>
<a:theme xmlns:a="http://schemas.openxmlformats.org/drawingml/2006/main" name="Office-tema">
  <a:themeElements>
    <a:clrScheme name="Småland">
      <a:dk1>
        <a:sysClr val="windowText" lastClr="000000"/>
      </a:dk1>
      <a:lt1>
        <a:sysClr val="window" lastClr="FFFFFF"/>
      </a:lt1>
      <a:dk2>
        <a:srgbClr val="747474"/>
      </a:dk2>
      <a:lt2>
        <a:srgbClr val="FFFFFF"/>
      </a:lt2>
      <a:accent1>
        <a:srgbClr val="FFE000"/>
      </a:accent1>
      <a:accent2>
        <a:srgbClr val="B71234"/>
      </a:accent2>
      <a:accent3>
        <a:srgbClr val="557630"/>
      </a:accent3>
      <a:accent4>
        <a:srgbClr val="006983"/>
      </a:accent4>
      <a:accent5>
        <a:srgbClr val="928B81"/>
      </a:accent5>
      <a:accent6>
        <a:srgbClr val="C55E9B"/>
      </a:accent6>
      <a:hlink>
        <a:srgbClr val="0000FF"/>
      </a:hlink>
      <a:folHlink>
        <a:srgbClr val="800080"/>
      </a:folHlink>
    </a:clrScheme>
    <a:fontScheme name="Linnéuniversitete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F4F6B-AACB-469C-BECF-41FDAED89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846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Linnaeus University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Bratt</dc:creator>
  <cp:lastModifiedBy>Anna Bratt</cp:lastModifiedBy>
  <cp:revision>3</cp:revision>
  <cp:lastPrinted>2017-11-13T14:10:00Z</cp:lastPrinted>
  <dcterms:created xsi:type="dcterms:W3CDTF">2023-04-12T08:55:00Z</dcterms:created>
  <dcterms:modified xsi:type="dcterms:W3CDTF">2023-04-12T08:55:00Z</dcterms:modified>
</cp:coreProperties>
</file>