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E" w:rsidRDefault="002A3C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Supplemental materials</w:t>
      </w:r>
    </w:p>
    <w:p w:rsidR="0036729E" w:rsidRDefault="0036729E">
      <w:pPr>
        <w:rPr>
          <w:rFonts w:ascii="Times New Roman" w:hAnsi="Times New Roman" w:cs="Times New Roman"/>
          <w:szCs w:val="21"/>
        </w:rPr>
      </w:pPr>
    </w:p>
    <w:p w:rsidR="0036729E" w:rsidRDefault="002A3CFA">
      <w:pPr>
        <w:pStyle w:val="MDPI12title"/>
      </w:pPr>
      <w:r>
        <w:t xml:space="preserve">Phenylalanine residues in the active site of CYP2E1 participate in determining the binding orientation and </w:t>
      </w:r>
      <w:r>
        <w:rPr>
          <w:rFonts w:eastAsia="宋体" w:hint="eastAsia"/>
          <w:lang w:eastAsia="zh-CN"/>
        </w:rPr>
        <w:t>metabolism</w:t>
      </w:r>
      <w:r>
        <w:t xml:space="preserve">-dependent </w:t>
      </w:r>
      <w:proofErr w:type="spellStart"/>
      <w:r>
        <w:t>genotoxicity</w:t>
      </w:r>
      <w:proofErr w:type="spellEnd"/>
      <w:r>
        <w:t xml:space="preserve"> of aromatic compounds</w:t>
      </w:r>
    </w:p>
    <w:p w:rsidR="0036729E" w:rsidRDefault="002A3CFA">
      <w:pPr>
        <w:pStyle w:val="MDPI13authornames"/>
        <w:rPr>
          <w:rFonts w:eastAsia="宋体"/>
          <w:lang w:eastAsia="zh-CN"/>
        </w:rPr>
      </w:pPr>
      <w:proofErr w:type="spellStart"/>
      <w:r>
        <w:t>Keqi</w:t>
      </w:r>
      <w:proofErr w:type="spellEnd"/>
      <w:r>
        <w:t xml:space="preserve"> Hu</w:t>
      </w:r>
      <w:r>
        <w:rPr>
          <w:rFonts w:eastAsia="宋体" w:hint="eastAsia"/>
          <w:vertAlign w:val="superscript"/>
          <w:lang w:eastAsia="zh-CN"/>
        </w:rPr>
        <w:t>1</w:t>
      </w:r>
      <w:r>
        <w:rPr>
          <w:vertAlign w:val="superscript"/>
        </w:rPr>
        <w:t xml:space="preserve">, </w:t>
      </w:r>
      <w:r>
        <w:rPr>
          <w:rFonts w:eastAsia="宋体" w:hint="eastAsia"/>
          <w:vertAlign w:val="superscript"/>
          <w:lang w:eastAsia="zh-CN"/>
        </w:rPr>
        <w:t>2</w:t>
      </w:r>
      <w:r w:rsidR="00FE15E1">
        <w:rPr>
          <w:rFonts w:eastAsia="宋体" w:hint="eastAsia"/>
          <w:vertAlign w:val="superscript"/>
          <w:lang w:eastAsia="zh-CN"/>
        </w:rPr>
        <w:t>, #</w:t>
      </w:r>
      <w:r>
        <w:t xml:space="preserve">, </w:t>
      </w:r>
      <w:proofErr w:type="spellStart"/>
      <w:r>
        <w:t>Hongwei</w:t>
      </w:r>
      <w:proofErr w:type="spellEnd"/>
      <w:r>
        <w:t xml:space="preserve"> Tu</w:t>
      </w:r>
      <w:r>
        <w:rPr>
          <w:vertAlign w:val="superscript"/>
        </w:rPr>
        <w:t>3</w:t>
      </w:r>
      <w:r w:rsidR="00FE15E1">
        <w:rPr>
          <w:rFonts w:eastAsiaTheme="minorEastAsia" w:hint="eastAsia"/>
          <w:vertAlign w:val="superscript"/>
          <w:lang w:eastAsia="zh-CN"/>
        </w:rPr>
        <w:t>, #</w:t>
      </w:r>
      <w:r w:rsidR="00FE15E1">
        <w:t xml:space="preserve">, </w:t>
      </w:r>
      <w:proofErr w:type="spellStart"/>
      <w:r w:rsidR="00FE15E1">
        <w:t>Jiayi</w:t>
      </w:r>
      <w:proofErr w:type="spellEnd"/>
      <w:r w:rsidR="00FE15E1">
        <w:t xml:space="preserve"> Xie</w:t>
      </w:r>
      <w:r>
        <w:rPr>
          <w:rFonts w:eastAsia="宋体" w:hint="eastAsia"/>
          <w:vertAlign w:val="superscript"/>
          <w:lang w:eastAsia="zh-CN"/>
        </w:rPr>
        <w:t>2</w:t>
      </w:r>
      <w:r w:rsidR="00FE15E1">
        <w:rPr>
          <w:rFonts w:eastAsia="宋体" w:hint="eastAsia"/>
          <w:vertAlign w:val="superscript"/>
          <w:lang w:eastAsia="zh-CN"/>
        </w:rPr>
        <w:t>, #</w:t>
      </w:r>
      <w:r>
        <w:t xml:space="preserve">, </w:t>
      </w:r>
      <w:proofErr w:type="spellStart"/>
      <w:r>
        <w:t>Zongying</w:t>
      </w:r>
      <w:proofErr w:type="spellEnd"/>
      <w:r>
        <w:t xml:space="preserve"> Yang</w:t>
      </w:r>
      <w:r>
        <w:rPr>
          <w:rFonts w:eastAsia="宋体" w:hint="eastAsia"/>
          <w:vertAlign w:val="superscript"/>
          <w:lang w:eastAsia="zh-CN"/>
        </w:rPr>
        <w:t>2</w:t>
      </w:r>
      <w:r>
        <w:t xml:space="preserve">, </w:t>
      </w:r>
      <w:proofErr w:type="spellStart"/>
      <w:r w:rsidR="00F513FB">
        <w:rPr>
          <w:rFonts w:eastAsiaTheme="minorEastAsia" w:hint="eastAsia"/>
          <w:lang w:eastAsia="zh-CN"/>
        </w:rPr>
        <w:t>Zih</w:t>
      </w:r>
      <w:r>
        <w:t>uan</w:t>
      </w:r>
      <w:proofErr w:type="spellEnd"/>
      <w:r>
        <w:t xml:space="preserve"> Li</w:t>
      </w:r>
      <w:r>
        <w:rPr>
          <w:rFonts w:eastAsia="宋体" w:hint="eastAsia"/>
          <w:vertAlign w:val="superscript"/>
          <w:lang w:eastAsia="zh-CN"/>
        </w:rPr>
        <w:t>1</w:t>
      </w:r>
      <w:r w:rsidR="009C0310">
        <w:rPr>
          <w:rFonts w:eastAsia="宋体" w:hint="eastAsia"/>
          <w:vertAlign w:val="superscript"/>
          <w:lang w:eastAsia="zh-CN"/>
        </w:rPr>
        <w:t>,2</w:t>
      </w:r>
      <w:r>
        <w:t>,</w:t>
      </w:r>
      <w:r>
        <w:t xml:space="preserve"> </w:t>
      </w:r>
      <w:proofErr w:type="spellStart"/>
      <w:r>
        <w:t>Yijing</w:t>
      </w:r>
      <w:proofErr w:type="spellEnd"/>
      <w:r>
        <w:t xml:space="preserve"> Chen</w:t>
      </w:r>
      <w:r>
        <w:rPr>
          <w:rFonts w:eastAsia="宋体" w:hint="eastAsia"/>
          <w:vertAlign w:val="superscript"/>
          <w:lang w:eastAsia="zh-CN"/>
        </w:rPr>
        <w:t>2</w:t>
      </w:r>
      <w:r>
        <w:t xml:space="preserve">, </w:t>
      </w:r>
      <w:proofErr w:type="spellStart"/>
      <w:r>
        <w:t>Yungang</w:t>
      </w:r>
      <w:proofErr w:type="spellEnd"/>
      <w:r>
        <w:t xml:space="preserve"> Liu</w:t>
      </w:r>
      <w:r>
        <w:rPr>
          <w:rFonts w:eastAsia="宋体" w:hint="eastAsia"/>
          <w:vertAlign w:val="superscript"/>
          <w:lang w:eastAsia="zh-CN"/>
        </w:rPr>
        <w:t>2</w:t>
      </w:r>
      <w:r w:rsidR="00FE15E1">
        <w:rPr>
          <w:rFonts w:eastAsia="宋体" w:hint="eastAsia"/>
          <w:vertAlign w:val="superscript"/>
          <w:lang w:eastAsia="zh-CN"/>
        </w:rPr>
        <w:t xml:space="preserve">, </w:t>
      </w:r>
      <w:r w:rsidR="00FE15E1">
        <w:rPr>
          <w:rFonts w:eastAsia="宋体" w:hint="eastAsia"/>
          <w:lang w:eastAsia="zh-CN"/>
        </w:rPr>
        <w:t>*</w:t>
      </w:r>
    </w:p>
    <w:p w:rsidR="0036729E" w:rsidRDefault="002A3CFA">
      <w:pPr>
        <w:pStyle w:val="MDPI16affiliation"/>
      </w:pPr>
      <w:r>
        <w:rPr>
          <w:vertAlign w:val="superscript"/>
        </w:rPr>
        <w:t>1</w:t>
      </w:r>
      <w:r>
        <w:t xml:space="preserve">  Department of Science and Education, Guangdong Second Provincial General Hospital, 466 </w:t>
      </w:r>
      <w:proofErr w:type="spellStart"/>
      <w:r>
        <w:t>Xingang</w:t>
      </w:r>
      <w:proofErr w:type="spellEnd"/>
      <w:r>
        <w:t xml:space="preserve"> Middle Road, Guangzhou 510317, China.</w:t>
      </w:r>
    </w:p>
    <w:p w:rsidR="0036729E" w:rsidRDefault="002A3CFA">
      <w:pPr>
        <w:pStyle w:val="MDPI16affiliation"/>
      </w:pPr>
      <w:r>
        <w:rPr>
          <w:vertAlign w:val="superscript"/>
        </w:rPr>
        <w:t>2</w:t>
      </w:r>
      <w:r>
        <w:t xml:space="preserve">  Department of Toxicology, School of Public Health, Southern Medical University (Guangdon</w:t>
      </w:r>
      <w:r>
        <w:t xml:space="preserve">g Provincial Key Laboratory of Tropical Disease Research), 1023 S. </w:t>
      </w:r>
      <w:proofErr w:type="spellStart"/>
      <w:r>
        <w:t>Shatai</w:t>
      </w:r>
      <w:proofErr w:type="spellEnd"/>
      <w:r>
        <w:t xml:space="preserve"> Road, Guangzhou 510515, China.</w:t>
      </w:r>
    </w:p>
    <w:p w:rsidR="0036729E" w:rsidRDefault="002A3CFA">
      <w:pPr>
        <w:pStyle w:val="MDPI16affiliation"/>
      </w:pPr>
      <w:r>
        <w:rPr>
          <w:vertAlign w:val="superscript"/>
        </w:rPr>
        <w:t>3</w:t>
      </w:r>
      <w:r>
        <w:t xml:space="preserve">  Guangdong Provincial Center for Disease Control and Prevention, </w:t>
      </w:r>
      <w:proofErr w:type="spellStart"/>
      <w:r>
        <w:t>Qunxian</w:t>
      </w:r>
      <w:proofErr w:type="spellEnd"/>
      <w:r>
        <w:t xml:space="preserve"> Road, </w:t>
      </w:r>
      <w:proofErr w:type="spellStart"/>
      <w:r>
        <w:t>Panyu</w:t>
      </w:r>
      <w:proofErr w:type="spellEnd"/>
      <w:r>
        <w:t xml:space="preserve"> District, Guangzhou 511430, China.</w:t>
      </w:r>
    </w:p>
    <w:p w:rsidR="0036729E" w:rsidRDefault="002A3CFA">
      <w:pPr>
        <w:pStyle w:val="MDPI16affiliation"/>
      </w:pPr>
      <w:r>
        <w:t xml:space="preserve">*  These </w:t>
      </w:r>
      <w:r>
        <w:rPr>
          <w:rFonts w:hint="eastAsia"/>
        </w:rPr>
        <w:t>authors</w:t>
      </w:r>
      <w:r>
        <w:t xml:space="preserve"> contribute</w:t>
      </w:r>
      <w:r>
        <w:rPr>
          <w:rFonts w:eastAsia="宋体" w:hint="eastAsia"/>
          <w:lang w:eastAsia="zh-CN"/>
        </w:rPr>
        <w:t>d</w:t>
      </w:r>
      <w:r>
        <w:t xml:space="preserve"> </w:t>
      </w:r>
      <w:r>
        <w:t>equally to this work.</w:t>
      </w:r>
    </w:p>
    <w:p w:rsidR="0036729E" w:rsidRDefault="002A3CFA">
      <w:pPr>
        <w:pStyle w:val="MDPI16affiliation"/>
      </w:pPr>
      <w:r>
        <w:rPr>
          <w:b/>
          <w:vertAlign w:val="superscript"/>
        </w:rPr>
        <w:t>#</w:t>
      </w:r>
      <w:r>
        <w:tab/>
        <w:t xml:space="preserve">Correspondence: </w:t>
      </w:r>
      <w:proofErr w:type="spellStart"/>
      <w:r>
        <w:t>Yungang</w:t>
      </w:r>
      <w:proofErr w:type="spellEnd"/>
      <w:r>
        <w:t xml:space="preserve"> Liu, yungliu@126.com</w:t>
      </w:r>
    </w:p>
    <w:p w:rsidR="0036729E" w:rsidRDefault="0036729E">
      <w:pPr>
        <w:rPr>
          <w:rFonts w:ascii="Times New Roman" w:hAnsi="Times New Roman" w:cs="Times New Roman"/>
          <w:szCs w:val="21"/>
        </w:rPr>
      </w:pPr>
    </w:p>
    <w:p w:rsidR="0036729E" w:rsidRDefault="002A3CFA">
      <w:pPr>
        <w:pStyle w:val="MDPI15academicedito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Numbers</w:t>
      </w:r>
      <w:r>
        <w:rPr>
          <w:snapToGrid w:val="0"/>
          <w:sz w:val="20"/>
        </w:rPr>
        <w:t xml:space="preserve"> of Tables: 4</w:t>
      </w:r>
    </w:p>
    <w:p w:rsidR="0036729E" w:rsidRDefault="002A3CFA">
      <w:pPr>
        <w:pStyle w:val="MDPI15academicedito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Numbers</w:t>
      </w:r>
      <w:r>
        <w:rPr>
          <w:snapToGrid w:val="0"/>
          <w:sz w:val="20"/>
        </w:rPr>
        <w:t xml:space="preserve"> of Figures: 1</w:t>
      </w:r>
    </w:p>
    <w:p w:rsidR="0036729E" w:rsidRDefault="002A3CF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36729E" w:rsidRDefault="002A3CFA">
      <w:pPr>
        <w:jc w:val="center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b/>
          <w:bCs/>
          <w:color w:val="000000"/>
          <w:kern w:val="0"/>
          <w:sz w:val="18"/>
          <w:lang w:eastAsia="de-DE" w:bidi="en-US"/>
        </w:rPr>
        <w:lastRenderedPageBreak/>
        <w:t>Table S1.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 Molecular docking of 1-MP to human CYP2E1 under rigid and flexible settings with regard to the cavity volume, binding energy, and </w:t>
      </w:r>
      <w:proofErr w:type="spellStart"/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ligand-heme</w:t>
      </w:r>
      <w:proofErr w:type="spellEnd"/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 distance</w:t>
      </w:r>
    </w:p>
    <w:tbl>
      <w:tblPr>
        <w:tblStyle w:val="a6"/>
        <w:tblW w:w="1034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"/>
        <w:gridCol w:w="1168"/>
        <w:gridCol w:w="1042"/>
        <w:gridCol w:w="1926"/>
        <w:gridCol w:w="1125"/>
        <w:gridCol w:w="279"/>
        <w:gridCol w:w="987"/>
        <w:gridCol w:w="1794"/>
        <w:gridCol w:w="1108"/>
      </w:tblGrid>
      <w:tr w:rsidR="0036729E">
        <w:trPr>
          <w:trHeight w:val="333"/>
          <w:jc w:val="center"/>
        </w:trPr>
        <w:tc>
          <w:tcPr>
            <w:tcW w:w="924" w:type="dxa"/>
            <w:vMerge w:val="restart"/>
          </w:tcPr>
          <w:p w:rsidR="0036729E" w:rsidRDefault="002A3CFA">
            <w:pPr>
              <w:pStyle w:val="MDPI42tablebody"/>
            </w:pPr>
            <w:r>
              <w:t>PDB ID</w:t>
            </w:r>
          </w:p>
        </w:tc>
        <w:tc>
          <w:tcPr>
            <w:tcW w:w="997" w:type="dxa"/>
            <w:vMerge w:val="restart"/>
          </w:tcPr>
          <w:p w:rsidR="0036729E" w:rsidRDefault="002A3CFA">
            <w:pPr>
              <w:pStyle w:val="MDPI42tablebody"/>
            </w:pPr>
            <w:r>
              <w:t>Resolution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r>
              <w:t>Rigid docking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proofErr w:type="spellStart"/>
            <w:r>
              <w:t>PHEs</w:t>
            </w:r>
            <w:proofErr w:type="spellEnd"/>
            <w:r>
              <w:t xml:space="preserve"> flexible docking</w:t>
            </w:r>
          </w:p>
        </w:tc>
      </w:tr>
      <w:tr w:rsidR="0036729E">
        <w:trPr>
          <w:trHeight w:val="565"/>
          <w:jc w:val="center"/>
        </w:trPr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36729E" w:rsidRDefault="0036729E">
            <w:pPr>
              <w:pStyle w:val="MDPI42tablebody"/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6729E" w:rsidRDefault="0036729E">
            <w:pPr>
              <w:pStyle w:val="MDPI42tablebody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r>
              <w:t>Volume (Å3)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r>
              <w:t>Binding energy score (kcal/mol)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proofErr w:type="spellStart"/>
            <w:r>
              <w:t>Cα</w:t>
            </w:r>
            <w:proofErr w:type="spellEnd"/>
            <w:r>
              <w:t xml:space="preserve"> to </w:t>
            </w:r>
            <w:proofErr w:type="spellStart"/>
            <w:r>
              <w:t>Heme</w:t>
            </w:r>
            <w:proofErr w:type="spellEnd"/>
            <w:r>
              <w:t xml:space="preserve"> (Å)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r>
              <w:t>Volume (Å3)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r>
              <w:t>Binding energy score (kcal/mol)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29E" w:rsidRDefault="002A3CFA">
            <w:pPr>
              <w:pStyle w:val="MDPI42tablebody"/>
            </w:pPr>
            <w:proofErr w:type="spellStart"/>
            <w:r>
              <w:t>Cα</w:t>
            </w:r>
            <w:proofErr w:type="spellEnd"/>
            <w:r>
              <w:t xml:space="preserve"> to </w:t>
            </w:r>
            <w:proofErr w:type="spellStart"/>
            <w:r>
              <w:t>Heme</w:t>
            </w:r>
            <w:proofErr w:type="spellEnd"/>
            <w:r>
              <w:t xml:space="preserve"> (Å)</w:t>
            </w:r>
          </w:p>
        </w:tc>
      </w:tr>
      <w:tr w:rsidR="0036729E">
        <w:trPr>
          <w:trHeight w:val="346"/>
          <w:jc w:val="center"/>
        </w:trPr>
        <w:tc>
          <w:tcPr>
            <w:tcW w:w="924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3LC4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3.10</w:t>
            </w: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101.93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‒8.24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4.4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101.59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‒10.99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6729E" w:rsidRDefault="002A3CFA">
            <w:pPr>
              <w:pStyle w:val="MDPI42tablebody"/>
            </w:pPr>
            <w:r>
              <w:t>3.8</w:t>
            </w:r>
          </w:p>
        </w:tc>
      </w:tr>
      <w:tr w:rsidR="0036729E">
        <w:trPr>
          <w:trHeight w:val="280"/>
          <w:jc w:val="center"/>
        </w:trPr>
        <w:tc>
          <w:tcPr>
            <w:tcW w:w="924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3KOH</w:t>
            </w:r>
          </w:p>
        </w:tc>
        <w:tc>
          <w:tcPr>
            <w:tcW w:w="997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2.90</w:t>
            </w:r>
          </w:p>
        </w:tc>
        <w:tc>
          <w:tcPr>
            <w:tcW w:w="1051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110.40</w:t>
            </w:r>
          </w:p>
        </w:tc>
        <w:tc>
          <w:tcPr>
            <w:tcW w:w="1985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‒9.57</w:t>
            </w:r>
          </w:p>
        </w:tc>
        <w:tc>
          <w:tcPr>
            <w:tcW w:w="1134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3.8</w:t>
            </w:r>
          </w:p>
        </w:tc>
        <w:tc>
          <w:tcPr>
            <w:tcW w:w="283" w:type="dxa"/>
            <w:tcBorders>
              <w:top w:val="nil"/>
            </w:tcBorders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111.90</w:t>
            </w:r>
          </w:p>
        </w:tc>
        <w:tc>
          <w:tcPr>
            <w:tcW w:w="1843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‒10.71</w:t>
            </w:r>
          </w:p>
        </w:tc>
        <w:tc>
          <w:tcPr>
            <w:tcW w:w="1134" w:type="dxa"/>
            <w:tcBorders>
              <w:top w:val="nil"/>
            </w:tcBorders>
          </w:tcPr>
          <w:p w:rsidR="0036729E" w:rsidRDefault="002A3CFA">
            <w:pPr>
              <w:pStyle w:val="MDPI42tablebody"/>
            </w:pPr>
            <w:r>
              <w:t>4.0</w:t>
            </w:r>
          </w:p>
        </w:tc>
      </w:tr>
      <w:tr w:rsidR="0036729E">
        <w:trPr>
          <w:trHeight w:val="243"/>
          <w:jc w:val="center"/>
        </w:trPr>
        <w:tc>
          <w:tcPr>
            <w:tcW w:w="924" w:type="dxa"/>
          </w:tcPr>
          <w:p w:rsidR="0036729E" w:rsidRDefault="002A3CFA">
            <w:pPr>
              <w:pStyle w:val="MDPI42tablebody"/>
            </w:pPr>
            <w:r>
              <w:t>3GPH</w:t>
            </w:r>
          </w:p>
        </w:tc>
        <w:tc>
          <w:tcPr>
            <w:tcW w:w="997" w:type="dxa"/>
          </w:tcPr>
          <w:p w:rsidR="0036729E" w:rsidRDefault="002A3CFA">
            <w:pPr>
              <w:pStyle w:val="MDPI42tablebody"/>
            </w:pPr>
            <w:r>
              <w:t>2.70</w:t>
            </w:r>
          </w:p>
        </w:tc>
        <w:tc>
          <w:tcPr>
            <w:tcW w:w="1051" w:type="dxa"/>
          </w:tcPr>
          <w:p w:rsidR="0036729E" w:rsidRDefault="002A3CFA">
            <w:pPr>
              <w:pStyle w:val="MDPI42tablebody"/>
            </w:pPr>
            <w:r>
              <w:t>94.83</w:t>
            </w:r>
          </w:p>
        </w:tc>
        <w:tc>
          <w:tcPr>
            <w:tcW w:w="1985" w:type="dxa"/>
          </w:tcPr>
          <w:p w:rsidR="0036729E" w:rsidRDefault="002A3CFA">
            <w:pPr>
              <w:pStyle w:val="MDPI42tablebody"/>
            </w:pPr>
            <w:r>
              <w:t>‒9.30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3.2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</w:tcPr>
          <w:p w:rsidR="0036729E" w:rsidRDefault="002A3CFA">
            <w:pPr>
              <w:pStyle w:val="MDPI42tablebody"/>
            </w:pPr>
            <w:r>
              <w:t>82.77</w:t>
            </w:r>
          </w:p>
        </w:tc>
        <w:tc>
          <w:tcPr>
            <w:tcW w:w="1843" w:type="dxa"/>
          </w:tcPr>
          <w:p w:rsidR="0036729E" w:rsidRDefault="002A3CFA">
            <w:pPr>
              <w:pStyle w:val="MDPI42tablebody"/>
            </w:pPr>
            <w:r>
              <w:t>‒10.92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4.2</w:t>
            </w:r>
          </w:p>
        </w:tc>
      </w:tr>
      <w:tr w:rsidR="0036729E">
        <w:trPr>
          <w:trHeight w:val="204"/>
          <w:jc w:val="center"/>
        </w:trPr>
        <w:tc>
          <w:tcPr>
            <w:tcW w:w="924" w:type="dxa"/>
          </w:tcPr>
          <w:p w:rsidR="0036729E" w:rsidRDefault="002A3CFA">
            <w:pPr>
              <w:pStyle w:val="MDPI42tablebody"/>
            </w:pPr>
            <w:r>
              <w:t>3E4E</w:t>
            </w:r>
          </w:p>
        </w:tc>
        <w:tc>
          <w:tcPr>
            <w:tcW w:w="997" w:type="dxa"/>
          </w:tcPr>
          <w:p w:rsidR="0036729E" w:rsidRDefault="002A3CFA">
            <w:pPr>
              <w:pStyle w:val="MDPI42tablebody"/>
            </w:pPr>
            <w:r>
              <w:t>2.60</w:t>
            </w:r>
          </w:p>
        </w:tc>
        <w:tc>
          <w:tcPr>
            <w:tcW w:w="1051" w:type="dxa"/>
          </w:tcPr>
          <w:p w:rsidR="0036729E" w:rsidRDefault="002A3CFA">
            <w:pPr>
              <w:pStyle w:val="MDPI42tablebody"/>
            </w:pPr>
            <w:r>
              <w:t>69.22</w:t>
            </w:r>
          </w:p>
        </w:tc>
        <w:tc>
          <w:tcPr>
            <w:tcW w:w="1985" w:type="dxa"/>
          </w:tcPr>
          <w:p w:rsidR="0036729E" w:rsidRDefault="002A3CFA">
            <w:pPr>
              <w:pStyle w:val="MDPI42tablebody"/>
            </w:pPr>
            <w:r>
              <w:t>‒7.56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Outside*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</w:tcPr>
          <w:p w:rsidR="0036729E" w:rsidRDefault="002A3CFA">
            <w:pPr>
              <w:pStyle w:val="MDPI42tablebody"/>
            </w:pPr>
            <w:r>
              <w:t>78.35</w:t>
            </w:r>
          </w:p>
        </w:tc>
        <w:tc>
          <w:tcPr>
            <w:tcW w:w="1843" w:type="dxa"/>
          </w:tcPr>
          <w:p w:rsidR="0036729E" w:rsidRDefault="002A3CFA">
            <w:pPr>
              <w:pStyle w:val="MDPI42tablebody"/>
            </w:pPr>
            <w:r>
              <w:t>‒10.73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3.8</w:t>
            </w:r>
          </w:p>
        </w:tc>
      </w:tr>
      <w:tr w:rsidR="0036729E">
        <w:trPr>
          <w:trHeight w:val="167"/>
          <w:jc w:val="center"/>
        </w:trPr>
        <w:tc>
          <w:tcPr>
            <w:tcW w:w="924" w:type="dxa"/>
          </w:tcPr>
          <w:p w:rsidR="0036729E" w:rsidRDefault="002A3CFA">
            <w:pPr>
              <w:pStyle w:val="MDPI42tablebody"/>
            </w:pPr>
            <w:r>
              <w:t>3T3Z</w:t>
            </w:r>
          </w:p>
        </w:tc>
        <w:tc>
          <w:tcPr>
            <w:tcW w:w="997" w:type="dxa"/>
          </w:tcPr>
          <w:p w:rsidR="0036729E" w:rsidRDefault="002A3CFA">
            <w:pPr>
              <w:pStyle w:val="MDPI42tablebody"/>
            </w:pPr>
            <w:r>
              <w:t>2.35</w:t>
            </w:r>
          </w:p>
        </w:tc>
        <w:tc>
          <w:tcPr>
            <w:tcW w:w="1051" w:type="dxa"/>
          </w:tcPr>
          <w:p w:rsidR="0036729E" w:rsidRDefault="002A3CFA">
            <w:pPr>
              <w:pStyle w:val="MDPI42tablebody"/>
            </w:pPr>
            <w:r>
              <w:t>111.83</w:t>
            </w:r>
          </w:p>
        </w:tc>
        <w:tc>
          <w:tcPr>
            <w:tcW w:w="1985" w:type="dxa"/>
          </w:tcPr>
          <w:p w:rsidR="0036729E" w:rsidRDefault="002A3CFA">
            <w:pPr>
              <w:pStyle w:val="MDPI42tablebody"/>
            </w:pPr>
            <w:r>
              <w:t>‒8.82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10.4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</w:tcPr>
          <w:p w:rsidR="0036729E" w:rsidRDefault="002A3CFA">
            <w:pPr>
              <w:pStyle w:val="MDPI42tablebody"/>
            </w:pPr>
            <w:r>
              <w:t>95.69</w:t>
            </w:r>
          </w:p>
        </w:tc>
        <w:tc>
          <w:tcPr>
            <w:tcW w:w="1843" w:type="dxa"/>
          </w:tcPr>
          <w:p w:rsidR="0036729E" w:rsidRDefault="002A3CFA">
            <w:pPr>
              <w:pStyle w:val="MDPI42tablebody"/>
            </w:pPr>
            <w:r>
              <w:t>‒10.16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5.3</w:t>
            </w:r>
          </w:p>
        </w:tc>
      </w:tr>
      <w:tr w:rsidR="0036729E">
        <w:trPr>
          <w:trHeight w:val="47"/>
          <w:jc w:val="center"/>
        </w:trPr>
        <w:tc>
          <w:tcPr>
            <w:tcW w:w="924" w:type="dxa"/>
          </w:tcPr>
          <w:p w:rsidR="0036729E" w:rsidRDefault="002A3CFA">
            <w:pPr>
              <w:pStyle w:val="MDPI42tablebody"/>
            </w:pPr>
            <w:r>
              <w:t>3E6</w:t>
            </w:r>
            <w:r>
              <w:rPr>
                <w:rFonts w:hint="eastAsia"/>
              </w:rPr>
              <w:t>I</w:t>
            </w:r>
          </w:p>
        </w:tc>
        <w:tc>
          <w:tcPr>
            <w:tcW w:w="997" w:type="dxa"/>
          </w:tcPr>
          <w:p w:rsidR="0036729E" w:rsidRDefault="002A3CFA">
            <w:pPr>
              <w:pStyle w:val="MDPI42tablebody"/>
            </w:pPr>
            <w:r>
              <w:t>2.20</w:t>
            </w:r>
          </w:p>
        </w:tc>
        <w:tc>
          <w:tcPr>
            <w:tcW w:w="1051" w:type="dxa"/>
          </w:tcPr>
          <w:p w:rsidR="0036729E" w:rsidRDefault="002A3CFA">
            <w:pPr>
              <w:pStyle w:val="MDPI42tablebody"/>
            </w:pPr>
            <w:r>
              <w:t>83.38</w:t>
            </w:r>
          </w:p>
        </w:tc>
        <w:tc>
          <w:tcPr>
            <w:tcW w:w="1985" w:type="dxa"/>
          </w:tcPr>
          <w:p w:rsidR="0036729E" w:rsidRDefault="002A3CFA">
            <w:pPr>
              <w:pStyle w:val="MDPI42tablebody"/>
            </w:pPr>
            <w:r>
              <w:t>‒7.73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Outside*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</w:tcPr>
          <w:p w:rsidR="0036729E" w:rsidRDefault="002A3CFA">
            <w:pPr>
              <w:pStyle w:val="MDPI42tablebody"/>
            </w:pPr>
            <w:r>
              <w:t>86.01</w:t>
            </w:r>
          </w:p>
        </w:tc>
        <w:tc>
          <w:tcPr>
            <w:tcW w:w="1843" w:type="dxa"/>
          </w:tcPr>
          <w:p w:rsidR="0036729E" w:rsidRDefault="002A3CFA">
            <w:pPr>
              <w:pStyle w:val="MDPI42tablebody"/>
            </w:pPr>
            <w:r>
              <w:t>‒10.89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3.0</w:t>
            </w:r>
          </w:p>
        </w:tc>
      </w:tr>
      <w:tr w:rsidR="0036729E">
        <w:trPr>
          <w:trHeight w:val="76"/>
          <w:jc w:val="center"/>
        </w:trPr>
        <w:tc>
          <w:tcPr>
            <w:tcW w:w="924" w:type="dxa"/>
          </w:tcPr>
          <w:p w:rsidR="0036729E" w:rsidRDefault="002A3CFA">
            <w:pPr>
              <w:pStyle w:val="MDPI42tablebody"/>
            </w:pPr>
            <w:r>
              <w:t>F298A</w:t>
            </w:r>
          </w:p>
        </w:tc>
        <w:tc>
          <w:tcPr>
            <w:tcW w:w="997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051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985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843" w:type="dxa"/>
          </w:tcPr>
          <w:p w:rsidR="0036729E" w:rsidRDefault="002A3CFA">
            <w:pPr>
              <w:pStyle w:val="MDPI42tablebody"/>
            </w:pPr>
            <w:r>
              <w:t>‒10.62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4.7</w:t>
            </w:r>
          </w:p>
        </w:tc>
      </w:tr>
      <w:tr w:rsidR="0036729E">
        <w:trPr>
          <w:trHeight w:val="181"/>
          <w:jc w:val="center"/>
        </w:trPr>
        <w:tc>
          <w:tcPr>
            <w:tcW w:w="924" w:type="dxa"/>
          </w:tcPr>
          <w:p w:rsidR="0036729E" w:rsidRDefault="002A3CFA">
            <w:pPr>
              <w:pStyle w:val="MDPI42tablebody"/>
            </w:pPr>
            <w:r>
              <w:t>F478A</w:t>
            </w:r>
          </w:p>
        </w:tc>
        <w:tc>
          <w:tcPr>
            <w:tcW w:w="997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051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985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283" w:type="dxa"/>
          </w:tcPr>
          <w:p w:rsidR="0036729E" w:rsidRDefault="0036729E">
            <w:pPr>
              <w:pStyle w:val="MDPI42tablebody"/>
            </w:pPr>
          </w:p>
        </w:tc>
        <w:tc>
          <w:tcPr>
            <w:tcW w:w="992" w:type="dxa"/>
          </w:tcPr>
          <w:p w:rsidR="0036729E" w:rsidRDefault="002A3CFA">
            <w:pPr>
              <w:pStyle w:val="MDPI42tablebody"/>
            </w:pPr>
            <w:r>
              <w:t>-</w:t>
            </w:r>
          </w:p>
        </w:tc>
        <w:tc>
          <w:tcPr>
            <w:tcW w:w="1843" w:type="dxa"/>
          </w:tcPr>
          <w:p w:rsidR="0036729E" w:rsidRDefault="002A3CFA">
            <w:pPr>
              <w:pStyle w:val="MDPI42tablebody"/>
            </w:pPr>
            <w:r>
              <w:t>‒9.55</w:t>
            </w:r>
          </w:p>
        </w:tc>
        <w:tc>
          <w:tcPr>
            <w:tcW w:w="1134" w:type="dxa"/>
          </w:tcPr>
          <w:p w:rsidR="0036729E" w:rsidRDefault="002A3CFA">
            <w:pPr>
              <w:pStyle w:val="MDPI42tablebody"/>
            </w:pPr>
            <w:r>
              <w:t>3.3</w:t>
            </w:r>
          </w:p>
        </w:tc>
      </w:tr>
    </w:tbl>
    <w:p w:rsidR="0036729E" w:rsidRDefault="002A3CF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 Compound was bound to the enzyme at some position outside of the active site.</w:t>
      </w:r>
    </w:p>
    <w:p w:rsidR="0036729E" w:rsidRDefault="0036729E">
      <w:pPr>
        <w:rPr>
          <w:rFonts w:ascii="Times New Roman" w:hAnsi="Times New Roman" w:cs="Times New Roman"/>
          <w:szCs w:val="21"/>
        </w:rPr>
      </w:pPr>
    </w:p>
    <w:p w:rsidR="0036729E" w:rsidRDefault="0036729E">
      <w:pPr>
        <w:rPr>
          <w:rFonts w:ascii="Times New Roman" w:hAnsi="Times New Roman" w:cs="Times New Roman"/>
          <w:szCs w:val="21"/>
        </w:rPr>
      </w:pPr>
    </w:p>
    <w:p w:rsidR="0036729E" w:rsidRDefault="002A3CFA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Palatino Linotype" w:eastAsia="Times New Roman" w:hAnsi="Palatino Linotype" w:cs="Cordia New"/>
          <w:b/>
          <w:bCs/>
          <w:color w:val="000000"/>
          <w:kern w:val="0"/>
          <w:sz w:val="18"/>
          <w:lang w:eastAsia="de-DE" w:bidi="en-US"/>
        </w:rPr>
        <w:t>Table S2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. Features of high rank tunnels for the binding of 1-MP to the active center of human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CYP2E1</w:t>
      </w:r>
    </w:p>
    <w:tbl>
      <w:tblPr>
        <w:tblW w:w="10018" w:type="dxa"/>
        <w:jc w:val="center"/>
        <w:tblCellMar>
          <w:left w:w="0" w:type="dxa"/>
          <w:right w:w="0" w:type="dxa"/>
        </w:tblCellMar>
        <w:tblLook w:val="04A0"/>
      </w:tblPr>
      <w:tblGrid>
        <w:gridCol w:w="1541"/>
        <w:gridCol w:w="1055"/>
        <w:gridCol w:w="1684"/>
        <w:gridCol w:w="1947"/>
        <w:gridCol w:w="2127"/>
        <w:gridCol w:w="1664"/>
      </w:tblGrid>
      <w:tr w:rsidR="0036729E">
        <w:trPr>
          <w:trHeight w:val="483"/>
          <w:jc w:val="center"/>
        </w:trPr>
        <w:tc>
          <w:tcPr>
            <w:tcW w:w="154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Compounds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Tunnels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Occurrence, 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Average bottleneck radius, 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Maximum bottleneck radius, 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Average tunnel length, Å</w:t>
            </w:r>
          </w:p>
        </w:tc>
      </w:tr>
      <w:tr w:rsidR="0036729E">
        <w:trPr>
          <w:trHeight w:val="586"/>
          <w:jc w:val="center"/>
        </w:trPr>
        <w:tc>
          <w:tcPr>
            <w:tcW w:w="1541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1-MP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2c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97.6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1.31 ± 0.16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1.71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21.44 ± 1.73</w:t>
            </w:r>
          </w:p>
        </w:tc>
      </w:tr>
      <w:tr w:rsidR="0036729E">
        <w:trPr>
          <w:trHeight w:val="586"/>
          <w:jc w:val="center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36729E">
            <w:pPr>
              <w:pStyle w:val="MDPI42tablebody"/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2b</w:t>
            </w:r>
          </w:p>
        </w:tc>
        <w:tc>
          <w:tcPr>
            <w:tcW w:w="16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74.6</w:t>
            </w:r>
          </w:p>
        </w:tc>
        <w:tc>
          <w:tcPr>
            <w:tcW w:w="194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1.22 ± 0.16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1.72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729E" w:rsidRDefault="002A3CFA">
            <w:pPr>
              <w:pStyle w:val="MDPI42tablebody"/>
            </w:pPr>
            <w:r>
              <w:t>30.12 ± 2.57</w:t>
            </w:r>
          </w:p>
        </w:tc>
      </w:tr>
    </w:tbl>
    <w:p w:rsidR="0036729E" w:rsidRDefault="0036729E">
      <w:pPr>
        <w:rPr>
          <w:rFonts w:ascii="Times New Roman" w:hAnsi="Times New Roman" w:cs="Times New Roman"/>
          <w:szCs w:val="21"/>
        </w:rPr>
      </w:pPr>
    </w:p>
    <w:p w:rsidR="0036729E" w:rsidRDefault="002A3CF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36729E" w:rsidRDefault="002A3CFA">
      <w:pPr>
        <w:widowControl/>
        <w:jc w:val="center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 w:hint="eastAsia"/>
          <w:b/>
          <w:bCs/>
          <w:color w:val="000000"/>
          <w:kern w:val="0"/>
          <w:sz w:val="18"/>
          <w:lang w:eastAsia="de-DE" w:bidi="en-US"/>
        </w:rPr>
        <w:lastRenderedPageBreak/>
        <w:t>Table</w:t>
      </w:r>
      <w:r>
        <w:rPr>
          <w:rFonts w:ascii="Palatino Linotype" w:eastAsia="Times New Roman" w:hAnsi="Palatino Linotype" w:cs="Cordia New"/>
          <w:b/>
          <w:bCs/>
          <w:color w:val="000000"/>
          <w:kern w:val="0"/>
          <w:sz w:val="18"/>
          <w:lang w:eastAsia="de-DE" w:bidi="en-US"/>
        </w:rPr>
        <w:t xml:space="preserve"> </w:t>
      </w:r>
      <w:r>
        <w:rPr>
          <w:rFonts w:ascii="Palatino Linotype" w:eastAsia="Times New Roman" w:hAnsi="Palatino Linotype" w:cs="Cordia New" w:hint="eastAsia"/>
          <w:b/>
          <w:bCs/>
          <w:color w:val="000000"/>
          <w:kern w:val="0"/>
          <w:sz w:val="18"/>
          <w:lang w:eastAsia="de-DE" w:bidi="en-US"/>
        </w:rPr>
        <w:t>S</w:t>
      </w:r>
      <w:r>
        <w:rPr>
          <w:rFonts w:ascii="Palatino Linotype" w:eastAsia="Times New Roman" w:hAnsi="Palatino Linotype" w:cs="Cordia New"/>
          <w:b/>
          <w:bCs/>
          <w:color w:val="000000"/>
          <w:kern w:val="0"/>
          <w:sz w:val="18"/>
          <w:lang w:eastAsia="de-DE" w:bidi="en-US"/>
        </w:rPr>
        <w:t>3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. The energy decomposition of non-PHE amino acid residues in the active sites of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1-MP-bound wild-type and mutated human CYP2E1</w:t>
      </w:r>
    </w:p>
    <w:tbl>
      <w:tblPr>
        <w:tblStyle w:val="a6"/>
        <w:tblW w:w="920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2551"/>
        <w:gridCol w:w="2127"/>
        <w:gridCol w:w="1984"/>
        <w:gridCol w:w="1134"/>
      </w:tblGrid>
      <w:tr w:rsidR="0036729E">
        <w:trPr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Residues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CYP2E1-WT</w:t>
            </w:r>
          </w:p>
          <w:p w:rsidR="0036729E" w:rsidRDefault="002A3CFA">
            <w:pPr>
              <w:pStyle w:val="MDPI42tablebody"/>
            </w:pPr>
            <w:r>
              <w:t>kJ/mol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CYP2E1-F298A</w:t>
            </w:r>
          </w:p>
          <w:p w:rsidR="0036729E" w:rsidRDefault="002A3CFA">
            <w:pPr>
              <w:pStyle w:val="MDPI42tablebody"/>
            </w:pPr>
            <w:r>
              <w:t>kJ/mol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CYP2E1-F478A</w:t>
            </w:r>
          </w:p>
          <w:p w:rsidR="0036729E" w:rsidRDefault="002A3CFA">
            <w:pPr>
              <w:pStyle w:val="MDPI42tablebody"/>
            </w:pPr>
            <w:r>
              <w:t>kJ/mol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Energy Change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ILE115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−3.18 ± 1.31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−4.26 ± 0.71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t>−5.36 ± 0.89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↓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ASN206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−0.33 ± 0.10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−6.52 ± 0.98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−1.44 ± 0.32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↓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LEU210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−0.37 ± 0.16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0.16 ± 1.11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−2.01 ± 0.66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↓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ALA299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−4.16 ± 0.86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−3.17 ± 1.29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−2.69 ± 1.27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↑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GLU302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−2.62 ± 1.30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−3.23 ± 1.21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−0.94 ± 0.35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↑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THR303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−4.94</w:t>
            </w:r>
            <w:r>
              <w:t xml:space="preserve"> ± 1.12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−0.33 ± 0.09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−1.74 ± 1.72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↑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LEU363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−2.47 ± 1.04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−0.95 ± 0.20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−1.22 ± 0.64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↑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VAL364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−2.85 ± 1.70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−3.47 ± 0.70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−3.19 ± 0.91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↓</w:t>
            </w:r>
          </w:p>
        </w:tc>
      </w:tr>
      <w:tr w:rsidR="0036729E">
        <w:trPr>
          <w:trHeight w:val="340"/>
          <w:jc w:val="center"/>
        </w:trPr>
        <w:tc>
          <w:tcPr>
            <w:tcW w:w="1413" w:type="dxa"/>
            <w:vAlign w:val="center"/>
          </w:tcPr>
          <w:p w:rsidR="0036729E" w:rsidRDefault="002A3CFA">
            <w:pPr>
              <w:pStyle w:val="MDPI42tablebody"/>
            </w:pPr>
            <w:r>
              <w:t>LEU368</w:t>
            </w:r>
          </w:p>
        </w:tc>
        <w:tc>
          <w:tcPr>
            <w:tcW w:w="2551" w:type="dxa"/>
            <w:vAlign w:val="center"/>
          </w:tcPr>
          <w:p w:rsidR="0036729E" w:rsidRDefault="002A3CFA">
            <w:pPr>
              <w:pStyle w:val="MDPI42tablebody"/>
            </w:pPr>
            <w:r>
              <w:t>−2.68 ± 0.58</w:t>
            </w:r>
          </w:p>
        </w:tc>
        <w:tc>
          <w:tcPr>
            <w:tcW w:w="2127" w:type="dxa"/>
            <w:vAlign w:val="center"/>
          </w:tcPr>
          <w:p w:rsidR="0036729E" w:rsidRDefault="002A3CFA">
            <w:pPr>
              <w:pStyle w:val="MDPI42tablebody"/>
            </w:pPr>
            <w:r>
              <w:t>1.25 ± 1.08</w:t>
            </w:r>
          </w:p>
        </w:tc>
        <w:tc>
          <w:tcPr>
            <w:tcW w:w="1984" w:type="dxa"/>
            <w:vAlign w:val="center"/>
          </w:tcPr>
          <w:p w:rsidR="0036729E" w:rsidRDefault="002A3CFA">
            <w:pPr>
              <w:pStyle w:val="MDPI42tablebody"/>
            </w:pPr>
            <w:r>
              <w:t>−6.20 ± 1.06</w:t>
            </w:r>
          </w:p>
        </w:tc>
        <w:tc>
          <w:tcPr>
            <w:tcW w:w="1134" w:type="dxa"/>
            <w:vAlign w:val="center"/>
          </w:tcPr>
          <w:p w:rsidR="0036729E" w:rsidRDefault="002A3CFA">
            <w:pPr>
              <w:pStyle w:val="MDPI42tablebody"/>
            </w:pPr>
            <w:r>
              <w:rPr>
                <w:rFonts w:ascii="宋体" w:eastAsia="宋体" w:hAnsi="宋体" w:cs="宋体" w:hint="eastAsia"/>
              </w:rPr>
              <w:t>↓</w:t>
            </w:r>
          </w:p>
        </w:tc>
      </w:tr>
    </w:tbl>
    <w:p w:rsidR="0036729E" w:rsidRDefault="0036729E">
      <w:pPr>
        <w:rPr>
          <w:rFonts w:ascii="Times New Roman" w:hAnsi="Times New Roman" w:cs="Times New Roman"/>
          <w:szCs w:val="21"/>
        </w:rPr>
      </w:pPr>
    </w:p>
    <w:p w:rsidR="0036729E" w:rsidRDefault="0036729E" w:rsidP="00F513FB">
      <w:pPr>
        <w:spacing w:afterLines="50"/>
        <w:jc w:val="center"/>
        <w:rPr>
          <w:rFonts w:ascii="Times New Roman" w:hAnsi="Times New Roman" w:cs="Times New Roman"/>
          <w:szCs w:val="21"/>
        </w:rPr>
        <w:sectPr w:rsidR="003672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729E" w:rsidRDefault="002A3CFA">
      <w:pPr>
        <w:pStyle w:val="MDPI41tablecaption"/>
        <w:ind w:left="0"/>
        <w:jc w:val="center"/>
      </w:pPr>
      <w:r>
        <w:rPr>
          <w:b/>
          <w:bCs/>
        </w:rPr>
        <w:lastRenderedPageBreak/>
        <w:t>Table S4.</w:t>
      </w:r>
      <w:r>
        <w:t xml:space="preserve"> The molecular descriptors of PCB congeners as candidate factors influencing their binding to human CYP2E1 and orientation</w:t>
      </w:r>
    </w:p>
    <w:tbl>
      <w:tblPr>
        <w:tblW w:w="15336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09"/>
        <w:gridCol w:w="857"/>
        <w:gridCol w:w="539"/>
        <w:gridCol w:w="504"/>
        <w:gridCol w:w="528"/>
        <w:gridCol w:w="528"/>
        <w:gridCol w:w="850"/>
        <w:gridCol w:w="709"/>
        <w:gridCol w:w="880"/>
        <w:gridCol w:w="728"/>
        <w:gridCol w:w="726"/>
        <w:gridCol w:w="879"/>
        <w:gridCol w:w="680"/>
        <w:gridCol w:w="724"/>
        <w:gridCol w:w="935"/>
        <w:gridCol w:w="850"/>
        <w:gridCol w:w="851"/>
        <w:gridCol w:w="850"/>
        <w:gridCol w:w="672"/>
        <w:gridCol w:w="638"/>
        <w:gridCol w:w="929"/>
      </w:tblGrid>
      <w:tr w:rsidR="0036729E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PCB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  <w:rPr>
                <w:rFonts w:eastAsia="宋体"/>
                <w:lang w:eastAsia="zh-CN"/>
              </w:rPr>
            </w:pPr>
            <w:proofErr w:type="spellStart"/>
            <w:r>
              <w:t>MutaG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(1-4</w:t>
            </w:r>
            <w:bookmarkStart w:id="0" w:name="_GoBack"/>
            <w:bookmarkEnd w:id="0"/>
            <w:r>
              <w:rPr>
                <w:rFonts w:eastAsia="宋体" w:hint="eastAsia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CN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OP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MP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PP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DBES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proofErr w:type="spellStart"/>
            <w:r>
              <w:t>DtF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L_HLG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L_EP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L_NP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P_HLG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P_EP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P_NP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proofErr w:type="spellStart"/>
            <w:r>
              <w:t>FODw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proofErr w:type="spellStart"/>
            <w:r>
              <w:t>FODm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proofErr w:type="spellStart"/>
            <w:r>
              <w:t>FODp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MW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AHR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proofErr w:type="spellStart"/>
            <w:r>
              <w:t>Kow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HLF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3.2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7.67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1.18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1.66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7.36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1.86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0.098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188.65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28.5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4.47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3.9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7.17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6.92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2.00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188.65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52.3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4.64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20.2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-5.40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7.06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1.99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2.08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188.65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38.5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4.61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35.3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3.2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7.82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20.1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4.95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185.5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3.9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7.74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29.3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5.02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141.4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3.8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7.21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7.34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30.1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5.02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185.3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3.9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7.24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26.3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5.13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42.4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3.9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7.42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7.20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0.098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28.4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5.09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42.8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3.7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30.6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5.13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239.1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4.1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8.14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1.06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28.7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4.99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185.6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4.6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7.03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6.99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40.5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5.28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28.5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6.94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2.01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31.0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5.29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48.8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-5.83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6.74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1.97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6.89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1.95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30.3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5.16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63.5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14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-5.97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6.78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41.3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5.41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12.9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6.74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2.06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2.10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223.10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20.2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5.26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12.5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3.7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7.68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7.52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1.64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0.188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5.52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74.3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8.04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1.18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5.48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315.2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7.32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7.26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0.187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5.57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122.0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7.28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11.3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5.44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144.2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8.03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1.17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1.68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5.64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97.7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5.8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5.62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75.9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-7.26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3.7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7.98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1.33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257.54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1.12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5.75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274.2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7.91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7.68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6.04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102.6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4.4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7.96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7.64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6.18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153.5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-6.37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7.56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1.59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7.92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6.18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262.4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54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-5.60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8.06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7.54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1.20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5.94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153.3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lastRenderedPageBreak/>
              <w:t>56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4.5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7.37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1.63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8.71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6.17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295.5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5.6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7.09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1.47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9.12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6.11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119.6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74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3.8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7.71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7.51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9.13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6.66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346.9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8.3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6.55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6.71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1.90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6.62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22.7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81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-6.39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6.51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6.72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1.87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291.98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6.15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48.8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105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326.42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6.49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6.79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115.7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118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5.4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7.40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1.31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6.89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1.53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0.164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326.42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6.41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7.11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154.7</w:t>
            </w:r>
          </w:p>
        </w:tc>
      </w:tr>
      <w:tr w:rsidR="0036729E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126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5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-8.71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7.3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6.50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1.75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6.64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1.66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1.81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0.273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0.204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326.42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6.63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6.56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36729E" w:rsidRDefault="002A3CFA">
            <w:pPr>
              <w:pStyle w:val="MDPI42tablebody"/>
            </w:pPr>
            <w:r>
              <w:t>250.4</w:t>
            </w:r>
          </w:p>
        </w:tc>
      </w:tr>
    </w:tbl>
    <w:p w:rsidR="0036729E" w:rsidRDefault="002A3CFA">
      <w:pPr>
        <w:pStyle w:val="MDPI15academiceditor"/>
        <w:rPr>
          <w:rFonts w:eastAsia="等线"/>
        </w:rPr>
      </w:pPr>
      <w:proofErr w:type="spellStart"/>
      <w:r>
        <w:rPr>
          <w:rFonts w:eastAsia="等线"/>
        </w:rPr>
        <w:t>MutaG</w:t>
      </w:r>
      <w:proofErr w:type="spellEnd"/>
      <w:r>
        <w:rPr>
          <w:rFonts w:eastAsia="等线"/>
        </w:rPr>
        <w:t xml:space="preserve">, human CYP2E1-activated </w:t>
      </w:r>
      <w:proofErr w:type="spellStart"/>
      <w:r>
        <w:rPr>
          <w:rFonts w:eastAsia="等线"/>
        </w:rPr>
        <w:t>mutagenicity</w:t>
      </w:r>
      <w:proofErr w:type="spellEnd"/>
      <w:r>
        <w:rPr>
          <w:rFonts w:eastAsia="等线"/>
        </w:rPr>
        <w:t xml:space="preserve"> of a PCB congener</w:t>
      </w:r>
      <w:r>
        <w:rPr>
          <w:rFonts w:eastAsia="等线" w:hint="eastAsia"/>
          <w:lang w:eastAsia="zh-CN"/>
        </w:rPr>
        <w:t xml:space="preserve"> (1-4)</w:t>
      </w:r>
      <w:r>
        <w:rPr>
          <w:rFonts w:eastAsia="等线"/>
        </w:rPr>
        <w:t>;</w:t>
      </w:r>
      <w:r>
        <w:t xml:space="preserve"> CN, the number of </w:t>
      </w:r>
      <w:proofErr w:type="spellStart"/>
      <w:r>
        <w:rPr>
          <w:rFonts w:eastAsia="等线"/>
        </w:rPr>
        <w:t>Cl</w:t>
      </w:r>
      <w:proofErr w:type="spellEnd"/>
      <w:r>
        <w:rPr>
          <w:rFonts w:eastAsia="等线"/>
        </w:rPr>
        <w:t>-substitutions</w:t>
      </w:r>
      <w:r>
        <w:t xml:space="preserve">; </w:t>
      </w:r>
      <w:r>
        <w:rPr>
          <w:rFonts w:eastAsia="等线"/>
        </w:rPr>
        <w:t xml:space="preserve">OP, the number of </w:t>
      </w:r>
      <w:proofErr w:type="spellStart"/>
      <w:r>
        <w:rPr>
          <w:rFonts w:eastAsia="等线"/>
        </w:rPr>
        <w:t>orth</w:t>
      </w:r>
      <w:r>
        <w:rPr>
          <w:rFonts w:eastAsia="等线"/>
        </w:rPr>
        <w:t>o-Cl-substitutions</w:t>
      </w:r>
      <w:proofErr w:type="spellEnd"/>
      <w:r>
        <w:t xml:space="preserve">; </w:t>
      </w:r>
      <w:r>
        <w:rPr>
          <w:rFonts w:eastAsia="等线"/>
        </w:rPr>
        <w:t>MP, the number of meta-</w:t>
      </w:r>
      <w:proofErr w:type="spellStart"/>
      <w:r>
        <w:rPr>
          <w:rFonts w:eastAsia="等线"/>
        </w:rPr>
        <w:t>Cl</w:t>
      </w:r>
      <w:proofErr w:type="spellEnd"/>
      <w:r>
        <w:rPr>
          <w:rFonts w:eastAsia="等线"/>
        </w:rPr>
        <w:t>-substitutions</w:t>
      </w:r>
      <w:r>
        <w:t xml:space="preserve">; </w:t>
      </w:r>
      <w:r>
        <w:rPr>
          <w:rFonts w:eastAsia="等线"/>
        </w:rPr>
        <w:t xml:space="preserve">PP, the number of </w:t>
      </w:r>
      <w:proofErr w:type="spellStart"/>
      <w:r>
        <w:rPr>
          <w:rFonts w:eastAsia="等线"/>
        </w:rPr>
        <w:t>para-Cl-substitutions</w:t>
      </w:r>
      <w:proofErr w:type="spellEnd"/>
      <w:r>
        <w:rPr>
          <w:rFonts w:eastAsia="等线"/>
        </w:rPr>
        <w:t xml:space="preserve">; DBES, binding energy score obtained from molecular docking with PHE478 being set flexible; </w:t>
      </w:r>
      <w:proofErr w:type="spellStart"/>
      <w:r>
        <w:rPr>
          <w:rFonts w:eastAsia="等线"/>
        </w:rPr>
        <w:t>DtF</w:t>
      </w:r>
      <w:proofErr w:type="spellEnd"/>
      <w:r>
        <w:rPr>
          <w:rFonts w:eastAsia="等线"/>
        </w:rPr>
        <w:t xml:space="preserve">, the distance from SOM to Fe ion in the </w:t>
      </w:r>
      <w:proofErr w:type="spellStart"/>
      <w:r>
        <w:rPr>
          <w:rFonts w:eastAsia="等线"/>
        </w:rPr>
        <w:t>heme</w:t>
      </w:r>
      <w:proofErr w:type="spellEnd"/>
      <w:r>
        <w:rPr>
          <w:rFonts w:eastAsia="等线"/>
        </w:rPr>
        <w:t>; L_HLG,</w:t>
      </w:r>
      <w:r>
        <w:rPr>
          <w:rFonts w:eastAsia="等线"/>
          <w:b/>
          <w:bCs/>
        </w:rPr>
        <w:t xml:space="preserve"> </w:t>
      </w:r>
      <w:r>
        <w:rPr>
          <w:rFonts w:eastAsia="等线"/>
        </w:rPr>
        <w:t>the HO</w:t>
      </w:r>
      <w:r>
        <w:rPr>
          <w:rFonts w:eastAsia="等线"/>
        </w:rPr>
        <w:t xml:space="preserve">MO-LUMO gap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; L_EP, the </w:t>
      </w:r>
      <w:proofErr w:type="spellStart"/>
      <w:r>
        <w:rPr>
          <w:rFonts w:eastAsia="等线"/>
        </w:rPr>
        <w:t>electrophilicity</w:t>
      </w:r>
      <w:proofErr w:type="spellEnd"/>
      <w:r>
        <w:rPr>
          <w:rFonts w:eastAsia="等线"/>
        </w:rPr>
        <w:t xml:space="preserve">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; L_NP, the </w:t>
      </w:r>
      <w:proofErr w:type="spellStart"/>
      <w:r>
        <w:rPr>
          <w:rFonts w:eastAsia="等线"/>
        </w:rPr>
        <w:t>nucleophilicity</w:t>
      </w:r>
      <w:proofErr w:type="spellEnd"/>
      <w:r>
        <w:rPr>
          <w:rFonts w:eastAsia="等线"/>
        </w:rPr>
        <w:t xml:space="preserve">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>; P_HLG,</w:t>
      </w:r>
      <w:r>
        <w:rPr>
          <w:rFonts w:eastAsia="等线"/>
          <w:b/>
          <w:bCs/>
        </w:rPr>
        <w:t xml:space="preserve"> </w:t>
      </w:r>
      <w:r>
        <w:rPr>
          <w:rFonts w:eastAsia="等线"/>
        </w:rPr>
        <w:t xml:space="preserve">the HOMO-LUMO gap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-PHE complex; P_EP, the </w:t>
      </w:r>
      <w:proofErr w:type="spellStart"/>
      <w:r>
        <w:rPr>
          <w:rFonts w:eastAsia="等线"/>
        </w:rPr>
        <w:t>electrophilicity</w:t>
      </w:r>
      <w:proofErr w:type="spellEnd"/>
      <w:r>
        <w:rPr>
          <w:rFonts w:eastAsia="等线"/>
        </w:rPr>
        <w:t xml:space="preserve">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-PHE complex; P_NP, the </w:t>
      </w:r>
      <w:proofErr w:type="spellStart"/>
      <w:r>
        <w:rPr>
          <w:rFonts w:eastAsia="等线"/>
        </w:rPr>
        <w:t>nucleophilicity</w:t>
      </w:r>
      <w:proofErr w:type="spellEnd"/>
      <w:r>
        <w:rPr>
          <w:rFonts w:eastAsia="等线"/>
        </w:rPr>
        <w:t xml:space="preserve">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-PHE complex; </w:t>
      </w:r>
      <w:proofErr w:type="spellStart"/>
      <w:r>
        <w:rPr>
          <w:rFonts w:eastAsia="等线"/>
        </w:rPr>
        <w:t>FODw</w:t>
      </w:r>
      <w:proofErr w:type="spellEnd"/>
      <w:r>
        <w:rPr>
          <w:rFonts w:eastAsia="等线"/>
        </w:rPr>
        <w:t>, the F</w:t>
      </w:r>
      <w:r>
        <w:rPr>
          <w:rFonts w:eastAsia="等线"/>
        </w:rPr>
        <w:t xml:space="preserve">OD value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 bound to the active site of human CYP2E1; </w:t>
      </w:r>
      <w:proofErr w:type="spellStart"/>
      <w:r>
        <w:rPr>
          <w:rFonts w:eastAsia="等线"/>
        </w:rPr>
        <w:t>FODm</w:t>
      </w:r>
      <w:proofErr w:type="spellEnd"/>
      <w:r>
        <w:rPr>
          <w:rFonts w:eastAsia="等线"/>
        </w:rPr>
        <w:t xml:space="preserve">, the FOD value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 xml:space="preserve"> bound to the active site of F478A mutant; </w:t>
      </w:r>
      <w:proofErr w:type="spellStart"/>
      <w:r>
        <w:rPr>
          <w:rFonts w:eastAsia="等线"/>
        </w:rPr>
        <w:t>FODp</w:t>
      </w:r>
      <w:proofErr w:type="spellEnd"/>
      <w:r>
        <w:rPr>
          <w:rFonts w:eastAsia="等线"/>
        </w:rPr>
        <w:t xml:space="preserve">, the FOD value of </w:t>
      </w:r>
      <w:proofErr w:type="spellStart"/>
      <w:r>
        <w:rPr>
          <w:rFonts w:eastAsia="等线"/>
        </w:rPr>
        <w:t>ligand</w:t>
      </w:r>
      <w:proofErr w:type="spellEnd"/>
      <w:r>
        <w:rPr>
          <w:rFonts w:eastAsia="等线"/>
        </w:rPr>
        <w:t>; Mass, the molecular weight; AHR, atmospheric hydroxylation rate (cm</w:t>
      </w:r>
      <w:r>
        <w:rPr>
          <w:rFonts w:eastAsia="等线"/>
          <w:vertAlign w:val="superscript"/>
        </w:rPr>
        <w:t>3</w:t>
      </w:r>
      <w:r>
        <w:rPr>
          <w:rFonts w:eastAsia="等线"/>
        </w:rPr>
        <w:t xml:space="preserve">/molecule*sec); </w:t>
      </w:r>
      <w:proofErr w:type="spellStart"/>
      <w:r>
        <w:rPr>
          <w:rFonts w:eastAsia="等线"/>
        </w:rPr>
        <w:t>Kow</w:t>
      </w:r>
      <w:proofErr w:type="spellEnd"/>
      <w:r>
        <w:rPr>
          <w:rFonts w:eastAsia="等线"/>
        </w:rPr>
        <w:t xml:space="preserve">, </w:t>
      </w:r>
      <w:proofErr w:type="spellStart"/>
      <w:r>
        <w:rPr>
          <w:rFonts w:eastAsia="等线"/>
        </w:rPr>
        <w:t>Log</w:t>
      </w:r>
      <w:r>
        <w:rPr>
          <w:rFonts w:eastAsia="等线"/>
        </w:rPr>
        <w:t>Kow</w:t>
      </w:r>
      <w:proofErr w:type="spellEnd"/>
      <w:r>
        <w:rPr>
          <w:rFonts w:eastAsia="等线"/>
        </w:rPr>
        <w:t xml:space="preserve">: </w:t>
      </w:r>
      <w:proofErr w:type="spellStart"/>
      <w:r>
        <w:rPr>
          <w:rFonts w:eastAsia="等线"/>
        </w:rPr>
        <w:t>Octanol</w:t>
      </w:r>
      <w:proofErr w:type="spellEnd"/>
      <w:r>
        <w:rPr>
          <w:rFonts w:eastAsia="等线"/>
        </w:rPr>
        <w:t>-Water partition coefficient; HLF, the half-life (by biotransformation and elimination) in fish.</w:t>
      </w:r>
    </w:p>
    <w:p w:rsidR="0036729E" w:rsidRDefault="0036729E" w:rsidP="00F513FB">
      <w:pPr>
        <w:spacing w:afterLines="50"/>
        <w:jc w:val="center"/>
        <w:rPr>
          <w:rFonts w:ascii="Times New Roman" w:hAnsi="Times New Roman" w:cs="Times New Roman"/>
          <w:szCs w:val="21"/>
        </w:rPr>
      </w:pPr>
    </w:p>
    <w:p w:rsidR="0036729E" w:rsidRDefault="0036729E">
      <w:pPr>
        <w:pStyle w:val="EndNoteBibliography"/>
      </w:pPr>
    </w:p>
    <w:p w:rsidR="0036729E" w:rsidRDefault="0036729E">
      <w:pPr>
        <w:pStyle w:val="EndNoteBibliography"/>
        <w:sectPr w:rsidR="0036729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6729E" w:rsidRDefault="002A3CFA" w:rsidP="00F513FB">
      <w:pPr>
        <w:spacing w:afterLines="5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ab/>
      </w:r>
    </w:p>
    <w:p w:rsidR="0036729E" w:rsidRDefault="002A3CF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>
            <wp:extent cx="5274310" cy="4006850"/>
            <wp:effectExtent l="0" t="0" r="2540" b="0"/>
            <wp:docPr id="730303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0370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9E" w:rsidRDefault="002A3CFA">
      <w:pPr>
        <w:pStyle w:val="MDPI42tablebody"/>
      </w:pPr>
      <w:r>
        <w:rPr>
          <w:rFonts w:hint="eastAsia"/>
          <w:b/>
          <w:bCs/>
        </w:rPr>
        <w:t>F</w:t>
      </w:r>
      <w:r>
        <w:rPr>
          <w:b/>
          <w:bCs/>
        </w:rPr>
        <w:t xml:space="preserve">igure S1. </w:t>
      </w:r>
      <w:r>
        <w:t xml:space="preserve">Two major tunnels for </w:t>
      </w:r>
      <w:proofErr w:type="spellStart"/>
      <w:r>
        <w:t>ligands</w:t>
      </w:r>
      <w:proofErr w:type="spellEnd"/>
      <w:r>
        <w:t xml:space="preserve"> entering the active site in human CYP2E1</w:t>
      </w:r>
    </w:p>
    <w:p w:rsidR="0036729E" w:rsidRDefault="002A3CFA">
      <w:pPr>
        <w:pStyle w:val="MDPI42tablebody"/>
      </w:pPr>
      <w:r>
        <w:t>Tunnel 1 indicates the 2b tunnel,</w:t>
      </w:r>
      <w:r>
        <w:t xml:space="preserve"> which is controlled by PHE478; Tunnel 2 indicates the 2c tunnel, as controlled by PHE298.</w:t>
      </w:r>
    </w:p>
    <w:p w:rsidR="0036729E" w:rsidRDefault="0036729E" w:rsidP="00F513FB">
      <w:pPr>
        <w:spacing w:afterLines="50"/>
        <w:jc w:val="center"/>
        <w:rPr>
          <w:rFonts w:ascii="Times New Roman" w:hAnsi="Times New Roman" w:cs="Times New Roman"/>
          <w:szCs w:val="21"/>
        </w:rPr>
      </w:pPr>
    </w:p>
    <w:p w:rsidR="0036729E" w:rsidRDefault="002A3CFA">
      <w:pPr>
        <w:pStyle w:val="MDPI21heading1"/>
        <w:ind w:left="0"/>
      </w:pPr>
      <w:r>
        <w:rPr>
          <w:rFonts w:hint="eastAsia"/>
        </w:rPr>
        <w:t>R</w:t>
      </w:r>
      <w:r>
        <w:t>eferences</w:t>
      </w:r>
    </w:p>
    <w:p w:rsidR="0036729E" w:rsidRDefault="002A3CFA">
      <w:pPr>
        <w:pStyle w:val="EndNoteBibliography"/>
      </w:pPr>
      <w:r>
        <w:t>1.</w:t>
      </w:r>
      <w:r>
        <w:tab/>
        <w:t xml:space="preserve">Liu Y, </w:t>
      </w:r>
      <w:proofErr w:type="spellStart"/>
      <w:r>
        <w:t>Hu</w:t>
      </w:r>
      <w:proofErr w:type="spellEnd"/>
      <w:r>
        <w:t xml:space="preserve"> K, </w:t>
      </w:r>
      <w:proofErr w:type="spellStart"/>
      <w:r>
        <w:t>Jia</w:t>
      </w:r>
      <w:proofErr w:type="spellEnd"/>
      <w:r>
        <w:t xml:space="preserve"> H, Jin G, </w:t>
      </w:r>
      <w:proofErr w:type="spellStart"/>
      <w:r>
        <w:t>Glatt</w:t>
      </w:r>
      <w:proofErr w:type="spellEnd"/>
      <w:r>
        <w:t xml:space="preserve"> H, Jiang H. Potent </w:t>
      </w:r>
      <w:proofErr w:type="spellStart"/>
      <w:r>
        <w:t>mutagenicity</w:t>
      </w:r>
      <w:proofErr w:type="spellEnd"/>
      <w:r>
        <w:t xml:space="preserve"> of some non-planar tri- and </w:t>
      </w:r>
      <w:proofErr w:type="spellStart"/>
      <w:r>
        <w:t>tetrachlorinated</w:t>
      </w:r>
      <w:proofErr w:type="spellEnd"/>
      <w:r>
        <w:t xml:space="preserve"> biphenyls in mammalian cells, human </w:t>
      </w:r>
      <w:r>
        <w:t xml:space="preserve">CYP2E1 being a major activating enzyme. Arch </w:t>
      </w:r>
      <w:proofErr w:type="spellStart"/>
      <w:r>
        <w:t>Toxicol</w:t>
      </w:r>
      <w:proofErr w:type="spellEnd"/>
      <w:r>
        <w:t>. 2017;91(7):2663-76.</w:t>
      </w:r>
    </w:p>
    <w:p w:rsidR="0036729E" w:rsidRDefault="002A3CFA">
      <w:pPr>
        <w:pStyle w:val="EndNoteBibliography"/>
      </w:pPr>
      <w:r>
        <w:t>2.</w:t>
      </w:r>
      <w:r>
        <w:tab/>
        <w:t xml:space="preserve">Zhang C, Lai Y, Jin G, </w:t>
      </w:r>
      <w:proofErr w:type="spellStart"/>
      <w:r>
        <w:t>Glatt</w:t>
      </w:r>
      <w:proofErr w:type="spellEnd"/>
      <w:r>
        <w:t xml:space="preserve"> H, Wei Q, Liu Y. Human CYP2E1-dependent </w:t>
      </w:r>
      <w:proofErr w:type="spellStart"/>
      <w:r>
        <w:t>mutagenicity</w:t>
      </w:r>
      <w:proofErr w:type="spellEnd"/>
      <w:r>
        <w:t xml:space="preserve"> of mono- and </w:t>
      </w:r>
      <w:proofErr w:type="spellStart"/>
      <w:r>
        <w:t>dichlorobiphenyls</w:t>
      </w:r>
      <w:proofErr w:type="spellEnd"/>
      <w:r>
        <w:t xml:space="preserve"> in Chinese hamster (V79)-derived cells. Chemosphere. 2016;144:1908</w:t>
      </w:r>
      <w:r>
        <w:t xml:space="preserve">-15. </w:t>
      </w:r>
    </w:p>
    <w:p w:rsidR="0036729E" w:rsidRDefault="002A3CFA">
      <w:pPr>
        <w:pStyle w:val="EndNoteBibliography"/>
      </w:pPr>
      <w:r>
        <w:t>3.</w:t>
      </w:r>
      <w:r>
        <w:tab/>
        <w:t xml:space="preserve">Chen Y, Zhu N, </w:t>
      </w:r>
      <w:proofErr w:type="spellStart"/>
      <w:r>
        <w:t>Luo</w:t>
      </w:r>
      <w:proofErr w:type="spellEnd"/>
      <w:r>
        <w:t xml:space="preserve"> Y, </w:t>
      </w:r>
      <w:proofErr w:type="spellStart"/>
      <w:r>
        <w:t>Hu</w:t>
      </w:r>
      <w:proofErr w:type="spellEnd"/>
      <w:r>
        <w:t xml:space="preserve"> K, Liu Y. Featured structure-activity relationships for some tri- and </w:t>
      </w:r>
      <w:proofErr w:type="spellStart"/>
      <w:r>
        <w:t>tetrachlorobiphenyls</w:t>
      </w:r>
      <w:proofErr w:type="spellEnd"/>
      <w:r>
        <w:t xml:space="preserve"> in human CYP2E1-activated </w:t>
      </w:r>
      <w:proofErr w:type="spellStart"/>
      <w:r>
        <w:t>mutagenicity</w:t>
      </w:r>
      <w:proofErr w:type="spellEnd"/>
      <w:r>
        <w:t xml:space="preserve"> - Impact of the extent of </w:t>
      </w:r>
      <w:proofErr w:type="spellStart"/>
      <w:r>
        <w:t>ortho</w:t>
      </w:r>
      <w:proofErr w:type="spellEnd"/>
      <w:r>
        <w:t>-chlorination. Chemosphere. 2018;210:467-75.</w:t>
      </w:r>
    </w:p>
    <w:p w:rsidR="0036729E" w:rsidRDefault="002A3CFA" w:rsidP="0036729E">
      <w:pPr>
        <w:spacing w:afterLines="50"/>
        <w:rPr>
          <w:rFonts w:ascii="Times New Roman" w:hAnsi="Times New Roman" w:cs="Times New Roman"/>
          <w:szCs w:val="21"/>
        </w:rPr>
      </w:pPr>
      <w:r>
        <w:rPr>
          <w:rFonts w:ascii="Palatino Linotype" w:hAnsi="Palatino Linotype" w:cs="Times New Roman"/>
          <w:sz w:val="18"/>
        </w:rPr>
        <w:t>4.</w:t>
      </w:r>
      <w:r>
        <w:rPr>
          <w:rFonts w:ascii="Palatino Linotype" w:hAnsi="Palatino Linotype" w:cs="Times New Roman"/>
          <w:sz w:val="18"/>
        </w:rPr>
        <w:tab/>
      </w:r>
      <w:proofErr w:type="spellStart"/>
      <w:r>
        <w:rPr>
          <w:rFonts w:ascii="Palatino Linotype" w:hAnsi="Palatino Linotype" w:cs="Times New Roman"/>
          <w:sz w:val="18"/>
        </w:rPr>
        <w:t>Hu</w:t>
      </w:r>
      <w:proofErr w:type="spellEnd"/>
      <w:r>
        <w:rPr>
          <w:rFonts w:ascii="Palatino Linotype" w:hAnsi="Palatino Linotype" w:cs="Times New Roman"/>
          <w:sz w:val="18"/>
        </w:rPr>
        <w:t xml:space="preserve"> K, Yu H, L</w:t>
      </w:r>
      <w:r>
        <w:rPr>
          <w:rFonts w:ascii="Palatino Linotype" w:hAnsi="Palatino Linotype" w:cs="Times New Roman"/>
          <w:sz w:val="18"/>
        </w:rPr>
        <w:t xml:space="preserve">i Z, Jin G, </w:t>
      </w:r>
      <w:proofErr w:type="spellStart"/>
      <w:r>
        <w:rPr>
          <w:rFonts w:ascii="Palatino Linotype" w:hAnsi="Palatino Linotype" w:cs="Times New Roman"/>
          <w:sz w:val="18"/>
        </w:rPr>
        <w:t>Jia</w:t>
      </w:r>
      <w:proofErr w:type="spellEnd"/>
      <w:r>
        <w:rPr>
          <w:rFonts w:ascii="Palatino Linotype" w:hAnsi="Palatino Linotype" w:cs="Times New Roman"/>
          <w:sz w:val="18"/>
        </w:rPr>
        <w:t xml:space="preserve"> H, Song M, et al. Human CYP2E1-activated </w:t>
      </w:r>
      <w:proofErr w:type="spellStart"/>
      <w:r>
        <w:rPr>
          <w:rFonts w:ascii="Palatino Linotype" w:hAnsi="Palatino Linotype" w:cs="Times New Roman"/>
          <w:sz w:val="18"/>
        </w:rPr>
        <w:t>mutagenicity</w:t>
      </w:r>
      <w:proofErr w:type="spellEnd"/>
      <w:r>
        <w:rPr>
          <w:rFonts w:ascii="Palatino Linotype" w:hAnsi="Palatino Linotype" w:cs="Times New Roman"/>
          <w:sz w:val="18"/>
        </w:rPr>
        <w:t xml:space="preserve"> of dioxin-like PCBs 105 and 118-Experimental data consistent with molecular docking results. Toxicology. 2020;437:152438.</w:t>
      </w:r>
    </w:p>
    <w:sectPr w:rsidR="0036729E" w:rsidSect="0036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FA" w:rsidRPr="0005343D" w:rsidRDefault="002A3CFA" w:rsidP="00F513FB">
      <w:pPr>
        <w:rPr>
          <w:sz w:val="16"/>
        </w:rPr>
      </w:pPr>
      <w:r>
        <w:separator/>
      </w:r>
    </w:p>
  </w:endnote>
  <w:endnote w:type="continuationSeparator" w:id="0">
    <w:p w:rsidR="002A3CFA" w:rsidRPr="0005343D" w:rsidRDefault="002A3CFA" w:rsidP="00F513FB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FA" w:rsidRPr="0005343D" w:rsidRDefault="002A3CFA" w:rsidP="00F513FB">
      <w:pPr>
        <w:rPr>
          <w:sz w:val="16"/>
        </w:rPr>
      </w:pPr>
      <w:r>
        <w:separator/>
      </w:r>
    </w:p>
  </w:footnote>
  <w:footnote w:type="continuationSeparator" w:id="0">
    <w:p w:rsidR="002A3CFA" w:rsidRPr="0005343D" w:rsidRDefault="002A3CFA" w:rsidP="00F513FB">
      <w:pPr>
        <w:rPr>
          <w:sz w:val="16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JhMmQ1YzI4NjMxZDE2MGQwMjhmMjI4MGI2ODIxYjQifQ=="/>
  </w:docVars>
  <w:rsids>
    <w:rsidRoot w:val="005E6C58"/>
    <w:rsid w:val="00003EB8"/>
    <w:rsid w:val="000F484E"/>
    <w:rsid w:val="00153D9A"/>
    <w:rsid w:val="00162BC9"/>
    <w:rsid w:val="00173BF8"/>
    <w:rsid w:val="001B278A"/>
    <w:rsid w:val="001C276A"/>
    <w:rsid w:val="0028046F"/>
    <w:rsid w:val="00280FEA"/>
    <w:rsid w:val="002A3CFA"/>
    <w:rsid w:val="002C4DEB"/>
    <w:rsid w:val="00342523"/>
    <w:rsid w:val="003669E7"/>
    <w:rsid w:val="0036729E"/>
    <w:rsid w:val="003773B3"/>
    <w:rsid w:val="00386BD9"/>
    <w:rsid w:val="003E748A"/>
    <w:rsid w:val="00454C17"/>
    <w:rsid w:val="004863D4"/>
    <w:rsid w:val="004E74E5"/>
    <w:rsid w:val="00586C4A"/>
    <w:rsid w:val="005B3F66"/>
    <w:rsid w:val="005E6C58"/>
    <w:rsid w:val="006D0F97"/>
    <w:rsid w:val="006E6451"/>
    <w:rsid w:val="006F6C60"/>
    <w:rsid w:val="007C398D"/>
    <w:rsid w:val="008062A8"/>
    <w:rsid w:val="00872158"/>
    <w:rsid w:val="00914D98"/>
    <w:rsid w:val="0092465F"/>
    <w:rsid w:val="00945697"/>
    <w:rsid w:val="009C0310"/>
    <w:rsid w:val="009F6C2D"/>
    <w:rsid w:val="009F6C77"/>
    <w:rsid w:val="00A21F64"/>
    <w:rsid w:val="00A43500"/>
    <w:rsid w:val="00AB6A4F"/>
    <w:rsid w:val="00AE27A7"/>
    <w:rsid w:val="00B36607"/>
    <w:rsid w:val="00B76CC7"/>
    <w:rsid w:val="00B95A89"/>
    <w:rsid w:val="00BA6645"/>
    <w:rsid w:val="00BE5BCF"/>
    <w:rsid w:val="00BF32C4"/>
    <w:rsid w:val="00BF7B67"/>
    <w:rsid w:val="00D03483"/>
    <w:rsid w:val="00D136BE"/>
    <w:rsid w:val="00D545D7"/>
    <w:rsid w:val="00D62D5A"/>
    <w:rsid w:val="00D63573"/>
    <w:rsid w:val="00D70C04"/>
    <w:rsid w:val="00D76737"/>
    <w:rsid w:val="00DC3A98"/>
    <w:rsid w:val="00DF0D08"/>
    <w:rsid w:val="00E179D0"/>
    <w:rsid w:val="00E47464"/>
    <w:rsid w:val="00EA4248"/>
    <w:rsid w:val="00EB4246"/>
    <w:rsid w:val="00EC6301"/>
    <w:rsid w:val="00EF600A"/>
    <w:rsid w:val="00F235F5"/>
    <w:rsid w:val="00F513FB"/>
    <w:rsid w:val="00F64192"/>
    <w:rsid w:val="00FA0E42"/>
    <w:rsid w:val="00FE15E1"/>
    <w:rsid w:val="00FE2F5D"/>
    <w:rsid w:val="00FE6819"/>
    <w:rsid w:val="040B0E20"/>
    <w:rsid w:val="158F6FC7"/>
    <w:rsid w:val="3AB331C1"/>
    <w:rsid w:val="5FAC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7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6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36729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36729E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sid w:val="0036729E"/>
    <w:rPr>
      <w:color w:val="0563C1"/>
      <w:u w:val="single"/>
    </w:rPr>
  </w:style>
  <w:style w:type="character" w:customStyle="1" w:styleId="a9">
    <w:name w:val="无"/>
    <w:qFormat/>
    <w:rsid w:val="0036729E"/>
  </w:style>
  <w:style w:type="table" w:customStyle="1" w:styleId="TableNormal">
    <w:name w:val="Table Normal"/>
    <w:qFormat/>
    <w:rsid w:val="0036729E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367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3672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2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729E"/>
    <w:rPr>
      <w:sz w:val="18"/>
      <w:szCs w:val="18"/>
    </w:rPr>
  </w:style>
  <w:style w:type="paragraph" w:customStyle="1" w:styleId="1">
    <w:name w:val="修订1"/>
    <w:hidden/>
    <w:uiPriority w:val="99"/>
    <w:semiHidden/>
    <w:rsid w:val="0036729E"/>
    <w:rPr>
      <w:kern w:val="2"/>
      <w:sz w:val="21"/>
      <w:szCs w:val="22"/>
    </w:rPr>
  </w:style>
  <w:style w:type="paragraph" w:customStyle="1" w:styleId="MDPI12title">
    <w:name w:val="MDPI_1.2_title"/>
    <w:next w:val="a"/>
    <w:qFormat/>
    <w:rsid w:val="0036729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36729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36729E"/>
    <w:pPr>
      <w:widowControl/>
      <w:adjustRightInd w:val="0"/>
      <w:snapToGrid w:val="0"/>
      <w:spacing w:line="240" w:lineRule="atLeast"/>
      <w:ind w:right="113"/>
      <w:jc w:val="left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36729E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36729E"/>
    <w:pPr>
      <w:adjustRightInd w:val="0"/>
      <w:snapToGrid w:val="0"/>
      <w:spacing w:line="240" w:lineRule="atLeast"/>
      <w:ind w:right="113"/>
    </w:pPr>
    <w:rPr>
      <w:rFonts w:ascii="Palatino Linotype" w:eastAsia="宋体" w:hAnsi="Palatino Linotype" w:cs="Cordia New"/>
      <w:sz w:val="14"/>
      <w:szCs w:val="22"/>
    </w:rPr>
  </w:style>
  <w:style w:type="paragraph" w:customStyle="1" w:styleId="MDPI15academiceditor">
    <w:name w:val="MDPI_1.5_academic_editor"/>
    <w:qFormat/>
    <w:rsid w:val="0036729E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eastAsia="de-DE" w:bidi="en-US"/>
    </w:rPr>
  </w:style>
  <w:style w:type="paragraph" w:customStyle="1" w:styleId="MDPI72Copyright">
    <w:name w:val="MDPI_7.2_Copyright"/>
    <w:qFormat/>
    <w:rsid w:val="0036729E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snapToGrid w:val="0"/>
      <w:color w:val="000000"/>
      <w:sz w:val="14"/>
      <w:lang w:val="en-GB" w:eastAsia="en-GB"/>
    </w:rPr>
  </w:style>
  <w:style w:type="paragraph" w:styleId="aa">
    <w:name w:val="List Paragraph"/>
    <w:basedOn w:val="a"/>
    <w:uiPriority w:val="34"/>
    <w:qFormat/>
    <w:rsid w:val="0036729E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36729E"/>
    <w:rPr>
      <w:rFonts w:ascii="Palatino Linotype" w:eastAsia="宋体" w:hAnsi="Palatino Linotype" w:cs="Times New Roman"/>
      <w:sz w:val="18"/>
    </w:rPr>
  </w:style>
  <w:style w:type="character" w:customStyle="1" w:styleId="EndNoteBibliography0">
    <w:name w:val="EndNote Bibliography 字符"/>
    <w:basedOn w:val="a0"/>
    <w:link w:val="EndNoteBibliography"/>
    <w:rsid w:val="0036729E"/>
    <w:rPr>
      <w:rFonts w:ascii="Palatino Linotype" w:eastAsia="宋体" w:hAnsi="Palatino Linotype" w:cs="Times New Roman"/>
      <w:sz w:val="18"/>
    </w:rPr>
  </w:style>
  <w:style w:type="paragraph" w:customStyle="1" w:styleId="MDPI21heading1">
    <w:name w:val="MDPI_2.1_heading1"/>
    <w:qFormat/>
    <w:rsid w:val="0036729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36729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36729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841F-2E8E-4433-81EE-4FF383F3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40</cp:revision>
  <dcterms:created xsi:type="dcterms:W3CDTF">2023-03-09T14:53:00Z</dcterms:created>
  <dcterms:modified xsi:type="dcterms:W3CDTF">2023-04-28T14:56:00Z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2D32B6B1A8034660A962635987EB5046</vt:lpwstr>
  </property>
</Properties>
</file>