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Palatino Linotype" w:hAnsi="Palatino Linotype" w:cs="Palatino Linotype"/>
          <w:b/>
          <w:bCs/>
          <w:sz w:val="24"/>
        </w:rPr>
      </w:pPr>
      <w:bookmarkStart w:id="0" w:name="_GoBack"/>
      <w:bookmarkEnd w:id="0"/>
      <w:r>
        <w:rPr>
          <w:rFonts w:hint="default" w:ascii="Palatino Linotype" w:hAnsi="Palatino Linotype" w:cs="Palatino Linotype"/>
          <w:b/>
          <w:bCs/>
          <w:sz w:val="24"/>
        </w:rPr>
        <w:t>Table S2. Molecular markers and primer sequences used in this study.</w:t>
      </w:r>
    </w:p>
    <w:tbl>
      <w:tblPr>
        <w:tblStyle w:val="8"/>
        <w:tblpPr w:leftFromText="181" w:rightFromText="181" w:vertAnchor="text" w:horzAnchor="page" w:tblpX="1282" w:tblpY="1"/>
        <w:tblW w:w="14459" w:type="dxa"/>
        <w:tblInd w:w="0" w:type="dxa"/>
        <w:tblBorders>
          <w:top w:val="single" w:color="000000" w:themeColor="text1" w:sz="4" w:space="0"/>
          <w:left w:val="none" w:color="auto" w:sz="0" w:space="0"/>
          <w:bottom w:val="single" w:color="000000" w:themeColor="text1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01"/>
        <w:gridCol w:w="6207"/>
        <w:gridCol w:w="2865"/>
        <w:gridCol w:w="2410"/>
      </w:tblGrid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tcBorders>
              <w:bottom w:val="single" w:color="000000" w:themeColor="text1" w:sz="4" w:space="0"/>
              <w:insideH w:val="single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Marker</w:t>
            </w:r>
          </w:p>
        </w:tc>
        <w:tc>
          <w:tcPr>
            <w:tcW w:w="1701" w:type="dxa"/>
            <w:tcBorders>
              <w:bottom w:val="single" w:color="000000" w:themeColor="text1" w:sz="4" w:space="0"/>
              <w:insideH w:val="single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Primer</w:t>
            </w:r>
          </w:p>
        </w:tc>
        <w:tc>
          <w:tcPr>
            <w:tcW w:w="6207" w:type="dxa"/>
            <w:tcBorders>
              <w:bottom w:val="single" w:color="000000" w:themeColor="text1" w:sz="4" w:space="0"/>
              <w:insideH w:val="single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Sequence (5'→3') </w:t>
            </w:r>
          </w:p>
        </w:tc>
        <w:tc>
          <w:tcPr>
            <w:tcW w:w="2865" w:type="dxa"/>
            <w:tcBorders>
              <w:bottom w:val="single" w:color="000000" w:themeColor="text1" w:sz="4" w:space="0"/>
              <w:insideH w:val="single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Annealing </w:t>
            </w: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emperature (</w:t>
            </w: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℃)</w:t>
            </w:r>
          </w:p>
        </w:tc>
        <w:tc>
          <w:tcPr>
            <w:tcW w:w="2410" w:type="dxa"/>
            <w:tcBorders>
              <w:bottom w:val="single" w:color="000000" w:themeColor="text1" w:sz="4" w:space="0"/>
              <w:insideH w:val="single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Reference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Mycobiont: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5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6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ITS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ITS4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TCCTCCGCTTATTGATATGC</w:t>
            </w:r>
          </w:p>
        </w:tc>
        <w:tc>
          <w:tcPr>
            <w:tcW w:w="2865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55-60</w:t>
            </w:r>
          </w:p>
        </w:tc>
        <w:tc>
          <w:tcPr>
            <w:tcW w:w="241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White et al. (1990)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ITS5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GGAAGTAAAAGTCGTAACAAGG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LSU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LROR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ACCCGCTGAACTTAAGC</w:t>
            </w:r>
          </w:p>
        </w:tc>
        <w:tc>
          <w:tcPr>
            <w:tcW w:w="2865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55-60</w:t>
            </w:r>
          </w:p>
        </w:tc>
        <w:tc>
          <w:tcPr>
            <w:tcW w:w="241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Vilgalys &amp; Hester (1990)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LR5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ATCCTGAGGGAAACTTC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nu-LSU-155-5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GGGTCCGAGTTGTAATTTGT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Döring et al. (2000)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MtSSU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mrSSUl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AGCAGTGAGGAATATTGGTC'</w:t>
            </w:r>
          </w:p>
        </w:tc>
        <w:tc>
          <w:tcPr>
            <w:tcW w:w="2865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41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Zoller et al. (1999)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mrSSU3R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ATGTGGCACGTCTATAGCCC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RPB1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gRPB1-A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GA(G/T)TGTCC(T/G)GG(A/T)CATTTTGG</w:t>
            </w:r>
          </w:p>
        </w:tc>
        <w:tc>
          <w:tcPr>
            <w:tcW w:w="2865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Stiller and Hall (1997)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fRPB-C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C(A/C/G/T)GC(A/T/G)AT(A/C/G/T)TC(A/G)TT(A/G)TCCAT(A/G)TA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Matheny et al. (2002)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RPB1-HETER-F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CGGACCCATATCAAGCTGTT</w:t>
            </w:r>
          </w:p>
        </w:tc>
        <w:tc>
          <w:tcPr>
            <w:tcW w:w="2865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55-50 (Touch down)</w:t>
            </w:r>
          </w:p>
        </w:tc>
        <w:tc>
          <w:tcPr>
            <w:tcW w:w="241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This study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RPB1-HETER-R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TGTCGCTACGTGAAATTGGA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RPB1-Rh-F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GCTTCATGACCAAAATCAAG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RPB1-Rh-R</w:t>
            </w: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GAAACTGCAGTAGTTGTTCG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Photobiont: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7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5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ITS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nr-SSU-1780-59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CTGCGGAAGGATCATTGATTC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Piercey-Normore&amp; DePriest (2001)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nr-LSU-0012-39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AGTTCAGCGGGTGGTCTTG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AL1500bf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GATGCATTCAACGAGCCTA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Helms et al. (2001)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LR3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ACCTGCGGAAGGATCATT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Friedl &amp; Rokitta (1997)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b w:val="0"/>
                <w:bCs w:val="0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rbcL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a-ch-rbcL-203 (f)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GAATCWTCWACWGGWACTTGGACWAC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Nelsen et al. (2011)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a-ch-rbcL-991(r)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CCTTCTARTTTACCWACAAC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PRASFll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ATGGTTCCACAAACAGAAAC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Nozaki et al. (1995)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PRASR2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CAGTGAAACCACCAGTTAAATAG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Sherwood et al. (1990)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  <w:t>SSU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CV1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TACCTGGTTGATCCTGCCAGTAG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Sawayama et al. (1995)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CV2</w:t>
            </w:r>
          </w:p>
        </w:tc>
        <w:tc>
          <w:tcPr>
            <w:tcW w:w="6207" w:type="dxa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CCAATCCCTAGTCGGCATCGT</w:t>
            </w:r>
          </w:p>
        </w:tc>
        <w:tc>
          <w:tcPr>
            <w:tcW w:w="2865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a(treb)-nu-SSU-0078-5’-mpn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CATGTCTAAGTATAAACTGCT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Grande et al. (2014)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a(treb)-nu-SSU-0803-3’-mpn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TAGGCCAGAGTCCTATCGTGTTAT</w:t>
            </w:r>
          </w:p>
        </w:tc>
        <w:tc>
          <w:tcPr>
            <w:tcW w:w="2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Dip-18S-F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GTCAGAGGTGAAATTCTTGGATTTA</w:t>
            </w:r>
          </w:p>
        </w:tc>
        <w:tc>
          <w:tcPr>
            <w:tcW w:w="2865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This study</w:t>
            </w:r>
          </w:p>
        </w:tc>
      </w:tr>
      <w:tr>
        <w:tblPrEx>
          <w:tblBorders>
            <w:top w:val="single" w:color="000000" w:themeColor="text1" w:sz="4" w:space="0"/>
            <w:left w:val="none" w:color="auto" w:sz="0" w:space="0"/>
            <w:bottom w:val="single" w:color="000000" w:themeColor="text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76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b/>
                <w:bCs w:val="0"/>
                <w:color w:val="000000" w:themeColor="text1"/>
                <w:kern w:val="0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Dip-18S-R</w:t>
            </w:r>
          </w:p>
        </w:tc>
        <w:tc>
          <w:tcPr>
            <w:tcW w:w="6207" w:type="dxa"/>
            <w:shd w:val="clear" w:color="auto" w:fill="auto"/>
            <w:vAlign w:val="center"/>
          </w:tcPr>
          <w:p>
            <w:pP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AAGGGCAGGGACGTAATCAACG</w:t>
            </w:r>
          </w:p>
        </w:tc>
        <w:tc>
          <w:tcPr>
            <w:tcW w:w="2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jc w:val="left"/>
              <w:rPr>
                <w:rFonts w:hint="default" w:ascii="Palatino Linotype" w:hAnsi="Palatino Linotype" w:eastAsia="宋体" w:cs="Palatino Linotype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Palatino Linotype" w:hAnsi="Palatino Linotype" w:cs="Palatino Linotype"/>
        </w:rPr>
      </w:pPr>
    </w:p>
    <w:p>
      <w:pPr>
        <w:rPr>
          <w:rFonts w:hint="default" w:ascii="Palatino Linotype" w:hAnsi="Palatino Linotype" w:eastAsia="宋体" w:cs="Palatino Linotype"/>
          <w:b/>
          <w:bCs/>
          <w:szCs w:val="21"/>
        </w:rPr>
      </w:pPr>
      <w:r>
        <w:rPr>
          <w:rFonts w:hint="default" w:ascii="Palatino Linotype" w:hAnsi="Palatino Linotype" w:eastAsia="宋体" w:cs="Palatino Linotype"/>
          <w:b/>
          <w:bCs/>
          <w:szCs w:val="21"/>
        </w:rPr>
        <w:t>Reference：</w:t>
      </w:r>
    </w:p>
    <w:p>
      <w:pPr>
        <w:rPr>
          <w:rFonts w:hint="default" w:ascii="Palatino Linotype" w:hAnsi="Palatino Linotype" w:eastAsia="Segoe UI" w:cs="Palatino Linotype"/>
          <w:bCs/>
          <w:sz w:val="18"/>
        </w:rPr>
      </w:pPr>
      <w:r>
        <w:rPr>
          <w:rFonts w:hint="default" w:ascii="Palatino Linotype" w:hAnsi="Palatino Linotype" w:eastAsia="Segoe UI" w:cs="Palatino Linotype"/>
          <w:bCs/>
          <w:sz w:val="18"/>
        </w:rPr>
        <w:t>White, T. J., Bruns, T., Lee, S., &amp; Taylor, J. (1990). Amplification and direct sequencing of fungal ribosomal RNA genes for phylogenetics. PCR protocols: a guide to methods and applications, 18(1), 315-322.</w:t>
      </w:r>
    </w:p>
    <w:p>
      <w:pPr>
        <w:rPr>
          <w:rFonts w:hint="default" w:ascii="Palatino Linotype" w:hAnsi="Palatino Linotype" w:eastAsia="宋体" w:cs="Palatino Linotype"/>
          <w:kern w:val="0"/>
          <w:sz w:val="18"/>
          <w:szCs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Vilgalys, R., &amp; Hester, M. (1990). Rapid genetic identification and mapping of enzymatically amplified ribosomal DNA from several Cryptococcus species.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Journal of bacteriology, 172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(8), 4238-4246.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"https://doi.org/10.1128/jb.172.8.4238-4246.1990"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https://doi.org/10.1128/jb.172.8.4238-4246.1990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Döring, H., Clerc, P., Grube, M., &amp; Wedin, M. (2000). Mycobiont-specific PCR primers for the amplification of nuclear ITS and LSU rDNA from lichenized ascomycetes.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The Lichenologist, 32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(2), 200-204.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"https://doi.org/10.1006/lich.1999.0250"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https://doi.org/10.1006/lich.1999.0250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Zoller, S., Scheidegger, C., &amp; Sperisen, C. (1999). PCR primers for the amplification of mitochondrial small subunit ribosomal DNA of lichen-forming ascomycetes.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The Lichenologist, 31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(5), 511-516.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"https://doi.org/10.1006/lich.1999.0220"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https://doi.org/10.1006/lich.1999.0220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Stiller, J. W., &amp; Hall, B. D. (1997). The origin of red algae: implications for plastid evolution.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Proceedings of the National Academy of Sciences, 94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(9), 4520-4525.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"https://doi.org/10.1073/pnas.94.9.4520"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https://doi.org/10.1073/pnas.94.9.4520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Segoe UI" w:cs="Palatino Linotype"/>
          <w:sz w:val="18"/>
        </w:rPr>
        <w:t>.</w:t>
      </w:r>
    </w:p>
    <w:p>
      <w:pPr>
        <w:rPr>
          <w:rFonts w:hint="default" w:ascii="Palatino Linotype" w:hAnsi="Palatino Linotype" w:eastAsia="Segoe UI" w:cs="Palatino Linotype"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Matheny, P. B., Liu, Y. J., Ammirati, J. F., &amp; Hall, B. D. (2002). Using RPB1 sequences to improve phylogenetic inference among mushrooms (Inocybe, Agaricales).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American journal of botany, 89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(4), 688-698.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"https://doi.org/10.3732/ajb.89.4.688"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https://doi.org/10.3732/ajb.89.4.688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Segoe UI" w:cs="Palatino Linotype"/>
          <w:sz w:val="18"/>
        </w:rPr>
        <w:t>.</w:t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Piercey‐Normore, M. D., &amp; DePriest, P. T. (2001). Algal switching among lichen symbioses.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American journal of botany, 88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(8), 1490-1498.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"https://doi.org/10.2307/3558457"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https://doi.org/10.2307/3558457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Helms, G., Friedl, T., Rambold, G., &amp; Mayrhofer, H. (2001). Identification of photobionts from the lichen family Physciaceae using algal-specific ITS rDNA sequencing.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The Lichenologist, 33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(1), 73-86.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"https://doi.org/10.1006/lich.2000.0298"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https://doi.org/10.1006/lich.2000.0298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</w:p>
    <w:p>
      <w:pPr>
        <w:rPr>
          <w:rFonts w:hint="default" w:ascii="Palatino Linotype" w:hAnsi="Palatino Linotype" w:eastAsia="宋体" w:cs="Palatino Linotype"/>
          <w:kern w:val="0"/>
          <w:sz w:val="18"/>
          <w:szCs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FRIEDL, T., &amp; ROKITTA, C. (1997). Species relationships in the lichen alga Trebouxia (Chlorophyta, Trebouxiophyceae): molecular phylogenetic analyses of nuclear-encoded large subunit rRNA gene sequences.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Symbiosis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. </w:t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Nelsen, M. P., Plata, E. R., Andrew, C. J., Lücking, R., &amp; Lumbsch, H. T. (2011). PHYLOGENETIC DIVERSITY OF TRENTEPOHLIALEAN ALGAE ASSOCIATED WITH LICHEN‐FORMING FUNGI 1.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Journal of Phycology, 47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(2), 282-290.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"https://doi.org/10.1111/j.1529-8817.2011.00962.x"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https://doi.org/10.1111/j.1529-8817.2011.00962.x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Nozaki, H., Itoh, M., Sano, R., Uchida, H., Watanabe, M. M., &amp; Kuroiwa, T. (1995). Phylogenetic relationships within the colonial Volvocales (Chlorophyta) inferred from rbcL gene sequence data.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Journal of Phycology, 31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(6), 970-979.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"https://doi.org/10.1111/j.0022-3646.1995.00970.x"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https://doi.org/10.1111/j.0022-3646.1995.00970.x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b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Sherwood, A. R., Garbary, D. J., &amp; Sheath, R. G. (2000). Assessing the phylogenetic position of the Prasiolales (Chlorophyta) using rbc L and 18S rRNA gene sequence data.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Phycologia, 39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(2), 139-146.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"https://doi.org/10.2216/i0031-8884-39-2-139.1"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https://doi.org/10.2216/i0031-8884-39-2-139.1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  <w:r>
        <w:rPr>
          <w:rFonts w:hint="default" w:ascii="Palatino Linotype" w:hAnsi="Palatino Linotype" w:eastAsia="Segoe UI" w:cs="Palatino Linotype"/>
          <w:b/>
          <w:sz w:val="18"/>
        </w:rPr>
        <w:t xml:space="preserve"> </w:t>
      </w:r>
    </w:p>
    <w:p>
      <w:pPr>
        <w:rPr>
          <w:rFonts w:hint="default" w:ascii="Palatino Linotype" w:hAnsi="Palatino Linotype" w:eastAsia="Segoe UI" w:cs="Palatino Linotype"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Sawayama, S., Inoue, S., &amp; Yokoyama, S. y. (1995). PHYLOGENETIC POSITION OF BOTRYOCOCCUS BRAUNII (CHLOROPHYCEAE) BASED ON SMALL SUBUNIT RIBOSOMAL RNA SEQUENCE DATA 1.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Journal of Phycology, 31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(3), 419-420.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"https://doi.org/10.1111/j.0022-3646.1995.00419.x"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https://doi.org/10.1111/j.0022-3646.1995.00419.x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</w:p>
    <w:p>
      <w:pPr>
        <w:rPr>
          <w:rFonts w:hint="default" w:ascii="Palatino Linotype" w:hAnsi="Palatino Linotype" w:eastAsia="Segoe UI" w:cs="Palatino Linotype"/>
          <w:sz w:val="18"/>
        </w:rPr>
      </w:pP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Dal Grande, F., Beck, A., Cornejo, C., Singh, G., Cheenacharoen, S., Nelsen, M. P., &amp; Scheidegger, C. (2014). Molecular phylogeny and symbiotic selectivity of the green algal genus Dictyochloropsis sl (Trebouxiophyceae): a polyphyletic and widespread group forming photobiont‐mediated guilds in the lichen family Lobariaceae. </w:t>
      </w:r>
      <w:r>
        <w:rPr>
          <w:rFonts w:hint="default" w:ascii="Palatino Linotype" w:hAnsi="Palatino Linotype" w:eastAsia="宋体" w:cs="Palatino Linotype"/>
          <w:i/>
          <w:iCs/>
          <w:kern w:val="0"/>
          <w:sz w:val="18"/>
          <w:szCs w:val="18"/>
        </w:rPr>
        <w:t>New Phytologist, 202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 xml:space="preserve">(2), 455-470. </w:t>
      </w:r>
      <w:r>
        <w:rPr>
          <w:rFonts w:hint="default" w:ascii="Palatino Linotype" w:hAnsi="Palatino Linotype" w:cs="Palatino Linotype"/>
        </w:rPr>
        <w:fldChar w:fldCharType="begin"/>
      </w:r>
      <w:r>
        <w:rPr>
          <w:rFonts w:hint="default" w:ascii="Palatino Linotype" w:hAnsi="Palatino Linotype" w:cs="Palatino Linotype"/>
        </w:rPr>
        <w:instrText xml:space="preserve"> HYPERLINK "https://doi.org/10.1111/nph.12678" </w:instrText>
      </w:r>
      <w:r>
        <w:rPr>
          <w:rFonts w:hint="default" w:ascii="Palatino Linotype" w:hAnsi="Palatino Linotype" w:cs="Palatino Linotype"/>
        </w:rPr>
        <w:fldChar w:fldCharType="separate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https://doi.org/10.1111/nph.12678</w:t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fldChar w:fldCharType="end"/>
      </w:r>
      <w:r>
        <w:rPr>
          <w:rFonts w:hint="default" w:ascii="Palatino Linotype" w:hAnsi="Palatino Linotype" w:eastAsia="宋体" w:cs="Palatino Linotype"/>
          <w:kern w:val="0"/>
          <w:sz w:val="18"/>
          <w:szCs w:val="18"/>
        </w:rPr>
        <w:t>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NGU1ODIxODBiYTg5NjhiN2RiZGI5MTAzYjIyOTIifQ=="/>
  </w:docVars>
  <w:rsids>
    <w:rsidRoot w:val="00172A27"/>
    <w:rsid w:val="0007170A"/>
    <w:rsid w:val="00172A27"/>
    <w:rsid w:val="001A3383"/>
    <w:rsid w:val="005014C1"/>
    <w:rsid w:val="00584F2F"/>
    <w:rsid w:val="00745A9E"/>
    <w:rsid w:val="007B7285"/>
    <w:rsid w:val="007C00DE"/>
    <w:rsid w:val="008A7C20"/>
    <w:rsid w:val="00C379B6"/>
    <w:rsid w:val="00D238E0"/>
    <w:rsid w:val="00F91260"/>
    <w:rsid w:val="181451A4"/>
    <w:rsid w:val="23AD00D5"/>
    <w:rsid w:val="24761CB6"/>
    <w:rsid w:val="398C3287"/>
    <w:rsid w:val="41A92DBE"/>
    <w:rsid w:val="428944AE"/>
    <w:rsid w:val="49CB1F5C"/>
    <w:rsid w:val="61157483"/>
    <w:rsid w:val="636447A9"/>
    <w:rsid w:val="64D63485"/>
    <w:rsid w:val="75BE69D4"/>
    <w:rsid w:val="78291628"/>
    <w:rsid w:val="7F08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table" w:customStyle="1" w:styleId="8">
    <w:name w:val="清单表 6 彩色1"/>
    <w:basedOn w:val="4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587</Words>
  <Characters>4374</Characters>
  <Lines>40</Lines>
  <Paragraphs>11</Paragraphs>
  <TotalTime>2698</TotalTime>
  <ScaleCrop>false</ScaleCrop>
  <LinksUpToDate>false</LinksUpToDate>
  <CharactersWithSpaces>4852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2022-06-08T01:15:00Z</dcterms:created>
  <dc:creator>N0thing</dc:creator>
  <cp:lastModifiedBy>N0thing</cp:lastModifiedBy>
  <dcterms:modified xsi:type="dcterms:W3CDTF">2023-05-09T01:21:31Z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03DF5D33AC3E4660A2E7A9523C97FD9B</vt:lpwstr>
  </property>
</Properties>
</file>