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0D62" w14:textId="77777777" w:rsidR="00954E3F" w:rsidRDefault="00B46704">
      <w:pPr>
        <w:rPr>
          <w:lang w:val="en-US"/>
        </w:rPr>
      </w:pPr>
      <w:r>
        <w:rPr>
          <w:lang w:val="en-US"/>
        </w:rPr>
        <w:t xml:space="preserve">Supplementary Table 1: </w:t>
      </w:r>
      <w:bookmarkStart w:id="0" w:name="_Hlk138512195"/>
      <w:r>
        <w:rPr>
          <w:lang w:val="en-US"/>
        </w:rPr>
        <w:t xml:space="preserve">Summary of current evidence </w:t>
      </w:r>
      <w:r w:rsidR="00954E3F">
        <w:rPr>
          <w:lang w:val="en-US"/>
        </w:rPr>
        <w:t xml:space="preserve">on interventions mentioned in article </w:t>
      </w:r>
      <w:r>
        <w:rPr>
          <w:lang w:val="en-US"/>
        </w:rPr>
        <w:t xml:space="preserve">for </w:t>
      </w:r>
      <w:proofErr w:type="gramStart"/>
      <w:r>
        <w:rPr>
          <w:lang w:val="en-US"/>
        </w:rPr>
        <w:t>treating</w:t>
      </w:r>
      <w:proofErr w:type="gramEnd"/>
      <w:r>
        <w:rPr>
          <w:lang w:val="en-US"/>
        </w:rPr>
        <w:t xml:space="preserve"> </w:t>
      </w:r>
    </w:p>
    <w:p w14:paraId="094392A4" w14:textId="518B1427" w:rsidR="00B46704" w:rsidRPr="00B46704" w:rsidRDefault="00B46704">
      <w:pPr>
        <w:rPr>
          <w:lang w:val="en-US"/>
        </w:rPr>
      </w:pPr>
      <w:r>
        <w:rPr>
          <w:lang w:val="en-US"/>
        </w:rPr>
        <w:t xml:space="preserve">spike protein related diseases </w:t>
      </w:r>
    </w:p>
    <w:tbl>
      <w:tblPr>
        <w:tblStyle w:val="TableGridLight"/>
        <w:tblW w:w="8412" w:type="dxa"/>
        <w:tblLook w:val="04A0" w:firstRow="1" w:lastRow="0" w:firstColumn="1" w:lastColumn="0" w:noHBand="0" w:noVBand="1"/>
      </w:tblPr>
      <w:tblGrid>
        <w:gridCol w:w="993"/>
        <w:gridCol w:w="1126"/>
        <w:gridCol w:w="2168"/>
        <w:gridCol w:w="4125"/>
      </w:tblGrid>
      <w:tr w:rsidR="00A92A05" w:rsidRPr="00903922" w14:paraId="46E4016D" w14:textId="77777777" w:rsidTr="00B46704">
        <w:trPr>
          <w:trHeight w:val="585"/>
        </w:trPr>
        <w:tc>
          <w:tcPr>
            <w:tcW w:w="993" w:type="dxa"/>
            <w:shd w:val="clear" w:color="auto" w:fill="D9D9D9" w:themeFill="background1" w:themeFillShade="D9"/>
            <w:noWrap/>
          </w:tcPr>
          <w:bookmarkEnd w:id="0"/>
          <w:p w14:paraId="001D84B7" w14:textId="1A9813A2"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Intervention</w:t>
            </w:r>
          </w:p>
        </w:tc>
        <w:tc>
          <w:tcPr>
            <w:tcW w:w="1126" w:type="dxa"/>
            <w:shd w:val="clear" w:color="auto" w:fill="D9D9D9" w:themeFill="background1" w:themeFillShade="D9"/>
            <w:noWrap/>
          </w:tcPr>
          <w:p w14:paraId="0779153C" w14:textId="7248B8C5"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Trial Identifier for Treating Spike Protein Related Diseases</w:t>
            </w:r>
          </w:p>
        </w:tc>
        <w:tc>
          <w:tcPr>
            <w:tcW w:w="2168" w:type="dxa"/>
            <w:shd w:val="clear" w:color="auto" w:fill="D9D9D9" w:themeFill="background1" w:themeFillShade="D9"/>
          </w:tcPr>
          <w:p w14:paraId="4B304D7A" w14:textId="61FA4D81" w:rsidR="00A92A05" w:rsidRPr="00903922" w:rsidRDefault="00A92A05" w:rsidP="00DD5124">
            <w:pPr>
              <w:rPr>
                <w:rFonts w:ascii="Times New Roman" w:eastAsia="Times New Roman" w:hAnsi="Times New Roman" w:cs="Times New Roman"/>
                <w:color w:val="374151"/>
                <w:kern w:val="0"/>
                <w:sz w:val="14"/>
                <w:szCs w:val="14"/>
                <w:lang w:val="en-US" w:eastAsia="en-NL"/>
                <w14:ligatures w14:val="none"/>
              </w:rPr>
            </w:pPr>
            <w:r w:rsidRPr="00903922">
              <w:rPr>
                <w:rFonts w:ascii="Times New Roman" w:eastAsia="Times New Roman" w:hAnsi="Times New Roman" w:cs="Times New Roman"/>
                <w:color w:val="374151"/>
                <w:kern w:val="0"/>
                <w:sz w:val="14"/>
                <w:szCs w:val="14"/>
                <w:lang w:val="en-US" w:eastAsia="en-NL"/>
                <w14:ligatures w14:val="none"/>
              </w:rPr>
              <w:t>Status</w:t>
            </w:r>
          </w:p>
        </w:tc>
        <w:tc>
          <w:tcPr>
            <w:tcW w:w="4125" w:type="dxa"/>
            <w:shd w:val="clear" w:color="auto" w:fill="D9D9D9" w:themeFill="background1" w:themeFillShade="D9"/>
          </w:tcPr>
          <w:p w14:paraId="1A68D458" w14:textId="77777777" w:rsidR="00A92A05" w:rsidRDefault="00A92A05"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Summary of evidence for spike protein diseases</w:t>
            </w:r>
          </w:p>
          <w:p w14:paraId="17192FC2" w14:textId="246CB732" w:rsidR="00B46704" w:rsidRPr="006078A7" w:rsidRDefault="00B46704"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(Covid-19, long covid, vaccine injury, vaccine response)</w:t>
            </w:r>
          </w:p>
        </w:tc>
      </w:tr>
      <w:tr w:rsidR="00A92A05" w:rsidRPr="00903922" w14:paraId="39FC9545" w14:textId="77777777" w:rsidTr="00B46704">
        <w:trPr>
          <w:trHeight w:val="585"/>
        </w:trPr>
        <w:tc>
          <w:tcPr>
            <w:tcW w:w="993" w:type="dxa"/>
            <w:noWrap/>
          </w:tcPr>
          <w:p w14:paraId="47985076" w14:textId="7C07AFF6"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Caffeine</w:t>
            </w:r>
          </w:p>
        </w:tc>
        <w:tc>
          <w:tcPr>
            <w:tcW w:w="1126" w:type="dxa"/>
            <w:noWrap/>
          </w:tcPr>
          <w:p w14:paraId="39538F57"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c>
          <w:tcPr>
            <w:tcW w:w="2168" w:type="dxa"/>
          </w:tcPr>
          <w:p w14:paraId="55AED997"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c>
          <w:tcPr>
            <w:tcW w:w="4125" w:type="dxa"/>
          </w:tcPr>
          <w:p w14:paraId="2FDE5FA8" w14:textId="40150F0C" w:rsidR="00A92A05" w:rsidRPr="006078A7" w:rsidRDefault="00A92A05"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N/A</w:t>
            </w:r>
          </w:p>
        </w:tc>
      </w:tr>
      <w:tr w:rsidR="00A92A05" w:rsidRPr="00903922" w14:paraId="7B9058EB" w14:textId="580D1D0C" w:rsidTr="00B46704">
        <w:trPr>
          <w:trHeight w:val="585"/>
        </w:trPr>
        <w:tc>
          <w:tcPr>
            <w:tcW w:w="993" w:type="dxa"/>
            <w:noWrap/>
            <w:hideMark/>
          </w:tcPr>
          <w:p w14:paraId="68C2A26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val="en-US" w:eastAsia="en-NL"/>
                <w14:ligatures w14:val="none"/>
              </w:rPr>
              <w:t>Spermidine</w:t>
            </w:r>
          </w:p>
        </w:tc>
        <w:tc>
          <w:tcPr>
            <w:tcW w:w="1126" w:type="dxa"/>
            <w:noWrap/>
            <w:hideMark/>
          </w:tcPr>
          <w:p w14:paraId="0DDE2577" w14:textId="543CB79F"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NCT05421546</w:t>
            </w:r>
          </w:p>
        </w:tc>
        <w:tc>
          <w:tcPr>
            <w:tcW w:w="2168" w:type="dxa"/>
            <w:hideMark/>
          </w:tcPr>
          <w:p w14:paraId="1E4FEEFE" w14:textId="48810CD0" w:rsidR="00A92A05" w:rsidRPr="002A56A8"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RECRUITING</w:t>
            </w:r>
          </w:p>
        </w:tc>
        <w:tc>
          <w:tcPr>
            <w:tcW w:w="4125" w:type="dxa"/>
          </w:tcPr>
          <w:p w14:paraId="0A202982" w14:textId="0CC45C55" w:rsidR="00A92A05" w:rsidRPr="006078A7" w:rsidRDefault="00A92A05"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N/A</w:t>
            </w:r>
          </w:p>
        </w:tc>
      </w:tr>
      <w:tr w:rsidR="00A92A05" w:rsidRPr="00903922" w14:paraId="423D619A" w14:textId="7E0F302F" w:rsidTr="00B46704">
        <w:trPr>
          <w:trHeight w:val="585"/>
        </w:trPr>
        <w:tc>
          <w:tcPr>
            <w:tcW w:w="993" w:type="dxa"/>
            <w:noWrap/>
            <w:hideMark/>
          </w:tcPr>
          <w:p w14:paraId="6BB0169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Resveratrol</w:t>
            </w:r>
          </w:p>
        </w:tc>
        <w:tc>
          <w:tcPr>
            <w:tcW w:w="1126" w:type="dxa"/>
            <w:noWrap/>
            <w:hideMark/>
          </w:tcPr>
          <w:p w14:paraId="5D60B74A" w14:textId="77777777" w:rsidR="00A92A05" w:rsidRPr="00DD5124" w:rsidRDefault="00A92A05" w:rsidP="00DD5124">
            <w:pPr>
              <w:rPr>
                <w:rFonts w:ascii="Times New Roman" w:eastAsia="Times New Roman" w:hAnsi="Times New Roman" w:cs="Times New Roman"/>
                <w:color w:val="1B1B1B"/>
                <w:kern w:val="0"/>
                <w:sz w:val="14"/>
                <w:szCs w:val="14"/>
                <w:lang w:eastAsia="en-NL"/>
                <w14:ligatures w14:val="none"/>
              </w:rPr>
            </w:pPr>
            <w:r w:rsidRPr="00DD5124">
              <w:rPr>
                <w:rFonts w:ascii="Times New Roman" w:eastAsia="Times New Roman" w:hAnsi="Times New Roman" w:cs="Times New Roman"/>
                <w:color w:val="1B1B1B"/>
                <w:kern w:val="0"/>
                <w:sz w:val="14"/>
                <w:szCs w:val="14"/>
                <w:lang w:eastAsia="en-NL"/>
                <w14:ligatures w14:val="none"/>
              </w:rPr>
              <w:t>NCT04400890</w:t>
            </w:r>
          </w:p>
        </w:tc>
        <w:tc>
          <w:tcPr>
            <w:tcW w:w="2168" w:type="dxa"/>
            <w:noWrap/>
            <w:hideMark/>
          </w:tcPr>
          <w:p w14:paraId="62647084" w14:textId="27B989BD" w:rsidR="00A92A05" w:rsidRPr="002A56A8" w:rsidRDefault="002A56A8"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TERMINATED</w:t>
            </w:r>
          </w:p>
        </w:tc>
        <w:tc>
          <w:tcPr>
            <w:tcW w:w="4125" w:type="dxa"/>
          </w:tcPr>
          <w:p w14:paraId="43C4DC5C" w14:textId="77777777" w:rsidR="00A92A05"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Lower incidence of hospitalization </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{"citationID":"9d6VI1Ob","properties":{"formattedCitation":"[1]","plainCitation":"[1]","noteIndex":0},"citationItems":[{"id":8427,"uris":["http://zotero.org/users/7565624/items/3ICL726C"],"itemData":{"id":8427,"type":"article-journal","abstract":"Resveratrol is a polyphenol that has been well studied and has demonstrated anti-viral and anti-inflammatory properties that might mitigate the effects of COVID-19. Outpatients (N = 105) were recruited from central Ohio in late 2020. Participants were randomly assigned to receive placebo or resveratrol. Both groups received a single dose of Vitamin D3 which was used as an adjunct. The primary outcome measure was hospitalization within 21 days of symptom onset; secondary measures were ER visits, incidence of pneumonia, and incidence of pulmonary embolism. Five patients chose not to participate after randomization. Twenty-one-day outcome was determined of all one hundred participants (mean [SD] age 55.6 [8.8] years; 61% female). There were no clinically significant adverse events attributed to resveratrol. Outpatients in this phase 2 study treated with resveratrol had a lower incidence compared to placebo of: hospitalization (2% vs. 6%, RR 0.33, 95% CI 0.04–3.10), COVID-19 related ER visits (8% vs. 14%, RR 0.57, 95% CI 0.18–1.83), and pneumonia (8% vs. 16%, RR 0.5, 95% CI 0.16–1.55). One patient (2%) in each group developed pulmonary embolism (RR 1.00, 95% CI: 0.06–15.55). This underpowered study was limited by small sample size and low incidence of primary adverse events consequently the results are statistically similar between treatment arms. A larger trial could determine efficacy.","container-title":"Scientific Reports","DOI":"10.1038/s41598-022-13920-9","ISSN":"2045-2322","issue":"1","journalAbbreviation":"Sci Rep","language":"en","license":"2022 The Author(s)","note":"number: 1\npublisher: Nature Publishing Group","page":"10978","source":"www.nature.com","title":"Randomized double-blind placebo-controlled proof-of-concept trial of resveratrol for outpatient treatment of mild coronavirus disease (COVID-19)","URL":"https://www.nature.com/articles/s41598-022-13920-9","volume":"12","author":[{"family":"McCreary","given":"Marvin R."},{"family":"Schnell","given":"Patrick M."},{"family":"Rhoda","given":"Dale A."}],"accessed":{"date-parts":[["2023",1,31]]},"issued":{"date-parts":[["2022",6,29]]}}}],"schema":"https://github.com/citation-style-language/schema/raw/master/csl-citation.json"}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A07913">
              <w:rPr>
                <w:rFonts w:ascii="Times New Roman" w:hAnsi="Times New Roman" w:cs="Times New Roman"/>
                <w:sz w:val="14"/>
              </w:rPr>
              <w:t>[1]</w:t>
            </w:r>
            <w:r>
              <w:rPr>
                <w:rFonts w:ascii="Times New Roman" w:eastAsia="Times New Roman" w:hAnsi="Times New Roman" w:cs="Times New Roman"/>
                <w:color w:val="000000"/>
                <w:kern w:val="0"/>
                <w:sz w:val="14"/>
                <w:szCs w:val="14"/>
                <w:lang w:val="en-US" w:eastAsia="en-NL"/>
                <w14:ligatures w14:val="none"/>
              </w:rPr>
              <w:fldChar w:fldCharType="end"/>
            </w:r>
            <w:r>
              <w:rPr>
                <w:rFonts w:ascii="Times New Roman" w:eastAsia="Times New Roman" w:hAnsi="Times New Roman" w:cs="Times New Roman"/>
                <w:color w:val="000000"/>
                <w:kern w:val="0"/>
                <w:sz w:val="14"/>
                <w:szCs w:val="14"/>
                <w:lang w:val="en-US" w:eastAsia="en-NL"/>
                <w14:ligatures w14:val="none"/>
              </w:rPr>
              <w:t>.</w:t>
            </w:r>
          </w:p>
          <w:p w14:paraId="27B86C4B" w14:textId="6ADE6EA2" w:rsidR="00A92A05" w:rsidRPr="00A07913"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Reduction in death for those receiving resveratrol with copper </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{"citationID":"1GSZvxMx","properties":{"formattedCitation":"[2]","plainCitation":"[2]","noteIndex":0},"citationItems":[{"id":11554,"uris":["http://zotero.org/users/7565624/items/ZANXNYG5"],"itemData":{"id":11554,"type":"article","abstract":"Background To be universally applicable in treatment of severe COVID-19, novel therapies, especially those with little toxicity and low cost, are urgently needed. We report here the use of one such therapeutic combination involving two commonly used nutraceuticals, namely resveratrol and copper in patients with this disease. This study was prompted by pre-clinical reports that sepsis-related cytokine storm and fatality in mice can be prevented by oral administration of small quantities of resveratrol and copper. Since cytokine storm and sepsis are major causes of death in severe COVID-19, we retrospectively analyzed outcomes of patients with this condition who had received resveratrol and copper.\nMethods &amp; Findings Our analysis comprised of 230 patients with severe COVID-19 requiring inhaled oxygen who were admitted in a single tertiary care hospital in Mumbai between April 1 and May 13 2020. Thirty of these patients received, in addition to standard care, resveratrol and copper at doses of 5.6 mg and 560 ng, respectively, orally, once every 6 hours, until discharge or death. These doses were based on our pre-clinical studies, and were nearly 50 times and 2000 times less, respectively, than those recommended as health supplements. A multivariable-adjusted analysis was used to model the outcome of death in these patients and evaluate factors associated with this event. A binary logistic regression analysis was used, with age, sex, presence of comorbidities and receipt of resveratrol-copper as covariates. Data were updated as of May 30 2020. The number of deaths in resveratrol-copper and standard care only groups were 7/30 (23.3%, 95% CI 8.1%-38.4%) and 89/200 (44.5%, 95% CI 37.6%-51.3%), respectively. In multivariable analysis, age &gt;50 years [odds ratio (OR) 2.558, 95% CI 1.454-4.302, P=0.0011] and female sex (OR 1.939, 95% CI 1.079-3.482, P=0.0267) were significantly associated, while presence of co-morbidities was not significantly associated (OR 0.713, 95% CI 0.405-1.256, P=0.2421) with death. There was a trend towards reduction in death in patients receiving resveratrol-copper (OR 0.413, 95% CI 0.164-1.039, P= 0.0604).\nConclusions We provide preliminary results of a novel approach to the treatment of severe COVID-19 using a combination of small amounts of commonly used nutraceuticals, which is non-toxic and inexpensive, and therefore could be widely accessible globally. The nearly two-fold reduction in mortality with resveratrol-copper observed in our study needs to be confirmed in a randomized controlled trial.","DOI":"10.1101/2020.07.21.20151423","language":"en","license":"© 2020, Posted by Cold Spring Harbor Laboratory. The copyright holder for this pre-print is the author. All rights reserved. The material may not be redistributed, re-used or adapted without the author's permission.","note":"page: 2020.07.21.20151423","publisher":"medRxiv","source":"medRxiv","title":"Resveratrol and Copper for treatment of severe COVID-19: an observational study (RESCU 002)","title-short":"Resveratrol and Copper for treatment of severe COVID-19","URL":"https://www.medrxiv.org/content/10.1101/2020.07.21.20151423v1","author":[{"family":"Mittra","given":"Indraneel"},{"family":"Souza","given":"Rosemarie","dropping-particle":"de"},{"family":"Bhadade","given":"Rakesh"},{"family":"Madke","given":"Tushar"},{"family":"Shankpal","given":"P. D."},{"family":"Joshi","given":"Mohan"},{"family":"Qayyumi","given":"Burhanuddin"},{"family":"Bhattacharjee","given":"Atanu"},{"family":"Gota","given":"Vikram"},{"family":"Gupta","given":"Sudeep"},{"family":"Chaturvedi","given":"Pankaj"},{"family":"Badwe","given":"Rajendra"}],"accessed":{"date-parts":[["2023",6,23]]},"issued":{"date-parts":[["2020",7,29]]}}}],"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A07913">
              <w:rPr>
                <w:rFonts w:ascii="Times New Roman" w:hAnsi="Times New Roman" w:cs="Times New Roman"/>
                <w:sz w:val="14"/>
              </w:rPr>
              <w:t>[2]</w:t>
            </w:r>
            <w:r>
              <w:rPr>
                <w:rFonts w:ascii="Times New Roman" w:eastAsia="Times New Roman" w:hAnsi="Times New Roman" w:cs="Times New Roman"/>
                <w:color w:val="000000"/>
                <w:kern w:val="0"/>
                <w:sz w:val="14"/>
                <w:szCs w:val="14"/>
                <w:lang w:val="en-US" w:eastAsia="en-NL"/>
                <w14:ligatures w14:val="none"/>
              </w:rPr>
              <w:fldChar w:fldCharType="end"/>
            </w:r>
            <w:r>
              <w:rPr>
                <w:rFonts w:ascii="Times New Roman" w:eastAsia="Times New Roman" w:hAnsi="Times New Roman" w:cs="Times New Roman"/>
                <w:color w:val="000000"/>
                <w:kern w:val="0"/>
                <w:sz w:val="14"/>
                <w:szCs w:val="14"/>
                <w:lang w:val="en-US" w:eastAsia="en-NL"/>
                <w14:ligatures w14:val="none"/>
              </w:rPr>
              <w:t>.</w:t>
            </w:r>
          </w:p>
        </w:tc>
      </w:tr>
      <w:tr w:rsidR="00A92A05" w:rsidRPr="00903922" w14:paraId="7DBE455C" w14:textId="0743DD54" w:rsidTr="00B46704">
        <w:trPr>
          <w:trHeight w:val="585"/>
        </w:trPr>
        <w:tc>
          <w:tcPr>
            <w:tcW w:w="993" w:type="dxa"/>
            <w:noWrap/>
            <w:hideMark/>
          </w:tcPr>
          <w:p w14:paraId="47D62F2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Curcumin</w:t>
            </w:r>
          </w:p>
        </w:tc>
        <w:tc>
          <w:tcPr>
            <w:tcW w:w="1126" w:type="dxa"/>
            <w:hideMark/>
          </w:tcPr>
          <w:p w14:paraId="7EDAEB30" w14:textId="77777777" w:rsidR="00A92A05" w:rsidRPr="00DD5124" w:rsidRDefault="00A92A05" w:rsidP="00DD5124">
            <w:pPr>
              <w:rPr>
                <w:rFonts w:ascii="Times New Roman" w:eastAsia="Times New Roman" w:hAnsi="Times New Roman" w:cs="Times New Roman"/>
                <w:color w:val="1B1B1B"/>
                <w:kern w:val="0"/>
                <w:sz w:val="14"/>
                <w:szCs w:val="14"/>
                <w:lang w:eastAsia="en-NL"/>
                <w14:ligatures w14:val="none"/>
              </w:rPr>
            </w:pPr>
            <w:r w:rsidRPr="00DD5124">
              <w:rPr>
                <w:rFonts w:ascii="Times New Roman" w:eastAsia="Times New Roman" w:hAnsi="Times New Roman" w:cs="Times New Roman"/>
                <w:color w:val="1B1B1B"/>
                <w:kern w:val="0"/>
                <w:sz w:val="14"/>
                <w:szCs w:val="14"/>
                <w:lang w:eastAsia="en-NL"/>
                <w14:ligatures w14:val="none"/>
              </w:rPr>
              <w:t>NCT04912921</w:t>
            </w:r>
          </w:p>
        </w:tc>
        <w:tc>
          <w:tcPr>
            <w:tcW w:w="2168" w:type="dxa"/>
            <w:hideMark/>
          </w:tcPr>
          <w:p w14:paraId="2F7D875A" w14:textId="2243CACB" w:rsidR="00A92A05" w:rsidRPr="002A56A8"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COMPLETED</w:t>
            </w:r>
          </w:p>
        </w:tc>
        <w:tc>
          <w:tcPr>
            <w:tcW w:w="4125" w:type="dxa"/>
          </w:tcPr>
          <w:p w14:paraId="5176CE56" w14:textId="4AC11E1A" w:rsidR="00A92A05" w:rsidRDefault="00A92A05"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 xml:space="preserve">Decrease in inflammation in Covid-19 patients </w:t>
            </w:r>
            <w:r>
              <w:rPr>
                <w:rFonts w:ascii="Times New Roman" w:eastAsia="Times New Roman" w:hAnsi="Times New Roman" w:cs="Times New Roman"/>
                <w:color w:val="374151"/>
                <w:kern w:val="0"/>
                <w:sz w:val="14"/>
                <w:szCs w:val="14"/>
                <w:lang w:val="en-US" w:eastAsia="en-NL"/>
                <w14:ligatures w14:val="none"/>
              </w:rPr>
              <w:fldChar w:fldCharType="begin"/>
            </w:r>
            <w:r>
              <w:rPr>
                <w:rFonts w:ascii="Times New Roman" w:eastAsia="Times New Roman" w:hAnsi="Times New Roman" w:cs="Times New Roman"/>
                <w:color w:val="374151"/>
                <w:kern w:val="0"/>
                <w:sz w:val="14"/>
                <w:szCs w:val="14"/>
                <w:lang w:val="en-US" w:eastAsia="en-NL"/>
                <w14:ligatures w14:val="none"/>
              </w:rPr>
              <w:instrText xml:space="preserve"> ADDIN ZOTERO_ITEM CSL_CITATION {"citationID":"EUkEOjwi","properties":{"formattedCitation":"[3]","plainCitation":"[3]","noteIndex":0},"citationItems":[{"id":4876,"uris":["http://zotero.org/users/7565624/items/JMJBVDDD"],"itemData":{"id":4876,"type":"article-journal","abstract":"Despite the ongoing vaccination efforts, there is still an urgent need for safe and effective treatments to help curb the debilitating effects of COVID-19 disease. This systematic review aimed to investigate the efficacy of supplemental curcumin treatment on clinical outcomes and inflammation-related biomarker profiles in COVID-19 patients. We searched PubMed, Scopus, Web of Science, EMBASE, ProQuest, and Ovid databases up to 30 June 2021 to find studies that assessed the effects of curcumin-related compounds in mild to severe COVID-19 patients. Six studies were identified which showed that curcumin supplementation led to a significant decrease in common symptoms, duration of hospitalization and deaths. In addition, all of these studies showed that the intervention led to amelioration of cytokine storm effects thought to be a driving force in severe COVID-19 cases. This was seen as a significant (p &lt; 0.05) decrease in proinflammatory cytokines such as IL1β and IL6, with a concomitant significant (p &lt; 0.05) increase in anti-inflammatory cytokines, including IL-10, IL-35 and TGF-α. Taken together, these findings suggested that curcumin exerts its beneficial effects through at least partial restoration of pro-inflammatory/anti-inflammatory balance. In conclusion, curcumin supplementation may offer an efficacious and safe option for improving COVID-19 disease outcomes. We highlight the point that future clinical studies of COVID-19 disease should employ larger cohorts of patients in different clinical settings with standardized preparations of curcumin-related compounds.","container-title":"Nutrients","DOI":"10.3390/nu14020256","ISSN":"2072-6643","issue":"2","journalAbbreviation":"Nutrients","language":"eng","note":"PMID: 35057437\nPMCID: PMC8779570","page":"256","source":"PubMed","title":"Effectiveness of Curcumin on Outcomes of Hospitalized COVID-19 Patients: A Systematic Review of Clinical Trials","title-short":"Effectiveness of Curcumin on Outcomes of Hospitalized COVID-19 Patients","volume":"14","author":[{"family":"Vahedian-Azimi","given":"Amir"},{"family":"Abbasifard","given":"Mitra"},{"family":"Rahimi-Bashar","given":"Farshid"},{"family":"Guest","given":"Paul C."},{"family":"Majeed","given":"Muhammed"},{"family":"Mohammadi","given":"Asadollah"},{"family":"Banach","given":"Maciej"},{"family":"Jamialahmadi","given":"Tannaz"},{"family":"Sahebkar","given":"Amirhossein"}],"issued":{"date-parts":[["2022",1,7]]}}}],"schema":"https://github.com/citation-style-language/schema/raw/master/csl-citation.json"} </w:instrText>
            </w:r>
            <w:r>
              <w:rPr>
                <w:rFonts w:ascii="Times New Roman" w:eastAsia="Times New Roman" w:hAnsi="Times New Roman" w:cs="Times New Roman"/>
                <w:color w:val="374151"/>
                <w:kern w:val="0"/>
                <w:sz w:val="14"/>
                <w:szCs w:val="14"/>
                <w:lang w:val="en-US" w:eastAsia="en-NL"/>
                <w14:ligatures w14:val="none"/>
              </w:rPr>
              <w:fldChar w:fldCharType="separate"/>
            </w:r>
            <w:r w:rsidRPr="00A07913">
              <w:rPr>
                <w:rFonts w:ascii="Times New Roman" w:hAnsi="Times New Roman" w:cs="Times New Roman"/>
                <w:sz w:val="14"/>
              </w:rPr>
              <w:t>[3]</w:t>
            </w:r>
            <w:r>
              <w:rPr>
                <w:rFonts w:ascii="Times New Roman" w:eastAsia="Times New Roman" w:hAnsi="Times New Roman" w:cs="Times New Roman"/>
                <w:color w:val="374151"/>
                <w:kern w:val="0"/>
                <w:sz w:val="14"/>
                <w:szCs w:val="14"/>
                <w:lang w:val="en-US" w:eastAsia="en-NL"/>
                <w14:ligatures w14:val="none"/>
              </w:rPr>
              <w:fldChar w:fldCharType="end"/>
            </w:r>
            <w:r>
              <w:rPr>
                <w:rFonts w:ascii="Times New Roman" w:eastAsia="Times New Roman" w:hAnsi="Times New Roman" w:cs="Times New Roman"/>
                <w:color w:val="374151"/>
                <w:kern w:val="0"/>
                <w:sz w:val="14"/>
                <w:szCs w:val="14"/>
                <w:lang w:val="en-US" w:eastAsia="en-NL"/>
                <w14:ligatures w14:val="none"/>
              </w:rPr>
              <w:t>.</w:t>
            </w:r>
          </w:p>
          <w:p w14:paraId="518E9324" w14:textId="799EF45E" w:rsidR="00A92A05" w:rsidRPr="00A07913" w:rsidRDefault="00A92A05"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Combined curcumin/</w:t>
            </w:r>
            <w:proofErr w:type="spellStart"/>
            <w:r>
              <w:rPr>
                <w:rFonts w:ascii="Times New Roman" w:eastAsia="Times New Roman" w:hAnsi="Times New Roman" w:cs="Times New Roman"/>
                <w:color w:val="374151"/>
                <w:kern w:val="0"/>
                <w:sz w:val="14"/>
                <w:szCs w:val="14"/>
                <w:lang w:val="en-US" w:eastAsia="en-NL"/>
                <w14:ligatures w14:val="none"/>
              </w:rPr>
              <w:t>piperine</w:t>
            </w:r>
            <w:proofErr w:type="spellEnd"/>
            <w:r>
              <w:rPr>
                <w:rFonts w:ascii="Times New Roman" w:eastAsia="Times New Roman" w:hAnsi="Times New Roman" w:cs="Times New Roman"/>
                <w:color w:val="374151"/>
                <w:kern w:val="0"/>
                <w:sz w:val="14"/>
                <w:szCs w:val="14"/>
                <w:lang w:val="en-US" w:eastAsia="en-NL"/>
                <w14:ligatures w14:val="none"/>
              </w:rPr>
              <w:t xml:space="preserve"> treatment resulted in less severe Covid-19 symptoms </w:t>
            </w:r>
            <w:r>
              <w:rPr>
                <w:rFonts w:ascii="Times New Roman" w:eastAsia="Times New Roman" w:hAnsi="Times New Roman" w:cs="Times New Roman"/>
                <w:color w:val="374151"/>
                <w:kern w:val="0"/>
                <w:sz w:val="14"/>
                <w:szCs w:val="14"/>
                <w:lang w:val="en-US" w:eastAsia="en-NL"/>
                <w14:ligatures w14:val="none"/>
              </w:rPr>
              <w:fldChar w:fldCharType="begin"/>
            </w:r>
            <w:r>
              <w:rPr>
                <w:rFonts w:ascii="Times New Roman" w:eastAsia="Times New Roman" w:hAnsi="Times New Roman" w:cs="Times New Roman"/>
                <w:color w:val="374151"/>
                <w:kern w:val="0"/>
                <w:sz w:val="14"/>
                <w:szCs w:val="14"/>
                <w:lang w:val="en-US" w:eastAsia="en-NL"/>
                <w14:ligatures w14:val="none"/>
              </w:rPr>
              <w:instrText xml:space="preserve"> ADDIN ZOTERO_ITEM CSL_CITATION {"citationID":"4ukirLpW","properties":{"formattedCitation":"[4]","plainCitation":"[4]","noteIndex":0},"citationItems":[{"id":11550,"uris":["http://zotero.org/users/7565624/items/8CGN4NMP"],"itemData":{"id":11550,"type":"article-journal","abstract":"Background: Coronavirus disease-2019 (COVID-19) has a wide range of pathophysiological effects. Curcumin, an active constituent of Curcuma longa (turmeric), has several properties, including anti-inflammatory, antioxidant, antiviral, anti-thrombotic, and anti-proliferative effects, which make it a promising candidate for the symptomatic treatment of COVID-19.Objective: We aimed to determine the effects of curcumin administered with piperine (to optimize absorption) on symptoms in patients with COVID-19 in a double-blind, randomized, controlled trial at a 30-bed dedicated COVID Health Center (DCHC) in Maharashtra, India.Methods: In addition to conventional COVID-19 treatment, patients in the control group received a dose of probiotics twice a day, and patients in the study group received curcumin (525 mg) with piperine (2.5 mg) in tablet form twice a day. The effects of curcumin/piperine treatment on primary and secondary outcomes were assessed for the duration of hospitalization.Results: Patients with mild, moderate, and severe symptoms who received curcumin/piperine treatment showed early symptomatic recovery (fever, cough, sore throat, and breathlessness), less deterioration, fewer red flag signs, better ability to maintain oxygen saturation above 94% on room air, and better clinical outcomes compared to patients of the control group. Furthermore, curcumin/piperine treatment appeared to reduce the duration of hospitalization in patients with moderate to severe symptoms, and fewer deaths were observed in the curcumin/piperine treatment group.Conclusions: Administration of oral curcumin with piperine as an adjuvant symptomatic therapy in COVID-19 treatment could substantially reduce morbidity and mortality, and ease the logistical and supply-related burdens on the healthcare system. Curcumin could be a safe and natural therapeutic option to prevent Post-Covid thromboembolic events.Clinicaltrials.gov identifier:CTRI/2020/05/025482","container-title":"Frontiers in Pharmacology","ISSN":"1663-9812","source":"Frontiers","title":"Oral Curcumin With Piperine as Adjuvant Therapy for the Treatment of COVID-19: A Randomized Clinical Trial","title-short":"Oral Curcumin With Piperine as Adjuvant Therapy for the Treatment of COVID-19","URL":"https://www.frontiersin.org/articles/10.3389/fphar.2021.669362","volume":"12","author":[{"family":"Pawar","given":"Kirti S"},{"family":"Mastud","given":"Rahul N"},{"family":"Pawar","given":"Satheesh K"},{"family":"Pawar","given":"Samragni S"},{"family":"Bhoite","given":"Rahul R"},{"family":"Bhoite","given":"Ramesh R"},{"family":"Kulkarni","given":"Meenal V"},{"family":"Deshpande","given":"Aditi R"}],"accessed":{"date-parts":[["2023",6,23]]},"issued":{"date-parts":[["2021"]]}}}],"schema":"https://github.com/citation-style-language/schema/raw/master/csl-citation.json"} </w:instrText>
            </w:r>
            <w:r>
              <w:rPr>
                <w:rFonts w:ascii="Times New Roman" w:eastAsia="Times New Roman" w:hAnsi="Times New Roman" w:cs="Times New Roman"/>
                <w:color w:val="374151"/>
                <w:kern w:val="0"/>
                <w:sz w:val="14"/>
                <w:szCs w:val="14"/>
                <w:lang w:val="en-US" w:eastAsia="en-NL"/>
                <w14:ligatures w14:val="none"/>
              </w:rPr>
              <w:fldChar w:fldCharType="separate"/>
            </w:r>
            <w:r w:rsidRPr="00A07913">
              <w:rPr>
                <w:rFonts w:ascii="Times New Roman" w:hAnsi="Times New Roman" w:cs="Times New Roman"/>
                <w:sz w:val="14"/>
              </w:rPr>
              <w:t>[4]</w:t>
            </w:r>
            <w:r>
              <w:rPr>
                <w:rFonts w:ascii="Times New Roman" w:eastAsia="Times New Roman" w:hAnsi="Times New Roman" w:cs="Times New Roman"/>
                <w:color w:val="374151"/>
                <w:kern w:val="0"/>
                <w:sz w:val="14"/>
                <w:szCs w:val="14"/>
                <w:lang w:val="en-US" w:eastAsia="en-NL"/>
                <w14:ligatures w14:val="none"/>
              </w:rPr>
              <w:fldChar w:fldCharType="end"/>
            </w:r>
          </w:p>
        </w:tc>
      </w:tr>
      <w:tr w:rsidR="00A92A05" w:rsidRPr="00903922" w14:paraId="4FF08F95" w14:textId="66BF2AF7" w:rsidTr="00B46704">
        <w:trPr>
          <w:trHeight w:val="1155"/>
        </w:trPr>
        <w:tc>
          <w:tcPr>
            <w:tcW w:w="993" w:type="dxa"/>
            <w:noWrap/>
            <w:hideMark/>
          </w:tcPr>
          <w:p w14:paraId="0777C712" w14:textId="77777777" w:rsidR="00A92A05" w:rsidRPr="00DD5124" w:rsidRDefault="00A92A05" w:rsidP="00DD5124">
            <w:pPr>
              <w:rPr>
                <w:rFonts w:ascii="Times New Roman" w:eastAsia="Times New Roman" w:hAnsi="Times New Roman" w:cs="Times New Roman"/>
                <w:color w:val="374151"/>
                <w:kern w:val="0"/>
                <w:sz w:val="14"/>
                <w:szCs w:val="14"/>
                <w:lang w:eastAsia="en-NL"/>
                <w14:ligatures w14:val="none"/>
              </w:rPr>
            </w:pPr>
          </w:p>
        </w:tc>
        <w:tc>
          <w:tcPr>
            <w:tcW w:w="1126" w:type="dxa"/>
            <w:hideMark/>
          </w:tcPr>
          <w:p w14:paraId="191CBFB4" w14:textId="385D2A06" w:rsidR="00A92A05" w:rsidRPr="00DD5124" w:rsidRDefault="00A92A05" w:rsidP="00DD5124">
            <w:pPr>
              <w:rPr>
                <w:rFonts w:ascii="Times New Roman" w:eastAsia="Times New Roman" w:hAnsi="Times New Roman" w:cs="Times New Roman"/>
                <w:color w:val="1B1B1B"/>
                <w:kern w:val="0"/>
                <w:sz w:val="14"/>
                <w:szCs w:val="14"/>
                <w:lang w:val="en-US" w:eastAsia="en-NL"/>
                <w14:ligatures w14:val="none"/>
              </w:rPr>
            </w:pPr>
            <w:r w:rsidRPr="00DD5124">
              <w:rPr>
                <w:rFonts w:ascii="Times New Roman" w:eastAsia="Times New Roman" w:hAnsi="Times New Roman" w:cs="Times New Roman"/>
                <w:color w:val="1B1B1B"/>
                <w:kern w:val="0"/>
                <w:sz w:val="14"/>
                <w:szCs w:val="14"/>
                <w:lang w:eastAsia="en-NL"/>
                <w14:ligatures w14:val="none"/>
              </w:rPr>
              <w:t>NCT05150782</w:t>
            </w:r>
          </w:p>
        </w:tc>
        <w:tc>
          <w:tcPr>
            <w:tcW w:w="2168" w:type="dxa"/>
            <w:hideMark/>
          </w:tcPr>
          <w:p w14:paraId="7EF31EC6" w14:textId="55C05CA3" w:rsidR="00A92A05" w:rsidRPr="002A56A8"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NOT_YET_RECRUITING</w:t>
            </w:r>
          </w:p>
        </w:tc>
        <w:tc>
          <w:tcPr>
            <w:tcW w:w="4125" w:type="dxa"/>
          </w:tcPr>
          <w:p w14:paraId="4EE030CD"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r>
      <w:tr w:rsidR="00A92A05" w:rsidRPr="00903922" w14:paraId="55B7001D" w14:textId="4D1DF816" w:rsidTr="00B46704">
        <w:trPr>
          <w:trHeight w:val="585"/>
        </w:trPr>
        <w:tc>
          <w:tcPr>
            <w:tcW w:w="993" w:type="dxa"/>
            <w:noWrap/>
            <w:hideMark/>
          </w:tcPr>
          <w:p w14:paraId="5AC1387E" w14:textId="77777777" w:rsidR="00A92A05" w:rsidRPr="00DD5124" w:rsidRDefault="00A92A05" w:rsidP="00DD5124">
            <w:pPr>
              <w:rPr>
                <w:rFonts w:ascii="Times New Roman" w:eastAsia="Times New Roman" w:hAnsi="Times New Roman" w:cs="Times New Roman"/>
                <w:color w:val="374151"/>
                <w:kern w:val="0"/>
                <w:sz w:val="14"/>
                <w:szCs w:val="14"/>
                <w:lang w:eastAsia="en-NL"/>
                <w14:ligatures w14:val="none"/>
              </w:rPr>
            </w:pPr>
          </w:p>
        </w:tc>
        <w:tc>
          <w:tcPr>
            <w:tcW w:w="1126" w:type="dxa"/>
            <w:hideMark/>
          </w:tcPr>
          <w:p w14:paraId="41A13328" w14:textId="77777777" w:rsidR="00A92A05" w:rsidRPr="00DD5124" w:rsidRDefault="00A92A05" w:rsidP="00DD5124">
            <w:pPr>
              <w:rPr>
                <w:rFonts w:ascii="Times New Roman" w:eastAsia="Times New Roman" w:hAnsi="Times New Roman" w:cs="Times New Roman"/>
                <w:color w:val="1B1B1B"/>
                <w:kern w:val="0"/>
                <w:sz w:val="14"/>
                <w:szCs w:val="14"/>
                <w:lang w:eastAsia="en-NL"/>
                <w14:ligatures w14:val="none"/>
              </w:rPr>
            </w:pPr>
            <w:r w:rsidRPr="00DD5124">
              <w:rPr>
                <w:rFonts w:ascii="Times New Roman" w:eastAsia="Times New Roman" w:hAnsi="Times New Roman" w:cs="Times New Roman"/>
                <w:color w:val="1B1B1B"/>
                <w:kern w:val="0"/>
                <w:sz w:val="14"/>
                <w:szCs w:val="14"/>
                <w:lang w:eastAsia="en-NL"/>
                <w14:ligatures w14:val="none"/>
              </w:rPr>
              <w:t>NCT05130671</w:t>
            </w:r>
          </w:p>
        </w:tc>
        <w:tc>
          <w:tcPr>
            <w:tcW w:w="2168" w:type="dxa"/>
            <w:hideMark/>
          </w:tcPr>
          <w:p w14:paraId="60346942" w14:textId="48D62594" w:rsidR="00A92A05" w:rsidRPr="002A56A8"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COMPLETED</w:t>
            </w:r>
          </w:p>
        </w:tc>
        <w:tc>
          <w:tcPr>
            <w:tcW w:w="4125" w:type="dxa"/>
          </w:tcPr>
          <w:p w14:paraId="11C351C4"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r>
      <w:tr w:rsidR="00A92A05" w:rsidRPr="00903922" w14:paraId="2A2E839B" w14:textId="17262EB3" w:rsidTr="00B46704">
        <w:trPr>
          <w:trHeight w:val="315"/>
        </w:trPr>
        <w:tc>
          <w:tcPr>
            <w:tcW w:w="993" w:type="dxa"/>
            <w:noWrap/>
            <w:hideMark/>
          </w:tcPr>
          <w:p w14:paraId="688C2B07" w14:textId="77777777" w:rsidR="00A92A05" w:rsidRPr="00DD5124" w:rsidRDefault="00A92A05" w:rsidP="00DD5124">
            <w:pPr>
              <w:rPr>
                <w:rFonts w:ascii="Times New Roman" w:eastAsia="Times New Roman" w:hAnsi="Times New Roman" w:cs="Times New Roman"/>
                <w:color w:val="374151"/>
                <w:kern w:val="0"/>
                <w:sz w:val="14"/>
                <w:szCs w:val="14"/>
                <w:lang w:eastAsia="en-NL"/>
                <w14:ligatures w14:val="none"/>
              </w:rPr>
            </w:pPr>
          </w:p>
        </w:tc>
        <w:tc>
          <w:tcPr>
            <w:tcW w:w="1126" w:type="dxa"/>
            <w:hideMark/>
          </w:tcPr>
          <w:p w14:paraId="645BAB38" w14:textId="77777777" w:rsidR="00A92A05" w:rsidRPr="00DD5124" w:rsidRDefault="00A92A05" w:rsidP="00DD5124">
            <w:pPr>
              <w:rPr>
                <w:rFonts w:ascii="Times New Roman" w:eastAsia="Times New Roman" w:hAnsi="Times New Roman" w:cs="Times New Roman"/>
                <w:color w:val="1B1B1B"/>
                <w:kern w:val="0"/>
                <w:sz w:val="14"/>
                <w:szCs w:val="14"/>
                <w:lang w:eastAsia="en-NL"/>
                <w14:ligatures w14:val="none"/>
              </w:rPr>
            </w:pPr>
            <w:r w:rsidRPr="00DD5124">
              <w:rPr>
                <w:rFonts w:ascii="Times New Roman" w:eastAsia="Times New Roman" w:hAnsi="Times New Roman" w:cs="Times New Roman"/>
                <w:color w:val="1B1B1B"/>
                <w:kern w:val="0"/>
                <w:sz w:val="14"/>
                <w:szCs w:val="14"/>
                <w:lang w:eastAsia="en-NL"/>
                <w14:ligatures w14:val="none"/>
              </w:rPr>
              <w:t>NCT04603690</w:t>
            </w:r>
          </w:p>
        </w:tc>
        <w:tc>
          <w:tcPr>
            <w:tcW w:w="2168" w:type="dxa"/>
            <w:hideMark/>
          </w:tcPr>
          <w:p w14:paraId="2BC470F7" w14:textId="07E67D80" w:rsidR="00A92A05" w:rsidRPr="002A56A8"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COMPLETED</w:t>
            </w:r>
          </w:p>
        </w:tc>
        <w:tc>
          <w:tcPr>
            <w:tcW w:w="4125" w:type="dxa"/>
          </w:tcPr>
          <w:p w14:paraId="2EDA44BF"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r>
      <w:tr w:rsidR="00A92A05" w:rsidRPr="00903922" w14:paraId="04FBBCD3" w14:textId="14D2A86D" w:rsidTr="00B46704">
        <w:trPr>
          <w:trHeight w:val="585"/>
        </w:trPr>
        <w:tc>
          <w:tcPr>
            <w:tcW w:w="993" w:type="dxa"/>
            <w:noWrap/>
            <w:hideMark/>
          </w:tcPr>
          <w:p w14:paraId="557B9CE9" w14:textId="77777777" w:rsidR="00A92A05" w:rsidRPr="00DD5124" w:rsidRDefault="00A92A05" w:rsidP="00DD5124">
            <w:pPr>
              <w:rPr>
                <w:rFonts w:ascii="Times New Roman" w:eastAsia="Times New Roman" w:hAnsi="Times New Roman" w:cs="Times New Roman"/>
                <w:color w:val="374151"/>
                <w:kern w:val="0"/>
                <w:sz w:val="14"/>
                <w:szCs w:val="14"/>
                <w:lang w:eastAsia="en-NL"/>
                <w14:ligatures w14:val="none"/>
              </w:rPr>
            </w:pPr>
          </w:p>
        </w:tc>
        <w:tc>
          <w:tcPr>
            <w:tcW w:w="1126" w:type="dxa"/>
            <w:hideMark/>
          </w:tcPr>
          <w:p w14:paraId="023F7B0D" w14:textId="77777777" w:rsidR="00A92A05" w:rsidRPr="00DD5124" w:rsidRDefault="00A92A05" w:rsidP="00DD5124">
            <w:pPr>
              <w:rPr>
                <w:rFonts w:ascii="Times New Roman" w:eastAsia="Times New Roman" w:hAnsi="Times New Roman" w:cs="Times New Roman"/>
                <w:color w:val="1B1B1B"/>
                <w:kern w:val="0"/>
                <w:sz w:val="14"/>
                <w:szCs w:val="14"/>
                <w:lang w:eastAsia="en-NL"/>
                <w14:ligatures w14:val="none"/>
              </w:rPr>
            </w:pPr>
            <w:r w:rsidRPr="00DD5124">
              <w:rPr>
                <w:rFonts w:ascii="Times New Roman" w:eastAsia="Times New Roman" w:hAnsi="Times New Roman" w:cs="Times New Roman"/>
                <w:color w:val="1B1B1B"/>
                <w:kern w:val="0"/>
                <w:sz w:val="14"/>
                <w:szCs w:val="14"/>
                <w:lang w:eastAsia="en-NL"/>
                <w14:ligatures w14:val="none"/>
              </w:rPr>
              <w:t>NCT05037162</w:t>
            </w:r>
          </w:p>
        </w:tc>
        <w:tc>
          <w:tcPr>
            <w:tcW w:w="2168" w:type="dxa"/>
            <w:hideMark/>
          </w:tcPr>
          <w:p w14:paraId="5860647C" w14:textId="4C5F1B5E" w:rsidR="00A92A05" w:rsidRPr="002A56A8"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COMPLETED</w:t>
            </w:r>
          </w:p>
        </w:tc>
        <w:tc>
          <w:tcPr>
            <w:tcW w:w="4125" w:type="dxa"/>
          </w:tcPr>
          <w:p w14:paraId="7094259A"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r>
      <w:tr w:rsidR="00A92A05" w:rsidRPr="00903922" w14:paraId="6EC7C861" w14:textId="34BF409B" w:rsidTr="00B46704">
        <w:trPr>
          <w:trHeight w:val="585"/>
        </w:trPr>
        <w:tc>
          <w:tcPr>
            <w:tcW w:w="993" w:type="dxa"/>
            <w:noWrap/>
            <w:hideMark/>
          </w:tcPr>
          <w:p w14:paraId="4887919D" w14:textId="77777777" w:rsidR="00A92A05" w:rsidRPr="00DD5124" w:rsidRDefault="00A92A05" w:rsidP="00DD5124">
            <w:pPr>
              <w:rPr>
                <w:rFonts w:ascii="Times New Roman" w:eastAsia="Times New Roman" w:hAnsi="Times New Roman" w:cs="Times New Roman"/>
                <w:color w:val="374151"/>
                <w:kern w:val="0"/>
                <w:sz w:val="14"/>
                <w:szCs w:val="14"/>
                <w:lang w:eastAsia="en-NL"/>
                <w14:ligatures w14:val="none"/>
              </w:rPr>
            </w:pPr>
          </w:p>
        </w:tc>
        <w:tc>
          <w:tcPr>
            <w:tcW w:w="1126" w:type="dxa"/>
            <w:hideMark/>
          </w:tcPr>
          <w:p w14:paraId="13EA1F43" w14:textId="77777777" w:rsidR="00A92A05" w:rsidRPr="00DD5124" w:rsidRDefault="00A92A05" w:rsidP="00DD5124">
            <w:pPr>
              <w:rPr>
                <w:rFonts w:ascii="Times New Roman" w:eastAsia="Times New Roman" w:hAnsi="Times New Roman" w:cs="Times New Roman"/>
                <w:color w:val="1B1B1B"/>
                <w:kern w:val="0"/>
                <w:sz w:val="14"/>
                <w:szCs w:val="14"/>
                <w:lang w:eastAsia="en-NL"/>
                <w14:ligatures w14:val="none"/>
              </w:rPr>
            </w:pPr>
            <w:r w:rsidRPr="00DD5124">
              <w:rPr>
                <w:rFonts w:ascii="Times New Roman" w:eastAsia="Times New Roman" w:hAnsi="Times New Roman" w:cs="Times New Roman"/>
                <w:color w:val="1B1B1B"/>
                <w:kern w:val="0"/>
                <w:sz w:val="14"/>
                <w:szCs w:val="14"/>
                <w:lang w:eastAsia="en-NL"/>
                <w14:ligatures w14:val="none"/>
              </w:rPr>
              <w:t>NCT04802382</w:t>
            </w:r>
          </w:p>
        </w:tc>
        <w:tc>
          <w:tcPr>
            <w:tcW w:w="2168" w:type="dxa"/>
            <w:hideMark/>
          </w:tcPr>
          <w:p w14:paraId="17BDFE0C" w14:textId="3E247846" w:rsidR="00A92A05" w:rsidRPr="002A56A8"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ACTIVE_NOT_RECRUITING</w:t>
            </w:r>
          </w:p>
        </w:tc>
        <w:tc>
          <w:tcPr>
            <w:tcW w:w="4125" w:type="dxa"/>
          </w:tcPr>
          <w:p w14:paraId="281E4730"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r>
      <w:tr w:rsidR="00A92A05" w:rsidRPr="00903922" w14:paraId="0922926C" w14:textId="39425D44" w:rsidTr="00B46704">
        <w:trPr>
          <w:trHeight w:val="315"/>
        </w:trPr>
        <w:tc>
          <w:tcPr>
            <w:tcW w:w="993" w:type="dxa"/>
            <w:noWrap/>
            <w:hideMark/>
          </w:tcPr>
          <w:p w14:paraId="015F3005" w14:textId="77777777" w:rsidR="00A92A05" w:rsidRPr="00DD5124" w:rsidRDefault="00A92A05" w:rsidP="00DD5124">
            <w:pPr>
              <w:rPr>
                <w:rFonts w:ascii="Times New Roman" w:eastAsia="Times New Roman" w:hAnsi="Times New Roman" w:cs="Times New Roman"/>
                <w:color w:val="374151"/>
                <w:kern w:val="0"/>
                <w:sz w:val="14"/>
                <w:szCs w:val="14"/>
                <w:lang w:eastAsia="en-NL"/>
                <w14:ligatures w14:val="none"/>
              </w:rPr>
            </w:pPr>
          </w:p>
        </w:tc>
        <w:tc>
          <w:tcPr>
            <w:tcW w:w="1126" w:type="dxa"/>
            <w:hideMark/>
          </w:tcPr>
          <w:p w14:paraId="3BC1F02E" w14:textId="77777777" w:rsidR="00A92A05" w:rsidRPr="00DD5124" w:rsidRDefault="00A92A05" w:rsidP="00DD5124">
            <w:pPr>
              <w:rPr>
                <w:rFonts w:ascii="Times New Roman" w:eastAsia="Times New Roman" w:hAnsi="Times New Roman" w:cs="Times New Roman"/>
                <w:color w:val="1B1B1B"/>
                <w:kern w:val="0"/>
                <w:sz w:val="14"/>
                <w:szCs w:val="14"/>
                <w:lang w:eastAsia="en-NL"/>
                <w14:ligatures w14:val="none"/>
              </w:rPr>
            </w:pPr>
            <w:r w:rsidRPr="00DD5124">
              <w:rPr>
                <w:rFonts w:ascii="Times New Roman" w:eastAsia="Times New Roman" w:hAnsi="Times New Roman" w:cs="Times New Roman"/>
                <w:color w:val="1B1B1B"/>
                <w:kern w:val="0"/>
                <w:sz w:val="14"/>
                <w:szCs w:val="14"/>
                <w:lang w:eastAsia="en-NL"/>
                <w14:ligatures w14:val="none"/>
              </w:rPr>
              <w:t>NCT05629975</w:t>
            </w:r>
          </w:p>
        </w:tc>
        <w:tc>
          <w:tcPr>
            <w:tcW w:w="2168" w:type="dxa"/>
            <w:hideMark/>
          </w:tcPr>
          <w:p w14:paraId="1A27EFAD" w14:textId="5A23E88B" w:rsidR="00A92A05" w:rsidRPr="002A56A8"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NOT_YET_RECRUITING</w:t>
            </w:r>
          </w:p>
        </w:tc>
        <w:tc>
          <w:tcPr>
            <w:tcW w:w="4125" w:type="dxa"/>
          </w:tcPr>
          <w:p w14:paraId="4200C0E3"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r>
      <w:tr w:rsidR="00A92A05" w:rsidRPr="00903922" w14:paraId="7F707BDE" w14:textId="77777777" w:rsidTr="00B46704">
        <w:trPr>
          <w:trHeight w:val="315"/>
        </w:trPr>
        <w:tc>
          <w:tcPr>
            <w:tcW w:w="993" w:type="dxa"/>
          </w:tcPr>
          <w:p w14:paraId="7CE7E77E" w14:textId="6E956108"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EGCG</w:t>
            </w:r>
          </w:p>
        </w:tc>
        <w:tc>
          <w:tcPr>
            <w:tcW w:w="1126" w:type="dxa"/>
          </w:tcPr>
          <w:p w14:paraId="67A8D30B"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c>
          <w:tcPr>
            <w:tcW w:w="2168" w:type="dxa"/>
          </w:tcPr>
          <w:p w14:paraId="52B53A04"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c>
          <w:tcPr>
            <w:tcW w:w="4125" w:type="dxa"/>
          </w:tcPr>
          <w:p w14:paraId="0D7F904F" w14:textId="53917205" w:rsidR="00A92A05" w:rsidRPr="00192E9D" w:rsidRDefault="00A92A05" w:rsidP="00DD5124">
            <w:pPr>
              <w:rPr>
                <w:rFonts w:ascii="Times New Roman" w:eastAsia="Times New Roman" w:hAnsi="Times New Roman" w:cs="Times New Roman"/>
                <w:color w:val="374151"/>
                <w:kern w:val="0"/>
                <w:sz w:val="14"/>
                <w:szCs w:val="14"/>
                <w:lang w:val="en-US" w:eastAsia="en-NL"/>
                <w14:ligatures w14:val="none"/>
              </w:rPr>
            </w:pPr>
            <w:r w:rsidRPr="00192E9D">
              <w:rPr>
                <w:rFonts w:ascii="Times New Roman" w:eastAsia="Times New Roman" w:hAnsi="Times New Roman" w:cs="Times New Roman"/>
                <w:color w:val="374151"/>
                <w:kern w:val="0"/>
                <w:sz w:val="14"/>
                <w:szCs w:val="14"/>
                <w:lang w:val="en-US" w:eastAsia="en-NL"/>
                <w14:ligatures w14:val="none"/>
              </w:rPr>
              <w:t>Apparent positive effect on treatment out</w:t>
            </w:r>
            <w:r>
              <w:rPr>
                <w:rFonts w:ascii="Times New Roman" w:eastAsia="Times New Roman" w:hAnsi="Times New Roman" w:cs="Times New Roman"/>
                <w:color w:val="374151"/>
                <w:kern w:val="0"/>
                <w:sz w:val="14"/>
                <w:szCs w:val="14"/>
                <w:lang w:val="en-US" w:eastAsia="en-NL"/>
                <w14:ligatures w14:val="none"/>
              </w:rPr>
              <w:t>come, but no controls</w:t>
            </w:r>
            <w:r>
              <w:rPr>
                <w:rFonts w:ascii="Times New Roman" w:eastAsia="Times New Roman" w:hAnsi="Times New Roman" w:cs="Times New Roman"/>
                <w:color w:val="374151"/>
                <w:kern w:val="0"/>
                <w:sz w:val="14"/>
                <w:szCs w:val="14"/>
                <w:lang w:val="en-US" w:eastAsia="en-NL"/>
                <w14:ligatures w14:val="none"/>
              </w:rPr>
              <w:fldChar w:fldCharType="begin"/>
            </w:r>
            <w:r>
              <w:rPr>
                <w:rFonts w:ascii="Times New Roman" w:eastAsia="Times New Roman" w:hAnsi="Times New Roman" w:cs="Times New Roman"/>
                <w:color w:val="374151"/>
                <w:kern w:val="0"/>
                <w:sz w:val="14"/>
                <w:szCs w:val="14"/>
                <w:lang w:val="en-US" w:eastAsia="en-NL"/>
                <w14:ligatures w14:val="none"/>
              </w:rPr>
              <w:instrText xml:space="preserve"> ADDIN ZOTERO_ITEM CSL_CITATION {"citationID":"VxHhsT64","properties":{"formattedCitation":"[5]","plainCitation":"[5]","noteIndex":0},"citationItems":[{"id":11556,"uris":["http://zotero.org/users/7565624/items/697LPPGE"],"itemData":{"id":11556,"type":"article-journal","abstract":"The lack of therapies for moderate COVID-19 syndrome prompted us to use a standardized polyphenolic green tea extract rich in catechins during the lockdown due to the pandemic in Italy (Autumn 2020). Catechins are powerful antioxidant, anti-inflammatory and antiviral agents that are safe for human use. While awaiting hospitalization, 10 swab-positive patients, symptomatic for SARS-COV-2, were treated for 15 days at home with two sessions of inhalation plus three capsules per day (total catechins: 840 mg; total EGCG: 595 mg). All patients recovered fully and had no symptoms at a median of 9 days, with a range of 7–15 days. Seven switched to a negative SARS-COV-2 nasopharyngeal swab test at a median of 9 days, with a range of 6–13 days. Among the 3 patients still swab-positive, one had a strong decrease of infection down to a “very low” SARS-COV-2 nucleic acid load at 5 days. All patients exited quarantine at the end of therapy because they were free of symptoms. Inflammation markers α-1 anti-trypsin, C-reactive protein and eosinophils had significantly decreased. The IL-6 and erythrocyte sedimentation rate decreased in 7 out of 10 patients. To the best of our knowledge, this is the first report of the efficacy of green tea catechin against COVID-19 syndrome. These results may open new perspectives in the fight against the disease.","container-title":"COVID","DOI":"10.3390/covid1010002","ISSN":"2673-8112","issue":"1","language":"en","license":"http://creativecommons.org/licenses/by/3.0/","note":"number: 1\npublisher: Multidisciplinary Digital Publishing Institute","page":"2-12","source":"www.mdpi.com","title":"Efficacy of a Polyphenolic, Standardized Green Tea Extract for the Treatment of COVID-19 Syndrome: A Proof-of-Principle Study","title-short":"Efficacy of a Polyphenolic, Standardized Green Tea Extract for the Treatment of COVID-19 Syndrome","URL":"https://www.mdpi.com/2673-8112/1/1/2","volume":"1","author":[{"family":"Bettuzzi","given":"Saverio"},{"family":"Gabba","given":"Luigi"},{"family":"Cataldo","given":"Simona"}],"accessed":{"date-parts":[["2023",6,23]]},"issued":{"date-parts":[["2021",9]]}}}],"schema":"https://github.com/citation-style-language/schema/raw/master/csl-citation.json"} </w:instrText>
            </w:r>
            <w:r>
              <w:rPr>
                <w:rFonts w:ascii="Times New Roman" w:eastAsia="Times New Roman" w:hAnsi="Times New Roman" w:cs="Times New Roman"/>
                <w:color w:val="374151"/>
                <w:kern w:val="0"/>
                <w:sz w:val="14"/>
                <w:szCs w:val="14"/>
                <w:lang w:val="en-US" w:eastAsia="en-NL"/>
                <w14:ligatures w14:val="none"/>
              </w:rPr>
              <w:fldChar w:fldCharType="separate"/>
            </w:r>
            <w:r w:rsidRPr="00192E9D">
              <w:rPr>
                <w:rFonts w:ascii="Times New Roman" w:hAnsi="Times New Roman" w:cs="Times New Roman"/>
                <w:sz w:val="14"/>
              </w:rPr>
              <w:t>[5]</w:t>
            </w:r>
            <w:r>
              <w:rPr>
                <w:rFonts w:ascii="Times New Roman" w:eastAsia="Times New Roman" w:hAnsi="Times New Roman" w:cs="Times New Roman"/>
                <w:color w:val="374151"/>
                <w:kern w:val="0"/>
                <w:sz w:val="14"/>
                <w:szCs w:val="14"/>
                <w:lang w:val="en-US" w:eastAsia="en-NL"/>
                <w14:ligatures w14:val="none"/>
              </w:rPr>
              <w:fldChar w:fldCharType="end"/>
            </w:r>
            <w:r>
              <w:rPr>
                <w:rFonts w:ascii="Times New Roman" w:eastAsia="Times New Roman" w:hAnsi="Times New Roman" w:cs="Times New Roman"/>
                <w:color w:val="374151"/>
                <w:kern w:val="0"/>
                <w:sz w:val="14"/>
                <w:szCs w:val="14"/>
                <w:lang w:val="en-US" w:eastAsia="en-NL"/>
                <w14:ligatures w14:val="none"/>
              </w:rPr>
              <w:t>.</w:t>
            </w:r>
          </w:p>
        </w:tc>
      </w:tr>
      <w:tr w:rsidR="00A92A05" w:rsidRPr="00903922" w14:paraId="0C77FC99" w14:textId="6FCCF2D3" w:rsidTr="00B46704">
        <w:trPr>
          <w:trHeight w:val="315"/>
        </w:trPr>
        <w:tc>
          <w:tcPr>
            <w:tcW w:w="993" w:type="dxa"/>
            <w:hideMark/>
          </w:tcPr>
          <w:p w14:paraId="0E57F32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val="en-US" w:eastAsia="en-NL"/>
                <w14:ligatures w14:val="none"/>
              </w:rPr>
              <w:t>Rapamycin</w:t>
            </w:r>
          </w:p>
        </w:tc>
        <w:tc>
          <w:tcPr>
            <w:tcW w:w="1126" w:type="dxa"/>
            <w:hideMark/>
          </w:tcPr>
          <w:p w14:paraId="5F1808A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NCT04948203</w:t>
            </w:r>
          </w:p>
        </w:tc>
        <w:tc>
          <w:tcPr>
            <w:tcW w:w="2168" w:type="dxa"/>
            <w:hideMark/>
          </w:tcPr>
          <w:p w14:paraId="3811585F" w14:textId="792875D1" w:rsidR="00A92A05" w:rsidRPr="002A56A8"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RECRUITING</w:t>
            </w:r>
          </w:p>
        </w:tc>
        <w:tc>
          <w:tcPr>
            <w:tcW w:w="4125" w:type="dxa"/>
          </w:tcPr>
          <w:p w14:paraId="248C754D"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r>
      <w:tr w:rsidR="00A92A05" w:rsidRPr="00903922" w14:paraId="1496F7CE" w14:textId="77777777" w:rsidTr="00B46704">
        <w:trPr>
          <w:trHeight w:val="315"/>
        </w:trPr>
        <w:tc>
          <w:tcPr>
            <w:tcW w:w="993" w:type="dxa"/>
          </w:tcPr>
          <w:p w14:paraId="15B15D02" w14:textId="4913F8EE"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Resveratrol</w:t>
            </w:r>
          </w:p>
        </w:tc>
        <w:tc>
          <w:tcPr>
            <w:tcW w:w="1126" w:type="dxa"/>
          </w:tcPr>
          <w:p w14:paraId="5049E24D" w14:textId="26465DAB"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See above</w:t>
            </w:r>
          </w:p>
        </w:tc>
        <w:tc>
          <w:tcPr>
            <w:tcW w:w="2168" w:type="dxa"/>
          </w:tcPr>
          <w:p w14:paraId="3D7B963D"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c>
          <w:tcPr>
            <w:tcW w:w="4125" w:type="dxa"/>
          </w:tcPr>
          <w:p w14:paraId="493F7C13" w14:textId="66E5CFA0" w:rsidR="00A92A05" w:rsidRPr="009271A4" w:rsidRDefault="00A92A05"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See above</w:t>
            </w:r>
          </w:p>
        </w:tc>
      </w:tr>
      <w:tr w:rsidR="00A92A05" w:rsidRPr="00903922" w14:paraId="6176D9B8" w14:textId="68170EBC" w:rsidTr="00B46704">
        <w:trPr>
          <w:trHeight w:val="315"/>
        </w:trPr>
        <w:tc>
          <w:tcPr>
            <w:tcW w:w="993" w:type="dxa"/>
            <w:hideMark/>
          </w:tcPr>
          <w:p w14:paraId="7222230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roofErr w:type="spellStart"/>
            <w:r w:rsidRPr="00DD5124">
              <w:rPr>
                <w:rFonts w:ascii="Times New Roman" w:eastAsia="Times New Roman" w:hAnsi="Times New Roman" w:cs="Times New Roman"/>
                <w:color w:val="000000"/>
                <w:kern w:val="0"/>
                <w:sz w:val="14"/>
                <w:szCs w:val="14"/>
                <w:lang w:val="en-US" w:eastAsia="en-NL"/>
                <w14:ligatures w14:val="none"/>
              </w:rPr>
              <w:t>Fisetin</w:t>
            </w:r>
            <w:proofErr w:type="spellEnd"/>
          </w:p>
        </w:tc>
        <w:tc>
          <w:tcPr>
            <w:tcW w:w="1126" w:type="dxa"/>
            <w:hideMark/>
          </w:tcPr>
          <w:p w14:paraId="22A63B7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NCT04771611</w:t>
            </w:r>
          </w:p>
        </w:tc>
        <w:tc>
          <w:tcPr>
            <w:tcW w:w="2168" w:type="dxa"/>
            <w:hideMark/>
          </w:tcPr>
          <w:p w14:paraId="5E43934D" w14:textId="49A05518" w:rsidR="00A92A05" w:rsidRPr="002A56A8"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COMPLETED</w:t>
            </w:r>
          </w:p>
        </w:tc>
        <w:tc>
          <w:tcPr>
            <w:tcW w:w="4125" w:type="dxa"/>
          </w:tcPr>
          <w:p w14:paraId="579D3396" w14:textId="2189C592" w:rsidR="00A92A05" w:rsidRPr="009271A4" w:rsidRDefault="00A92A05"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Reduce coronavirus mortality in aged mice</w:t>
            </w:r>
            <w:r>
              <w:rPr>
                <w:rFonts w:ascii="Times New Roman" w:eastAsia="Times New Roman" w:hAnsi="Times New Roman" w:cs="Times New Roman"/>
                <w:color w:val="374151"/>
                <w:kern w:val="0"/>
                <w:sz w:val="14"/>
                <w:szCs w:val="14"/>
                <w:lang w:val="en-US" w:eastAsia="en-NL"/>
                <w14:ligatures w14:val="none"/>
              </w:rPr>
              <w:fldChar w:fldCharType="begin"/>
            </w:r>
            <w:r>
              <w:rPr>
                <w:rFonts w:ascii="Times New Roman" w:eastAsia="Times New Roman" w:hAnsi="Times New Roman" w:cs="Times New Roman"/>
                <w:color w:val="374151"/>
                <w:kern w:val="0"/>
                <w:sz w:val="14"/>
                <w:szCs w:val="14"/>
                <w:lang w:val="en-US" w:eastAsia="en-NL"/>
                <w14:ligatures w14:val="none"/>
              </w:rPr>
              <w:instrText xml:space="preserve"> ADDIN ZOTERO_ITEM CSL_CITATION {"citationID":"oLz3Tsdd","properties":{"formattedCitation":"[6]","plainCitation":"[6]","noteIndex":0},"citationItems":[{"id":11565,"uris":["http://zotero.org/users/7565624/items/N68WPZSZ"],"itemData":{"id":11565,"type":"article-journal","abstract":"The COVID-19 pandemic has revealed the pronounced vulnerability of the elderly and chronically ill to severe acute respiratory syndrome coronavirus 2 (SARS-CoV-2)–induced morbidity and mortality. Cellular senescence contributes to inflammation, multiple chronic diseases, and age-related dysfunction, but effects on responses to viral infection are unclear. Here, we demonstrate that senescent cells (SnCs) become hyper-inflammatory in response to pathogen-associated molecular patterns (PAMPs), including SARS-CoV-2 spike protein-1, increasing expression of viral entry proteins and reducing antiviral gene expression in non-SnCs through a paracrine mechanism. Old mice acutely infected with pathogens that included a SARS-CoV-2–related mouse β-coronavirus experienced increased senescence and inflammation, with nearly 100% mortality. Targeting SnCs by using senolytic drugs before or after pathogen exposure significantly reduced mortality, cellular senescence, and inflammatory markers and increased antiviral antibodies. Thus, reducing the SnC burden in diseased or aged individuals should enhance resilience and reduce mortality after viral infection, including that of SARS-CoV-2.","container-title":"Science","DOI":"10.1126/science.abe4832","issue":"6552","note":"publisher: American Association for the Advancement of Science","page":"eabe4832","source":"science.org (Atypon)","title":"Senolytics reduce coronavirus-related mortality in old mice","URL":"https://www.science.org/doi/full/10.1126/science.abe4832","volume":"373","author":[{"family":"Camell","given":"Christina D."},{"family":"Yousefzadeh","given":"Matthew J."},{"family":"Zhu","given":"Yi"},{"family":"Prata","given":"Larissa G. P. Langhi"},{"family":"Huggins","given":"Matthew A."},{"family":"Pierson","given":"Mark"},{"family":"Zhang","given":"Lei"},{"family":"O’Kelly","given":"Ryan D."},{"family":"Pirtskhalava","given":"Tamar"},{"family":"Xun","given":"Pengcheng"},{"family":"Ejima","given":"Keisuke"},{"family":"Xue","given":"Ailing"},{"family":"Tripathi","given":"Utkarsh"},{"family":"Espindola-Netto","given":"Jair Machado"},{"family":"Giorgadze","given":"Nino"},{"family":"Atkinson","given":"Elizabeth J."},{"family":"Inman","given":"Christina L."},{"family":"Johnson","given":"Kurt O."},{"family":"Cholensky","given":"Stephanie H."},{"family":"Carlson","given":"Timothy W."},{"family":"LeBrasseur","given":"Nathan K."},{"family":"Khosla","given":"Sundeep"},{"family":"O’Sullivan","given":"M. Gerard"},{"family":"Allison","given":"David B."},{"family":"Jameson","given":"Stephen C."},{"family":"Meves","given":"Alexander"},{"family":"Li","given":"Ming"},{"family":"Prakash","given":"Y. S."},{"family":"Chiarella","given":"Sergio E."},{"family":"Hamilton","given":"Sara E."},{"family":"Tchkonia","given":"Tamara"},{"family":"Niedernhofer","given":"Laura J."},{"family":"Kirkland","given":"James L."},{"family":"Robbins","given":"Paul D."}],"accessed":{"date-parts":[["2023",6,23]]},"issued":{"date-parts":[["2021",7,16]]}}}],"schema":"https://github.com/citation-style-language/schema/raw/master/csl-citation.json"} </w:instrText>
            </w:r>
            <w:r>
              <w:rPr>
                <w:rFonts w:ascii="Times New Roman" w:eastAsia="Times New Roman" w:hAnsi="Times New Roman" w:cs="Times New Roman"/>
                <w:color w:val="374151"/>
                <w:kern w:val="0"/>
                <w:sz w:val="14"/>
                <w:szCs w:val="14"/>
                <w:lang w:val="en-US" w:eastAsia="en-NL"/>
                <w14:ligatures w14:val="none"/>
              </w:rPr>
              <w:fldChar w:fldCharType="separate"/>
            </w:r>
            <w:r w:rsidRPr="009271A4">
              <w:rPr>
                <w:rFonts w:ascii="Times New Roman" w:hAnsi="Times New Roman" w:cs="Times New Roman"/>
                <w:sz w:val="14"/>
              </w:rPr>
              <w:t>[6]</w:t>
            </w:r>
            <w:r>
              <w:rPr>
                <w:rFonts w:ascii="Times New Roman" w:eastAsia="Times New Roman" w:hAnsi="Times New Roman" w:cs="Times New Roman"/>
                <w:color w:val="374151"/>
                <w:kern w:val="0"/>
                <w:sz w:val="14"/>
                <w:szCs w:val="14"/>
                <w:lang w:val="en-US" w:eastAsia="en-NL"/>
                <w14:ligatures w14:val="none"/>
              </w:rPr>
              <w:fldChar w:fldCharType="end"/>
            </w:r>
          </w:p>
        </w:tc>
      </w:tr>
      <w:tr w:rsidR="00A92A05" w:rsidRPr="00903922" w14:paraId="66F0FCF0" w14:textId="27612FC0" w:rsidTr="00B46704">
        <w:trPr>
          <w:trHeight w:val="315"/>
        </w:trPr>
        <w:tc>
          <w:tcPr>
            <w:tcW w:w="993" w:type="dxa"/>
            <w:hideMark/>
          </w:tcPr>
          <w:p w14:paraId="278B658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 </w:t>
            </w:r>
          </w:p>
        </w:tc>
        <w:tc>
          <w:tcPr>
            <w:tcW w:w="1126" w:type="dxa"/>
            <w:hideMark/>
          </w:tcPr>
          <w:p w14:paraId="29C1AA6E" w14:textId="77777777" w:rsidR="00A92A05" w:rsidRPr="00DD5124" w:rsidRDefault="00A92A05" w:rsidP="00DD5124">
            <w:pPr>
              <w:rPr>
                <w:rFonts w:ascii="Times New Roman" w:eastAsia="Times New Roman" w:hAnsi="Times New Roman" w:cs="Times New Roman"/>
                <w:color w:val="565C65"/>
                <w:kern w:val="0"/>
                <w:sz w:val="14"/>
                <w:szCs w:val="14"/>
                <w:lang w:eastAsia="en-NL"/>
                <w14:ligatures w14:val="none"/>
              </w:rPr>
            </w:pPr>
            <w:r w:rsidRPr="00DD5124">
              <w:rPr>
                <w:rFonts w:ascii="Times New Roman" w:eastAsia="Times New Roman" w:hAnsi="Times New Roman" w:cs="Times New Roman"/>
                <w:color w:val="565C65"/>
                <w:kern w:val="0"/>
                <w:sz w:val="14"/>
                <w:szCs w:val="14"/>
                <w:lang w:eastAsia="en-NL"/>
                <w14:ligatures w14:val="none"/>
              </w:rPr>
              <w:t>NCT04476953</w:t>
            </w:r>
          </w:p>
        </w:tc>
        <w:tc>
          <w:tcPr>
            <w:tcW w:w="2168" w:type="dxa"/>
            <w:hideMark/>
          </w:tcPr>
          <w:p w14:paraId="05B40A04" w14:textId="080C9D4E" w:rsidR="00A92A05" w:rsidRPr="009271A4"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ENROLLING_BY_INVITATION</w:t>
            </w:r>
          </w:p>
        </w:tc>
        <w:tc>
          <w:tcPr>
            <w:tcW w:w="4125" w:type="dxa"/>
          </w:tcPr>
          <w:p w14:paraId="5671AEC4"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r>
      <w:tr w:rsidR="00A92A05" w:rsidRPr="00903922" w14:paraId="0935E6C0" w14:textId="77777777" w:rsidTr="00B46704">
        <w:trPr>
          <w:trHeight w:val="315"/>
        </w:trPr>
        <w:tc>
          <w:tcPr>
            <w:tcW w:w="993" w:type="dxa"/>
          </w:tcPr>
          <w:p w14:paraId="4FAF70A9"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tcPr>
          <w:p w14:paraId="1881E0AF" w14:textId="0096E31B" w:rsidR="00A92A05" w:rsidRPr="00DD5124" w:rsidRDefault="00A92A05" w:rsidP="00DD5124">
            <w:pPr>
              <w:rPr>
                <w:rFonts w:ascii="Times New Roman" w:eastAsia="Times New Roman" w:hAnsi="Times New Roman" w:cs="Times New Roman"/>
                <w:color w:val="565C65"/>
                <w:kern w:val="0"/>
                <w:sz w:val="14"/>
                <w:szCs w:val="14"/>
                <w:lang w:eastAsia="en-NL"/>
                <w14:ligatures w14:val="none"/>
              </w:rPr>
            </w:pPr>
            <w:r w:rsidRPr="009271A4">
              <w:rPr>
                <w:rFonts w:ascii="Times New Roman" w:eastAsia="Times New Roman" w:hAnsi="Times New Roman" w:cs="Times New Roman"/>
                <w:color w:val="565C65"/>
                <w:kern w:val="0"/>
                <w:sz w:val="14"/>
                <w:szCs w:val="14"/>
                <w:lang w:eastAsia="en-NL"/>
                <w14:ligatures w14:val="none"/>
              </w:rPr>
              <w:t>NCT04537299</w:t>
            </w:r>
          </w:p>
        </w:tc>
        <w:tc>
          <w:tcPr>
            <w:tcW w:w="2168" w:type="dxa"/>
          </w:tcPr>
          <w:p w14:paraId="49955285" w14:textId="5F9D7DBA" w:rsidR="00A92A05" w:rsidRPr="009271A4" w:rsidRDefault="002A56A8" w:rsidP="00DD5124">
            <w:pPr>
              <w:rPr>
                <w:rFonts w:ascii="Times New Roman" w:eastAsia="Times New Roman" w:hAnsi="Times New Roman" w:cs="Times New Roman"/>
                <w:color w:val="374151"/>
                <w:kern w:val="0"/>
                <w:sz w:val="14"/>
                <w:szCs w:val="14"/>
                <w:lang w:val="en-US" w:eastAsia="en-NL"/>
                <w14:ligatures w14:val="none"/>
              </w:rPr>
            </w:pPr>
            <w:r>
              <w:rPr>
                <w:rFonts w:ascii="Times New Roman" w:eastAsia="Times New Roman" w:hAnsi="Times New Roman" w:cs="Times New Roman"/>
                <w:color w:val="374151"/>
                <w:kern w:val="0"/>
                <w:sz w:val="14"/>
                <w:szCs w:val="14"/>
                <w:lang w:val="en-US" w:eastAsia="en-NL"/>
                <w14:ligatures w14:val="none"/>
              </w:rPr>
              <w:t>ENROLLING_BY_INVITATION</w:t>
            </w:r>
          </w:p>
        </w:tc>
        <w:tc>
          <w:tcPr>
            <w:tcW w:w="4125" w:type="dxa"/>
          </w:tcPr>
          <w:p w14:paraId="008B93F5" w14:textId="77777777" w:rsidR="00A92A05" w:rsidRPr="00903922" w:rsidRDefault="00A92A05" w:rsidP="00DD5124">
            <w:pPr>
              <w:rPr>
                <w:rFonts w:ascii="Times New Roman" w:eastAsia="Times New Roman" w:hAnsi="Times New Roman" w:cs="Times New Roman"/>
                <w:color w:val="374151"/>
                <w:kern w:val="0"/>
                <w:sz w:val="14"/>
                <w:szCs w:val="14"/>
                <w:lang w:eastAsia="en-NL"/>
                <w14:ligatures w14:val="none"/>
              </w:rPr>
            </w:pPr>
          </w:p>
        </w:tc>
      </w:tr>
      <w:tr w:rsidR="00A92A05" w:rsidRPr="00903922" w14:paraId="17667302" w14:textId="782CB635" w:rsidTr="00B46704">
        <w:trPr>
          <w:trHeight w:val="315"/>
        </w:trPr>
        <w:tc>
          <w:tcPr>
            <w:tcW w:w="993" w:type="dxa"/>
            <w:hideMark/>
          </w:tcPr>
          <w:p w14:paraId="462479F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val="en-US" w:eastAsia="en-NL"/>
                <w14:ligatures w14:val="none"/>
              </w:rPr>
              <w:t>Nicotinamide</w:t>
            </w:r>
          </w:p>
        </w:tc>
        <w:tc>
          <w:tcPr>
            <w:tcW w:w="1126" w:type="dxa"/>
            <w:noWrap/>
            <w:hideMark/>
          </w:tcPr>
          <w:p w14:paraId="0067354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NCT04751604</w:t>
            </w:r>
          </w:p>
        </w:tc>
        <w:tc>
          <w:tcPr>
            <w:tcW w:w="2168" w:type="dxa"/>
            <w:noWrap/>
            <w:hideMark/>
          </w:tcPr>
          <w:p w14:paraId="12746C2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6656F528" w14:textId="6C5FC0CA" w:rsidR="00A92A05" w:rsidRPr="00D356AC"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No statistically significant difference in full blood counts, lymphocyte counts or lymphocyte improvement rate </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{"citationID":"FNQpqT7v","properties":{"formattedCitation":"[7,8]","plainCitation":"[7,8]","noteIndex":0},"citationItems":[{"id":11567,"uris":["http://zotero.org/users/7565624/items/5HGEMZVY"],"itemData":{"id":11567,"type":"article-journal","abstract":"BACKGROUND: This study aimed to investigate the efficiency of nicotinamide-based supportive therapy for lymphopenia in patients with coronavirus disease-2019 (COVID-19).\nMETHODS: Twenty four patients diagnosed with COVID-19 were randomly divided into 2 groups (n = 12) during hospitalization in a ratio of 1:1. Based on conventional treatment, the treatment group was administered 100 mg nicotinamide 5 times a day for 2 days. The control group received routine treatment only. The primary endpoint was the change in the absolute lymphocyte count. The secondary endpoints included both in-hospital death and the composite endpoint of aggravation, according to upgraded oxygen therapy, improved nursing level, and ward rounds of superior physicians for changes in conditions.\nRESULTS: Full blood counts before and after nicotinamide administration were comparable in each group (all P &gt; .05). Before and after receiving nicotinamide, mean absolute lymphocyte counts were similar between the two groups ([0.94 ± 0.26] × 109/L vs [0.89 ± 0.19] × 109/L, P = .565; [1.15 ± 0.48] × 109/L vs [1.02 ± 0.28] × 109/L, P = .445, respectively). Therefore, there was no statistically significant difference in the lymphocyte improvement rate between the two groups (23.08 ± 46.10 vs 16.52 ± 24.10, P = .67). There was also no statistically significant difference in the secondary endpoints between the two groups.\nCONCLUSION: Among patients with COVID-19, there was no statistically significant difference in the change of whole blood counts and absolute lymphocyte counts before and after intervention in both groups. Therefore, no new evidence has been found regarding the effect of niacinamide on lymphopenia in COVID-19 patients.","container-title":"Medicine","DOI":"10.1097/MD.0000000000031138","ISSN":"1536-5964","issue":"43","journalAbbreviation":"Medicine (Baltimore)","language":"eng","note":"PMID: 36316932\nPMCID: PMC9622579","page":"e31138","source":"PubMed","title":"Efficiency of nicotinamide-based supportive therapy in lymphopenia for patients with ordinary or severe COVID-19: A randomized controlled trial","title-short":"Efficiency of nicotinamide-based supportive therapy in lymphopenia for patients with ordinary or severe COVID-19","volume":"101","author":[{"family":"Hu","given":"Qiang"},{"family":"Zhang","given":"Quan-Yu"},{"family":"Peng","given":"Cheng-Fei"},{"family":"Ma","given":"Zhuang"},{"family":"Han","given":"Ya-Ling"}],"issued":{"date-parts":[["2022",10,28]]}}},{"id":11570,"uris":["http://zotero.org/users/7565624/items/XRYKHA85"],"itemData":{"id":11570,"type":"article-journal","abstract":"BACKGROUND: Many commonly used drugs were evaluated as repurposed treatment options since the emergence of the COVID-19 pandemic. The benefit of lipid-lowering agents has been controversial in this regard. In this systematic review, we assessed the effect of these medications as adjunctive therapy in COVID-19 by the inclusion of randomized controlled trials (RCTs).\nMETHODS: We searched four international databases including PubMed, the Web of Science, Scopus, and Embase for RCTs in April 2023. The primary outcome was mortality, while other efficacy indices were considered secondary outcomes. In order to estimate the pooled effect size of the outcomes, considering the odds ratio (OR) or standardized mean difference (SMD) and 95% confidence interval (CI), random-effect meta-analyses was conducted.\nRESULTS: Ten studies involving 2,167 COVID-19 patients using statins, omega-3 fatty acids, fenofibrate, PCSK9 inhibitors, and nicotinamide as intervention compared to control or placebo, were included. No significant difference was found in terms of mortality (OR 0.96, 95% CI 0.58 to 1.59, p-value = 0.86, I2 = 20.4%) or length of hospital stay (SMD -0.10, 95% CI -0.78 to 0.59, p-value = 0.78, I2 = 92.4%) by adding a statin to the standard of care. The trend was similar for fenofibrate and nicotinamide. PCSK9 inhibition, however, led to decreased mortality and an overall better prognosis. Omega-3 supplementation showed contradicting results in two trials, suggesting the need for further evaluation.\nCONCLUSION: Although some observational studies found improved outcomes in patients using lipid-lowering agents, our study found no benefit in adding statins, fenofibrate, or nicotinamide to COVID-19 treatment. On the other hand, PCSK9 inhibitors can be a good candidate for further assessment. Finally, there are major limitations in the use of omega-3 supplements in treating COVID-19 and more trials are warranted to evaluate this efficacy.","container-title":"Lipids in Health and Disease","DOI":"10.1186/s12944-023-01828-w","ISSN":"1476-511X","issue":"1","journalAbbreviation":"Lipids Health Dis","language":"eng","note":"PMID: 37158917\nPMCID: PMC10165571","page":"61","source":"PubMed","title":"Adjunctive therapy with lipid-lowering agents in COVID-19: a systematic review and meta-analysis of randomized controlled trials","title-short":"Adjunctive therapy with lipid-lowering agents in COVID-19","volume":"22","author":[{"family":"Khalaji","given":"Amirmohammad"},{"family":"Behnoush","given":"Amir Hossein"},{"family":"Alilou","given":"Sanam"},{"family":"Rezaee","given":"Malihe"},{"family":"Peiman","given":"Soheil"},{"family":"Sahebkar","given":"Amirhossein"}],"issued":{"date-parts":[["2023",5,8]]}}}],"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D356AC">
              <w:rPr>
                <w:rFonts w:ascii="Times New Roman" w:hAnsi="Times New Roman" w:cs="Times New Roman"/>
                <w:sz w:val="14"/>
              </w:rPr>
              <w:t>[7,8]</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7C2D7F25" w14:textId="0DC0F9B8" w:rsidTr="00B46704">
        <w:trPr>
          <w:trHeight w:val="300"/>
        </w:trPr>
        <w:tc>
          <w:tcPr>
            <w:tcW w:w="993" w:type="dxa"/>
            <w:noWrap/>
            <w:hideMark/>
          </w:tcPr>
          <w:p w14:paraId="5056DD36"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2F71499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NCT04818216</w:t>
            </w:r>
          </w:p>
        </w:tc>
        <w:tc>
          <w:tcPr>
            <w:tcW w:w="2168" w:type="dxa"/>
            <w:noWrap/>
            <w:hideMark/>
          </w:tcPr>
          <w:p w14:paraId="28205A1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ACTIVE_NOT_RECRUITING</w:t>
            </w:r>
          </w:p>
        </w:tc>
        <w:tc>
          <w:tcPr>
            <w:tcW w:w="4125" w:type="dxa"/>
          </w:tcPr>
          <w:p w14:paraId="3F38B5B3"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28271753" w14:textId="29DB7525" w:rsidTr="00B46704">
        <w:trPr>
          <w:trHeight w:val="300"/>
        </w:trPr>
        <w:tc>
          <w:tcPr>
            <w:tcW w:w="993" w:type="dxa"/>
            <w:noWrap/>
            <w:hideMark/>
          </w:tcPr>
          <w:p w14:paraId="7873974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057EEA0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NCT04604704</w:t>
            </w:r>
          </w:p>
        </w:tc>
        <w:tc>
          <w:tcPr>
            <w:tcW w:w="2168" w:type="dxa"/>
            <w:noWrap/>
            <w:hideMark/>
          </w:tcPr>
          <w:p w14:paraId="70E54F7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6329E1B5"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7CD10F23" w14:textId="660FDEA3" w:rsidTr="00B46704">
        <w:trPr>
          <w:trHeight w:val="300"/>
        </w:trPr>
        <w:tc>
          <w:tcPr>
            <w:tcW w:w="993" w:type="dxa"/>
            <w:noWrap/>
            <w:hideMark/>
          </w:tcPr>
          <w:p w14:paraId="7EB6858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3B2D2C4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NCT05175768</w:t>
            </w:r>
          </w:p>
        </w:tc>
        <w:tc>
          <w:tcPr>
            <w:tcW w:w="2168" w:type="dxa"/>
            <w:noWrap/>
            <w:hideMark/>
          </w:tcPr>
          <w:p w14:paraId="4F07E46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RECRUITING</w:t>
            </w:r>
          </w:p>
        </w:tc>
        <w:tc>
          <w:tcPr>
            <w:tcW w:w="4125" w:type="dxa"/>
          </w:tcPr>
          <w:p w14:paraId="09DCF5F9"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2234341D" w14:textId="33B41501" w:rsidTr="00B46704">
        <w:trPr>
          <w:trHeight w:val="300"/>
        </w:trPr>
        <w:tc>
          <w:tcPr>
            <w:tcW w:w="993" w:type="dxa"/>
            <w:noWrap/>
            <w:hideMark/>
          </w:tcPr>
          <w:p w14:paraId="7B3EB0D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2F1417E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NCT04910230</w:t>
            </w:r>
          </w:p>
        </w:tc>
        <w:tc>
          <w:tcPr>
            <w:tcW w:w="2168" w:type="dxa"/>
            <w:noWrap/>
            <w:hideMark/>
          </w:tcPr>
          <w:p w14:paraId="30E6D2D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1E96960A"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01BD8D3" w14:textId="7F805366" w:rsidTr="00B46704">
        <w:trPr>
          <w:trHeight w:val="300"/>
        </w:trPr>
        <w:tc>
          <w:tcPr>
            <w:tcW w:w="993" w:type="dxa"/>
            <w:noWrap/>
            <w:hideMark/>
          </w:tcPr>
          <w:p w14:paraId="47C00F7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2E1EBE72"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NCT04708340</w:t>
            </w:r>
          </w:p>
        </w:tc>
        <w:tc>
          <w:tcPr>
            <w:tcW w:w="2168" w:type="dxa"/>
            <w:noWrap/>
            <w:hideMark/>
          </w:tcPr>
          <w:p w14:paraId="6C7CF04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ACTIVE_NOT_RECRUITING</w:t>
            </w:r>
          </w:p>
        </w:tc>
        <w:tc>
          <w:tcPr>
            <w:tcW w:w="4125" w:type="dxa"/>
          </w:tcPr>
          <w:p w14:paraId="790C7C2B"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9F77E6F" w14:textId="727A80DA" w:rsidTr="00B46704">
        <w:trPr>
          <w:trHeight w:val="300"/>
        </w:trPr>
        <w:tc>
          <w:tcPr>
            <w:tcW w:w="993" w:type="dxa"/>
            <w:noWrap/>
            <w:hideMark/>
          </w:tcPr>
          <w:p w14:paraId="1759CD2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6B1F207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NCT05703074</w:t>
            </w:r>
          </w:p>
        </w:tc>
        <w:tc>
          <w:tcPr>
            <w:tcW w:w="2168" w:type="dxa"/>
            <w:noWrap/>
            <w:hideMark/>
          </w:tcPr>
          <w:p w14:paraId="242E296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RECRUITING</w:t>
            </w:r>
          </w:p>
        </w:tc>
        <w:tc>
          <w:tcPr>
            <w:tcW w:w="4125" w:type="dxa"/>
          </w:tcPr>
          <w:p w14:paraId="60AE306B"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441CD8F" w14:textId="121395F6" w:rsidTr="00B46704">
        <w:trPr>
          <w:trHeight w:val="300"/>
        </w:trPr>
        <w:tc>
          <w:tcPr>
            <w:tcW w:w="993" w:type="dxa"/>
            <w:noWrap/>
            <w:hideMark/>
          </w:tcPr>
          <w:p w14:paraId="46BA214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6D9B2FB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NCT04809974</w:t>
            </w:r>
          </w:p>
        </w:tc>
        <w:tc>
          <w:tcPr>
            <w:tcW w:w="2168" w:type="dxa"/>
            <w:noWrap/>
            <w:hideMark/>
          </w:tcPr>
          <w:p w14:paraId="7581EBD9"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RECRUITING</w:t>
            </w:r>
          </w:p>
        </w:tc>
        <w:tc>
          <w:tcPr>
            <w:tcW w:w="4125" w:type="dxa"/>
          </w:tcPr>
          <w:p w14:paraId="146CC51A"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494F06A0" w14:textId="2BE1F8EE" w:rsidTr="00B46704">
        <w:trPr>
          <w:trHeight w:val="300"/>
        </w:trPr>
        <w:tc>
          <w:tcPr>
            <w:tcW w:w="993" w:type="dxa"/>
            <w:noWrap/>
            <w:hideMark/>
          </w:tcPr>
          <w:p w14:paraId="3B77A5D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Melatonin</w:t>
            </w:r>
          </w:p>
        </w:tc>
        <w:tc>
          <w:tcPr>
            <w:tcW w:w="1126" w:type="dxa"/>
            <w:noWrap/>
            <w:hideMark/>
          </w:tcPr>
          <w:p w14:paraId="7821059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NCT05596617</w:t>
            </w:r>
          </w:p>
        </w:tc>
        <w:tc>
          <w:tcPr>
            <w:tcW w:w="2168" w:type="dxa"/>
            <w:noWrap/>
            <w:hideMark/>
          </w:tcPr>
          <w:p w14:paraId="25E124D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17179DE0" w14:textId="5880133A" w:rsidR="00A92A05" w:rsidRPr="00D356AC"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Improvement in recovery rate, lower risk of hospitalization and death</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{"citationID":"I8epq0uH","properties":{"formattedCitation":"[9]","plainCitation":"[9]","noteIndex":0},"citationItems":[{"id":8418,"uris":["http://zotero.org/users/7565624/items/CIS6APT6"],"itemData":{"id":8418,"type":"article-journal","abstract":"This study investigated the effect of melatonin on clinical outcomes in patients with coronavirus disease 2019 (COVID-19). We searched PubMed, the Web of Science, the Cochrane Library, Ovid MEDLINE, and Clinicaltrials.gov for randomized controlled trials (RCTs) published before September 11, 2021. Only RCTs that compared the clinical efficacy of melatonin with a placebo in the treatment of patients with COVID-19 were included. The primary outcome measure was the clinical recovery rate. We included three RCTs in this meta-analysis. Melatonin 3 mg three times daily was administered in one RCT, and 3 or 6 mg daily before bedtime in the other two trials. Treatment duration was 14 days in two RCTs and 7 days in one trial. The clinical recovery rates were 94.2% (81/86) and 82.4% (70/85) in the melatonin and control groups, respectively. Overall, patients receiving melatonin had a higher clinical recovery rate than did the controls (odds ratio [OR]: 3.67; 95% CI: 1.21−11.12; I2 = 0%, p = 0.02). The risk of intensive care unit admission was numerically lower in the melatonin group than in the control group (8.3% [6/72] vs. 17.6% [12/68], OR: 0.45; 95% CI: 0.16−1.25; I2 = 0%, p = 0.13), and the risk of mortality was numerically lower in the melatonin group than in the control group (1.4% [1/72] vs. 4.4% [3/68], OR: 0.32; 95% CI: 0.03−3.18; I2 = 0%, p = 0.33). In conclusion, melatonin may help improve the clinical outcomes of patients with COVID-19.","container-title":"Journal of Medical Virology","DOI":"10.1002/jmv.27595","ISSN":"1096-9071","issue":"5","language":"en","note":"_eprint: https://onlinelibrary.wiley.com/doi/pdf/10.1002/jmv.27595","page":"2102-2107","source":"Wiley Online Library","title":"Efficacy of melatonin in the treatment of patients with COVID-19: A systematic review and meta-analysis of randomized controlled trials","title-short":"Efficacy of melatonin in the treatment of patients with COVID-19","URL":"https://onlinelibrary.wiley.com/doi/abs/10.1002/jmv.27595","volume":"94","author":[{"family":"Lan","given":"Shao-Huan"},{"family":"Lee","given":"Hong-Zin"},{"family":"Chao","given":"Chien-Ming"},{"family":"Chang","given":"Shen-Peng"},{"family":"Lu","given":"Li-Chin"},{"family":"Lai","given":"Chih-Cheng"}],"accessed":{"date-parts":[["2023",1,31]]},"issued":{"date-parts":[["2022"]]}}}],"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D356AC">
              <w:rPr>
                <w:rFonts w:ascii="Times New Roman" w:hAnsi="Times New Roman" w:cs="Times New Roman"/>
                <w:sz w:val="14"/>
              </w:rPr>
              <w:t>[9]</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66D9DEE6" w14:textId="7079055C" w:rsidTr="00B46704">
        <w:trPr>
          <w:trHeight w:val="300"/>
        </w:trPr>
        <w:tc>
          <w:tcPr>
            <w:tcW w:w="993" w:type="dxa"/>
            <w:noWrap/>
            <w:hideMark/>
          </w:tcPr>
          <w:p w14:paraId="77BDFCA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4E921B9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NCT04409522</w:t>
            </w:r>
          </w:p>
        </w:tc>
        <w:tc>
          <w:tcPr>
            <w:tcW w:w="2168" w:type="dxa"/>
            <w:noWrap/>
            <w:hideMark/>
          </w:tcPr>
          <w:p w14:paraId="563914A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UNKNOWN</w:t>
            </w:r>
          </w:p>
        </w:tc>
        <w:tc>
          <w:tcPr>
            <w:tcW w:w="4125" w:type="dxa"/>
          </w:tcPr>
          <w:p w14:paraId="6DCF9CF7"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50AEDD08" w14:textId="77B0BA59" w:rsidTr="00B46704">
        <w:trPr>
          <w:trHeight w:val="300"/>
        </w:trPr>
        <w:tc>
          <w:tcPr>
            <w:tcW w:w="993" w:type="dxa"/>
            <w:noWrap/>
            <w:hideMark/>
          </w:tcPr>
          <w:p w14:paraId="4F48F90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3D86EC8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NCT04353128</w:t>
            </w:r>
          </w:p>
        </w:tc>
        <w:tc>
          <w:tcPr>
            <w:tcW w:w="2168" w:type="dxa"/>
            <w:noWrap/>
            <w:hideMark/>
          </w:tcPr>
          <w:p w14:paraId="7C2C75C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51E9DBA5"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38B62068" w14:textId="7955554A" w:rsidTr="00B46704">
        <w:trPr>
          <w:trHeight w:val="300"/>
        </w:trPr>
        <w:tc>
          <w:tcPr>
            <w:tcW w:w="993" w:type="dxa"/>
            <w:noWrap/>
            <w:hideMark/>
          </w:tcPr>
          <w:p w14:paraId="5F626D6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5E0CA93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NCT04568863</w:t>
            </w:r>
          </w:p>
        </w:tc>
        <w:tc>
          <w:tcPr>
            <w:tcW w:w="2168" w:type="dxa"/>
            <w:noWrap/>
            <w:hideMark/>
          </w:tcPr>
          <w:p w14:paraId="26C3984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59B5E25B"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23509AC7" w14:textId="7481D31E" w:rsidTr="00B46704">
        <w:trPr>
          <w:trHeight w:val="300"/>
        </w:trPr>
        <w:tc>
          <w:tcPr>
            <w:tcW w:w="993" w:type="dxa"/>
            <w:noWrap/>
            <w:hideMark/>
          </w:tcPr>
          <w:p w14:paraId="3E06013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076A314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NCT04530539</w:t>
            </w:r>
          </w:p>
        </w:tc>
        <w:tc>
          <w:tcPr>
            <w:tcW w:w="2168" w:type="dxa"/>
            <w:noWrap/>
            <w:hideMark/>
          </w:tcPr>
          <w:p w14:paraId="0FF0C8B6"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338D09DB"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49FFD54A" w14:textId="3E4C0172" w:rsidTr="00B46704">
        <w:trPr>
          <w:trHeight w:val="300"/>
        </w:trPr>
        <w:tc>
          <w:tcPr>
            <w:tcW w:w="993" w:type="dxa"/>
            <w:noWrap/>
            <w:hideMark/>
          </w:tcPr>
          <w:p w14:paraId="664E81A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6CD1012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NCT04470297</w:t>
            </w:r>
          </w:p>
        </w:tc>
        <w:tc>
          <w:tcPr>
            <w:tcW w:w="2168" w:type="dxa"/>
            <w:noWrap/>
            <w:hideMark/>
          </w:tcPr>
          <w:p w14:paraId="2926A11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UNKNOWN</w:t>
            </w:r>
          </w:p>
        </w:tc>
        <w:tc>
          <w:tcPr>
            <w:tcW w:w="4125" w:type="dxa"/>
          </w:tcPr>
          <w:p w14:paraId="04E05639"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F8EACA8" w14:textId="465A2BD6" w:rsidTr="00B46704">
        <w:trPr>
          <w:trHeight w:val="300"/>
        </w:trPr>
        <w:tc>
          <w:tcPr>
            <w:tcW w:w="993" w:type="dxa"/>
            <w:noWrap/>
            <w:hideMark/>
          </w:tcPr>
          <w:p w14:paraId="76A6461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63DC6BE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NCT05318144</w:t>
            </w:r>
          </w:p>
        </w:tc>
        <w:tc>
          <w:tcPr>
            <w:tcW w:w="2168" w:type="dxa"/>
            <w:noWrap/>
            <w:hideMark/>
          </w:tcPr>
          <w:p w14:paraId="1A252F2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0C509AD8"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3C358868" w14:textId="00835484" w:rsidTr="00B46704">
        <w:trPr>
          <w:trHeight w:val="300"/>
        </w:trPr>
        <w:tc>
          <w:tcPr>
            <w:tcW w:w="993" w:type="dxa"/>
            <w:noWrap/>
            <w:hideMark/>
          </w:tcPr>
          <w:p w14:paraId="3F82796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0B7946F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NCT04570254</w:t>
            </w:r>
          </w:p>
        </w:tc>
        <w:tc>
          <w:tcPr>
            <w:tcW w:w="2168" w:type="dxa"/>
            <w:noWrap/>
            <w:hideMark/>
          </w:tcPr>
          <w:p w14:paraId="46A4D2B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494DF46A"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0AD09E77" w14:textId="00D0E729" w:rsidTr="00B46704">
        <w:trPr>
          <w:trHeight w:val="300"/>
        </w:trPr>
        <w:tc>
          <w:tcPr>
            <w:tcW w:w="993" w:type="dxa"/>
            <w:noWrap/>
            <w:hideMark/>
          </w:tcPr>
          <w:p w14:paraId="6CBEDF4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7187F33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NCT05670444</w:t>
            </w:r>
          </w:p>
        </w:tc>
        <w:tc>
          <w:tcPr>
            <w:tcW w:w="2168" w:type="dxa"/>
            <w:noWrap/>
            <w:hideMark/>
          </w:tcPr>
          <w:p w14:paraId="078B6C9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6940B788"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6BE65869" w14:textId="77777777" w:rsidTr="00B46704">
        <w:trPr>
          <w:trHeight w:val="300"/>
        </w:trPr>
        <w:tc>
          <w:tcPr>
            <w:tcW w:w="993" w:type="dxa"/>
            <w:noWrap/>
          </w:tcPr>
          <w:p w14:paraId="45926E15" w14:textId="5FAA0DE6"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PQQ</w:t>
            </w:r>
          </w:p>
        </w:tc>
        <w:tc>
          <w:tcPr>
            <w:tcW w:w="1126" w:type="dxa"/>
            <w:noWrap/>
          </w:tcPr>
          <w:p w14:paraId="1D95EA02"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c>
          <w:tcPr>
            <w:tcW w:w="2168" w:type="dxa"/>
            <w:noWrap/>
          </w:tcPr>
          <w:p w14:paraId="1B3F020E"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c>
          <w:tcPr>
            <w:tcW w:w="4125" w:type="dxa"/>
          </w:tcPr>
          <w:p w14:paraId="5B3E96D2" w14:textId="0BEAE59E" w:rsidR="00A92A05" w:rsidRPr="00D356AC"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Improves measures in a mouse model of COPD induced endothelial damage </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{"citationID":"tGn0thxj","properties":{"formattedCitation":"[10]","plainCitation":"[10]","noteIndex":0},"citationItems":[{"id":11576,"uris":["http://zotero.org/users/7565624/items/FPMPEFT9"],"itemData":{"id":11576,"type":"article-journal","abstract":"Background: Oxidative stress-mediated mitochondrial dysfunction is a key determinant of epithelial injury in COPD patients. Mitochondrial dysfunction as a drug target for COPD treatment is relatively under-explored.\nObjective: This study aimed to investigate the therapeutic potential of FDA-approved mitochondria-targeted antioxidant and neutraceutical, pyrroloquinoline quinone (PQQ) in COPD conditions.\nMethods: The therapeutic benefits of PQQ were evaluated in cigarette smoke extract (CSE) treated bronchial epithelial cells by examining epithelial cell integrity. Further, the effect of PQQ was evaluated in the mice model of COPD by giving PQQ orally. Finally, an open-labeled randomized clinical trial (RCT) was performed at the outpatient department of AIIMS, New Delhi. One group received standard therapy and the other received PQQ supplement along with standard therapy. The primary endpoint was the mean change from baseline in the SGRQ scores at the end of 12 weeks.\nResults: In CSE-treated epithelial cells, treatment with PQQ was found to restore the mitochondrial function, and reduce epithelial injury. Naïve mice treated with cigarette and biomass smoke exhibited inflammation and emphysematous changes. PQQ-mediated restoration of mitochondrial homeostasis attenuated smoke-induced emphysematous changes. In the case of RCT, PQQ treatment was associated with significant improvement in total SGRQ score after 12 weeks.\nConclusions: Our results suggest the benefits of a mitochondrial-specific antioxidant therapy in COPD conditions. Hence the anti-inflammatory nature of mitochondria-targeted neutraceuticals could be a potential add-on treatment in patients with COPD.","container-title":"European Respiratory Journal","DOI":"10.1183/13993003.congress-2022.1661","ISSN":"0903-1936, 1399-3003","issue":"suppl 66","language":"en","license":"Copyright ©the authors 2022","note":"publisher: European Respiratory Society\nsection: 05.01 - Airway pharmacology and treatment","source":"erj.ersjournals.com","title":"Effect of a nutraceutical drug in COPD condition: A pilot study of in vitro, in vivo and Clinical Trial","title-short":"Effect of a nutraceutical drug in COPD condition","URL":"https://erj.ersjournals.com/content/60/suppl_66/1661","volume":"60","author":[{"family":"Pattnaik","given":"B. R."},{"family":"Bhatraju","given":"N."},{"family":"Kashyap","given":"S."},{"family":"Verma","given":"U."},{"family":"Madan","given":"K."},{"family":"Guleria","given":"R."},{"family":"Agrawal","given":"A."},{"family":"Mohan","given":"A."}],"accessed":{"date-parts":[["2023",6,23]]},"issued":{"date-parts":[["2022",9,4]]}}}],"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D356AC">
              <w:rPr>
                <w:rFonts w:ascii="Times New Roman" w:hAnsi="Times New Roman" w:cs="Times New Roman"/>
                <w:sz w:val="14"/>
              </w:rPr>
              <w:t>[10]</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3B898423" w14:textId="77777777" w:rsidTr="00B46704">
        <w:trPr>
          <w:trHeight w:val="300"/>
        </w:trPr>
        <w:tc>
          <w:tcPr>
            <w:tcW w:w="993" w:type="dxa"/>
            <w:noWrap/>
          </w:tcPr>
          <w:p w14:paraId="2F9D9808" w14:textId="715AB715"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lastRenderedPageBreak/>
              <w:t>Cold Exposure</w:t>
            </w:r>
          </w:p>
        </w:tc>
        <w:tc>
          <w:tcPr>
            <w:tcW w:w="1126" w:type="dxa"/>
            <w:noWrap/>
          </w:tcPr>
          <w:p w14:paraId="4BDE36E2"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c>
          <w:tcPr>
            <w:tcW w:w="2168" w:type="dxa"/>
            <w:noWrap/>
          </w:tcPr>
          <w:p w14:paraId="26EC5CFC"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c>
          <w:tcPr>
            <w:tcW w:w="4125" w:type="dxa"/>
          </w:tcPr>
          <w:p w14:paraId="54B80411" w14:textId="750C9ED6" w:rsidR="00A92A05" w:rsidRPr="00A92A05"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N/A</w:t>
            </w:r>
          </w:p>
        </w:tc>
      </w:tr>
      <w:tr w:rsidR="00A92A05" w:rsidRPr="00903922" w14:paraId="08DD24CD" w14:textId="77777777" w:rsidTr="00B46704">
        <w:trPr>
          <w:trHeight w:val="300"/>
        </w:trPr>
        <w:tc>
          <w:tcPr>
            <w:tcW w:w="993" w:type="dxa"/>
            <w:noWrap/>
          </w:tcPr>
          <w:p w14:paraId="60292699" w14:textId="541D17CC"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Exercise</w:t>
            </w:r>
          </w:p>
        </w:tc>
        <w:tc>
          <w:tcPr>
            <w:tcW w:w="1126" w:type="dxa"/>
            <w:noWrap/>
          </w:tcPr>
          <w:p w14:paraId="374CC323" w14:textId="77777777"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517 Studies for all spike protein related diseases</w:t>
            </w:r>
          </w:p>
          <w:p w14:paraId="25BAACCD" w14:textId="3EC533D0"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61 Studies for long covid or vaccine injury</w:t>
            </w:r>
          </w:p>
        </w:tc>
        <w:tc>
          <w:tcPr>
            <w:tcW w:w="2168" w:type="dxa"/>
            <w:noWrap/>
          </w:tcPr>
          <w:p w14:paraId="0583F98F" w14:textId="7F628655"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Of 61 Studies, 11 completed</w:t>
            </w:r>
          </w:p>
        </w:tc>
        <w:tc>
          <w:tcPr>
            <w:tcW w:w="4125" w:type="dxa"/>
          </w:tcPr>
          <w:p w14:paraId="3309A88F" w14:textId="360FB624" w:rsidR="00A92A05" w:rsidRPr="00D356AC"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Improvement in cardiorespiratory fitness in long covid</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{"citationID":"htb2Sa5a","properties":{"formattedCitation":"[11\\uc0\\u8211{}13]","plainCitation":"[11–13]","noteIndex":0},"citationItems":[{"id":11578,"uris":["http://zotero.org/users/7565624/items/JE88BLDP"],"itemData":{"id":11578,"type":"article-journal","abstract":"In the first phase of the coronavirus disease 2019 (COVID-19) pandemic early in 2020, the main scientific effort was devoted to find the best way to treat the acute phase of the disease. Subsequently, partially because of the availability of long-term follow-up data, there has been an increased attention to chronic consequences of COVID-19 infection. Since follow-up data up to more than 1 year are now available, long COVID-19 has been increasingly recognized, with symptoms lasting several months.1,2According to a recent meta-analysis including 47 910 patients (age 17–87), more than 50 long-term effects of COVID-19 are recognized. The five most common symptoms of long COVID-19 were fatigue (58%), headache (44%), attention disorder (27%), hair loss (25%), and dyspnoea (24%).3 At 6 months after acute infection, COVID-19 survivors were mainly troubled with fatigue or muscle weakness (63%), sleep difficulties (26%), and anxiety or depression (23%).4 In our recent study, at 3 months after hospital discharge, half of the COVID-19 survivors showed a significant reduction in cardiorespiratory fitness, mainly explained by muscular impairment of the legs.5 Furthermore, patients who experienced persistent symptoms after COVID-19 demonstrated a significantly decreased distance at 6-min walking test 6 months after the onset of symptoms.6 The exact mechanisms underlying this exercise capacity reduction and functional limitation are not clear in long COVID-19 patients, but it seems that muscle impairment is an important determinant of this condition.","container-title":"European Journal of Preventive Cardiology","DOI":"10.1093/eurjpc/zwac019","ISSN":"2047-4873","issue":"7","journalAbbreviation":"European Journal of Preventive Cardiology","page":"e258-e260","source":"Silverchair","title":"Effects of exercise rehabilitation in patients with long coronavirus disease 2019","URL":"https://doi.org/10.1093/eurjpc/zwac019","volume":"29","author":[{"family":"Barbara","given":"Cristina"},{"family":"Clavario","given":"Piero"},{"family":"De Marzo","given":"Vincenzo"},{"family":"Lotti","given":"Roberta"},{"family":"Guglielmi","given":"Giulia"},{"family":"Porcile","given":"Annalisa"},{"family":"Russo","given":"Carmelo"},{"family":"Griffo","given":"Raffaele"},{"family":"Mäkikallio","given":"Timo"},{"family":"Hautala","given":"Arto Jorma"},{"family":"Porto","given":"Italo"}],"accessed":{"date-parts":[["2023",6,23]]},"issued":{"date-parts":[["2022",5,1]]}}},{"id":11580,"uris":["http://zotero.org/users/7565624/items/L7685BFH"],"itemData":{"id":11580,"type":"article-journal","abstract":"Background: COVID-19 survivors face the risk of long-term sequelae including fatigue, breathlessness, and functional limitations. Pulmonary rehabilitation has been recommended, although formal studies quantifying the effect of rehabilitation in COVID-19 patients are lacking. Methods: We conducted a prospective observational cohort study including consecutive patients admitted to an outpatient pulmonary rehabilitation center due to persistent symptoms after COVID-19. The primary endpoint was change in 6-min walk distance (6MWD) after undergoing a 6-week interdisciplinary individualized pulmonary rehabilitation program. Secondary endpoints included change in the post-COVID-19 functional status (PCFS) scale, Borg dyspnea scale, Fatigue Assessment Scale, and quality of life. Further, changes in pulmonary function tests were explored. Results: Of 64 patients undergoing rehabilitation, 58 patients (mean age 47 years, 43% women, 38% severe/critical COVID-19) were included in the per-protocol-analysis. At baseline (i.e., in mean 4.4 months after infection onset), mean 6MWD was 584.1 m (±95.0), and functional impairment was graded in median at 2 (IQR, 2–3) on the PCFS. On average, patients improved their 6MWD by 62.9 m (±48.2, p &amp;lt; 0.001) and reported an improvement of 1 grade on the PCFS scale. Accordingly, we observed significant improvements across secondary endpoints including presence of dyspnea (p &amp;lt; 0.001), fatigue (p &amp;lt; 0.001), and quality of life (p &amp;lt; 0.001). Also, pulmonary function parameters (forced expiratory volume in 1 s, lung diffusion capacity, inspiratory muscle pressure) significantly increased during rehabilitation. Conclusion: In patients with long COVID, exercise capacity, functional status, dyspnea, fatigue, and quality of life improved after 6 weeks of personalized interdisciplinary pulmonary rehabilitation. Future studies are needed to establish the optimal protocol, duration, and long-term benefits as well as cost-effectiveness of rehabilitation.","container-title":"Respiration","DOI":"10.1159/000522118","ISSN":"0025-7931","issue":"6","journalAbbreviation":"Respiration","page":"593-601","source":"Silverchair","title":"Outpatient Pulmonary Rehabilitation in Patients with Long COVID Improves Exercise Capacity, Functional Status, Dyspnea, Fatigue, and Quality of Life","URL":"https://doi.org/10.1159/000522118","volume":"101","author":[{"family":"Nopp","given":"Stephan"},{"family":"Moik","given":"Florian"},{"family":"Klok","given":"Frederikus A."},{"family":"Gattinger","given":"Dietlinde"},{"family":"Petrovic","given":"Milos"},{"family":"Vonbank","given":"Karin"},{"family":"Koczulla","given":"Andreas R."},{"family":"Ay","given":"Cihan"},{"family":"Zwick","given":"Ralf Harun"}],"accessed":{"date-parts":[["2023",6,23]]},"issued":{"date-parts":[["2022",2,24]]}}},{"id":11581,"uris":["http://zotero.org/users/7565624/items/5AGUCLE8"],"itemData":{"id":11581,"type":"article-journal","abstract":"Background\nCOVID-19-related acute respiratory distress syndrome (CARDS) is a severe evolution of the Sars-Cov-2 infection and necessitates intensive care. COVID-19 may subsequently be associated with long COVID, whose symptoms can include persistent respiratory symptoms up to 1 year later. Rehabilitation is currently recommended by most guidelines for people with this condition.\nObjectives\nTo evaluate the effects of exercise training rehabilitation (ETR) on dyspnoea and health-related quality of life measures in people with continuing respiratory discomfort following CARDS.\nMethods\nIn this multicentre, two-arm, parallel, open, assessor-blinded, randomised controlled trial, we enroled adults previously admitted with CARDS to 3 French intensive care units who had been discharged at least 3 months earlier and who presented with an mMRC dyspnoea scale score &gt; 1. Participants received either ETR or standard physiotherapy (SP) for 90 days. The primary outcome was dyspnoea, as measured by the Multidimensional Dyspnoea Profile (MDP), at day 0 (inclusion) and after 90 days of physiotherapy. Secondary outcomes were the mMRC and 12-item Short-Form Survey scores.\nResults\nBetween August 7, 2020, and January 26, 2022, 487 participants with CARDS were screened for inclusion, of whom 60 were randomly assigned to receive either ETR (n = 27) or SP (n = 33). Mean MDP following ETR was 42% lower than after SP (26.15 vs. 44.76); a difference of -18.61 (95% CI -27.78 to -9.44; p&lt;10−4).\nConclusion\nPeople who were still suffering from breathlessness three months after being discharged from hospital with CARDS had significantly improved dyspnoea scores when treated with ETR therapy for 90 days unlike those who only received SP. Study registered 29/09/2020 on Clinicaltrials.gov (NCT04569266).","container-title":"Annals of Physical and Rehabilitation Medicine","DOI":"10.1016/j.rehab.2023.101765","ISSN":"1877-0657","issue":"5","journalAbbreviation":"Annals of Physical and Rehabilitation Medicine","language":"en","page":"101765","source":"ScienceDirect","title":"Effectiveness of exercise training on the dyspnoea of individuals with long COVID: A randomised controlled multicentre trial","title-short":"Effectiveness of exercise training on the dyspnoea of individuals with long COVID","URL":"https://www.sciencedirect.com/science/article/pii/S1877065723000362","volume":"66","author":[{"family":"Romanet","given":"Christophe"},{"family":"Wormser","given":"Johan"},{"family":"Fels","given":"Audrey"},{"family":"Lucas","given":"Pauline"},{"family":"Prudat","given":"Camille"},{"family":"Sacco","given":"Emmanuelle"},{"family":"Bruel","given":"Cédric"},{"family":"Plantefève","given":"Gaëtan"},{"family":"Pene","given":"Frédéric"},{"family":"Chatellier","given":"Gilles"},{"family":"Philippart","given":"François"}],"accessed":{"date-parts":[["2023",6,23]]},"issued":{"date-parts":[["2023",6,1]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8224C5">
              <w:rPr>
                <w:rFonts w:ascii="Times New Roman" w:hAnsi="Times New Roman" w:cs="Times New Roman"/>
                <w:kern w:val="0"/>
                <w:sz w:val="14"/>
                <w:szCs w:val="24"/>
              </w:rPr>
              <w:t>[11–13]</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5F81BA5C" w14:textId="70FE90A1" w:rsidTr="00B46704">
        <w:trPr>
          <w:trHeight w:val="300"/>
        </w:trPr>
        <w:tc>
          <w:tcPr>
            <w:tcW w:w="993" w:type="dxa"/>
            <w:noWrap/>
            <w:hideMark/>
          </w:tcPr>
          <w:p w14:paraId="005C000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Nitric Oxide</w:t>
            </w:r>
          </w:p>
        </w:tc>
        <w:tc>
          <w:tcPr>
            <w:tcW w:w="1126" w:type="dxa"/>
            <w:noWrap/>
            <w:hideMark/>
          </w:tcPr>
          <w:p w14:paraId="6479698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NCT04421508</w:t>
            </w:r>
          </w:p>
        </w:tc>
        <w:tc>
          <w:tcPr>
            <w:tcW w:w="2168" w:type="dxa"/>
            <w:noWrap/>
            <w:hideMark/>
          </w:tcPr>
          <w:p w14:paraId="20D326B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TERMINATED</w:t>
            </w:r>
          </w:p>
        </w:tc>
        <w:tc>
          <w:tcPr>
            <w:tcW w:w="4125" w:type="dxa"/>
          </w:tcPr>
          <w:p w14:paraId="70FF6539" w14:textId="64BAC374" w:rsidR="00A92A05" w:rsidRPr="008224C5"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Reduced viral load in Covid-19 infection</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{"citationID":"6uqF9HMU","properties":{"formattedCitation":"[14]","plainCitation":"[14]","noteIndex":0},"citationItems":[{"id":11586,"uris":["http://zotero.org/users/7565624/items/XGICEHFD"],"itemData":{"id":11586,"type":"article-journal","abstract":"Baek et al.1 investigated the duration of COVID-19 virus shedding in infected patients and demonstrated that even in patients demonstrating prolonged viral clearance, the virus was no longer viable after 15 days post onset of symptoms. Our study aimed to measure whether nitric oxide nasal spray (NONS) further accelerates this reduction in SARS-CoV-2 RNA load versus a control arm with saline spray. Our study recruited 80 participants who were divided into a NONS treatment arm or a placebo arm to test the efficacy of NONS as a treatment for mild COVID-19 infection.","container-title":"Journal of Infection","DOI":"10.1016/j.jinf.2021.05.009","ISSN":"0163-4453","issue":"2","journalAbbreviation":"Journal of Infection","language":"en","page":"237-279","source":"ScienceDirect","title":"Clinical efficacy of nitric oxide nasal spray (NONS) for the treatment of mild COVID-19 infection","URL":"https://www.sciencedirect.com/science/article/pii/S0163445321002516","volume":"83","author":[{"family":"Winchester","given":"Stephen"},{"family":"John","given":"Sarah"},{"family":"Jabbar","given":"Kashif"},{"family":"John","given":"Isaac"}],"accessed":{"date-parts":[["2023",6,23]]},"issued":{"date-parts":[["2021",8,1]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8224C5">
              <w:rPr>
                <w:rFonts w:ascii="Times New Roman" w:hAnsi="Times New Roman" w:cs="Times New Roman"/>
                <w:sz w:val="14"/>
              </w:rPr>
              <w:t>[14]</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4B6B2D56" w14:textId="2D0B7BB0" w:rsidTr="00B46704">
        <w:trPr>
          <w:trHeight w:val="300"/>
        </w:trPr>
        <w:tc>
          <w:tcPr>
            <w:tcW w:w="993" w:type="dxa"/>
            <w:noWrap/>
            <w:hideMark/>
          </w:tcPr>
          <w:p w14:paraId="0ED740E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72E0A8F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NCT03331445</w:t>
            </w:r>
          </w:p>
        </w:tc>
        <w:tc>
          <w:tcPr>
            <w:tcW w:w="2168" w:type="dxa"/>
            <w:noWrap/>
            <w:hideMark/>
          </w:tcPr>
          <w:p w14:paraId="2FBEF289"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TERMINATED</w:t>
            </w:r>
          </w:p>
        </w:tc>
        <w:tc>
          <w:tcPr>
            <w:tcW w:w="4125" w:type="dxa"/>
          </w:tcPr>
          <w:p w14:paraId="2C94D90B"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4A04EBFC" w14:textId="065C74E9" w:rsidTr="00B46704">
        <w:trPr>
          <w:trHeight w:val="300"/>
        </w:trPr>
        <w:tc>
          <w:tcPr>
            <w:tcW w:w="993" w:type="dxa"/>
            <w:noWrap/>
            <w:hideMark/>
          </w:tcPr>
          <w:p w14:paraId="69B7259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3229FA8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NCT04306393</w:t>
            </w:r>
          </w:p>
        </w:tc>
        <w:tc>
          <w:tcPr>
            <w:tcW w:w="2168" w:type="dxa"/>
            <w:noWrap/>
            <w:hideMark/>
          </w:tcPr>
          <w:p w14:paraId="0F7D03B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23FDBEAD"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EF24B37" w14:textId="25A0D4E1" w:rsidTr="00B46704">
        <w:trPr>
          <w:trHeight w:val="300"/>
        </w:trPr>
        <w:tc>
          <w:tcPr>
            <w:tcW w:w="993" w:type="dxa"/>
            <w:noWrap/>
            <w:hideMark/>
          </w:tcPr>
          <w:p w14:paraId="39DDEE3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1208EC1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NCT05109611</w:t>
            </w:r>
          </w:p>
        </w:tc>
        <w:tc>
          <w:tcPr>
            <w:tcW w:w="2168" w:type="dxa"/>
            <w:noWrap/>
            <w:hideMark/>
          </w:tcPr>
          <w:p w14:paraId="7B55A04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ACTIVE_NOT_RECRUITING</w:t>
            </w:r>
          </w:p>
        </w:tc>
        <w:tc>
          <w:tcPr>
            <w:tcW w:w="4125" w:type="dxa"/>
          </w:tcPr>
          <w:p w14:paraId="26139009"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20D6DA9F" w14:textId="502C223C" w:rsidTr="00B46704">
        <w:trPr>
          <w:trHeight w:val="300"/>
        </w:trPr>
        <w:tc>
          <w:tcPr>
            <w:tcW w:w="993" w:type="dxa"/>
            <w:noWrap/>
            <w:hideMark/>
          </w:tcPr>
          <w:p w14:paraId="6510364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39FEA612"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NCT04388683</w:t>
            </w:r>
          </w:p>
        </w:tc>
        <w:tc>
          <w:tcPr>
            <w:tcW w:w="2168" w:type="dxa"/>
            <w:noWrap/>
            <w:hideMark/>
          </w:tcPr>
          <w:p w14:paraId="7935D26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TERMINATED</w:t>
            </w:r>
          </w:p>
        </w:tc>
        <w:tc>
          <w:tcPr>
            <w:tcW w:w="4125" w:type="dxa"/>
          </w:tcPr>
          <w:p w14:paraId="482A4977"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3532688A" w14:textId="5BEC2C43" w:rsidTr="00B46704">
        <w:trPr>
          <w:trHeight w:val="300"/>
        </w:trPr>
        <w:tc>
          <w:tcPr>
            <w:tcW w:w="993" w:type="dxa"/>
            <w:noWrap/>
            <w:hideMark/>
          </w:tcPr>
          <w:p w14:paraId="6D8DC79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7330120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NCT04460183</w:t>
            </w:r>
          </w:p>
        </w:tc>
        <w:tc>
          <w:tcPr>
            <w:tcW w:w="2168" w:type="dxa"/>
            <w:noWrap/>
            <w:hideMark/>
          </w:tcPr>
          <w:p w14:paraId="162F71E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0E6AF11E"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596940D4" w14:textId="74B05A52" w:rsidTr="00B46704">
        <w:trPr>
          <w:trHeight w:val="300"/>
        </w:trPr>
        <w:tc>
          <w:tcPr>
            <w:tcW w:w="993" w:type="dxa"/>
            <w:noWrap/>
            <w:hideMark/>
          </w:tcPr>
          <w:p w14:paraId="69E14EF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03A076D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NCT04606407</w:t>
            </w:r>
          </w:p>
        </w:tc>
        <w:tc>
          <w:tcPr>
            <w:tcW w:w="2168" w:type="dxa"/>
            <w:noWrap/>
            <w:hideMark/>
          </w:tcPr>
          <w:p w14:paraId="3DFACBC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2C85F7A6"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ECDCBD5" w14:textId="2AFFD5B1" w:rsidTr="00B46704">
        <w:trPr>
          <w:trHeight w:val="300"/>
        </w:trPr>
        <w:tc>
          <w:tcPr>
            <w:tcW w:w="993" w:type="dxa"/>
            <w:noWrap/>
            <w:hideMark/>
          </w:tcPr>
          <w:p w14:paraId="35E8D83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40BA74B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NCT05430503</w:t>
            </w:r>
          </w:p>
        </w:tc>
        <w:tc>
          <w:tcPr>
            <w:tcW w:w="2168" w:type="dxa"/>
            <w:noWrap/>
            <w:hideMark/>
          </w:tcPr>
          <w:p w14:paraId="4C1D658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33B5BFDE"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0ADCEC38" w14:textId="0038CDDC" w:rsidTr="00B46704">
        <w:trPr>
          <w:trHeight w:val="300"/>
        </w:trPr>
        <w:tc>
          <w:tcPr>
            <w:tcW w:w="993" w:type="dxa"/>
            <w:noWrap/>
            <w:hideMark/>
          </w:tcPr>
          <w:p w14:paraId="58117CA6"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31E7D71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NCT04610554</w:t>
            </w:r>
          </w:p>
        </w:tc>
        <w:tc>
          <w:tcPr>
            <w:tcW w:w="2168" w:type="dxa"/>
            <w:noWrap/>
            <w:hideMark/>
          </w:tcPr>
          <w:p w14:paraId="2632EDE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1E3E2BD1"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71FE14C3" w14:textId="0A908CD7" w:rsidTr="00B46704">
        <w:trPr>
          <w:trHeight w:val="300"/>
        </w:trPr>
        <w:tc>
          <w:tcPr>
            <w:tcW w:w="993" w:type="dxa"/>
            <w:noWrap/>
            <w:hideMark/>
          </w:tcPr>
          <w:p w14:paraId="585ED026"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4864174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NCT04312243</w:t>
            </w:r>
          </w:p>
        </w:tc>
        <w:tc>
          <w:tcPr>
            <w:tcW w:w="2168" w:type="dxa"/>
            <w:noWrap/>
            <w:hideMark/>
          </w:tcPr>
          <w:p w14:paraId="42DEA21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ACTIVE_NOT_RECRUITING</w:t>
            </w:r>
          </w:p>
        </w:tc>
        <w:tc>
          <w:tcPr>
            <w:tcW w:w="4125" w:type="dxa"/>
          </w:tcPr>
          <w:p w14:paraId="6677C482"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66A2162E" w14:textId="5F06B132" w:rsidTr="00B46704">
        <w:trPr>
          <w:trHeight w:val="300"/>
        </w:trPr>
        <w:tc>
          <w:tcPr>
            <w:tcW w:w="993" w:type="dxa"/>
            <w:noWrap/>
            <w:hideMark/>
          </w:tcPr>
          <w:p w14:paraId="3B6F821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3FDD782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NCT04728919</w:t>
            </w:r>
          </w:p>
        </w:tc>
        <w:tc>
          <w:tcPr>
            <w:tcW w:w="2168" w:type="dxa"/>
            <w:noWrap/>
            <w:hideMark/>
          </w:tcPr>
          <w:p w14:paraId="2E574FE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ACTIVE_NOT_RECRUITING</w:t>
            </w:r>
          </w:p>
        </w:tc>
        <w:tc>
          <w:tcPr>
            <w:tcW w:w="4125" w:type="dxa"/>
          </w:tcPr>
          <w:p w14:paraId="1EC8B437"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05727657" w14:textId="5A57D5C8" w:rsidTr="00B46704">
        <w:trPr>
          <w:trHeight w:val="300"/>
        </w:trPr>
        <w:tc>
          <w:tcPr>
            <w:tcW w:w="993" w:type="dxa"/>
            <w:noWrap/>
            <w:hideMark/>
          </w:tcPr>
          <w:p w14:paraId="7339CFC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0BE5FDA9"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NCT04397692</w:t>
            </w:r>
          </w:p>
        </w:tc>
        <w:tc>
          <w:tcPr>
            <w:tcW w:w="2168" w:type="dxa"/>
            <w:noWrap/>
            <w:hideMark/>
          </w:tcPr>
          <w:p w14:paraId="1140FE8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TERMINATED</w:t>
            </w:r>
          </w:p>
        </w:tc>
        <w:tc>
          <w:tcPr>
            <w:tcW w:w="4125" w:type="dxa"/>
          </w:tcPr>
          <w:p w14:paraId="76B1336B"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D7F041E" w14:textId="7A4204BF" w:rsidTr="00B46704">
        <w:trPr>
          <w:trHeight w:val="300"/>
        </w:trPr>
        <w:tc>
          <w:tcPr>
            <w:tcW w:w="993" w:type="dxa"/>
            <w:noWrap/>
            <w:hideMark/>
          </w:tcPr>
          <w:p w14:paraId="13329889"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17128AB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NCT05715788</w:t>
            </w:r>
          </w:p>
        </w:tc>
        <w:tc>
          <w:tcPr>
            <w:tcW w:w="2168" w:type="dxa"/>
            <w:noWrap/>
            <w:hideMark/>
          </w:tcPr>
          <w:p w14:paraId="3D5FC11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RECRUITING</w:t>
            </w:r>
          </w:p>
        </w:tc>
        <w:tc>
          <w:tcPr>
            <w:tcW w:w="4125" w:type="dxa"/>
          </w:tcPr>
          <w:p w14:paraId="51BD04E7"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7A5D69D1" w14:textId="477A97B3" w:rsidTr="00B46704">
        <w:trPr>
          <w:trHeight w:val="300"/>
        </w:trPr>
        <w:tc>
          <w:tcPr>
            <w:tcW w:w="993" w:type="dxa"/>
            <w:noWrap/>
            <w:hideMark/>
          </w:tcPr>
          <w:p w14:paraId="2CCDC34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6CCA10A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NCT04476992</w:t>
            </w:r>
          </w:p>
        </w:tc>
        <w:tc>
          <w:tcPr>
            <w:tcW w:w="2168" w:type="dxa"/>
            <w:noWrap/>
            <w:hideMark/>
          </w:tcPr>
          <w:p w14:paraId="1EECB80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451A79DB"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DF9BAB2" w14:textId="6512BD04" w:rsidTr="00B46704">
        <w:trPr>
          <w:trHeight w:val="300"/>
        </w:trPr>
        <w:tc>
          <w:tcPr>
            <w:tcW w:w="993" w:type="dxa"/>
            <w:noWrap/>
            <w:hideMark/>
          </w:tcPr>
          <w:p w14:paraId="6CB15F6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6BA4C7C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NCT04601077</w:t>
            </w:r>
          </w:p>
        </w:tc>
        <w:tc>
          <w:tcPr>
            <w:tcW w:w="2168" w:type="dxa"/>
            <w:noWrap/>
            <w:hideMark/>
          </w:tcPr>
          <w:p w14:paraId="2B92134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TERMINATED</w:t>
            </w:r>
          </w:p>
        </w:tc>
        <w:tc>
          <w:tcPr>
            <w:tcW w:w="4125" w:type="dxa"/>
          </w:tcPr>
          <w:p w14:paraId="1AEA3AF1"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34899C14" w14:textId="5D9783FF" w:rsidTr="00B46704">
        <w:trPr>
          <w:trHeight w:val="300"/>
        </w:trPr>
        <w:tc>
          <w:tcPr>
            <w:tcW w:w="993" w:type="dxa"/>
            <w:noWrap/>
            <w:hideMark/>
          </w:tcPr>
          <w:p w14:paraId="107C11D6"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02C50A0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NCT05012319</w:t>
            </w:r>
          </w:p>
        </w:tc>
        <w:tc>
          <w:tcPr>
            <w:tcW w:w="2168" w:type="dxa"/>
            <w:noWrap/>
            <w:hideMark/>
          </w:tcPr>
          <w:p w14:paraId="5C1F36E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RECRUITING</w:t>
            </w:r>
          </w:p>
        </w:tc>
        <w:tc>
          <w:tcPr>
            <w:tcW w:w="4125" w:type="dxa"/>
          </w:tcPr>
          <w:p w14:paraId="18AFAADA"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453F0F15" w14:textId="626AEA1B" w:rsidTr="00B46704">
        <w:trPr>
          <w:trHeight w:val="300"/>
        </w:trPr>
        <w:tc>
          <w:tcPr>
            <w:tcW w:w="993" w:type="dxa"/>
            <w:noWrap/>
            <w:hideMark/>
          </w:tcPr>
          <w:p w14:paraId="1E356E2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02D0960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NCT05599919</w:t>
            </w:r>
          </w:p>
        </w:tc>
        <w:tc>
          <w:tcPr>
            <w:tcW w:w="2168" w:type="dxa"/>
            <w:noWrap/>
            <w:hideMark/>
          </w:tcPr>
          <w:p w14:paraId="17196B8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3AA3FAE8"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74AEE98C" w14:textId="0DC8F5F5" w:rsidTr="00B46704">
        <w:trPr>
          <w:trHeight w:val="300"/>
        </w:trPr>
        <w:tc>
          <w:tcPr>
            <w:tcW w:w="993" w:type="dxa"/>
            <w:noWrap/>
            <w:hideMark/>
          </w:tcPr>
          <w:p w14:paraId="1F327ED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6F3881E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NCT04383002</w:t>
            </w:r>
          </w:p>
        </w:tc>
        <w:tc>
          <w:tcPr>
            <w:tcW w:w="2168" w:type="dxa"/>
            <w:noWrap/>
            <w:hideMark/>
          </w:tcPr>
          <w:p w14:paraId="65DD450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71906D0D"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39526FF4" w14:textId="019DE123" w:rsidTr="00B46704">
        <w:trPr>
          <w:trHeight w:val="300"/>
        </w:trPr>
        <w:tc>
          <w:tcPr>
            <w:tcW w:w="993" w:type="dxa"/>
            <w:noWrap/>
            <w:hideMark/>
          </w:tcPr>
          <w:p w14:paraId="75429A4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1726019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NCT04445246</w:t>
            </w:r>
          </w:p>
        </w:tc>
        <w:tc>
          <w:tcPr>
            <w:tcW w:w="2168" w:type="dxa"/>
            <w:noWrap/>
            <w:hideMark/>
          </w:tcPr>
          <w:p w14:paraId="2817EFA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20D29FC2"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4AA4FEEE" w14:textId="1EDCA1FA" w:rsidTr="00B46704">
        <w:trPr>
          <w:trHeight w:val="300"/>
        </w:trPr>
        <w:tc>
          <w:tcPr>
            <w:tcW w:w="993" w:type="dxa"/>
            <w:noWrap/>
            <w:hideMark/>
          </w:tcPr>
          <w:p w14:paraId="2A9DAEA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7E41C2F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NCT05715762</w:t>
            </w:r>
          </w:p>
        </w:tc>
        <w:tc>
          <w:tcPr>
            <w:tcW w:w="2168" w:type="dxa"/>
            <w:noWrap/>
            <w:hideMark/>
          </w:tcPr>
          <w:p w14:paraId="3BE13B19"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RECRUITING</w:t>
            </w:r>
          </w:p>
        </w:tc>
        <w:tc>
          <w:tcPr>
            <w:tcW w:w="4125" w:type="dxa"/>
          </w:tcPr>
          <w:p w14:paraId="113EACD8"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6F5AC616" w14:textId="06CD0F18" w:rsidTr="00B46704">
        <w:trPr>
          <w:trHeight w:val="300"/>
        </w:trPr>
        <w:tc>
          <w:tcPr>
            <w:tcW w:w="993" w:type="dxa"/>
            <w:noWrap/>
            <w:hideMark/>
          </w:tcPr>
          <w:p w14:paraId="36D4C9E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1C535E4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NCT04337918</w:t>
            </w:r>
          </w:p>
        </w:tc>
        <w:tc>
          <w:tcPr>
            <w:tcW w:w="2168" w:type="dxa"/>
            <w:noWrap/>
            <w:hideMark/>
          </w:tcPr>
          <w:p w14:paraId="45552AE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03C8B90E"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6490FBE3" w14:textId="1E3C56F4" w:rsidTr="00B46704">
        <w:trPr>
          <w:trHeight w:val="300"/>
        </w:trPr>
        <w:tc>
          <w:tcPr>
            <w:tcW w:w="993" w:type="dxa"/>
            <w:noWrap/>
            <w:hideMark/>
          </w:tcPr>
          <w:p w14:paraId="086E3DB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08427BE9"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NCT04338828</w:t>
            </w:r>
          </w:p>
        </w:tc>
        <w:tc>
          <w:tcPr>
            <w:tcW w:w="2168" w:type="dxa"/>
            <w:noWrap/>
            <w:hideMark/>
          </w:tcPr>
          <w:p w14:paraId="799858B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TERMINATED</w:t>
            </w:r>
          </w:p>
        </w:tc>
        <w:tc>
          <w:tcPr>
            <w:tcW w:w="4125" w:type="dxa"/>
          </w:tcPr>
          <w:p w14:paraId="0BE08844"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6B46F167" w14:textId="2C62E6D0" w:rsidTr="00B46704">
        <w:trPr>
          <w:trHeight w:val="300"/>
        </w:trPr>
        <w:tc>
          <w:tcPr>
            <w:tcW w:w="993" w:type="dxa"/>
            <w:noWrap/>
            <w:hideMark/>
          </w:tcPr>
          <w:p w14:paraId="291C1A5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362B6482"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NCT04305457</w:t>
            </w:r>
          </w:p>
        </w:tc>
        <w:tc>
          <w:tcPr>
            <w:tcW w:w="2168" w:type="dxa"/>
            <w:noWrap/>
            <w:hideMark/>
          </w:tcPr>
          <w:p w14:paraId="39BB8E1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ACTIVE_NOT_RECRUITING</w:t>
            </w:r>
          </w:p>
        </w:tc>
        <w:tc>
          <w:tcPr>
            <w:tcW w:w="4125" w:type="dxa"/>
          </w:tcPr>
          <w:p w14:paraId="693D9772"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79464950" w14:textId="03877FA4" w:rsidTr="00B46704">
        <w:trPr>
          <w:trHeight w:val="300"/>
        </w:trPr>
        <w:tc>
          <w:tcPr>
            <w:tcW w:w="993" w:type="dxa"/>
            <w:noWrap/>
            <w:hideMark/>
          </w:tcPr>
          <w:p w14:paraId="1BA7EF96"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149F080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NCT05721144</w:t>
            </w:r>
          </w:p>
        </w:tc>
        <w:tc>
          <w:tcPr>
            <w:tcW w:w="2168" w:type="dxa"/>
            <w:noWrap/>
            <w:hideMark/>
          </w:tcPr>
          <w:p w14:paraId="34032F9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RECRUITING</w:t>
            </w:r>
          </w:p>
        </w:tc>
        <w:tc>
          <w:tcPr>
            <w:tcW w:w="4125" w:type="dxa"/>
          </w:tcPr>
          <w:p w14:paraId="00386497"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0F2702C5" w14:textId="0AE96D71" w:rsidTr="00B46704">
        <w:trPr>
          <w:trHeight w:val="345"/>
        </w:trPr>
        <w:tc>
          <w:tcPr>
            <w:tcW w:w="993" w:type="dxa"/>
            <w:noWrap/>
            <w:hideMark/>
          </w:tcPr>
          <w:p w14:paraId="18777382"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Lipoic Acid</w:t>
            </w:r>
          </w:p>
        </w:tc>
        <w:tc>
          <w:tcPr>
            <w:tcW w:w="1126" w:type="dxa"/>
            <w:noWrap/>
            <w:hideMark/>
          </w:tcPr>
          <w:p w14:paraId="3996F601" w14:textId="77777777" w:rsidR="00A92A05" w:rsidRPr="00DD5124" w:rsidRDefault="00A92A05" w:rsidP="00DD5124">
            <w:pPr>
              <w:rPr>
                <w:rFonts w:ascii="Times New Roman" w:eastAsia="Times New Roman" w:hAnsi="Times New Roman" w:cs="Times New Roman"/>
                <w:color w:val="495057"/>
                <w:kern w:val="0"/>
                <w:sz w:val="14"/>
                <w:szCs w:val="14"/>
                <w:lang w:eastAsia="en-NL"/>
                <w14:ligatures w14:val="none"/>
              </w:rPr>
            </w:pPr>
            <w:r w:rsidRPr="00DD5124">
              <w:rPr>
                <w:rFonts w:ascii="Times New Roman" w:eastAsia="Times New Roman" w:hAnsi="Times New Roman" w:cs="Times New Roman"/>
                <w:color w:val="495057"/>
                <w:kern w:val="0"/>
                <w:sz w:val="14"/>
                <w:szCs w:val="14"/>
                <w:lang w:eastAsia="en-NL"/>
                <w14:ligatures w14:val="none"/>
              </w:rPr>
              <w:t>NCT05371288</w:t>
            </w:r>
          </w:p>
        </w:tc>
        <w:tc>
          <w:tcPr>
            <w:tcW w:w="2168" w:type="dxa"/>
            <w:noWrap/>
            <w:hideMark/>
          </w:tcPr>
          <w:p w14:paraId="6F684B8B" w14:textId="2AE92470" w:rsidR="00A92A05" w:rsidRPr="002A56A8" w:rsidRDefault="002A56A8"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NOT_YET_RECRUITING</w:t>
            </w:r>
          </w:p>
        </w:tc>
        <w:tc>
          <w:tcPr>
            <w:tcW w:w="4125" w:type="dxa"/>
          </w:tcPr>
          <w:p w14:paraId="38184B6A" w14:textId="439DB985"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Lower mortality and lower rates of organ failure in severe Covid-19 </w:t>
            </w:r>
            <w:r>
              <w:rPr>
                <w:rFonts w:ascii="Times New Roman" w:eastAsia="Times New Roman" w:hAnsi="Times New Roman" w:cs="Times New Roman"/>
                <w:color w:val="000000"/>
                <w:kern w:val="0"/>
                <w:sz w:val="14"/>
                <w:szCs w:val="14"/>
                <w:lang w:eastAsia="en-NL"/>
                <w14:ligatures w14:val="none"/>
              </w:rPr>
              <w:fldChar w:fldCharType="begin"/>
            </w:r>
            <w:r>
              <w:rPr>
                <w:rFonts w:ascii="Times New Roman" w:eastAsia="Times New Roman" w:hAnsi="Times New Roman" w:cs="Times New Roman"/>
                <w:color w:val="000000"/>
                <w:kern w:val="0"/>
                <w:sz w:val="14"/>
                <w:szCs w:val="14"/>
                <w:lang w:eastAsia="en-NL"/>
                <w14:ligatures w14:val="none"/>
              </w:rPr>
              <w:instrText xml:space="preserve"> ADDIN ZOTERO_ITEM CSL_CITATION {"citationID":"s2P68Ix1","properties":{"formattedCitation":"[15]","plainCitation":"[15]","noteIndex":0},"citationItems":[{"id":11589,"uris":["http://zotero.org/users/7565624/items/RB5FIFJT"],"itemData":{"id":11589,"type":"article-journal","abstract":"ObjectTo evaluate the clinical efficacy and safety of α-Lipoic acid (ALA) for critically ill patients with coronavirus disease 2019 (COVID-19).MethodsA randomized, single-blind, group sequential, active-controlled trial was performed at JinYinTan Hospital, Wuhan, China. Between February 2020 and March 2020, 17 patients with critically ill COVID-19 were enrolled in our study. Eligible patients were randomly assigned in a 1:1 ratio to receive either ALA (1200 mg/d, intravenous infusion) once daily plus standard care or standard care plus equal volume saline infusion (placebo) for 7 days. All patients were monitored within the 7 days therapy and followed up to day 30 after therapy. The primary outcome of this study was the Sequential Organ Failure Estimate (SOFA) score, and the secondary outcome was the all-cause mortality within 30 days.ResultNine patients were randomized to placebo group and 8 patients were randomized to ALA group. SOFA score was similar at baseline, increased from 4.3 to 6.0 in the placebo group and increased from 3.8 to 4.0 in the ALA group (P = 0.36) after 7 days. The 30-day all-cause mortality tended to be lower in the ALA group (3/8, 37.5%) compared to that in the placebo group (7/9, 77.8%, P = 0.09).ConclusionIn our study, ALA use is associated with lower SOFA score increase and lower 30-day all-cause mortality as compared with the placebo group. Although the mortality rate was two-folds higher in placebo group than in ALA group, only borderline statistical difference was evidenced due to the limited patient number. Future studies with larger patient cohort are warranted to validate the role of ALA in critically ill patients with COVID-19.Clinical Trial Registrationhttp://www.chictr.org.cn/showproj.aspx?proj=49534.","container-title":"Frontiers in Medicine","ISSN":"2296-858X","source":"Frontiers","title":"A Randomized, Single-Blind, Group Sequential, Active-Controlled Study to Evaluate the Clinical Efficacy and Safety of α-Lipoic Acid for Critically Ill Patients With Coronavirus Disease 2019 (COVID-19)","URL":"https://www.frontiersin.org/articles/10.3389/fmed.2021.566609","volume":"8","author":[{"family":"Zhong","given":"Ming"},{"family":"Sun","given":"Aijun"},{"family":"Xiao","given":"Ting"},{"family":"Yao","given":"Ge"},{"family":"Sang","given":"Ling"},{"family":"Zheng","given":"Xia"},{"family":"Zhang","given":"Jinyan"},{"family":"Jin","given":"Xuejuan"},{"family":"Xu","given":"Lei"},{"family":"Yang","given":"Wenlong"},{"family":"Wang","given":"Peng"},{"family":"Hu","given":"Kai"},{"family":"Zhang","given":"Dingyu"},{"family":"Ge","given":"Junbo"}],"accessed":{"date-parts":[["2023",6,23]]},"issued":{"date-parts":[["2022"]]}}}],"schema":"https://github.com/citation-style-language/schema/raw/master/csl-citation.json"} </w:instrText>
            </w:r>
            <w:r>
              <w:rPr>
                <w:rFonts w:ascii="Times New Roman" w:eastAsia="Times New Roman" w:hAnsi="Times New Roman" w:cs="Times New Roman"/>
                <w:color w:val="000000"/>
                <w:kern w:val="0"/>
                <w:sz w:val="14"/>
                <w:szCs w:val="14"/>
                <w:lang w:eastAsia="en-NL"/>
                <w14:ligatures w14:val="none"/>
              </w:rPr>
              <w:fldChar w:fldCharType="separate"/>
            </w:r>
            <w:r w:rsidRPr="008224C5">
              <w:rPr>
                <w:rFonts w:ascii="Times New Roman" w:hAnsi="Times New Roman" w:cs="Times New Roman"/>
                <w:sz w:val="14"/>
              </w:rPr>
              <w:t>[15]</w:t>
            </w:r>
            <w:r>
              <w:rPr>
                <w:rFonts w:ascii="Times New Roman" w:eastAsia="Times New Roman" w:hAnsi="Times New Roman" w:cs="Times New Roman"/>
                <w:color w:val="000000"/>
                <w:kern w:val="0"/>
                <w:sz w:val="14"/>
                <w:szCs w:val="14"/>
                <w:lang w:eastAsia="en-NL"/>
                <w14:ligatures w14:val="none"/>
              </w:rPr>
              <w:fldChar w:fldCharType="end"/>
            </w:r>
          </w:p>
        </w:tc>
      </w:tr>
      <w:tr w:rsidR="00A92A05" w:rsidRPr="00903922" w14:paraId="795697B7" w14:textId="7C9F4838" w:rsidTr="00B46704">
        <w:trPr>
          <w:trHeight w:val="360"/>
        </w:trPr>
        <w:tc>
          <w:tcPr>
            <w:tcW w:w="993" w:type="dxa"/>
            <w:noWrap/>
            <w:hideMark/>
          </w:tcPr>
          <w:p w14:paraId="66A1E90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Acetyl L-carnitine</w:t>
            </w:r>
          </w:p>
        </w:tc>
        <w:tc>
          <w:tcPr>
            <w:tcW w:w="1126" w:type="dxa"/>
            <w:hideMark/>
          </w:tcPr>
          <w:p w14:paraId="6C748FFF" w14:textId="77777777" w:rsidR="00A92A05" w:rsidRPr="00DD5124" w:rsidRDefault="00A92A05" w:rsidP="00DD5124">
            <w:pPr>
              <w:rPr>
                <w:rFonts w:ascii="Times New Roman" w:eastAsia="Times New Roman" w:hAnsi="Times New Roman" w:cs="Times New Roman"/>
                <w:color w:val="495057"/>
                <w:kern w:val="0"/>
                <w:sz w:val="14"/>
                <w:szCs w:val="14"/>
                <w:lang w:eastAsia="en-NL"/>
                <w14:ligatures w14:val="none"/>
              </w:rPr>
            </w:pPr>
            <w:r w:rsidRPr="00DD5124">
              <w:rPr>
                <w:rFonts w:ascii="Times New Roman" w:eastAsia="Times New Roman" w:hAnsi="Times New Roman" w:cs="Times New Roman"/>
                <w:color w:val="495057"/>
                <w:kern w:val="0"/>
                <w:sz w:val="14"/>
                <w:szCs w:val="14"/>
                <w:lang w:eastAsia="en-NL"/>
                <w14:ligatures w14:val="none"/>
              </w:rPr>
              <w:t>NCT04623619</w:t>
            </w:r>
          </w:p>
        </w:tc>
        <w:tc>
          <w:tcPr>
            <w:tcW w:w="2168" w:type="dxa"/>
            <w:noWrap/>
            <w:hideMark/>
          </w:tcPr>
          <w:p w14:paraId="4EC51229" w14:textId="64ADACBF" w:rsidR="00A92A05" w:rsidRPr="002A56A8" w:rsidRDefault="002A56A8"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UNKNOWN</w:t>
            </w:r>
          </w:p>
        </w:tc>
        <w:tc>
          <w:tcPr>
            <w:tcW w:w="4125" w:type="dxa"/>
          </w:tcPr>
          <w:p w14:paraId="4CF0AE17" w14:textId="77777777" w:rsidR="00A92A05"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Shorter time to recovery when combined with </w:t>
            </w:r>
            <w:r w:rsidRPr="008224C5">
              <w:rPr>
                <w:rFonts w:ascii="Times New Roman" w:eastAsia="Times New Roman" w:hAnsi="Times New Roman" w:cs="Times New Roman"/>
                <w:color w:val="000000"/>
                <w:kern w:val="0"/>
                <w:sz w:val="14"/>
                <w:szCs w:val="14"/>
                <w:lang w:eastAsia="en-NL"/>
                <w14:ligatures w14:val="none"/>
              </w:rPr>
              <w:t>l-serine (serine), NAC, NR, and l-carnitine tartrate (LCAT, the salt form of l-carnitine) </w:t>
            </w:r>
            <w:r>
              <w:rPr>
                <w:rFonts w:ascii="Times New Roman" w:eastAsia="Times New Roman" w:hAnsi="Times New Roman" w:cs="Times New Roman"/>
                <w:color w:val="000000"/>
                <w:kern w:val="0"/>
                <w:sz w:val="14"/>
                <w:szCs w:val="14"/>
                <w:lang w:eastAsia="en-NL"/>
                <w14:ligatures w14:val="none"/>
              </w:rPr>
              <w:fldChar w:fldCharType="begin"/>
            </w:r>
            <w:r>
              <w:rPr>
                <w:rFonts w:ascii="Times New Roman" w:eastAsia="Times New Roman" w:hAnsi="Times New Roman" w:cs="Times New Roman"/>
                <w:color w:val="000000"/>
                <w:kern w:val="0"/>
                <w:sz w:val="14"/>
                <w:szCs w:val="14"/>
                <w:lang w:eastAsia="en-NL"/>
                <w14:ligatures w14:val="none"/>
              </w:rPr>
              <w:instrText xml:space="preserve"> ADDIN ZOTERO_ITEM CSL_CITATION {"citationID":"TYqWr507","properties":{"formattedCitation":"[16]","plainCitation":"[16]","noteIndex":0},"citationItems":[{"id":11591,"uris":["http://zotero.org/users/7565624/items/7PQCXP2A"],"itemData":{"id":11591,"type":"article-journal","abstract":"COVID-19 is associated with mitochondrial dysfunction and metabolic abnormalities, including the deficiencies in nicotinamide adenine dinucleotide (NAD+) and glutathione metabolism. Here it is investigated if administration of a mixture of combined metabolic activators (CMAs) consisting of glutathione and NAD+ precursors can restore metabolic function and thus aid the recovery of COVID-19 patients. CMAs include l-serine, N-acetyl-l-cysteine, nicotinamide riboside, and l-carnitine tartrate, salt form of l-carnitine. Placebo-controlled, open-label phase 2 study and double-blinded phase 3 clinical trials are conducted to investigate the time of symptom-free recovery on ambulatory patients using CMAs. The results of both studies show that the time to complete recovery is significantly shorter in the CMA group (6.6 vs 9.3 d) in phase 2 and (5.7 vs 9.2 d) in phase 3 trials compared to placebo group. A comprehensive analysis of the plasma metabolome and proteome reveals major metabolic changes. Plasma levels of proteins and metabolites associated with inflammation and antioxidant metabolism are significantly improved in patients treated with CMAs as compared to placebo. The results show that treating patients infected with COVID-19 with CMAs lead to a more rapid symptom-free recovery, suggesting a role for such a therapeutic regime in the treatment of infections leading to respiratory problems.","container-title":"Advanced Science","DOI":"10.1002/advs.202101222","ISSN":"2198-3844","issue":"17","language":"en","license":"© 2021 The Authors. Advanced Science published by Wiley-VCH GmbH","note":"_eprint: https://onlinelibrary.wiley.com/doi/pdf/10.1002/advs.202101222","page":"2101222","source":"Wiley Online Library","title":"Combined Metabolic Activators Accelerates Recovery in Mild-to-Moderate COVID-19","URL":"https://onlinelibrary.wiley.com/doi/abs/10.1002/advs.202101222","volume":"8","author":[{"family":"Altay","given":"Ozlem"},{"family":"Arif","given":"Muhammad"},{"family":"Li","given":"Xiangyu"},{"family":"Yang","given":"Hong"},{"family":"Aydın","given":"Mehtap"},{"family":"Alkurt","given":"Gizem"},{"family":"Kim","given":"Woonghee"},{"family":"Akyol","given":"Dogukan"},{"family":"Zhang","given":"Cheng"},{"family":"Dinler-Doganay","given":"Gizem"},{"family":"Turkez","given":"Hasan"},{"family":"Shoaie","given":"Saeed"},{"family":"Nielsen","given":"Jens"},{"family":"Borén","given":"Jan"},{"family":"Olmuscelik","given":"Oktay"},{"family":"Doganay","given":"Levent"},{"family":"Uhlén","given":"Mathias"},{"family":"Mardinoglu","given":"Adil"}],"accessed":{"date-parts":[["2023",6,23]]},"issued":{"date-parts":[["2021"]]}}}],"schema":"https://github.com/citation-style-language/schema/raw/master/csl-citation.json"} </w:instrText>
            </w:r>
            <w:r>
              <w:rPr>
                <w:rFonts w:ascii="Times New Roman" w:eastAsia="Times New Roman" w:hAnsi="Times New Roman" w:cs="Times New Roman"/>
                <w:color w:val="000000"/>
                <w:kern w:val="0"/>
                <w:sz w:val="14"/>
                <w:szCs w:val="14"/>
                <w:lang w:eastAsia="en-NL"/>
                <w14:ligatures w14:val="none"/>
              </w:rPr>
              <w:fldChar w:fldCharType="separate"/>
            </w:r>
            <w:r w:rsidRPr="008224C5">
              <w:rPr>
                <w:rFonts w:ascii="Times New Roman" w:hAnsi="Times New Roman" w:cs="Times New Roman"/>
                <w:sz w:val="14"/>
              </w:rPr>
              <w:t>[16]</w:t>
            </w:r>
            <w:r>
              <w:rPr>
                <w:rFonts w:ascii="Times New Roman" w:eastAsia="Times New Roman" w:hAnsi="Times New Roman" w:cs="Times New Roman"/>
                <w:color w:val="000000"/>
                <w:kern w:val="0"/>
                <w:sz w:val="14"/>
                <w:szCs w:val="14"/>
                <w:lang w:eastAsia="en-NL"/>
                <w14:ligatures w14:val="none"/>
              </w:rPr>
              <w:fldChar w:fldCharType="end"/>
            </w:r>
            <w:r>
              <w:rPr>
                <w:rFonts w:ascii="Times New Roman" w:eastAsia="Times New Roman" w:hAnsi="Times New Roman" w:cs="Times New Roman"/>
                <w:color w:val="000000"/>
                <w:kern w:val="0"/>
                <w:sz w:val="14"/>
                <w:szCs w:val="14"/>
                <w:lang w:val="en-US" w:eastAsia="en-NL"/>
                <w14:ligatures w14:val="none"/>
              </w:rPr>
              <w:t>.</w:t>
            </w:r>
          </w:p>
          <w:p w14:paraId="05A29325" w14:textId="036A3969" w:rsidR="00A92A05" w:rsidRPr="008224C5"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Those with higher carnitine levels due to genetics had significantly lower susceptibility to Covid-19</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{"citationID":"8SHS6AHR","properties":{"formattedCitation":"[17]","plainCitation":"[17]","noteIndex":0},"citationItems":[{"id":11595,"uris":["http://zotero.org/users/7565624/items/ZVASR4TX"],"itemData":{"id":11595,"type":"article-journal","abstract":"Background: Carnitine, a potential substitute or supplementation for dexamethasone, might protect against COVID-19 based on its molecular functions. However, the correlation between carnitine and COVID-19 has not been explored yet, and whether there exists causation is unknown.Methods: A two-sample Mendelian randomization (MR) analysis was conducted to explore the causal relationship between carnitine level and COVID-19. Significant single nucleotide polymorphisms from genome-wide association study on carnitine (N = 7,824) were utilized as exposure instruments, and summary statistics of the susceptibility (N = 1,467,264), severity (N = 714,592) and hospitalization (N = 1,887,658) of COVID-19 were utilized as the outcome. The causal relationship was evaluated by multiplicative random effects inverse variance weighted (IVW) method, and further verified by another three MR methods including MR Egger, weighted median, and weighted mode, as well as extensive sensitivity analyses.Results: Genetically determined one standard deviation increase in carnitine amount was associated with lower susceptibility (OR: 0.38, 95% CI: 0.19–0.74, P: 4.77E−03) of COVID-19. Carnitine amount was also associated with lower severity and hospitalization of COVID-19 using another three MR methods, though the association was not significant using the IVW method but showed the same direction of effect. The results were robust under all sensitivity analyses.Conclusions: A genetic predisposition to high carnitine levels might reduce the susceptibility and severity of COVID-19. These results provide better understandings on the role of carnitine in the COVID-19 pathogenesis, and facilitate novel therapeutic targets for COVID-19 in future clinical trials.","container-title":"Frontiers in Nutrition","ISSN":"2296-861X","source":"Frontiers","title":"Carnitine and COVID-19 Susceptibility and Severity: A Mendelian Randomization Study","title-short":"Carnitine and COVID-19 Susceptibility and Severity","URL":"https://www.frontiersin.org/articles/10.3389/fnut.2021.780205","volume":"8","author":[{"family":"Li","given":"Chunyu"},{"family":"Ou","given":"Ruwei"},{"family":"Wei","given":"Qianqian"},{"family":"Shang","given":"Huifang"}],"accessed":{"date-parts":[["2023",6,23]]},"issued":{"date-parts":[["2021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8224C5">
              <w:rPr>
                <w:rFonts w:ascii="Times New Roman" w:hAnsi="Times New Roman" w:cs="Times New Roman"/>
                <w:sz w:val="14"/>
              </w:rPr>
              <w:t>[17]</w:t>
            </w:r>
            <w:r>
              <w:rPr>
                <w:rFonts w:ascii="Times New Roman" w:eastAsia="Times New Roman" w:hAnsi="Times New Roman" w:cs="Times New Roman"/>
                <w:color w:val="000000"/>
                <w:kern w:val="0"/>
                <w:sz w:val="14"/>
                <w:szCs w:val="14"/>
                <w:lang w:val="en-US" w:eastAsia="en-NL"/>
                <w14:ligatures w14:val="none"/>
              </w:rPr>
              <w:fldChar w:fldCharType="end"/>
            </w:r>
            <w:r>
              <w:rPr>
                <w:rFonts w:ascii="Times New Roman" w:eastAsia="Times New Roman" w:hAnsi="Times New Roman" w:cs="Times New Roman"/>
                <w:color w:val="000000"/>
                <w:kern w:val="0"/>
                <w:sz w:val="14"/>
                <w:szCs w:val="14"/>
                <w:lang w:val="en-US" w:eastAsia="en-NL"/>
                <w14:ligatures w14:val="none"/>
              </w:rPr>
              <w:t>.</w:t>
            </w:r>
          </w:p>
        </w:tc>
      </w:tr>
      <w:tr w:rsidR="00A92A05" w:rsidRPr="00903922" w14:paraId="20B2A9C4" w14:textId="680D5611" w:rsidTr="00B46704">
        <w:trPr>
          <w:trHeight w:val="300"/>
        </w:trPr>
        <w:tc>
          <w:tcPr>
            <w:tcW w:w="993" w:type="dxa"/>
            <w:noWrap/>
            <w:hideMark/>
          </w:tcPr>
          <w:p w14:paraId="0A074C1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Nebivolol</w:t>
            </w:r>
          </w:p>
        </w:tc>
        <w:tc>
          <w:tcPr>
            <w:tcW w:w="1126" w:type="dxa"/>
            <w:hideMark/>
          </w:tcPr>
          <w:p w14:paraId="54FF6EC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NCT04631536</w:t>
            </w:r>
          </w:p>
        </w:tc>
        <w:tc>
          <w:tcPr>
            <w:tcW w:w="2168" w:type="dxa"/>
            <w:noWrap/>
            <w:hideMark/>
          </w:tcPr>
          <w:p w14:paraId="66492F91" w14:textId="40C830CF" w:rsidR="00A92A05" w:rsidRPr="002A56A8" w:rsidRDefault="002A56A8"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ACTIVE_NOT_RECRUITING</w:t>
            </w:r>
          </w:p>
        </w:tc>
        <w:tc>
          <w:tcPr>
            <w:tcW w:w="4125" w:type="dxa"/>
          </w:tcPr>
          <w:p w14:paraId="62ABB9AB" w14:textId="5444B283" w:rsidR="00A92A05" w:rsidRPr="00B401AF"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Improves </w:t>
            </w:r>
            <w:proofErr w:type="spellStart"/>
            <w:r>
              <w:rPr>
                <w:rFonts w:ascii="Times New Roman" w:eastAsia="Times New Roman" w:hAnsi="Times New Roman" w:cs="Times New Roman"/>
                <w:color w:val="000000"/>
                <w:kern w:val="0"/>
                <w:sz w:val="14"/>
                <w:szCs w:val="14"/>
                <w:lang w:val="en-US" w:eastAsia="en-NL"/>
                <w14:ligatures w14:val="none"/>
              </w:rPr>
              <w:t>dyspnoea</w:t>
            </w:r>
            <w:proofErr w:type="spellEnd"/>
            <w:r>
              <w:rPr>
                <w:rFonts w:ascii="Times New Roman" w:eastAsia="Times New Roman" w:hAnsi="Times New Roman" w:cs="Times New Roman"/>
                <w:color w:val="000000"/>
                <w:kern w:val="0"/>
                <w:sz w:val="14"/>
                <w:szCs w:val="14"/>
                <w:lang w:val="en-US" w:eastAsia="en-NL"/>
                <w14:ligatures w14:val="none"/>
              </w:rPr>
              <w:t xml:space="preserve"> score and capillary blood volume in long covid </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{"citationID":"2Ze6k7Nv","properties":{"formattedCitation":"[18]","plainCitation":"[18]","noteIndex":0},"citationItems":[{"id":11597,"uris":["http://zotero.org/users/7565624/items/PWLN6ZGH"],"itemData":{"id":11597,"type":"article-journal","abstract":"Background: Pulmonary microvascular occlusions can aggravate SARS-CoV-2 pneumonia and result in a variable decrease in capillary blood volume (Vc). Dyspnoea may persist for several weeks after hospital discharge in many patients who have \"radiologically recovered\" from COVID-19 pneumonia. Dyspnoea is frequently \"unexplained\" in these cases because abnormalities in lung vasculature are understudied. Furthermore, even when they are identified, therapeutic options are still lacking in clinical practice, with nitric oxide (NO) supplementation being used only for severe respiratory failure in the hospital setting. Nebivolol is the only selective β1 adrenoceptor antagonist capable of inducing nitric oxide-mediated vasodilation by stimulating endothelial NO synthase via β3 agonism. The purpose of this study was to compare the effect of nebivolol versus placebo in patients who had low Vc and complained of dyspnoea for several weeks after COVID-19 pneumonia. Methods: Patients of both genders, aged ≥18 years, non-smokers, who had a CT scan that revealed no COVID-related parenchymal lesions but still complained of dyspnoea 12-16 weeks after hospital discharge, were recruited. Spirometrical volumes, blood haemoglobin, SpO2, simultaneous diffusing capacity for carbon monoxide (CO) and NO (DLCO and DLNO, respectively), DLNO/DLCO ratio, Vc and exhaled NO (eNO) were measured together with their dyspnoea score (DS), heart frequency (HF), and blood arterial pressure (BAP). Data were collected before and one week after both phosphorus (P) and nitrogen (N) (2.5 mg od) double-blind cross-over administered at a two-week interval. Data were statistically compared, and p&amp;lt;0.05 assumed as statistically significant.Results: Eight patients (3 males) were investigated. In baseline, their mean DS was 2.5±0.6 sd, despite the normality of lung volumes. DLCO and DLNO mean values were lower than predicted, while mean DLNO/DLCO ratio was higher. Mean Vc proved substantially reduced. Placebo did not modify any variable (all p=ns) while N improved DLCO and Vc significantly (+8.5%, p&amp;lt;0.04 and +17.7%, p&amp;lt;0.003, respectively). Also eNO was significantly increased (+17.6%, p&amp;lt;0.002). Only N lowered the dyspnoea score (-76%, p&amp;lt;0.001). Systolic and diastolic BAP were slightly lowered (-7.5%, p&amp;lt; 0.02 and -5.1% p&amp;lt; 0.04, respectively), together with HF (-16.8%, p&amp;lt;0.03).Conclusions: The simultaneous assessment of DLNO, DLCO, DLNO/DLCO ratio, and Vc confirmed that long-lasting dyspnoea is related to hidden abnormalities in the lung capillary vasculature. These abnormalities can persist even after the complete resolution of parenchymal lesions regardless of the normality of lung volumes. Nebivolol, but not placebo, improves DS and Vc significantly. The mechanism suggested is the NO-mediated vasodilation via the β3 adrenoceptor stimulation of endothelial NO synthase. This hypothesis is supported by the substantial increase of eNO only assessed after nebivolol. As the nebivolol tolerability in these post-COVID normotensive patients was very good, the therapeutic use of nebivolol against residual and symptomatic signs of long-COVID can be suggested in out-patients.","container-title":"Multidisciplinary Respiratory Medicine","DOI":"10.4081/mrm.2022.886","ISSN":"2049-6958","language":"en","license":"Copyright (c) 2022 The Author(s)","source":"www.mrmjournal.org","title":"Nebivolol: an effective option against long-lasting dyspnoea following COVID-19 pneumonia - a pivotal double-blind, cross-over controlled study","title-short":"Nebivolol","URL":"https://www.mrmjournal.org/mrm/article/view/886","volume":"17","author":[{"family":"Negro","given":"Roberto W. Dal"},{"family":"Turco","given":"Paola"},{"family":"Povero","given":"Massimiliano"}],"accessed":{"date-parts":[["2023",6,23]]},"issued":{"date-parts":[["2022",12,23]]}}}],"schema":"https://github.com/citation-style-language/schema/raw/master/csl-citation.json"}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B401AF">
              <w:rPr>
                <w:rFonts w:ascii="Times New Roman" w:hAnsi="Times New Roman" w:cs="Times New Roman"/>
                <w:sz w:val="14"/>
              </w:rPr>
              <w:t>[18]</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0CEE7600" w14:textId="741D1A6D" w:rsidTr="00B46704">
        <w:trPr>
          <w:trHeight w:val="345"/>
        </w:trPr>
        <w:tc>
          <w:tcPr>
            <w:tcW w:w="993" w:type="dxa"/>
            <w:noWrap/>
            <w:hideMark/>
          </w:tcPr>
          <w:p w14:paraId="012780C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6382F03C" w14:textId="77777777" w:rsidR="00A92A05" w:rsidRPr="00DD5124" w:rsidRDefault="00A92A05" w:rsidP="00DD5124">
            <w:pPr>
              <w:rPr>
                <w:rFonts w:ascii="Times New Roman" w:eastAsia="Times New Roman" w:hAnsi="Times New Roman" w:cs="Times New Roman"/>
                <w:color w:val="495057"/>
                <w:kern w:val="0"/>
                <w:sz w:val="14"/>
                <w:szCs w:val="14"/>
                <w:lang w:eastAsia="en-NL"/>
                <w14:ligatures w14:val="none"/>
              </w:rPr>
            </w:pPr>
            <w:r w:rsidRPr="00DD5124">
              <w:rPr>
                <w:rFonts w:ascii="Times New Roman" w:eastAsia="Times New Roman" w:hAnsi="Times New Roman" w:cs="Times New Roman"/>
                <w:color w:val="495057"/>
                <w:kern w:val="0"/>
                <w:sz w:val="14"/>
                <w:szCs w:val="14"/>
                <w:lang w:eastAsia="en-NL"/>
                <w14:ligatures w14:val="none"/>
              </w:rPr>
              <w:t>NCT04467931</w:t>
            </w:r>
          </w:p>
        </w:tc>
        <w:tc>
          <w:tcPr>
            <w:tcW w:w="2168" w:type="dxa"/>
            <w:noWrap/>
            <w:hideMark/>
          </w:tcPr>
          <w:p w14:paraId="31470743" w14:textId="1CFFB010" w:rsidR="00A92A05" w:rsidRPr="002A56A8" w:rsidRDefault="002A56A8"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COMPLETED</w:t>
            </w:r>
          </w:p>
        </w:tc>
        <w:tc>
          <w:tcPr>
            <w:tcW w:w="4125" w:type="dxa"/>
          </w:tcPr>
          <w:p w14:paraId="1B8BB36C"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45A523D5" w14:textId="4B287D58" w:rsidTr="00B46704">
        <w:trPr>
          <w:trHeight w:val="345"/>
        </w:trPr>
        <w:tc>
          <w:tcPr>
            <w:tcW w:w="993" w:type="dxa"/>
            <w:noWrap/>
            <w:hideMark/>
          </w:tcPr>
          <w:p w14:paraId="33319D9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EGCG</w:t>
            </w:r>
          </w:p>
        </w:tc>
        <w:tc>
          <w:tcPr>
            <w:tcW w:w="1126" w:type="dxa"/>
            <w:noWrap/>
            <w:hideMark/>
          </w:tcPr>
          <w:p w14:paraId="1178720B" w14:textId="77777777" w:rsidR="00A92A05" w:rsidRPr="00DD5124" w:rsidRDefault="00A92A05" w:rsidP="00DD5124">
            <w:pPr>
              <w:rPr>
                <w:rFonts w:ascii="Times New Roman" w:eastAsia="Times New Roman" w:hAnsi="Times New Roman" w:cs="Times New Roman"/>
                <w:color w:val="495057"/>
                <w:kern w:val="0"/>
                <w:sz w:val="14"/>
                <w:szCs w:val="14"/>
                <w:lang w:eastAsia="en-NL"/>
                <w14:ligatures w14:val="none"/>
              </w:rPr>
            </w:pPr>
            <w:r w:rsidRPr="00DD5124">
              <w:rPr>
                <w:rFonts w:ascii="Times New Roman" w:eastAsia="Times New Roman" w:hAnsi="Times New Roman" w:cs="Times New Roman"/>
                <w:color w:val="495057"/>
                <w:kern w:val="0"/>
                <w:sz w:val="14"/>
                <w:szCs w:val="14"/>
                <w:lang w:eastAsia="en-NL"/>
                <w14:ligatures w14:val="none"/>
              </w:rPr>
              <w:t>NCT04446065</w:t>
            </w:r>
          </w:p>
        </w:tc>
        <w:tc>
          <w:tcPr>
            <w:tcW w:w="2168" w:type="dxa"/>
            <w:noWrap/>
            <w:hideMark/>
          </w:tcPr>
          <w:p w14:paraId="54BBD9F3" w14:textId="5383FAEF" w:rsidR="00A92A05" w:rsidRPr="002A56A8" w:rsidRDefault="002A56A8"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UNKNOWN</w:t>
            </w:r>
          </w:p>
        </w:tc>
        <w:tc>
          <w:tcPr>
            <w:tcW w:w="4125" w:type="dxa"/>
          </w:tcPr>
          <w:p w14:paraId="6B5D63E5"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FD12FF5" w14:textId="34FFB93D" w:rsidTr="00B46704">
        <w:trPr>
          <w:trHeight w:val="300"/>
        </w:trPr>
        <w:tc>
          <w:tcPr>
            <w:tcW w:w="993" w:type="dxa"/>
            <w:noWrap/>
            <w:hideMark/>
          </w:tcPr>
          <w:p w14:paraId="6B5C731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Quercetin</w:t>
            </w:r>
          </w:p>
        </w:tc>
        <w:tc>
          <w:tcPr>
            <w:tcW w:w="1126" w:type="dxa"/>
            <w:noWrap/>
            <w:hideMark/>
          </w:tcPr>
          <w:p w14:paraId="54B791C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NCT04468139</w:t>
            </w:r>
          </w:p>
        </w:tc>
        <w:tc>
          <w:tcPr>
            <w:tcW w:w="2168" w:type="dxa"/>
            <w:noWrap/>
            <w:hideMark/>
          </w:tcPr>
          <w:p w14:paraId="2160F62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UNKNOWN</w:t>
            </w:r>
          </w:p>
        </w:tc>
        <w:tc>
          <w:tcPr>
            <w:tcW w:w="4125" w:type="dxa"/>
          </w:tcPr>
          <w:p w14:paraId="51723206" w14:textId="78C47F54" w:rsidR="00A92A05" w:rsidRPr="00B401AF"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Decreased risk of intensive care unit admission and hospitalization</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{"citationID":"nw8SLNAr","properties":{"formattedCitation":"[19]","plainCitation":"[19]","noteIndex":0},"citationItems":[{"id":11599,"uris":["http://zotero.org/users/7565624/items/PBKB5LIL"],"itemData":{"id":11599,"type":"article-journal","abstract":"Currently approved therapies for COVID-19 are mostly limited by their low availability, high costs or the requirement of parenteral administration by trained medical personnel in an in-hospital setting. Quercetin is a cheap and easily accessible therapeutic option for COVID-19 patients. However, it has not been evaluated in a systematic review until now. We aimed to conduct a meta-analysis to assess the effect of quercetin on clinical outcomes in COVID-19 patients. Various databases including PubMed, the Cochrane Library and Embase were searched from inception until 5 October 2022 and results from six randomized controlled trials (RCTs) were pooled using a random-effects model. All analyses were conducted using RevMan 5.4 with odds ratio (OR) as the effect measure. Quercetin decreased the risk of intensive care unit admission (OR = 0.31; 95% confidence interval (CI) 0.10–0.99) and the incidence of hospitalisation (OR = 0.25; 95% CI 0.10–0.62) but did not decrease the risk of all-cause mortality and the rate of no recovery. Quercetin may be of benefit in COVID-19 patients, especially if administered in its phytosome formulation which greatly enhances its bioavailability but large-scale RCTs are needed to confirm these findings.","container-title":"Reviews in Medical Virology","DOI":"10.1002/rmv.2427","ISSN":"1099-1654","issue":"2","language":"en","license":"© 2023 John Wiley &amp; Sons Ltd.","note":"_eprint: https://onlinelibrary.wiley.com/doi/pdf/10.1002/rmv.2427","page":"e2427","source":"Wiley Online Library","title":"Quercetin for the treatment of COVID-19 patients: A systematic review and meta-analysis","title-short":"Quercetin for the treatment of COVID-19 patients","URL":"https://onlinelibrary.wiley.com/doi/abs/10.1002/rmv.2427","volume":"33","author":[{"family":"Cheema","given":"Huzaifa Ahmad"},{"family":"Sohail","given":"Aruba"},{"family":"Fatima","given":"Areej"},{"family":"Shahid","given":"Abia"},{"family":"Shahzil","given":"Muhammad"},{"family":"Ur Rehman","given":"Mohammad Ebad"},{"family":"Awan","given":"Rehmat Ullah"},{"family":"Chinnam","given":"Sampath"},{"family":"Nashwan","given":"Abdulqadir J."}],"accessed":{"date-parts":[["2023",6,23]]},"issued":{"date-parts":[["2023"]]}}}],"schema":"https://github.com/citation-style-language/schema/raw/master/csl-citation.json"}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B401AF">
              <w:rPr>
                <w:rFonts w:ascii="Times New Roman" w:hAnsi="Times New Roman" w:cs="Times New Roman"/>
                <w:sz w:val="14"/>
              </w:rPr>
              <w:t>[19]</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01633D63" w14:textId="036027F8" w:rsidTr="00B46704">
        <w:trPr>
          <w:trHeight w:val="300"/>
        </w:trPr>
        <w:tc>
          <w:tcPr>
            <w:tcW w:w="993" w:type="dxa"/>
            <w:noWrap/>
            <w:hideMark/>
          </w:tcPr>
          <w:p w14:paraId="37299D66"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5288324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NCT05130671</w:t>
            </w:r>
          </w:p>
        </w:tc>
        <w:tc>
          <w:tcPr>
            <w:tcW w:w="2168" w:type="dxa"/>
            <w:noWrap/>
            <w:hideMark/>
          </w:tcPr>
          <w:p w14:paraId="4DFD16D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1AEA01E7"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085DFAF4" w14:textId="763F9467" w:rsidTr="00B46704">
        <w:trPr>
          <w:trHeight w:val="300"/>
        </w:trPr>
        <w:tc>
          <w:tcPr>
            <w:tcW w:w="993" w:type="dxa"/>
            <w:noWrap/>
            <w:hideMark/>
          </w:tcPr>
          <w:p w14:paraId="5736A04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65B0CA0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NCT04578158</w:t>
            </w:r>
          </w:p>
        </w:tc>
        <w:tc>
          <w:tcPr>
            <w:tcW w:w="2168" w:type="dxa"/>
            <w:noWrap/>
            <w:hideMark/>
          </w:tcPr>
          <w:p w14:paraId="4A43068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002D2C0F"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044A34F9" w14:textId="36E1B365" w:rsidTr="00B46704">
        <w:trPr>
          <w:trHeight w:val="300"/>
        </w:trPr>
        <w:tc>
          <w:tcPr>
            <w:tcW w:w="993" w:type="dxa"/>
            <w:noWrap/>
            <w:hideMark/>
          </w:tcPr>
          <w:p w14:paraId="187125E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47C8D34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NCT04603690</w:t>
            </w:r>
          </w:p>
        </w:tc>
        <w:tc>
          <w:tcPr>
            <w:tcW w:w="2168" w:type="dxa"/>
            <w:noWrap/>
            <w:hideMark/>
          </w:tcPr>
          <w:p w14:paraId="7E5E575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0BABFBE4"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7F4216D7" w14:textId="6BFB9892" w:rsidTr="00B46704">
        <w:trPr>
          <w:trHeight w:val="300"/>
        </w:trPr>
        <w:tc>
          <w:tcPr>
            <w:tcW w:w="993" w:type="dxa"/>
            <w:noWrap/>
            <w:hideMark/>
          </w:tcPr>
          <w:p w14:paraId="2DDEF22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5CFB7BE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NCT04536090</w:t>
            </w:r>
          </w:p>
        </w:tc>
        <w:tc>
          <w:tcPr>
            <w:tcW w:w="2168" w:type="dxa"/>
            <w:noWrap/>
            <w:hideMark/>
          </w:tcPr>
          <w:p w14:paraId="36CD5BA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NOT_YET_RECRUITING</w:t>
            </w:r>
          </w:p>
        </w:tc>
        <w:tc>
          <w:tcPr>
            <w:tcW w:w="4125" w:type="dxa"/>
          </w:tcPr>
          <w:p w14:paraId="2E191918"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73E63C71" w14:textId="762AF34B" w:rsidTr="00B46704">
        <w:trPr>
          <w:trHeight w:val="300"/>
        </w:trPr>
        <w:tc>
          <w:tcPr>
            <w:tcW w:w="993" w:type="dxa"/>
            <w:noWrap/>
            <w:hideMark/>
          </w:tcPr>
          <w:p w14:paraId="25733C0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50D1BC9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NCT04851821</w:t>
            </w:r>
          </w:p>
        </w:tc>
        <w:tc>
          <w:tcPr>
            <w:tcW w:w="2168" w:type="dxa"/>
            <w:noWrap/>
            <w:hideMark/>
          </w:tcPr>
          <w:p w14:paraId="193DD37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68C47DC7"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0C621933" w14:textId="2F4B9B95" w:rsidTr="00B46704">
        <w:trPr>
          <w:trHeight w:val="300"/>
        </w:trPr>
        <w:tc>
          <w:tcPr>
            <w:tcW w:w="993" w:type="dxa"/>
            <w:noWrap/>
            <w:hideMark/>
          </w:tcPr>
          <w:p w14:paraId="62A9AE7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2295F46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NCT04622865</w:t>
            </w:r>
          </w:p>
        </w:tc>
        <w:tc>
          <w:tcPr>
            <w:tcW w:w="2168" w:type="dxa"/>
            <w:noWrap/>
            <w:hideMark/>
          </w:tcPr>
          <w:p w14:paraId="6DCDD49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RECRUITING</w:t>
            </w:r>
          </w:p>
        </w:tc>
        <w:tc>
          <w:tcPr>
            <w:tcW w:w="4125" w:type="dxa"/>
          </w:tcPr>
          <w:p w14:paraId="029C7627"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3BF96717" w14:textId="192500FF" w:rsidTr="00B46704">
        <w:trPr>
          <w:trHeight w:val="300"/>
        </w:trPr>
        <w:tc>
          <w:tcPr>
            <w:tcW w:w="993" w:type="dxa"/>
            <w:noWrap/>
            <w:hideMark/>
          </w:tcPr>
          <w:p w14:paraId="2A6D79B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44E43B0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NCT04377789</w:t>
            </w:r>
          </w:p>
        </w:tc>
        <w:tc>
          <w:tcPr>
            <w:tcW w:w="2168" w:type="dxa"/>
            <w:noWrap/>
            <w:hideMark/>
          </w:tcPr>
          <w:p w14:paraId="02BA311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3BA406E3"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59E73EFF" w14:textId="53A6C407" w:rsidTr="00B46704">
        <w:trPr>
          <w:trHeight w:val="300"/>
        </w:trPr>
        <w:tc>
          <w:tcPr>
            <w:tcW w:w="993" w:type="dxa"/>
            <w:noWrap/>
            <w:hideMark/>
          </w:tcPr>
          <w:p w14:paraId="69F4B83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6C4D200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NCT04844658</w:t>
            </w:r>
          </w:p>
        </w:tc>
        <w:tc>
          <w:tcPr>
            <w:tcW w:w="2168" w:type="dxa"/>
            <w:noWrap/>
            <w:hideMark/>
          </w:tcPr>
          <w:p w14:paraId="65D28FE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3FBB2911"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6C8B3596" w14:textId="1EA4B742" w:rsidTr="00B46704">
        <w:trPr>
          <w:trHeight w:val="300"/>
        </w:trPr>
        <w:tc>
          <w:tcPr>
            <w:tcW w:w="993" w:type="dxa"/>
            <w:noWrap/>
            <w:hideMark/>
          </w:tcPr>
          <w:p w14:paraId="1768B1A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2675090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NCT05601180</w:t>
            </w:r>
          </w:p>
        </w:tc>
        <w:tc>
          <w:tcPr>
            <w:tcW w:w="2168" w:type="dxa"/>
            <w:noWrap/>
            <w:hideMark/>
          </w:tcPr>
          <w:p w14:paraId="72E8EAF9"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RECRUITING</w:t>
            </w:r>
          </w:p>
        </w:tc>
        <w:tc>
          <w:tcPr>
            <w:tcW w:w="4125" w:type="dxa"/>
          </w:tcPr>
          <w:p w14:paraId="30172B08"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33C11898" w14:textId="2C6DFA60" w:rsidTr="00B46704">
        <w:trPr>
          <w:trHeight w:val="300"/>
        </w:trPr>
        <w:tc>
          <w:tcPr>
            <w:tcW w:w="993" w:type="dxa"/>
            <w:noWrap/>
            <w:hideMark/>
          </w:tcPr>
          <w:p w14:paraId="3393A152"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41A09AE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NCT05037240</w:t>
            </w:r>
          </w:p>
        </w:tc>
        <w:tc>
          <w:tcPr>
            <w:tcW w:w="2168" w:type="dxa"/>
            <w:noWrap/>
            <w:hideMark/>
          </w:tcPr>
          <w:p w14:paraId="49649BF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122AFC6F"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4C817C3B" w14:textId="649C0BB3" w:rsidTr="00B46704">
        <w:trPr>
          <w:trHeight w:val="300"/>
        </w:trPr>
        <w:tc>
          <w:tcPr>
            <w:tcW w:w="993" w:type="dxa"/>
            <w:noWrap/>
            <w:hideMark/>
          </w:tcPr>
          <w:p w14:paraId="11D95756"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59F8491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NCT04861298</w:t>
            </w:r>
          </w:p>
        </w:tc>
        <w:tc>
          <w:tcPr>
            <w:tcW w:w="2168" w:type="dxa"/>
            <w:noWrap/>
            <w:hideMark/>
          </w:tcPr>
          <w:p w14:paraId="2519092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5179AD11"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3579368" w14:textId="40920A2E" w:rsidTr="00B46704">
        <w:trPr>
          <w:trHeight w:val="300"/>
        </w:trPr>
        <w:tc>
          <w:tcPr>
            <w:tcW w:w="993" w:type="dxa"/>
            <w:noWrap/>
            <w:hideMark/>
          </w:tcPr>
          <w:p w14:paraId="1E87B376"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roofErr w:type="spellStart"/>
            <w:r w:rsidRPr="00DD5124">
              <w:rPr>
                <w:rFonts w:ascii="Times New Roman" w:eastAsia="Times New Roman" w:hAnsi="Times New Roman" w:cs="Times New Roman"/>
                <w:color w:val="000000"/>
                <w:kern w:val="0"/>
                <w:sz w:val="14"/>
                <w:szCs w:val="14"/>
                <w:lang w:eastAsia="en-NL"/>
                <w14:ligatures w14:val="none"/>
              </w:rPr>
              <w:t>Licorice</w:t>
            </w:r>
            <w:proofErr w:type="spellEnd"/>
            <w:r w:rsidRPr="00DD5124">
              <w:rPr>
                <w:rFonts w:ascii="Times New Roman" w:eastAsia="Times New Roman" w:hAnsi="Times New Roman" w:cs="Times New Roman"/>
                <w:color w:val="000000"/>
                <w:kern w:val="0"/>
                <w:sz w:val="14"/>
                <w:szCs w:val="14"/>
                <w:lang w:eastAsia="en-NL"/>
                <w14:ligatures w14:val="none"/>
              </w:rPr>
              <w:t xml:space="preserve"> extract</w:t>
            </w:r>
          </w:p>
        </w:tc>
        <w:tc>
          <w:tcPr>
            <w:tcW w:w="1126" w:type="dxa"/>
            <w:noWrap/>
            <w:hideMark/>
          </w:tcPr>
          <w:p w14:paraId="56FC690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NCT04544605</w:t>
            </w:r>
          </w:p>
        </w:tc>
        <w:tc>
          <w:tcPr>
            <w:tcW w:w="2168" w:type="dxa"/>
            <w:noWrap/>
            <w:hideMark/>
          </w:tcPr>
          <w:p w14:paraId="2C56A729"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UNKNOWN</w:t>
            </w:r>
          </w:p>
        </w:tc>
        <w:tc>
          <w:tcPr>
            <w:tcW w:w="4125" w:type="dxa"/>
          </w:tcPr>
          <w:p w14:paraId="42CB3653" w14:textId="77777777" w:rsidR="00A92A05"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When combined with </w:t>
            </w:r>
            <w:proofErr w:type="spellStart"/>
            <w:r>
              <w:rPr>
                <w:rFonts w:ascii="Times New Roman" w:eastAsia="Times New Roman" w:hAnsi="Times New Roman" w:cs="Times New Roman"/>
                <w:color w:val="000000"/>
                <w:kern w:val="0"/>
                <w:sz w:val="14"/>
                <w:szCs w:val="14"/>
                <w:lang w:val="en-US" w:eastAsia="en-NL"/>
                <w14:ligatures w14:val="none"/>
              </w:rPr>
              <w:t>boswellic</w:t>
            </w:r>
            <w:proofErr w:type="spellEnd"/>
            <w:r>
              <w:rPr>
                <w:rFonts w:ascii="Times New Roman" w:eastAsia="Times New Roman" w:hAnsi="Times New Roman" w:cs="Times New Roman"/>
                <w:color w:val="000000"/>
                <w:kern w:val="0"/>
                <w:sz w:val="14"/>
                <w:szCs w:val="14"/>
                <w:lang w:val="en-US" w:eastAsia="en-NL"/>
                <w14:ligatures w14:val="none"/>
              </w:rPr>
              <w:t xml:space="preserve"> acid, significantly lowered time to recovery and mortality</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{"citationID":"xMk74wnX","properties":{"formattedCitation":"[20]","plainCitation":"[20]","noteIndex":0},"citationItems":[{"id":11602,"uris":["http://zotero.org/users/7565624/items/5J8KWRJZ"],"itemData":{"id":11602,"type":"article-journal","abstract":"Recent evidence points to a potential therapeutic role for glycyrrhizin(GR) and boswellic acids (BA) in the treatment of COVID-19 but conclusive evidence is lacking. Our aim is to investigate the efficacy of GR + BA versus placebo for the treatment of hospitalized patients with moderate SARS-CoV-2 or COVID-19 variants infection. The current study is a randomized, double-blind, placebo-controlled, single-center trial. Patients with SARS-CoV-2 or COVID-19 variants diagnosed by PCR test who were admitted to Sohag University hospital were eligible if they were at least 18 years of age and had moderate symptoms. Patients were randomly assigned to receive oral GR capsule (60 mg) and BA (200 mg) twice daily for 14 days or a matching placebo. All patients also received treatment with the institutional protocol for COVID-19. The primary outcome was mortality and time to recovery. Secondary outcome was clinical status score, 14 days after receiving study drugs. Adverse events from use of study drugs have been evaluated for up to 14 days. The trial is registered at ClinicalTrials.gov (Identifier NCT04487964). During the 6-month enrollment period (June-November, 2021) only 50 patients (54% women; median age 60 years, IQR 54–65) met eligibility and were randomly assigned. Evaluation of the primary outcome at 14 days showed that there were five deaths in the placebo group and no deaths in the GR + BA group. With regard to recovery time, it was significantly shorter (p = 0.0001) in the group receiving GR + BA capsule compared to the placebo group (median 7.0; IQR 6.0–8.0 days vs. median 12.5; IQR 12–20 days). Clinical status on the ordinal score scale as a secondary outcome showed a significant difference between the GR + BA group (median (IQR) score, 2 [2–3]) and placebo groups (mean (IQR) score, 3 [3–5.5]). There was a significant decrease in CRB (p = 0.000041) in GR + BA compared with the placebo group. In conclusion, this safe, inexpensive, antiviral, immunomodulating and anti-inflammatory combination may be considered for use in mild to moderate infections of SARS-CoV-2 or COVID-19 variants. The study is limited by the small sample size; therefore, larger randomized trials are required.","container-title":"Inflammopharmacology","DOI":"10.1007/s10787-022-00939-7","ISSN":"1568-5608","issue":"2","journalAbbreviation":"Inflammopharmacol","language":"en","page":"477-486","source":"Springer Link","title":"Advancing combination treatment with glycyrrhizin and boswellic acids for hospitalized patients with moderate COVID-19 infection: a randomized clinical trial","title-short":"Advancing combination treatment with glycyrrhizin and boswellic acids for hospitalized patients with moderate COVID-19 infection","URL":"https://doi.org/10.1007/s10787-022-00939-7","volume":"30","author":[{"family":"Gomaa","given":"Adel A."},{"family":"Mohamed","given":"Hamdy S."},{"family":"Abd-ellatief","given":"Rasha B."},{"family":"Gomaa","given":"Mohamed A."},{"family":"Hammam","given":"Doaa S."}],"accessed":{"date-parts":[["2023",6,23]]},"issued":{"date-parts":[["2022",4,1]]}}}],"schema":"https://github.com/citation-style-language/schema/raw/master/csl-citation.json"}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E411AA">
              <w:rPr>
                <w:rFonts w:ascii="Times New Roman" w:hAnsi="Times New Roman" w:cs="Times New Roman"/>
                <w:sz w:val="14"/>
              </w:rPr>
              <w:t>[20]</w:t>
            </w:r>
            <w:r>
              <w:rPr>
                <w:rFonts w:ascii="Times New Roman" w:eastAsia="Times New Roman" w:hAnsi="Times New Roman" w:cs="Times New Roman"/>
                <w:color w:val="000000"/>
                <w:kern w:val="0"/>
                <w:sz w:val="14"/>
                <w:szCs w:val="14"/>
                <w:lang w:val="en-US" w:eastAsia="en-NL"/>
                <w14:ligatures w14:val="none"/>
              </w:rPr>
              <w:fldChar w:fldCharType="end"/>
            </w:r>
          </w:p>
          <w:p w14:paraId="3D9D66D8" w14:textId="31F2E61C" w:rsidR="00A92A05" w:rsidRPr="00E411AA"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Multiple studies show positive effect </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{"citationID":"MMN4CjUk","properties":{"formattedCitation":"[21,22]","plainCitation":"[21,22]","noteIndex":0},"citationItems":[{"id":11604,"uris":["http://zotero.org/users/7565624/items/UT4Q2MKF"],"itemData":{"id":11604,"type":"article-journal","abstract":"COVID-19 is the most devastating disease in recent times affecting most people globally. The higher rate of transmissibility and mutations of SARS-CoV-2 along with the lack of potential therapeutics has made it a global crisis. Potential molecules from natural sources could be a fruitful remedy to combat COVID-19. This systematic review highlights the detailed therapeutic implication of naturally occurring glycyrrhizin and its related derivatives against COVID-19. Glycyrrhizin has already been established for blocking different biomolecular targets related to the SARS-CoV-2 replication cycle. In this article, several experimental and theoretical evidences of glycyrrhizin and related derivatives have been discussed in detail to evaluate their potential as a promising therapeutic strategy against COVID-19. Moreover, the implication of glycyrrhizin in traditional Chinese medicines for alleviating the symptoms of COVID-19 has been reviewed. The potential role of glycyrrhizin and related compounds in affecting various stages of the SARS-CoV-2 life cycle has also been discussed in detail. Derivatization of glycyrrhizin for designing potential lead compounds along with combination therapy with other anti-SARS-CoV-2 agents followed by extensive evaluation may assist in the formulation of novel anti-coronaviral therapy for better treatment to combat COVID-19.","container-title":"Journal of Molecular Structure","DOI":"10.1016/j.molstruc.2022.134642","ISSN":"0022-2860","journalAbbreviation":"Journal of Molecular Structure","language":"en","page":"134642","source":"ScienceDirect","title":"Glycyrrhizin as a promising kryptonite against SARS-CoV-2: Clinical, experimental, and theoretical evidences","title-short":"Glycyrrhizin as a promising kryptonite against SARS-CoV-2","URL":"https://www.sciencedirect.com/science/article/pii/S0022286022022876","volume":"1275","author":[{"family":"Banerjee","given":"Suvankar"},{"family":"Baidya","given":"Sandip Kumar"},{"family":"Adhikari","given":"Nilanjan"},{"family":"Ghosh","given":"Balaram"},{"family":"Jha","given":"Tarun"}],"accessed":{"date-parts":[["2023",6,23]]},"issued":{"date-parts":[["2023",3,5]]}}},{"id":8461,"uris":["http://zotero.org/users/7565624/items/ZS368XUN"],"itemData":{"id":8461,"type":"article-journal","abstract":"Breakthrough infections have been reported in fully vaccinated persons. Furthermore, rebound symptoms have been reported following the new FDA granted emergency use to combat SARS-CoV-2. Glycyrrhizin (GR) and boswellic acids (BAs) combination has been shown to have highly successful actions against COVID-19 in our recent clinical trial. However, the study is limited by the small sample size, and therefore, the aim of this article is to comprehensively evaluate recent evidence on the efficacy of GR and BAs in preventing the development of COVID-19 in patients with mild and moderate infections and in preventing post-COVID-19 cognitive impairment, which is the most important symptom after recovery from Covid-19 disease. We have reviewed and discussed information published since the outbreak of the COVID-19 pandemic until July 2022 on preclinical (in vivo, in vivo and bioinformatics) and clinical studies related to the antiviral, anti-inflammatory and immunomodulatory activity of Gr and BAs. Sixteen studies were performed to determine the efficacy of GR against SARS-CoV-2. Ten studies were used primarily for in vitro and in vivo assays and six used molecular docking studies. However, the antiviral activity of BAs against SARS-CoV-2 was determined in only five studies using molecular modeling and bioinformatics. All these studies confirmed that GR n and BAs have strong antiviral activity and can be used as a therapeutic agent for COVID-19 and as a protective agent against SARS-CoV-2. They may act by inhibiting the main protease SARS-CoV-2 (Mpro) responsible for replication and blocking spike protein-mediated cell entry. Only seven rigorously designed clinical trials regarding the usefulness of GR, BAs or their combinations in the treatment of COVID-19 have been published as of July 2022. Although there is no clinical study regarding the treatment of cognitive impairment after COVID-19 that has been published so far, several preclinical and clinical studies have demonstrated the potential effect of GR and BAs in the prevention and treatment of cognitive impairment by inhibiting the activity of several molecules that activate inflammatory signaling pathway. In conclusion, the findings of our study documented the beneficial use of GR and BAs to treat SARS-CoV-2 and its variants and prevent post-COVID cognitive impairment. However, it warrants further studies with a larger randomized sample size to ensure that the studies have sufficient evidence of benefits against COVID-19 and post-COVID-19 symptoms.","container-title":"Inflammopharmacology","DOI":"10.1007/s10787-022-01062-3","ISSN":"1568-5608","issue":"6","journalAbbreviation":"Inflammopharmacol","language":"en","page":"1977-1992","source":"Springer Link","title":"Glycyrrhizin and boswellic acids, the golden nutraceuticals: multitargeting for treatment of mild–moderate COVID-19 and prevention of post-COVID cognitive impairment","title-short":"Glycyrrhizin and boswellic acids, the golden nutraceuticals","URL":"https://doi.org/10.1007/s10787-022-01062-3","volume":"30","author":[{"family":"Gomaa","given":"Adel A."},{"family":"Abdel-Wadood","given":"Yasmin A."},{"family":"Gomaa","given":"Mohamed A."}],"accessed":{"date-parts":[["2023",1,31]]},"issued":{"date-parts":[["2022",12,1]]}}}],"schema":"https://github.com/citation-style-language/schema/raw/master/csl-citation.json"}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E411AA">
              <w:rPr>
                <w:rFonts w:ascii="Times New Roman" w:hAnsi="Times New Roman" w:cs="Times New Roman"/>
                <w:sz w:val="14"/>
              </w:rPr>
              <w:t>[21,22]</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2E75D139" w14:textId="42EF9763" w:rsidTr="00B46704">
        <w:trPr>
          <w:trHeight w:val="300"/>
        </w:trPr>
        <w:tc>
          <w:tcPr>
            <w:tcW w:w="993" w:type="dxa"/>
            <w:noWrap/>
            <w:hideMark/>
          </w:tcPr>
          <w:p w14:paraId="21BEC98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2F455A1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NCT04553705</w:t>
            </w:r>
          </w:p>
        </w:tc>
        <w:tc>
          <w:tcPr>
            <w:tcW w:w="2168" w:type="dxa"/>
            <w:noWrap/>
            <w:hideMark/>
          </w:tcPr>
          <w:p w14:paraId="129D0FD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7C8F87CE"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799E83C7" w14:textId="754F1940" w:rsidTr="00B46704">
        <w:trPr>
          <w:trHeight w:val="300"/>
        </w:trPr>
        <w:tc>
          <w:tcPr>
            <w:tcW w:w="993" w:type="dxa"/>
            <w:noWrap/>
            <w:hideMark/>
          </w:tcPr>
          <w:p w14:paraId="78E845E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01CFAD9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NCT05360004</w:t>
            </w:r>
          </w:p>
        </w:tc>
        <w:tc>
          <w:tcPr>
            <w:tcW w:w="2168" w:type="dxa"/>
            <w:noWrap/>
            <w:hideMark/>
          </w:tcPr>
          <w:p w14:paraId="1742D2D2"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NOT_YET_RECRUITING</w:t>
            </w:r>
          </w:p>
        </w:tc>
        <w:tc>
          <w:tcPr>
            <w:tcW w:w="4125" w:type="dxa"/>
          </w:tcPr>
          <w:p w14:paraId="7688B00C"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7295CFF6" w14:textId="0DC78D70" w:rsidTr="00B46704">
        <w:trPr>
          <w:trHeight w:val="300"/>
        </w:trPr>
        <w:tc>
          <w:tcPr>
            <w:tcW w:w="993" w:type="dxa"/>
            <w:noWrap/>
            <w:hideMark/>
          </w:tcPr>
          <w:p w14:paraId="513250B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124E899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NCT04487964</w:t>
            </w:r>
          </w:p>
        </w:tc>
        <w:tc>
          <w:tcPr>
            <w:tcW w:w="2168" w:type="dxa"/>
            <w:noWrap/>
            <w:hideMark/>
          </w:tcPr>
          <w:p w14:paraId="6A023AC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3B89C114"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ADF5026" w14:textId="6B6A65A8" w:rsidTr="00B46704">
        <w:trPr>
          <w:trHeight w:val="300"/>
        </w:trPr>
        <w:tc>
          <w:tcPr>
            <w:tcW w:w="993" w:type="dxa"/>
            <w:noWrap/>
            <w:hideMark/>
          </w:tcPr>
          <w:p w14:paraId="7858113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659A618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NCT04846010</w:t>
            </w:r>
          </w:p>
        </w:tc>
        <w:tc>
          <w:tcPr>
            <w:tcW w:w="2168" w:type="dxa"/>
            <w:noWrap/>
            <w:hideMark/>
          </w:tcPr>
          <w:p w14:paraId="6E9D1298"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UNKNOWN</w:t>
            </w:r>
          </w:p>
        </w:tc>
        <w:tc>
          <w:tcPr>
            <w:tcW w:w="4125" w:type="dxa"/>
          </w:tcPr>
          <w:p w14:paraId="6BCADFA8"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03D28F02" w14:textId="05701A48" w:rsidTr="00B46704">
        <w:trPr>
          <w:trHeight w:val="300"/>
        </w:trPr>
        <w:tc>
          <w:tcPr>
            <w:tcW w:w="993" w:type="dxa"/>
            <w:noWrap/>
            <w:hideMark/>
          </w:tcPr>
          <w:p w14:paraId="04129042"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5734EE4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NCT04790240</w:t>
            </w:r>
          </w:p>
        </w:tc>
        <w:tc>
          <w:tcPr>
            <w:tcW w:w="2168" w:type="dxa"/>
            <w:noWrap/>
            <w:hideMark/>
          </w:tcPr>
          <w:p w14:paraId="24A5B30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UNKNOWN</w:t>
            </w:r>
          </w:p>
        </w:tc>
        <w:tc>
          <w:tcPr>
            <w:tcW w:w="4125" w:type="dxa"/>
          </w:tcPr>
          <w:p w14:paraId="38ACE7FD"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BB030B5" w14:textId="56E28515" w:rsidTr="00B46704">
        <w:trPr>
          <w:trHeight w:val="300"/>
        </w:trPr>
        <w:tc>
          <w:tcPr>
            <w:tcW w:w="993" w:type="dxa"/>
            <w:noWrap/>
            <w:hideMark/>
          </w:tcPr>
          <w:p w14:paraId="3FC4E35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7F517EF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NCT03348670</w:t>
            </w:r>
          </w:p>
        </w:tc>
        <w:tc>
          <w:tcPr>
            <w:tcW w:w="2168" w:type="dxa"/>
            <w:noWrap/>
            <w:hideMark/>
          </w:tcPr>
          <w:p w14:paraId="748133E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ACTIVE_NOT_RECRUITING</w:t>
            </w:r>
          </w:p>
        </w:tc>
        <w:tc>
          <w:tcPr>
            <w:tcW w:w="4125" w:type="dxa"/>
          </w:tcPr>
          <w:p w14:paraId="4B185051"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2B17208C" w14:textId="38D3ED9D" w:rsidTr="00B46704">
        <w:trPr>
          <w:trHeight w:val="300"/>
        </w:trPr>
        <w:tc>
          <w:tcPr>
            <w:tcW w:w="993" w:type="dxa"/>
            <w:noWrap/>
            <w:hideMark/>
          </w:tcPr>
          <w:p w14:paraId="51494DD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cyanidin-3-glucoside</w:t>
            </w:r>
          </w:p>
        </w:tc>
        <w:tc>
          <w:tcPr>
            <w:tcW w:w="1126" w:type="dxa"/>
            <w:noWrap/>
            <w:hideMark/>
          </w:tcPr>
          <w:p w14:paraId="043D2DB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NCT05387252</w:t>
            </w:r>
          </w:p>
        </w:tc>
        <w:tc>
          <w:tcPr>
            <w:tcW w:w="2168" w:type="dxa"/>
            <w:noWrap/>
            <w:hideMark/>
          </w:tcPr>
          <w:p w14:paraId="3A10A1A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NOT_YET_RECRUITING</w:t>
            </w:r>
          </w:p>
        </w:tc>
        <w:tc>
          <w:tcPr>
            <w:tcW w:w="4125" w:type="dxa"/>
          </w:tcPr>
          <w:p w14:paraId="06E07D0F" w14:textId="77777777" w:rsidR="00A92A05"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Suppression of inflammation from SARS-CoV-2 spike protein </w:t>
            </w:r>
            <w:r>
              <w:rPr>
                <w:rFonts w:ascii="Times New Roman" w:eastAsia="Times New Roman" w:hAnsi="Times New Roman" w:cs="Times New Roman"/>
                <w:i/>
                <w:iCs/>
                <w:color w:val="000000"/>
                <w:kern w:val="0"/>
                <w:sz w:val="14"/>
                <w:szCs w:val="14"/>
                <w:lang w:val="en-US" w:eastAsia="en-NL"/>
                <w14:ligatures w14:val="none"/>
              </w:rPr>
              <w:t>in vitro</w:t>
            </w:r>
            <w:r>
              <w:rPr>
                <w:rFonts w:ascii="Times New Roman" w:eastAsia="Times New Roman" w:hAnsi="Times New Roman" w:cs="Times New Roman"/>
                <w:color w:val="000000"/>
                <w:kern w:val="0"/>
                <w:sz w:val="14"/>
                <w:szCs w:val="14"/>
                <w:lang w:val="en-US" w:eastAsia="en-NL"/>
                <w14:ligatures w14:val="none"/>
              </w:rPr>
              <w:t xml:space="preserve"> </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{"citationID":"O3DAoyAQ","properties":{"formattedCitation":"[23]","plainCitation":"[23]","noteIndex":0},"citationItems":[{"id":11609,"uris":["http://zotero.org/users/7565624/items/QM4K6DA8"],"itemData":{"id":11609,"type":"article-journal","abstract":"Black rice is a functional food that is high in anthocyanin content, primarily C3G and P3G. It possesses nutraceutical properties that exhibit a range of beneficial effects on human health. Currently, the spike glycoprotein S1 subunit of SARS-CoV-2 (SP) has been reported for its contribution to pathological inflammatory responses in targeting lung tissue and innate immune cells during COVID-19 infection and in the long-COVID phenomenon. Our objectives focused on the health benefits of the C3G and P3G-rich fraction of black rice germ and bran (BR extract) on the inhibition of inflammatory responses induced by SP, as well as the inhibition of NF-kB activation and the NLRP3 inflammasome pathway in an in vitro model. In this study, BR extract was identified for its active anthocyanins, C3G and P3G, using the HPLC technique. A549-lung cells and differentiated THP-1 macrophages were treated with BR extract, C3G, or P3G prior to exposure to 100 ng/mL of SP. Their anti-inflammatory properties were then determined. BR extract at concentrations of 12.5–100 μg/mL exhibited anti-inflammation activity for both A549 and THP-1 cells through the significant suppression of NLRP3, IL-1β, and IL-18 inflammatory gene expressions and IL-6, IL-1β, and IL-18 cytokine secretions in a dose-dependent manner (p &lt; 0.05). It was determined that both cell lines, C3G and P3G (at 1.25–10 μg/mL), were compatibly responsible for the significant inhibition of SP-induced inflammatory responses for both gene and protein levels (p &lt; 0.05). With regard to the anti-inflammation mechanism, BR extract, C3G, and P3G could attenuate SP-induced inflammation via counteraction with NF-kB activation and downregulation of the inflammasome-dependent inflammatory pathway proteins (NLRP3, ASC, and capase-1). Overall, the protective effects of anthocyanins obtained from black rice germ and bran can be employed in potentially preventive strategies that use pigmented rice against the long-term sequelae of COVID-19 infection.","container-title":"Nutrients","DOI":"10.3390/nu14132738","ISSN":"2072-6643","issue":"13","language":"en","license":"http://creativecommons.org/licenses/by/3.0/","note":"number: 13\npublisher: Multidisciplinary Digital Publishing Institute","page":"2738","source":"www.mdpi.com","title":"Cyanidin-3-O-glucoside and Peonidin-3-O-glucoside-Rich Fraction of Black Rice Germ and Bran Suppresses Inflammatory Responses from SARS-CoV-2 Spike Glycoprotein S1-Induction In Vitro in A549 Lung Cells and THP-1 Macrophages via Inhibition of the NLRP3 Inflammasome Pathway","URL":"https://www.mdpi.com/2072-6643/14/13/2738","volume":"14","author":[{"family":"Semmarath","given":"Warathit"},{"family":"Mapoung","given":"Sariya"},{"family":"Umsumarng","given":"Sonthaya"},{"family":"Arjsri","given":"Punnida"},{"family":"Srisawad","given":"Kamonwan"},{"family":"Thippraphan","given":"Pilaiporn"},{"family":"Yodkeeree","given":"Supachai"},{"family":"Dejkriengkraikul","given":"Pornngarm"}],"accessed":{"date-parts":[["2023",6,23]]},"issued":{"date-parts":[["2022",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72616C">
              <w:rPr>
                <w:rFonts w:ascii="Times New Roman" w:hAnsi="Times New Roman" w:cs="Times New Roman"/>
                <w:sz w:val="14"/>
              </w:rPr>
              <w:t>[23]</w:t>
            </w:r>
            <w:r>
              <w:rPr>
                <w:rFonts w:ascii="Times New Roman" w:eastAsia="Times New Roman" w:hAnsi="Times New Roman" w:cs="Times New Roman"/>
                <w:color w:val="000000"/>
                <w:kern w:val="0"/>
                <w:sz w:val="14"/>
                <w:szCs w:val="14"/>
                <w:lang w:val="en-US" w:eastAsia="en-NL"/>
                <w14:ligatures w14:val="none"/>
              </w:rPr>
              <w:fldChar w:fldCharType="end"/>
            </w:r>
            <w:r>
              <w:rPr>
                <w:rFonts w:ascii="Times New Roman" w:eastAsia="Times New Roman" w:hAnsi="Times New Roman" w:cs="Times New Roman"/>
                <w:color w:val="000000"/>
                <w:kern w:val="0"/>
                <w:sz w:val="14"/>
                <w:szCs w:val="14"/>
                <w:lang w:val="en-US" w:eastAsia="en-NL"/>
                <w14:ligatures w14:val="none"/>
              </w:rPr>
              <w:t>.</w:t>
            </w:r>
          </w:p>
          <w:p w14:paraId="354F79CD" w14:textId="6F0E3AC0" w:rsidR="00A92A05" w:rsidRPr="00E411AA"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In vitro activity of a glucoside rich fruit extract (corozo) against SARS-CoV-2</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{"citationID":"GBpoOBeA","properties":{"formattedCitation":"[24]","plainCitation":"[24]","noteIndex":0},"citationItems":[{"id":11614,"uris":["http://zotero.org/users/7565624/items/ZBDA9SDE"],"itemData":{"id":11614,"type":"article-journal","abstract":"Background :   Given the current COVID-19 pandemic, numerous drug development studies are being carried out for the treatment and control of this disease. This study aimed to evaluate the   in vitro   antiviral potential of Corozo fruit extract (  Bactris guineensis  ) against SARS-CoV-2.     Methods :   Corozo extract (CE) was prepared from the pulp of mature Corozo fruits. The total content of phenols, flavonoids, and anthocyanins in the extracts was determined using the Folin-Ciocalteu, aluminum chloride, and pH differential methods, respectively. The cytotoxicity on Vero E6 cells was evaluated by MTT assay. Antiviral activity was evaluated by pre-post-treatment using a Colombian isolate of SARS-CoV-2. Viral titer was quantified by plaque assay.     Results :   Anthocyanin concentration of CE was 144.95 ± 10.3 mg cyanidin-3-glucoside/L. The cytotoxicity of CE on Vero E6 was lower to 20 % at 15.6 g/L. Corozo extract inhibited SARS-CoV-2 at 15.6, 7.8, 3.9 and 1.9 g/L with inhibition percentages of 88.2%, 84%, 59.6% and 56.3%, respectively.         Conclusion :   This is the first report on the   in vitro   antiviral effect of Corozo fruit extract against SARS-CoV-2. Since this is a  natural product, proven safe for consumption, in the future and with further studies, it could be considered an important functional food that can be useful in preventing strategies to fight against COVID-19.           Keywords :   Bactris guineensis,   Corozo fruit, antiviral activity, SARS-CoV-2, COVID-19.","container-title":"Functional Foods in Health and Disease","ISSN":"2160-3855","issue":"9","language":"en","license":"Any manuscripts or substantial parts of it, submitted to the journal must not be under consideration by or previously published in any other journal or citable form. Authors are required to ensure that no material submitted as part of a manuscript infringes existing copyrights or the rights of a third party. In submitting one's article in any form, the author has assigned the FFC publishing rights and has agreed to an automatic transfer of the copyright to the publisher. This is so that the FFC may create print option journals, for example, at the FFC’s discretion. If the author wishes to distribute their works by means outside of the FFC, for example within their community, they will have to place a request.          Correspondence concerning articles published in Functional Foods in Health and Disease is encouraged. While derivative works (adaptations, extensions on the current work, etc.) are allowed, distribution of the modified material is not allowed without permission from the FFC.","note":"number: 9","page":"534-546","source":"www.ffhdj.com","title":"Corozo (Bactris guineensis) fruit extract has antiviral activity in vitro against SARS-CoV-2","URL":"https://www.ffhdj.com/index.php/ffhd/article/view/918","volume":"12","author":[{"family":"Jaimes-Gualdrón","given":"Tania"},{"family":"Flórez-Álvarez","given":"Lizdany"},{"family":"Zapata-Cardona","given":"María Isabel"},{"family":"Rojano","given":"Benjamín Alberto"},{"family":"Rugeles","given":"María Teresa"},{"family":"Zapata-Builes","given":"Wildeman"}],"accessed":{"date-parts":[["2023",6,23]]},"issued":{"date-parts":[["2022",9,15]]}}}],"schema":"https://github.com/citation-style-language/schema/raw/master/csl-citation.json"}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72616C">
              <w:rPr>
                <w:rFonts w:ascii="Times New Roman" w:hAnsi="Times New Roman" w:cs="Times New Roman"/>
                <w:sz w:val="14"/>
              </w:rPr>
              <w:t>[24]</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53E3D153" w14:textId="68454CC5" w:rsidTr="00B46704">
        <w:trPr>
          <w:trHeight w:val="300"/>
        </w:trPr>
        <w:tc>
          <w:tcPr>
            <w:tcW w:w="993" w:type="dxa"/>
            <w:noWrap/>
            <w:hideMark/>
          </w:tcPr>
          <w:p w14:paraId="3148654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4161A357" w14:textId="07B6301B"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NCT04404218</w:t>
            </w:r>
          </w:p>
        </w:tc>
        <w:tc>
          <w:tcPr>
            <w:tcW w:w="2168" w:type="dxa"/>
            <w:noWrap/>
            <w:hideMark/>
          </w:tcPr>
          <w:p w14:paraId="59C41EF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ACTIVE_NOT_RECRUITING</w:t>
            </w:r>
          </w:p>
        </w:tc>
        <w:tc>
          <w:tcPr>
            <w:tcW w:w="4125" w:type="dxa"/>
          </w:tcPr>
          <w:p w14:paraId="459F1734"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5EC7D6EE" w14:textId="45019FDC" w:rsidTr="00B46704">
        <w:trPr>
          <w:trHeight w:val="300"/>
        </w:trPr>
        <w:tc>
          <w:tcPr>
            <w:tcW w:w="993" w:type="dxa"/>
            <w:noWrap/>
            <w:hideMark/>
          </w:tcPr>
          <w:p w14:paraId="65E24BD2"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Methylene Blue</w:t>
            </w:r>
          </w:p>
        </w:tc>
        <w:tc>
          <w:tcPr>
            <w:tcW w:w="1126" w:type="dxa"/>
            <w:noWrap/>
            <w:hideMark/>
          </w:tcPr>
          <w:p w14:paraId="35839BF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NCT05004805</w:t>
            </w:r>
          </w:p>
        </w:tc>
        <w:tc>
          <w:tcPr>
            <w:tcW w:w="2168" w:type="dxa"/>
            <w:noWrap/>
            <w:hideMark/>
          </w:tcPr>
          <w:p w14:paraId="15043DE9"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01E05E2D" w14:textId="277CD2FA" w:rsidR="00A92A05"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Positive results on Covid-19 infection </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{"citationID":"GSBRUQrA","properties":{"formattedCitation":"[25\\uc0\\u8211{}27]","plainCitation":"[25–27]","noteIndex":0},"citationItems":[{"id":11616,"uris":["http://zotero.org/users/7565624/items/8RADJ6SS"],"itemData":{"id":11616,"type":"article-journal","abstract":"The severe acute respiratory syndrome-coronavirus 2 (SARS-CoV-2) is the most recent coronaviruses, which has infected humans, and caused the disease COVID-19. The World Health Organization has declared COVID-19 as a pandemic in March 2020. The SARS-CoV-2 enters human hosts majorly via the respiratory tract, affecting the lungs first. In few critical cases, the infection progresses to failure of the respiratory system known as acute respiratory distress syndrome acute respiratory distress syndrome may be further associated with multi-organ failure and vasoplegic shock. Currently, the treatment of COVID-19 involves use of antiviral and anti-cytokine drugs. However, both the drugs have low efficacy because they cannot inhibit the production of free radicals and cytokines at the same time. Recently, some researchers have reported the use of methylene blue (MB) in COVID-19 management. MB has been used since a long time as a therapeutic agent, and has been approved by the US FDA for the treatment of other diseases. The additional advantage of MB is its low cost. MB is a safe drug when used in the dose of &lt; 2 mg/kg. In this review, the applicability of MB in COVID-19 and its mechanistic aspects have been explored and compiled. The clinical studies have been explained in great detail. Thus, the potential of MB in the management of COVID-19 has been examined.","container-title":"Biomedicine &amp; Pharmacotherapy","DOI":"10.1016/j.biopha.2021.112023","ISSN":"0753-3322","journalAbbreviation":"Biomedicine &amp; Pharmacotherapy","language":"en","page":"112023","source":"ScienceDirect","title":"Repurposing methylene blue in the management of COVID-19: Mechanistic aspects and clinical investigations","title-short":"Repurposing methylene blue in the management of COVID-19","URL":"https://www.sciencedirect.com/science/article/pii/S0753332221008064","volume":"142","author":[{"family":"Dabholkar","given":"Neha"},{"family":"Gorantla","given":"Srividya"},{"family":"Dubey","given":"Sunil Kumar"},{"family":"Alexander","given":"Amit"},{"family":"Taliyan","given":"Rajeev"},{"family":"Singhvi","given":"Gautam"}],"accessed":{"date-parts":[["2023",6,23]]},"issued":{"date-parts":[["2021",10,1]]}}},{"id":11619,"uris":["http://zotero.org/users/7565624/items/LBQH82XI"],"itemData":{"id":11619,"type":"article-journal","container-title":"Revista de investigación clínica","DOI":"10.24875/ric.21000028","ISSN":"0034-8376","issue":"3","language":"en","note":"publisher: Instituto Nacional de Ciencias Médicas y Nutrición Salvador Zubirán","page":"190-198","source":"SciELO","title":"Methylene Blue for Treatment of Hospitalized COVID-19 Patients: A Randomized, Controlled, Open-Label Clinical Trial, Phase 2","title-short":"Methylene Blue for Treatment of Hospitalized COVID-19 Patients","URL":"http://www.scielo.org.mx/scielo.php?script=sci_abstract&amp;pid=S0034-83762021000300190&amp;lng=es&amp;nrm=iso&amp;tlng=en","volume":"73","author":[{"family":"Hamidi-Alamdari","given":"Daryoush"},{"family":"Hafizi-Lotfabadi","given":"Saied"},{"family":"Bagheri-Moghaddam","given":"Ahmad"},{"family":"Safari","given":"Hossin"},{"family":"Mozdourian","given":"Mahnaz"},{"family":"Javidarabshahi","given":"Zahra"},{"family":"Peivandi-Yazdi","given":"Arash"},{"family":"Ali-Zeraati","given":"Abass"},{"family":"Sedaghat","given":"Alireza"},{"family":"Poursadegh","given":"Farid"},{"family":"Barazandeh-Ahmadabadi","given":"Fatemeh"},{"family":"Agheli-Rad","given":"Marzieh"},{"family":"Tavousi","given":"Seyed M."},{"family":"Vojouhi","given":"Shohreh"},{"family":"Amini","given":"Shahram"},{"family":"Amini","given":"Mahnaz"},{"family":"Majid-Hosseini","given":"Seyed"},{"family":"Tavanaee-Sani","given":"Ashraf"},{"family":"Ghiabi","given":"Amin"},{"family":"Nabavi-Mahalli","given":"Shima"},{"family":"Morovatdar","given":"Negar"},{"family":"Rajabi","given":"Omid"},{"family":"Koliakos","given":"George"},{"family":"Hamidi-Alamdari","given":"Daryoush"},{"family":"Hafizi-Lotfabadi","given":"Saied"},{"family":"Bagheri-Moghaddam","given":"Ahmad"},{"family":"Safari","given":"Hossin"},{"family":"Mozdourian","given":"Mahnaz"},{"family":"Javidarabshahi","given":"Zahra"},{"family":"Peivandi-Yazdi","given":"Arash"},{"family":"Ali-Zeraati","given":"Abass"},{"family":"Sedaghat","given":"Alireza"},{"family":"Poursadegh","given":"Farid"},{"family":"Barazandeh-Ahmadabadi","given":"Fatemeh"},{"family":"Agheli-Rad","given":"Marzieh"},{"family":"Tavousi","given":"Seyed M."},{"family":"Vojouhi","given":"Shohreh"},{"family":"Amini","given":"Shahram"},{"family":"Amini","given":"Mahnaz"},{"family":"Majid-Hosseini","given":"Seyed"},{"family":"Tavanaee-Sani","given":"Ashraf"},{"family":"Ghiabi","given":"Amin"},{"family":"Nabavi-Mahalli","given":"Shima"},{"family":"Morovatdar","given":"Negar"},{"family":"Rajabi","given":"Omid"},{"family":"Koliakos","given":"George"}],"accessed":{"date-parts":[["2023",6,23]]},"issued":{"date-parts":[["2021",6]]}},"label":"page"},{"id":11621,"uris":["http://zotero.org/users/7565624/items/94WDWFAV"],"itemData":{"id":11621,"type":"article-journal","abstract":"Background: Many new drugs were studied for desired action in COVID-19 disease dynamics. One such molecule is Methylene blue which is a tricyclic phenothiazine compound approved for the treatment of acquired methemoglobinemia. This molecule has shown some evidence of inhibiting the interaction of the COVID-19 virus and target cells in a dose dependent manner. There are many other proposals suggesting that the mechanisms of action of Nebulized Methylene Blue [NBM] molecule could be beneficial to the management of COVID-19. The Aim of the Work: To observe and evaluate the effect of NMB on the clinical course and outcomes of patients with COVID-19 infections.Patients and Methods: An observational study including a total of 63 COVID-19 RT-PCR positive cases divided in 3 groups.Results: Difference between mean d-dimer value and mean lactate dehydrogenase [LDH] values at day sixth of the intervention among three different groups were statically significant. A general trend of reduced hospital stays in groups getting NBE in groups 1, 2 vs. group 3 was observed [Viz. 9.17 days Vs. 12 days] though statistically non-significant. Fall in inflammatory markers and oxygen requirements in group receiving methylene blue [Groups 1 and 2] vs. control [Group 3] are noticeable.Conclusion: A general trend of fall in inflammatory markers and oxygen requirements among patients in groups receiving NMB. However, our results showed no significant differences in outcome measures for oxygen saturation and duration of hospitalisation among those receiving NMB.","container-title":"International Journal of Medical Arts","DOI":"10.21608/ijma.2022.112347.1416","ISSN":"2636-4174","issue":"2","note":"publisher: Al-Azhar University (Damietta), Faculty of Medicine","page":"2129-2132","source":"ijma.journals.ekb.eg","title":"The Role of Nebulized Methylene Blue [NMB] in The Management of COVID-19 Cases: An Observational Study","title-short":"The Role of Nebulized Methylene Blue [NMB] in The Management of COVID-19 Cases","URL":"https://ijma.journals.ekb.eg/article_215184.html","volume":"4","author":[{"family":"Patidar","given":"Vimlesh"},{"family":"Sharma","given":"Ashish"},{"family":"Bhoraskar","given":"Sanjay"},{"family":"Tripathi","given":"Ajay Prakash"},{"family":"Dhaneriya","given":"Saumin"}],"accessed":{"date-parts":[["2023",6,23]]},"issued":{"date-parts":[["2022",2,1]]}}}],"schema":"https://github.com/citation-style-language/schema/raw/master/csl-citation.json"}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ED7D17">
              <w:rPr>
                <w:rFonts w:ascii="Times New Roman" w:hAnsi="Times New Roman" w:cs="Times New Roman"/>
                <w:kern w:val="0"/>
                <w:sz w:val="14"/>
                <w:szCs w:val="24"/>
              </w:rPr>
              <w:t>[25–27]</w:t>
            </w:r>
            <w:r>
              <w:rPr>
                <w:rFonts w:ascii="Times New Roman" w:eastAsia="Times New Roman" w:hAnsi="Times New Roman" w:cs="Times New Roman"/>
                <w:color w:val="000000"/>
                <w:kern w:val="0"/>
                <w:sz w:val="14"/>
                <w:szCs w:val="14"/>
                <w:lang w:val="en-US" w:eastAsia="en-NL"/>
                <w14:ligatures w14:val="none"/>
              </w:rPr>
              <w:fldChar w:fldCharType="end"/>
            </w:r>
            <w:r>
              <w:rPr>
                <w:rFonts w:ascii="Times New Roman" w:eastAsia="Times New Roman" w:hAnsi="Times New Roman" w:cs="Times New Roman"/>
                <w:color w:val="000000"/>
                <w:kern w:val="0"/>
                <w:sz w:val="14"/>
                <w:szCs w:val="14"/>
                <w:lang w:val="en-US" w:eastAsia="en-NL"/>
                <w14:ligatures w14:val="none"/>
              </w:rPr>
              <w:t>.</w:t>
            </w:r>
          </w:p>
          <w:p w14:paraId="47E57342" w14:textId="2B2DF6AC" w:rsidR="00A92A05"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Patients (lacking controls) show improvement with methylene blue </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u06uPkl5","properties":{"formattedCitation":"[27\\uc0\\u8211{}31]","plainCitation":"[27–31]","noteIndex":0},"citationItems":[{"id":11621,"uris":["http://zotero.org/users/7565624/items/94WDWFAV"],"itemData":{"id":11621,"type":"article-journal","abstract":"Background: Many new drugs were studied for desired action in COVID-19 disease dynamics. One such molecule is Methylene blue which is a tricyclic phenothiazine compound approved for the treatment of acquired methemoglobinemia. This molecule has shown some evidence of inhibiting the interaction of the COVID-19 virus and target cells in a dose dependent manner. There are many other proposals suggesting that the mechanisms of action of Nebulized Methylene Blue [NBM] molecule could be beneficial to the management of COVID-19. The Aim of the Work: To observe and evaluate the effect of NMB on the clinical course and outcomes of patients with COVID-19 infections.Patients and Methods: An observational study including a total of 63 COVID-19 RT-PCR positive cases divided in 3 groups.Results: Difference between mean d-dimer value and mean lactate dehydrogenase [LDH] values at day sixth of the intervention among three different groups were statically significant. A general trend of reduced hospital stays in groups getting NBE in groups 1, 2 vs. group 3 was observed [Viz. 9.17 days Vs. 12 days] though statistically non-significant. Fall in inflammatory markers and oxygen requirements in group receiving methylene blue [Groups 1 and 2] vs. control [Group 3] are noticeable.Conclusion: A general trend of fall in inflammatory markers and oxygen requirements among patients in groups receiving NMB. However, our results showed no significant differences in outcome measures for oxygen saturation and duration of hospitalisation among those receiving NMB.","container-title":"International Journal of Medical Arts","DOI":"10.21608/ijma.2022.112347.1416","ISSN":"2636-4174","issue":"2","note":"publisher: Al-Azhar University (Damietta), Faculty of Medicine","page":"2129-2132","source":"ijma.journals.ekb.eg","title":"The Role of Nebulized Methylene Blue [NMB] in The Management of COVID-19 Cases: An Observational Study","title-short":"The Role of Nebulized Methylene Blue [NMB] in The Management of COVID-19 Cases","URL":"https://ijma.journals.ekb.eg/article_215184.html","volume":"4","author":[{"family":"Patidar","given":"Vimlesh"},{"family":"Sharma","given":"Ashish"},{"family":"Bhoraskar","given":"Sanjay"},{"family":"Tripathi","given":"Ajay Prakash"},{"family":"Dhaneriya","given":"Saumin"}],"accessed":{"date-parts":[["2023",6,23]]},"issued":{"date-parts":[["2022",2,1]]}}},{"id":11626,"uris":["http://zotero.org/users/7565624/items/KDI479K2"],"itemData":{"id":11626,"type":"article-journal","abstract":"COVID-19 is a global catastrophic event that causes severe acute respiratory syndrome. The mechanism of the disease remains unclear, and hypoxia is one of the main complications. There is no currently approved protocol for treatment. The microbial threat as induced by COVID-19 causes the activation of macrophages to produce a huge amount of inflammatory molecules and nitric oxide (NO). Activation of macrophages population into a pro-inflammatory phenotype induces a self-reinforcing cycle. Oxidative stress and NO contribute to this cycle, establishing a cascade inflammatory state that can kill the patient. Interrupting this vicious cycle by a simple remedy may save critical patients’ lives. Nitrite, nitrate (the metabolites of NO), methemoglobin, and prooxidant-antioxidant-balance levels were measured in 25 ICU COVID-19 patients and 25 healthy individuals. As the last therapeutic option, five patients were administered methylene blue-vitamin C–N-acetyl Cysteine (MCN). Nitrite, nitrate, methemoglobin, and oxidative stress were significantly increased in patients in comparison to healthy individuals. Four of the five patients responded well to treatment. In conclusion, NO, methemoglobin and oxidative stress may play a central role in the pathogenesis of critical COVID-19 disease. MCN treatment seems to increase the survival rate of these patients. Considering the vicious cycle of macrophage activation leading to deadly NO, oxidative stress, and cytokine cascade syndrome; the therapeutic effect of MCN seems to be reasonable. Accordingly, a wider clinical trial has been designed. It should be noted that the protocol is using the low-cost drugs which the FDA approved for other diseases.\nTrial registration number\nNCT04370288.","container-title":"European Journal of Pharmacology","DOI":"10.1016/j.ejphar.2020.173494","ISSN":"0014-2999","journalAbbreviation":"European Journal of Pharmacology","language":"en","page":"173494","source":"ScienceDirect","title":"Application of methylene blue -vitamin C –N-acetyl cysteine for treatment of critically ill COVID-19 patients, report of a phase-I clinical trial","URL":"https://www.sciencedirect.com/science/article/pii/S0014299920305860","volume":"885","author":[{"family":"Alamdari","given":"Daryoush Hamidi"},{"family":"Moghaddam","given":"Ahmad Bagheri"},{"family":"Amini","given":"Shahram"},{"family":"Keramati","given":"Mohammad Reza"},{"family":"Zarmehri","given":"Azam Moradi"},{"family":"Alamdari","given":"Aida Hamidi"},{"family":"Damsaz","given":"Mohammadamin"},{"family":"Banpour","given":"Hamed"},{"family":"Yarahmadi","given":"Amir"},{"family":"Koliakos","given":"George"}],"accessed":{"date-parts":[["2023",6,23]]},"issued":{"date-parts":[["2020",10,15]]}}},{"id":11623,"uris":["http://zotero.org/users/7565624/items/X3UWYGAQ"],"itemData":{"id":11623,"type":"article-journal","abstract":"Objectives: To describe the clinical outcomes of hypoxic coronavirus disease 2019 (COVID-19) patients treated with intravenous methylene blue (MB) in a tertiary care hospital., Materials and methods: We conducted a case series of 50 patients with hypoxic COVID-19 treated with intravenous MB admitted to our hospital between June 01 and September 10, 2020. Intravenous MB was administered as rescue therapy in dosage of 1 mg/kg body weight, with a maximum of five doses, to patients with high oxygen requirements (SpO2/FiO2 &lt;200) apart from the standard of care after obtaining G6PD levels. Data were abstracted from multiple electronic data sources or patient charts to provide information on patient characteristics, clinical and laboratory variables and outcomes., Results: The median age of the patients was 53.3 (range 25–74 years) and most patients (74%) were men. About 68% of patients had pre-existing comorbidity. Median SpO2/FiO2 ratio progressively improved from 132.5 (predose) to 284 before the terminal event (death or discharge), ventilator-free days, and decrease in the proinflammatory biochemical parameter was significantly higher after the second dose of MB. A total of six patients out of 50 required invasive mechanical ventilation (IMV). Thirty patients were discharged with a recovery rate of 60%, while 20 patients succumbed to the illness. There was no major side effect or adverse event reported in any of the patients., Conclusion: MB due to its polypharmacological action against SARS‐CoV‐2, an inexpensive and widely available drug with minimal side effects, has a significant potential in the treatment of COVID-19., How to cite this article: Mahale N, Godavarthy P, Marreddy S, Gokhale SD, Funde P, Rajhans PA, et al. Intravenous Methylene Blue as a Rescue Therapy in the Management of Refractory Hypoxia in COVID-19 ARDS Patients: A Case Series. Indian J Crit Care Med 2021;25(8):934–938.","container-title":"Indian Journal of Critical Care Medicine : Peer-reviewed, Official Publication of Indian Society of Critical Care Medicine","DOI":"10.5005/jp-journals-10071-23905","ISSN":"0972-5229","issue":"8","journalAbbreviation":"Indian J Crit Care Med","note":"PMID: 34733037\nPMCID: PMC8559741","page":"934-938","source":"PubMed Central","title":"Intravenous Methylene Blue as a Rescue Therapy in the Management of Refractory Hypoxia in COVID-19 ARDS Patients: A Case Series","title-short":"Intravenous Methylene Blue as a Rescue Therapy in the Management of Refractory Hypoxia in COVID-19 ARDS Patients","URL":"https://www.ncbi.nlm.nih.gov/pmc/articles/PMC8559741/","volume":"25","author":[{"family":"Mahale","given":"Nilesh"},{"family":"Godavarthy","given":"Purushotham"},{"family":"Marreddy","given":"Srinath"},{"family":"Gokhale","given":"Snehal D"},{"family":"Funde","given":"Pradip"},{"family":"Rajhans","given":"Prasad A"},{"family":"Akole","given":"Prasad V"},{"family":"Pawar","given":"Balasaheb"},{"family":"Bhurke","given":"Bhagyashri"},{"family":"Dalvi","given":"Pradip"},{"family":"Marudwar","given":"Prasanna"},{"family":"Gugale","given":"Shradha"},{"family":"Shahane","given":"Manasi S"},{"family":"Kshirsagar","given":"Sarang N"},{"family":"Jog","given":"Sameer A"}],"accessed":{"date-parts":[["2023",6,23]]},"issued":{"date-parts":[["2021",8]]}}},{"id":11629,"uris":["http://zotero.org/users/7565624/items/8APVCC5K"],"itemData":{"id":11629,"type":"article-journal","abstract":"Background: In COVID-19, the respiratory tract is usually affected by SARS-CoV-2 infection. Due to viral transmission in the blood and an overwhelming inflammatory response, including cytokine storm, the condition can progress to acute respiratory distress syndrome and failure. Methylene\nblue is the only medicine that has been shown to reduce the excessive generation of reactive species and cytokines. Case Presentation: A 51-year-old male patient came to the hospital with shortness of breath. At room air, the patient was having 70% Spo2. The patient was treated with a\nnoninvasive ventilator (NIV) and Standard of care (SOC). Due to prolonged hypoxia and respiratory distress, the patient was treated with NIV and the methylene blue (MB) was given in a humidifier for 5 days. Result: Methylene blue resulted in a significant decrease in respiratory distress\nand a steep rise in Spo2. Conclusion: We suggest trying methylene blue as an additional intervention in COVID-related acute respiratory distress to avoid the disease's devastating consequences.","container-title":"Infectious Disorders - Drug TargetsDisorders)","DOI":"10.2174/1871526522666220317155947","issue":"6","journalAbbreviation":"Infectious Disorders - Drug TargetsDisorders)","page":"62-65","source":"IngentaConnect","title":"Does Methylene Blue Satisfy an Option in COVID-19 ARDS","volume":"22","author":[{"family":"Yella","given":"Sri H. T."},{"family":"Yella","given":"Sree Sudha Tanguturi"},{"family":"Sasanka","given":"Kota Sesha Brahma Shree Krishna"},{"family":"Thangaraju","given":"Pugazhenthan"}],"issued":{"date-parts":[["2022",9,1]]}}},{"id":11630,"uris":["http://zotero.org/users/7565624/items/YBDAXTEC"],"itemData":{"id":11630,"type":"article-journal","abstract":"We report the case of a cohort of 2500 French patients treated among others with methylene blue for cancer care. During the COVID-19 epidemics none of them developed influenza-like illness. Albeit this lack of infection might be by chance alone, it is possible that methylene blue might have a preventive effect for COVID-19 infection. This is in line with the antiviral activity of Chloroquine, a Methylene blue derivative. Both Chloroquine and Methylene blue have strong antiviral and anti- inflammatory properties probably linked to the change in intracellular pH and redox state.","container-title":"Substantia","DOI":"10.13128/Substantia-888","ISSN":"2532-3997","language":"en","license":"Copyright (c) 2020 Marc Henry, Mireille  Summa, Louis Patrick, Laurent Schwartz","page":"888-888","source":"riviste.fupress.net","title":"A cohort of cancer patients with no reported cases of SARS-CoV-2 infection: the possible preventive role of Methylene Blue","title-short":"A cohort of cancer patients with no reported cases of SARS-CoV-2 infection","URL":"https://riviste.fupress.net/index.php/subs/article/view/888","author":[{"family":"Henry","given":"Marc"},{"family":"Summa","given":"Mireille"},{"family":"Patrick","given":"Louis"},{"family":"Schwartz","given":"Laurent"}],"accessed":{"date-parts":[["2023",6,23]]},"issued":{"date-parts":[["2020",3,30]]}}}],"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ED7D17">
              <w:rPr>
                <w:rFonts w:ascii="Times New Roman" w:hAnsi="Times New Roman" w:cs="Times New Roman"/>
                <w:kern w:val="0"/>
                <w:sz w:val="14"/>
                <w:szCs w:val="24"/>
              </w:rPr>
              <w:t>[27–31]</w:t>
            </w:r>
            <w:r>
              <w:rPr>
                <w:rFonts w:ascii="Times New Roman" w:eastAsia="Times New Roman" w:hAnsi="Times New Roman" w:cs="Times New Roman"/>
                <w:color w:val="000000"/>
                <w:kern w:val="0"/>
                <w:sz w:val="14"/>
                <w:szCs w:val="14"/>
                <w:lang w:val="en-US" w:eastAsia="en-NL"/>
                <w14:ligatures w14:val="none"/>
              </w:rPr>
              <w:fldChar w:fldCharType="end"/>
            </w:r>
          </w:p>
          <w:p w14:paraId="6A5E9B81" w14:textId="01A2F3D6" w:rsidR="00A92A05" w:rsidRPr="0072616C" w:rsidRDefault="00A92A05" w:rsidP="00DD5124">
            <w:pPr>
              <w:rPr>
                <w:rFonts w:ascii="Times New Roman" w:eastAsia="Times New Roman" w:hAnsi="Times New Roman" w:cs="Times New Roman"/>
                <w:color w:val="000000"/>
                <w:kern w:val="0"/>
                <w:sz w:val="14"/>
                <w:szCs w:val="14"/>
                <w:lang w:val="en-US" w:eastAsia="en-NL"/>
                <w14:ligatures w14:val="none"/>
              </w:rPr>
            </w:pPr>
          </w:p>
        </w:tc>
      </w:tr>
      <w:tr w:rsidR="00A92A05" w:rsidRPr="00903922" w14:paraId="347CDADE" w14:textId="37CBADA9" w:rsidTr="00B46704">
        <w:trPr>
          <w:trHeight w:val="300"/>
        </w:trPr>
        <w:tc>
          <w:tcPr>
            <w:tcW w:w="993" w:type="dxa"/>
            <w:noWrap/>
            <w:hideMark/>
          </w:tcPr>
          <w:p w14:paraId="338D46A6"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4DDC0E25"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NCT04547127</w:t>
            </w:r>
          </w:p>
        </w:tc>
        <w:tc>
          <w:tcPr>
            <w:tcW w:w="2168" w:type="dxa"/>
            <w:noWrap/>
            <w:hideMark/>
          </w:tcPr>
          <w:p w14:paraId="0E1771F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1BD1EE1C"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29098E44" w14:textId="439D597B" w:rsidTr="00B46704">
        <w:trPr>
          <w:trHeight w:val="300"/>
        </w:trPr>
        <w:tc>
          <w:tcPr>
            <w:tcW w:w="993" w:type="dxa"/>
            <w:noWrap/>
            <w:hideMark/>
          </w:tcPr>
          <w:p w14:paraId="34E535F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58540ADD"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NCT04416113</w:t>
            </w:r>
          </w:p>
        </w:tc>
        <w:tc>
          <w:tcPr>
            <w:tcW w:w="2168" w:type="dxa"/>
            <w:noWrap/>
            <w:hideMark/>
          </w:tcPr>
          <w:p w14:paraId="2B319AB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ACTIVE_NOT_RECRUITING</w:t>
            </w:r>
          </w:p>
        </w:tc>
        <w:tc>
          <w:tcPr>
            <w:tcW w:w="4125" w:type="dxa"/>
          </w:tcPr>
          <w:p w14:paraId="067EA4DF"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6C693BE1" w14:textId="425FB317" w:rsidTr="00B46704">
        <w:trPr>
          <w:trHeight w:val="300"/>
        </w:trPr>
        <w:tc>
          <w:tcPr>
            <w:tcW w:w="993" w:type="dxa"/>
            <w:noWrap/>
            <w:hideMark/>
          </w:tcPr>
          <w:p w14:paraId="6EA37F1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1150BFD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NCT04619290</w:t>
            </w:r>
          </w:p>
        </w:tc>
        <w:tc>
          <w:tcPr>
            <w:tcW w:w="2168" w:type="dxa"/>
            <w:noWrap/>
            <w:hideMark/>
          </w:tcPr>
          <w:p w14:paraId="61DCBDC6"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UNKNOWN</w:t>
            </w:r>
          </w:p>
        </w:tc>
        <w:tc>
          <w:tcPr>
            <w:tcW w:w="4125" w:type="dxa"/>
          </w:tcPr>
          <w:p w14:paraId="6C664541"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D5E63FF" w14:textId="69EFA5DC" w:rsidTr="00B46704">
        <w:trPr>
          <w:trHeight w:val="300"/>
        </w:trPr>
        <w:tc>
          <w:tcPr>
            <w:tcW w:w="993" w:type="dxa"/>
            <w:noWrap/>
            <w:hideMark/>
          </w:tcPr>
          <w:p w14:paraId="1C2B169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3C0F197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NCT04635605</w:t>
            </w:r>
          </w:p>
        </w:tc>
        <w:tc>
          <w:tcPr>
            <w:tcW w:w="2168" w:type="dxa"/>
            <w:noWrap/>
            <w:hideMark/>
          </w:tcPr>
          <w:p w14:paraId="2A51C0C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ACTIVE_NOT_RECRUITING</w:t>
            </w:r>
          </w:p>
        </w:tc>
        <w:tc>
          <w:tcPr>
            <w:tcW w:w="4125" w:type="dxa"/>
          </w:tcPr>
          <w:p w14:paraId="29BADDE3"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1BBA3D19" w14:textId="639DCACF" w:rsidTr="00B46704">
        <w:trPr>
          <w:trHeight w:val="300"/>
        </w:trPr>
        <w:tc>
          <w:tcPr>
            <w:tcW w:w="993" w:type="dxa"/>
            <w:noWrap/>
            <w:hideMark/>
          </w:tcPr>
          <w:p w14:paraId="492EFA3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2A41DBE2"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NCT05003492</w:t>
            </w:r>
          </w:p>
        </w:tc>
        <w:tc>
          <w:tcPr>
            <w:tcW w:w="2168" w:type="dxa"/>
            <w:noWrap/>
            <w:hideMark/>
          </w:tcPr>
          <w:p w14:paraId="3B9D470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NOT_YET_RECRUITING</w:t>
            </w:r>
          </w:p>
        </w:tc>
        <w:tc>
          <w:tcPr>
            <w:tcW w:w="4125" w:type="dxa"/>
          </w:tcPr>
          <w:p w14:paraId="377A5BFA"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3F43E106" w14:textId="1A6C26B6" w:rsidTr="00B46704">
        <w:trPr>
          <w:trHeight w:val="300"/>
        </w:trPr>
        <w:tc>
          <w:tcPr>
            <w:tcW w:w="993" w:type="dxa"/>
            <w:noWrap/>
            <w:hideMark/>
          </w:tcPr>
          <w:p w14:paraId="52C696F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279B368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NCT04370288</w:t>
            </w:r>
          </w:p>
        </w:tc>
        <w:tc>
          <w:tcPr>
            <w:tcW w:w="2168" w:type="dxa"/>
            <w:noWrap/>
            <w:hideMark/>
          </w:tcPr>
          <w:p w14:paraId="088707D3"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UNKNOWN</w:t>
            </w:r>
          </w:p>
        </w:tc>
        <w:tc>
          <w:tcPr>
            <w:tcW w:w="4125" w:type="dxa"/>
          </w:tcPr>
          <w:p w14:paraId="4215E6FD"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39FFDCD4" w14:textId="2CB82688" w:rsidTr="00B46704">
        <w:trPr>
          <w:trHeight w:val="300"/>
        </w:trPr>
        <w:tc>
          <w:tcPr>
            <w:tcW w:w="993" w:type="dxa"/>
            <w:noWrap/>
            <w:hideMark/>
          </w:tcPr>
          <w:p w14:paraId="2A1C85F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234B0B1A"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NCT04376788</w:t>
            </w:r>
          </w:p>
        </w:tc>
        <w:tc>
          <w:tcPr>
            <w:tcW w:w="2168" w:type="dxa"/>
            <w:noWrap/>
            <w:hideMark/>
          </w:tcPr>
          <w:p w14:paraId="10F59FCB"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UNKNOWN</w:t>
            </w:r>
          </w:p>
        </w:tc>
        <w:tc>
          <w:tcPr>
            <w:tcW w:w="4125" w:type="dxa"/>
          </w:tcPr>
          <w:p w14:paraId="2FAAE967"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4CA45BAA" w14:textId="7CF97BA7" w:rsidTr="00B46704">
        <w:trPr>
          <w:trHeight w:val="300"/>
        </w:trPr>
        <w:tc>
          <w:tcPr>
            <w:tcW w:w="993" w:type="dxa"/>
            <w:noWrap/>
            <w:hideMark/>
          </w:tcPr>
          <w:p w14:paraId="27C77FB1"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2B7A7880"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NCT04933864</w:t>
            </w:r>
          </w:p>
        </w:tc>
        <w:tc>
          <w:tcPr>
            <w:tcW w:w="2168" w:type="dxa"/>
            <w:noWrap/>
            <w:hideMark/>
          </w:tcPr>
          <w:p w14:paraId="146DA01E"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0A09A850"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018880D5" w14:textId="00D9200A" w:rsidTr="00B46704">
        <w:trPr>
          <w:trHeight w:val="300"/>
        </w:trPr>
        <w:tc>
          <w:tcPr>
            <w:tcW w:w="993" w:type="dxa"/>
            <w:noWrap/>
            <w:hideMark/>
          </w:tcPr>
          <w:p w14:paraId="585D6E82"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136564B2"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NCT05753878</w:t>
            </w:r>
          </w:p>
        </w:tc>
        <w:tc>
          <w:tcPr>
            <w:tcW w:w="2168" w:type="dxa"/>
            <w:noWrap/>
            <w:hideMark/>
          </w:tcPr>
          <w:p w14:paraId="33D4B09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ACTIVE_NOT_RECRUITING</w:t>
            </w:r>
          </w:p>
        </w:tc>
        <w:tc>
          <w:tcPr>
            <w:tcW w:w="4125" w:type="dxa"/>
          </w:tcPr>
          <w:p w14:paraId="24AEDD73"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59006DAF" w14:textId="3B75B351" w:rsidTr="00B46704">
        <w:trPr>
          <w:trHeight w:val="300"/>
        </w:trPr>
        <w:tc>
          <w:tcPr>
            <w:tcW w:w="993" w:type="dxa"/>
            <w:noWrap/>
            <w:hideMark/>
          </w:tcPr>
          <w:p w14:paraId="6CC3204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14BA26C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NCT04621123</w:t>
            </w:r>
          </w:p>
        </w:tc>
        <w:tc>
          <w:tcPr>
            <w:tcW w:w="2168" w:type="dxa"/>
            <w:noWrap/>
            <w:hideMark/>
          </w:tcPr>
          <w:p w14:paraId="446E5D5C"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2D6CF3A2"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650BADDF" w14:textId="3C81E3EA" w:rsidTr="00B46704">
        <w:trPr>
          <w:trHeight w:val="300"/>
        </w:trPr>
        <w:tc>
          <w:tcPr>
            <w:tcW w:w="993" w:type="dxa"/>
            <w:noWrap/>
            <w:hideMark/>
          </w:tcPr>
          <w:p w14:paraId="007CB58F"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p>
        </w:tc>
        <w:tc>
          <w:tcPr>
            <w:tcW w:w="1126" w:type="dxa"/>
            <w:noWrap/>
            <w:hideMark/>
          </w:tcPr>
          <w:p w14:paraId="4B4DE067"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NCT04615936</w:t>
            </w:r>
          </w:p>
        </w:tc>
        <w:tc>
          <w:tcPr>
            <w:tcW w:w="2168" w:type="dxa"/>
            <w:noWrap/>
            <w:hideMark/>
          </w:tcPr>
          <w:p w14:paraId="05A6A4C4" w14:textId="77777777" w:rsidR="00A92A05" w:rsidRPr="00DD5124" w:rsidRDefault="00A92A05" w:rsidP="00DD5124">
            <w:pPr>
              <w:rPr>
                <w:rFonts w:ascii="Times New Roman" w:eastAsia="Times New Roman" w:hAnsi="Times New Roman" w:cs="Times New Roman"/>
                <w:color w:val="000000"/>
                <w:kern w:val="0"/>
                <w:sz w:val="14"/>
                <w:szCs w:val="14"/>
                <w:lang w:eastAsia="en-NL"/>
                <w14:ligatures w14:val="none"/>
              </w:rPr>
            </w:pPr>
            <w:r w:rsidRPr="00DD5124">
              <w:rPr>
                <w:rFonts w:ascii="Times New Roman" w:eastAsia="Times New Roman" w:hAnsi="Times New Roman" w:cs="Times New Roman"/>
                <w:color w:val="000000"/>
                <w:kern w:val="0"/>
                <w:sz w:val="14"/>
                <w:szCs w:val="14"/>
                <w:lang w:eastAsia="en-NL"/>
                <w14:ligatures w14:val="none"/>
              </w:rPr>
              <w:t>COMPLETED</w:t>
            </w:r>
          </w:p>
        </w:tc>
        <w:tc>
          <w:tcPr>
            <w:tcW w:w="4125" w:type="dxa"/>
          </w:tcPr>
          <w:p w14:paraId="5E11624B" w14:textId="77777777" w:rsidR="00A92A05" w:rsidRPr="00903922" w:rsidRDefault="00A92A05" w:rsidP="00DD5124">
            <w:pPr>
              <w:rPr>
                <w:rFonts w:ascii="Times New Roman" w:eastAsia="Times New Roman" w:hAnsi="Times New Roman" w:cs="Times New Roman"/>
                <w:color w:val="000000"/>
                <w:kern w:val="0"/>
                <w:sz w:val="14"/>
                <w:szCs w:val="14"/>
                <w:lang w:eastAsia="en-NL"/>
                <w14:ligatures w14:val="none"/>
              </w:rPr>
            </w:pPr>
          </w:p>
        </w:tc>
      </w:tr>
      <w:tr w:rsidR="00A92A05" w:rsidRPr="00903922" w14:paraId="59724652" w14:textId="77777777" w:rsidTr="00B46704">
        <w:trPr>
          <w:trHeight w:val="300"/>
        </w:trPr>
        <w:tc>
          <w:tcPr>
            <w:tcW w:w="993" w:type="dxa"/>
            <w:noWrap/>
          </w:tcPr>
          <w:p w14:paraId="4954EADC" w14:textId="08A3C77F"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Vitamin C</w:t>
            </w:r>
          </w:p>
        </w:tc>
        <w:tc>
          <w:tcPr>
            <w:tcW w:w="1126" w:type="dxa"/>
            <w:noWrap/>
          </w:tcPr>
          <w:p w14:paraId="1D54F534" w14:textId="61A3371B"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71 Studies for all spike protein related diseases</w:t>
            </w:r>
          </w:p>
          <w:p w14:paraId="59C2CA52" w14:textId="1A35B1D5"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1 study for long Covid or vaccine injury</w:t>
            </w:r>
          </w:p>
        </w:tc>
        <w:tc>
          <w:tcPr>
            <w:tcW w:w="2168" w:type="dxa"/>
            <w:noWrap/>
          </w:tcPr>
          <w:p w14:paraId="20D881CF" w14:textId="65726C31" w:rsidR="00A92A05" w:rsidRPr="00903922" w:rsidRDefault="00A92A05" w:rsidP="00DD5124">
            <w:pPr>
              <w:rPr>
                <w:rFonts w:ascii="Times New Roman" w:eastAsia="Times New Roman" w:hAnsi="Times New Roman" w:cs="Times New Roman"/>
                <w:color w:val="000000"/>
                <w:kern w:val="0"/>
                <w:sz w:val="14"/>
                <w:szCs w:val="14"/>
                <w:lang w:val="en-US" w:eastAsia="en-NL"/>
                <w14:ligatures w14:val="none"/>
              </w:rPr>
            </w:pPr>
          </w:p>
        </w:tc>
        <w:tc>
          <w:tcPr>
            <w:tcW w:w="4125" w:type="dxa"/>
          </w:tcPr>
          <w:p w14:paraId="2CF8A9C2" w14:textId="344E86CC" w:rsidR="00A92A05" w:rsidRPr="003135D5" w:rsidRDefault="00A92A05" w:rsidP="00DD5124">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Decrease in severity but not statistically significant </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{"citationID":"eylEsk7m","properties":{"formattedCitation":"[32,33]","plainCitation":"[32,33]","noteIndex":0},"citationItems":[{"id":11632,"uris":["http://zotero.org/users/7565624/items/KBJMSLNC"],"itemData":{"id":11632,"type":"article-journal","abstract":"Background and aims\nVitamin C has been used as an anti-oxidant in various diseases including viral illnesses like coronavirus disease (COVID-19).\nMethods\nMeta-analysis of randomized controlled trials (RCT) investigating the role of vitamin C supplementation in COVID-19 was carried out.\nResults\nTotal 6 RCTs including n = 572 patients were included. Vitamin C treatment didn't reduce mortality (RR 0.73, 95% CI 0.42 to 1.27; I2 = 0%; P = 0.27), ICU length of stay [SMD 0.29, 95% CI -0.05 to 0.63; I2 = 0%; P = 0.09), hospital length of stay (SMD -0.23, 95% CI -1.04 to 0.58; I2 = 92%; P = 0.57) and need for invasive mechanical ventilation (Risk Ratio 0.93, 95% CI 0.61 to 1.44; I2 = 0%; P = 0.76). Further sub-group analysis based on severity of illness (severe vs. non-severe), route of administration (IV vs. oral) and dose (high vs. low) failed to show any observable benefits.\nConclusion\nNo significant benefit noted with vitamin C administration in COVID-19. Well-designed RCTs with standardized control group needed on this aspect.","container-title":"Diabetes &amp; Metabolic Syndrome: Clinical Research &amp; Reviews","DOI":"10.1016/j.dsx.2021.102324","ISSN":"1871-4021","issue":"6","journalAbbreviation":"Diabetes &amp; Metabolic Syndrome: Clinical Research &amp; Reviews","language":"en","page":"102324","source":"ScienceDirect","title":"Vitamin C and COVID-19 treatment: A systematic review and meta-analysis of randomized controlled trials","title-short":"Vitamin C and COVID-19 treatment","URL":"https://www.sciencedirect.com/science/article/pii/S1871402121003441","volume":"15","author":[{"family":"Rawat","given":"Dimple"},{"family":"Roy","given":"Avishek"},{"family":"Maitra","given":"Souvik"},{"family":"Gulati","given":"Arti"},{"family":"Khanna","given":"Puneet"},{"family":"Baidya","given":"Dalim Kumar"}],"accessed":{"date-parts":[["2023",6,23]]},"issued":{"date-parts":[["2021",11,1]]}}},{"id":11635,"uris":["http://zotero.org/users/7565624/items/SJ8Y99AC"],"itemData":{"id":11635,"type":"article-journal","abstract":"In numerous animal studies, vitamin C has prevented and alleviated viral and bacterial infections. In a few dozen placebo-controlled trials with humans, vitamin C has shortened infections caused by respiratory viruses, which indicates that the vitamin can also influence viral infections in humans. In critically ill patients, plasma vitamin C levels are commonly very low. Gram doses of vitamin C are needed to increase the plasma vitamin C levels of critically ill patients to the levels of ordinary healthy people. A meta-analysis of 12 trials with 1,766 patients calculated that vitamin C reduced the length of ICU stay on average by 8%. Another meta-analysis found that vitamin C shortened the duration of mechanical ventilation in ICU patients. Two randomized placebo-controlled trials found statistically significant reduction in the mortality of sepsis patients. The effects of vitamin C on acute respiratory distress syndrome (ARDS) frequently complicating COVID-19 pneumonia should be considered. Vitamin C is a safe and inexpensive essential nutrient.","container-title":"Frontiers in Medicine","ISSN":"2296-858X","source":"Frontiers","title":"Vitamin C and COVID-19","URL":"https://www.frontiersin.org/articles/10.3389/fmed.2020.559811","volume":"7","author":[{"family":"Hemilä","given":"Harri"},{"family":"Man","given":"Angelique M. E.","non-dropping-particle":"de"}],"accessed":{"date-parts":[["2023",6,23]]},"issued":{"date-parts":[["2021"]]}}}],"schema":"https://github.com/citation-style-language/schema/raw/master/csl-citation.json"}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3135D5">
              <w:rPr>
                <w:rFonts w:ascii="Times New Roman" w:hAnsi="Times New Roman" w:cs="Times New Roman"/>
                <w:sz w:val="14"/>
              </w:rPr>
              <w:t>[32,33]</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0A839116" w14:textId="77777777" w:rsidTr="00B46704">
        <w:trPr>
          <w:trHeight w:val="300"/>
        </w:trPr>
        <w:tc>
          <w:tcPr>
            <w:tcW w:w="993" w:type="dxa"/>
            <w:noWrap/>
          </w:tcPr>
          <w:p w14:paraId="0DCF0716" w14:textId="6E34B606"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NAC</w:t>
            </w:r>
          </w:p>
        </w:tc>
        <w:tc>
          <w:tcPr>
            <w:tcW w:w="1126" w:type="dxa"/>
            <w:noWrap/>
          </w:tcPr>
          <w:p w14:paraId="5A4F9CE6" w14:textId="7A82A141"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NCT04545008</w:t>
            </w:r>
          </w:p>
        </w:tc>
        <w:tc>
          <w:tcPr>
            <w:tcW w:w="2168" w:type="dxa"/>
            <w:noWrap/>
          </w:tcPr>
          <w:p w14:paraId="3B430F74" w14:textId="00713DD1"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TERMINATED</w:t>
            </w:r>
          </w:p>
        </w:tc>
        <w:tc>
          <w:tcPr>
            <w:tcW w:w="4125" w:type="dxa"/>
          </w:tcPr>
          <w:p w14:paraId="16B49E33" w14:textId="5332584A" w:rsidR="00A92A05" w:rsidRPr="00A3084A" w:rsidRDefault="00A92A05" w:rsidP="009C50C6">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 xml:space="preserve">Significant improvement </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{"citationID":"2bbm03AA","properties":{"formattedCitation":"[34,35]","plainCitation":"[34,35]","noteIndex":0},"citationItems":[{"id":11642,"uris":["http://zotero.org/users/7565624/items/3KDM9HVI"],"itemData":{"id":11642,"type":"article-journal","abstract":"Background N-acetyl-cysteine (NAC) has been previously shown to exert beneficial effects in diverse respiratory diseases, through antioxidant and anti-inflammatory actions. Our aim was to evaluate NAC potential impact in hospitalised patients with COVID-19 pneumonia, in terms of progression to severe respiratory failure (SRF) and mortality.Patients and Methods This retrospective, two-centre cohort study included consecutive patients hospitalised with moderate or severe COVID-19 pneumonia. Patients who received standard of care were compared with patients who additionally received NAC 600 mg bid orally for 14 days. Patients’ clinical course was recorded regarding (i) the development of SRF (PO2/FiO2 &lt;150) requiring mechanical ventilation support and (ii) mortality at 14 and 28 days.Results A total of 82 patients were included, 42 in the NAC group and 40 in the control group. Treatment with oral NAC led to significantly lower rates of progression to SRF as compared to the control group (p &lt; .01). Patients in the NAC group presented significantly lower 14- and 28-day mortality as compared to controls (p &lt; .001 and p &lt; .01 respectively). NAC treatment significantly reduced 14- and 28-day mortality in patients with severe disease (p &lt; .001, respectively). NAC improved over time the PO2/FiO2 ratio and decreased the white blood cell, CRP, D-dimers and LDH levels. In the multivariable logistic regression analysis, non-severe illness and NAC administration were independent predictors of 28-days survival.Conclusion Oral NAC administration (1200 mg/d) in patients with COVID-19 pneumonia reduces the risk for mechanical ventilation and mortality. Our findings need to be confirmed by properly designed prospective clinical trials.","container-title":"Infectious Diseases","DOI":"10.1080/23744235.2021.1945675","ISSN":"2374-4235","issue":"11","note":"publisher: Taylor &amp; Francis\n_eprint: https://doi.org/10.1080/23744235.2021.1945675\nPMID: 34182881","page":"847-854","source":"Taylor and Francis+NEJM","title":"N-acetyl-cysteine reduces the risk for mechanical ventilation and mortality in patients with COVID-19 pneumonia: a two-center retrospective cohort study","title-short":"N-acetyl-cysteine reduces the risk for mechanical ventilation and mortality in patients with COVID-19 pneumonia","URL":"https://doi.org/10.1080/23744235.2021.1945675","volume":"53","author":[{"family":"Assimakopoulos","given":"Stelios F."},{"family":"Aretha","given":"Diamanto"},{"family":"Komninos","given":"Dimitris"},{"family":"Dimitropoulou","given":"Dimitra"},{"family":"Lagadinou","given":"Maria"},{"family":"Leonidou","given":"Lydia"},{"family":"Oikonomou","given":"Ioanna"},{"family":"Mouzaki","given":"Athanasia"},{"family":"Marangos","given":"Markos"}],"accessed":{"date-parts":[["2023",6,23]]},"issued":{"date-parts":[["2021",11,2]]}}},{"id":11637,"uris":["http://zotero.org/users/7565624/items/3UQDVXKQ"],"itemData":{"id":11637,"type":"article-journal","abstract":"Abstract\n            Background: N-acetylcysteine (NAC) is a mucolytic agents with anti-inflammatory properties that has been suggested as an adjunctive therapy in patients with COVID-19 pneumonia. Objectives: We conducted a systematic review and meta-analysis to evaluate available evidence on the possible beneficial effects of NAC on SARS-CoV-2 infection.\n            Methods: In September 2022, we conducted a comprehensive search on Pubmed/Medline and Embase on randomized controlled trials (RCTs) and observational studies on NAC in patients with COVID-19 pneumonia. Study selection, data extraction and risk of bias assessment was performed by two independent authors. RCTs and observational studies were analyzed separately.\n            \n              Results: We included 3 RCTs and 5 non-randomized studies on the efficacy of NAC in patients with COVID-19, enrolling 315 and 20826 patients respectively. Regarding in-hospital mortality, the summary effect of all RCTs was OR: 0.85 (95% CI: 0.43 to 1.67, I\n              2\n              =0%) and for non-randomized studies OR: 1.02 (95% CI: 0.47 to 2.23, I\n              2\n              =91%). Need for ICU admission was only reported by 1 RCT (OR: 0.86, 95% CI:0.44-1.69, p=0.66), while all included RCTs reported need for invasive ventilation (OR:0.91, 95% CI:0.54 to 1.53, I\n              2\n              =0). Risk of bias was low for all included RCTs, but certainty of evidence was very low for all outcomes due to serious imprecision and indirectness.\n            \n            Conclusion: The certainty of evidence in the included studies was very low, thus recommendations for clinical practice cannot be yet made. For all hard clinical outcomes point estimates in RCTs are close to the line of no effect, while observational studies have a high degree of heterogeneity with some of them suggesting favorable results in patients receiving NAC. More research is warranted to insure that NAC is both effective and safe in patients with COVID-19 pneumonia.","container-title":"Romanian Journal of Internal Medicine","DOI":"10.2478/rjim-2023-0001","ISSN":"2501-062X","issue":"1","language":"en","page":"41-52","source":"DOI.org (Crossref)","title":"N-acetylcysteine efficacy in patients hospitalized with COVID-19 pneumonia: a systematic review and meta-analysis","title-short":"N-acetylcysteine efficacy in patients hospitalized with COVID-19 pneumonia","URL":"https://www.sciendo.com/article/10.2478/rjim-2023-0001","volume":"61","author":[{"family":"Paraskevas","given":"Themistoklis"},{"family":"Kantanis","given":"Anastasios"},{"family":"Karalis","given":"Iosif"},{"family":"Michailides","given":"Christos"},{"family":"Karamouzos","given":"Vasileios"},{"family":"Koniari","given":"Ioanna"},{"family":"Pierrakos","given":"Charalampos"},{"family":"Velissaris","given":"Dimitrios"}],"accessed":{"date-parts":[["2023",6,23]]},"issued":{"date-parts":[["2023",3,1]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A3084A">
              <w:rPr>
                <w:rFonts w:ascii="Times New Roman" w:hAnsi="Times New Roman" w:cs="Times New Roman"/>
                <w:sz w:val="14"/>
              </w:rPr>
              <w:t>[34,35]</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2FB1A9C4" w14:textId="77777777" w:rsidTr="00B46704">
        <w:trPr>
          <w:trHeight w:val="300"/>
        </w:trPr>
        <w:tc>
          <w:tcPr>
            <w:tcW w:w="993" w:type="dxa"/>
            <w:noWrap/>
          </w:tcPr>
          <w:p w14:paraId="1DC2D1E1"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55FA578A" w14:textId="135D3081"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NCT05258682</w:t>
            </w:r>
          </w:p>
        </w:tc>
        <w:tc>
          <w:tcPr>
            <w:tcW w:w="2168" w:type="dxa"/>
            <w:noWrap/>
          </w:tcPr>
          <w:p w14:paraId="7FFD28D0" w14:textId="791A73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NOT_YET_RECRUITING</w:t>
            </w:r>
          </w:p>
        </w:tc>
        <w:tc>
          <w:tcPr>
            <w:tcW w:w="4125" w:type="dxa"/>
          </w:tcPr>
          <w:p w14:paraId="2E13B20B"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4FB6B37E" w14:textId="77777777" w:rsidTr="00B46704">
        <w:trPr>
          <w:trHeight w:val="300"/>
        </w:trPr>
        <w:tc>
          <w:tcPr>
            <w:tcW w:w="993" w:type="dxa"/>
            <w:noWrap/>
          </w:tcPr>
          <w:p w14:paraId="4DCA943A"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6FA54E9B" w14:textId="06CCA730"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NCT04570254</w:t>
            </w:r>
          </w:p>
        </w:tc>
        <w:tc>
          <w:tcPr>
            <w:tcW w:w="2168" w:type="dxa"/>
            <w:noWrap/>
          </w:tcPr>
          <w:p w14:paraId="33C592D6" w14:textId="74369D8C"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COMPLETED</w:t>
            </w:r>
          </w:p>
        </w:tc>
        <w:tc>
          <w:tcPr>
            <w:tcW w:w="4125" w:type="dxa"/>
          </w:tcPr>
          <w:p w14:paraId="3D9EDF67"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09417CE1" w14:textId="77777777" w:rsidTr="00B46704">
        <w:trPr>
          <w:trHeight w:val="300"/>
        </w:trPr>
        <w:tc>
          <w:tcPr>
            <w:tcW w:w="993" w:type="dxa"/>
            <w:noWrap/>
          </w:tcPr>
          <w:p w14:paraId="060B8A23"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03BF0AFA" w14:textId="6E46FE24"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NCT04455243</w:t>
            </w:r>
          </w:p>
        </w:tc>
        <w:tc>
          <w:tcPr>
            <w:tcW w:w="2168" w:type="dxa"/>
            <w:noWrap/>
          </w:tcPr>
          <w:p w14:paraId="5314DD61" w14:textId="349095B4"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UNKNOWN</w:t>
            </w:r>
          </w:p>
        </w:tc>
        <w:tc>
          <w:tcPr>
            <w:tcW w:w="4125" w:type="dxa"/>
          </w:tcPr>
          <w:p w14:paraId="627DB3CB"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3223F418" w14:textId="77777777" w:rsidTr="00B46704">
        <w:trPr>
          <w:trHeight w:val="300"/>
        </w:trPr>
        <w:tc>
          <w:tcPr>
            <w:tcW w:w="993" w:type="dxa"/>
            <w:noWrap/>
          </w:tcPr>
          <w:p w14:paraId="30607E09"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00CFDEE3" w14:textId="29CBE027"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NCT05736887</w:t>
            </w:r>
          </w:p>
        </w:tc>
        <w:tc>
          <w:tcPr>
            <w:tcW w:w="2168" w:type="dxa"/>
            <w:noWrap/>
          </w:tcPr>
          <w:p w14:paraId="41A6661C" w14:textId="0D62EFC5"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ACTIVE_NOT_RECRUITING</w:t>
            </w:r>
          </w:p>
        </w:tc>
        <w:tc>
          <w:tcPr>
            <w:tcW w:w="4125" w:type="dxa"/>
          </w:tcPr>
          <w:p w14:paraId="27A80A21"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1AD78333" w14:textId="77777777" w:rsidTr="00B46704">
        <w:trPr>
          <w:trHeight w:val="300"/>
        </w:trPr>
        <w:tc>
          <w:tcPr>
            <w:tcW w:w="993" w:type="dxa"/>
            <w:noWrap/>
          </w:tcPr>
          <w:p w14:paraId="560B6817"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0EA518FE" w14:textId="27950381"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NCT05658549</w:t>
            </w:r>
          </w:p>
        </w:tc>
        <w:tc>
          <w:tcPr>
            <w:tcW w:w="2168" w:type="dxa"/>
            <w:noWrap/>
          </w:tcPr>
          <w:p w14:paraId="6EBC8B8E" w14:textId="1AB4226A"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COMPLETED</w:t>
            </w:r>
          </w:p>
        </w:tc>
        <w:tc>
          <w:tcPr>
            <w:tcW w:w="4125" w:type="dxa"/>
          </w:tcPr>
          <w:p w14:paraId="5242CB22"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6B3E288B" w14:textId="77777777" w:rsidTr="00B46704">
        <w:trPr>
          <w:trHeight w:val="300"/>
        </w:trPr>
        <w:tc>
          <w:tcPr>
            <w:tcW w:w="993" w:type="dxa"/>
            <w:noWrap/>
          </w:tcPr>
          <w:p w14:paraId="58D0FB4A"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644535D3" w14:textId="0B98F8FA"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NCT05220605</w:t>
            </w:r>
          </w:p>
        </w:tc>
        <w:tc>
          <w:tcPr>
            <w:tcW w:w="2168" w:type="dxa"/>
            <w:noWrap/>
          </w:tcPr>
          <w:p w14:paraId="4E2EC7BA" w14:textId="069458B4"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COMPLETED</w:t>
            </w:r>
          </w:p>
        </w:tc>
        <w:tc>
          <w:tcPr>
            <w:tcW w:w="4125" w:type="dxa"/>
          </w:tcPr>
          <w:p w14:paraId="73B10FDF"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7D4F59B7" w14:textId="77777777" w:rsidTr="00B46704">
        <w:trPr>
          <w:trHeight w:val="300"/>
        </w:trPr>
        <w:tc>
          <w:tcPr>
            <w:tcW w:w="993" w:type="dxa"/>
            <w:noWrap/>
          </w:tcPr>
          <w:p w14:paraId="53391F8C"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517C17B3" w14:textId="041BA89E"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NCT04419025</w:t>
            </w:r>
          </w:p>
        </w:tc>
        <w:tc>
          <w:tcPr>
            <w:tcW w:w="2168" w:type="dxa"/>
            <w:noWrap/>
          </w:tcPr>
          <w:p w14:paraId="20A5FFB4" w14:textId="342063DB"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COMPLETED</w:t>
            </w:r>
          </w:p>
        </w:tc>
        <w:tc>
          <w:tcPr>
            <w:tcW w:w="4125" w:type="dxa"/>
          </w:tcPr>
          <w:p w14:paraId="1B4F4F6B"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53FCF3C3" w14:textId="77777777" w:rsidTr="00B46704">
        <w:trPr>
          <w:trHeight w:val="300"/>
        </w:trPr>
        <w:tc>
          <w:tcPr>
            <w:tcW w:w="993" w:type="dxa"/>
            <w:noWrap/>
          </w:tcPr>
          <w:p w14:paraId="6831C8B9"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58EE5C2A" w14:textId="59A393B6"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NCT05504655</w:t>
            </w:r>
          </w:p>
        </w:tc>
        <w:tc>
          <w:tcPr>
            <w:tcW w:w="2168" w:type="dxa"/>
            <w:noWrap/>
          </w:tcPr>
          <w:p w14:paraId="4B5293DE" w14:textId="73668E12"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COMPLETED</w:t>
            </w:r>
          </w:p>
        </w:tc>
        <w:tc>
          <w:tcPr>
            <w:tcW w:w="4125" w:type="dxa"/>
          </w:tcPr>
          <w:p w14:paraId="39FF98F8"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7DD0A872" w14:textId="77777777" w:rsidTr="00B46704">
        <w:trPr>
          <w:trHeight w:val="300"/>
        </w:trPr>
        <w:tc>
          <w:tcPr>
            <w:tcW w:w="993" w:type="dxa"/>
            <w:noWrap/>
          </w:tcPr>
          <w:p w14:paraId="1F87F793"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3E3195CC" w14:textId="40654A64"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NCT05074121</w:t>
            </w:r>
          </w:p>
        </w:tc>
        <w:tc>
          <w:tcPr>
            <w:tcW w:w="2168" w:type="dxa"/>
            <w:noWrap/>
          </w:tcPr>
          <w:p w14:paraId="0F4C9352" w14:textId="08E3AFEE"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NOT_YET_RECRUITING</w:t>
            </w:r>
          </w:p>
        </w:tc>
        <w:tc>
          <w:tcPr>
            <w:tcW w:w="4125" w:type="dxa"/>
          </w:tcPr>
          <w:p w14:paraId="07BC6CF6"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0C1F8E59" w14:textId="77777777" w:rsidTr="00B46704">
        <w:trPr>
          <w:trHeight w:val="300"/>
        </w:trPr>
        <w:tc>
          <w:tcPr>
            <w:tcW w:w="993" w:type="dxa"/>
            <w:noWrap/>
          </w:tcPr>
          <w:p w14:paraId="48DB1D04"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18F5092F" w14:textId="21E0E985"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NCT04792021</w:t>
            </w:r>
          </w:p>
        </w:tc>
        <w:tc>
          <w:tcPr>
            <w:tcW w:w="2168" w:type="dxa"/>
            <w:noWrap/>
          </w:tcPr>
          <w:p w14:paraId="0B6E04AD" w14:textId="4C6B65AA"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COMPLETED</w:t>
            </w:r>
          </w:p>
        </w:tc>
        <w:tc>
          <w:tcPr>
            <w:tcW w:w="4125" w:type="dxa"/>
          </w:tcPr>
          <w:p w14:paraId="16B627F5"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2E80C2D4" w14:textId="77777777" w:rsidTr="00B46704">
        <w:trPr>
          <w:trHeight w:val="300"/>
        </w:trPr>
        <w:tc>
          <w:tcPr>
            <w:tcW w:w="993" w:type="dxa"/>
            <w:noWrap/>
          </w:tcPr>
          <w:p w14:paraId="63FE5545"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2F1A15E1" w14:textId="4F27F623"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NCT04928495</w:t>
            </w:r>
          </w:p>
        </w:tc>
        <w:tc>
          <w:tcPr>
            <w:tcW w:w="2168" w:type="dxa"/>
            <w:noWrap/>
          </w:tcPr>
          <w:p w14:paraId="16C61C1A" w14:textId="4B1A6C3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UNKNOWN</w:t>
            </w:r>
          </w:p>
        </w:tc>
        <w:tc>
          <w:tcPr>
            <w:tcW w:w="4125" w:type="dxa"/>
          </w:tcPr>
          <w:p w14:paraId="4930D03C"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6BFF534D" w14:textId="77777777" w:rsidTr="00B46704">
        <w:trPr>
          <w:trHeight w:val="300"/>
        </w:trPr>
        <w:tc>
          <w:tcPr>
            <w:tcW w:w="993" w:type="dxa"/>
            <w:noWrap/>
          </w:tcPr>
          <w:p w14:paraId="1CBF1017"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68D90A5C" w14:textId="4FB6491B" w:rsidR="00A92A05" w:rsidRPr="00903922" w:rsidRDefault="00A92A05" w:rsidP="009C50C6">
            <w:pPr>
              <w:rPr>
                <w:rFonts w:ascii="Roboto" w:hAnsi="Roboto"/>
                <w:color w:val="1B1B1B"/>
                <w:sz w:val="14"/>
                <w:szCs w:val="14"/>
                <w:shd w:val="clear" w:color="auto" w:fill="FFFFFF"/>
              </w:rPr>
            </w:pPr>
            <w:r w:rsidRPr="00903922">
              <w:rPr>
                <w:rFonts w:ascii="Calibri" w:hAnsi="Calibri" w:cs="Calibri"/>
                <w:color w:val="000000"/>
                <w:sz w:val="14"/>
                <w:szCs w:val="14"/>
              </w:rPr>
              <w:t>NCT04370288</w:t>
            </w:r>
          </w:p>
        </w:tc>
        <w:tc>
          <w:tcPr>
            <w:tcW w:w="2168" w:type="dxa"/>
            <w:noWrap/>
          </w:tcPr>
          <w:p w14:paraId="696F5A9D" w14:textId="1F1F6375"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Calibri" w:hAnsi="Calibri" w:cs="Calibri"/>
                <w:color w:val="000000"/>
                <w:sz w:val="14"/>
                <w:szCs w:val="14"/>
              </w:rPr>
              <w:t>UNKNOWN</w:t>
            </w:r>
          </w:p>
        </w:tc>
        <w:tc>
          <w:tcPr>
            <w:tcW w:w="4125" w:type="dxa"/>
          </w:tcPr>
          <w:p w14:paraId="6FF42827"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4072D939" w14:textId="77777777" w:rsidTr="00B46704">
        <w:trPr>
          <w:trHeight w:val="300"/>
        </w:trPr>
        <w:tc>
          <w:tcPr>
            <w:tcW w:w="993" w:type="dxa"/>
            <w:noWrap/>
          </w:tcPr>
          <w:p w14:paraId="4AD2B84C"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10F50A70" w14:textId="6C16ECB4"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NCT05371288</w:t>
            </w:r>
          </w:p>
        </w:tc>
        <w:tc>
          <w:tcPr>
            <w:tcW w:w="2168" w:type="dxa"/>
            <w:noWrap/>
          </w:tcPr>
          <w:p w14:paraId="239E2176" w14:textId="4683A063"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NOT_YET_RECRUITING</w:t>
            </w:r>
          </w:p>
        </w:tc>
        <w:tc>
          <w:tcPr>
            <w:tcW w:w="4125" w:type="dxa"/>
          </w:tcPr>
          <w:p w14:paraId="04767D3E"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260D678A" w14:textId="77777777" w:rsidTr="00B46704">
        <w:trPr>
          <w:trHeight w:val="300"/>
        </w:trPr>
        <w:tc>
          <w:tcPr>
            <w:tcW w:w="993" w:type="dxa"/>
            <w:noWrap/>
          </w:tcPr>
          <w:p w14:paraId="110439D9"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6A2C0103" w14:textId="42ACDE7D"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NCT04374461</w:t>
            </w:r>
          </w:p>
        </w:tc>
        <w:tc>
          <w:tcPr>
            <w:tcW w:w="2168" w:type="dxa"/>
            <w:noWrap/>
          </w:tcPr>
          <w:p w14:paraId="352FBF5C" w14:textId="7CE04A28"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ACTIVE_NOT_RECRUITING</w:t>
            </w:r>
          </w:p>
        </w:tc>
        <w:tc>
          <w:tcPr>
            <w:tcW w:w="4125" w:type="dxa"/>
          </w:tcPr>
          <w:p w14:paraId="03CCFC26"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5947505F" w14:textId="77777777" w:rsidTr="00B46704">
        <w:trPr>
          <w:trHeight w:val="300"/>
        </w:trPr>
        <w:tc>
          <w:tcPr>
            <w:tcW w:w="993" w:type="dxa"/>
            <w:noWrap/>
          </w:tcPr>
          <w:p w14:paraId="6B49CD95"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0960C3AB" w14:textId="4389DE30"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NCT04666753</w:t>
            </w:r>
          </w:p>
        </w:tc>
        <w:tc>
          <w:tcPr>
            <w:tcW w:w="2168" w:type="dxa"/>
            <w:noWrap/>
          </w:tcPr>
          <w:p w14:paraId="603F3862" w14:textId="1B1DA271"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7462E974"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15676ED8" w14:textId="77777777" w:rsidTr="00B46704">
        <w:trPr>
          <w:trHeight w:val="300"/>
        </w:trPr>
        <w:tc>
          <w:tcPr>
            <w:tcW w:w="993" w:type="dxa"/>
            <w:noWrap/>
          </w:tcPr>
          <w:p w14:paraId="1FE34154"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6C4DEDCF" w14:textId="5AED9C12"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NCT04573153</w:t>
            </w:r>
          </w:p>
        </w:tc>
        <w:tc>
          <w:tcPr>
            <w:tcW w:w="2168" w:type="dxa"/>
            <w:noWrap/>
          </w:tcPr>
          <w:p w14:paraId="04A9042E" w14:textId="68894244"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UNKNOWN</w:t>
            </w:r>
          </w:p>
        </w:tc>
        <w:tc>
          <w:tcPr>
            <w:tcW w:w="4125" w:type="dxa"/>
          </w:tcPr>
          <w:p w14:paraId="6312146D"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61B8ED21" w14:textId="77777777" w:rsidTr="00B46704">
        <w:trPr>
          <w:trHeight w:val="300"/>
        </w:trPr>
        <w:tc>
          <w:tcPr>
            <w:tcW w:w="993" w:type="dxa"/>
            <w:noWrap/>
          </w:tcPr>
          <w:p w14:paraId="3C141C7A"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6A953D26" w14:textId="74C021D6"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NCT04755972</w:t>
            </w:r>
          </w:p>
        </w:tc>
        <w:tc>
          <w:tcPr>
            <w:tcW w:w="2168" w:type="dxa"/>
            <w:noWrap/>
          </w:tcPr>
          <w:p w14:paraId="7A57C9EC" w14:textId="09DF079B"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14EA4AE3"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71A40719" w14:textId="77777777" w:rsidTr="00B46704">
        <w:trPr>
          <w:trHeight w:val="300"/>
        </w:trPr>
        <w:tc>
          <w:tcPr>
            <w:tcW w:w="993" w:type="dxa"/>
            <w:noWrap/>
          </w:tcPr>
          <w:p w14:paraId="0E6DF757"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2BB66ABF" w14:textId="4C337856"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NCT04900129</w:t>
            </w:r>
          </w:p>
        </w:tc>
        <w:tc>
          <w:tcPr>
            <w:tcW w:w="2168" w:type="dxa"/>
            <w:noWrap/>
          </w:tcPr>
          <w:p w14:paraId="1029E653" w14:textId="6D9C4977"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3275B5D3"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37575487" w14:textId="77777777" w:rsidTr="00B46704">
        <w:trPr>
          <w:trHeight w:val="300"/>
        </w:trPr>
        <w:tc>
          <w:tcPr>
            <w:tcW w:w="993" w:type="dxa"/>
            <w:noWrap/>
          </w:tcPr>
          <w:p w14:paraId="3CB136CE"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759045E3" w14:textId="1FBB4C59"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NCT04703036</w:t>
            </w:r>
          </w:p>
        </w:tc>
        <w:tc>
          <w:tcPr>
            <w:tcW w:w="2168" w:type="dxa"/>
            <w:noWrap/>
          </w:tcPr>
          <w:p w14:paraId="3AD6197D" w14:textId="6F6CBE62"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ACTIVE_NOT_RECRUITING</w:t>
            </w:r>
          </w:p>
        </w:tc>
        <w:tc>
          <w:tcPr>
            <w:tcW w:w="4125" w:type="dxa"/>
          </w:tcPr>
          <w:p w14:paraId="429CAC59"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0769EB77" w14:textId="77777777" w:rsidTr="00B46704">
        <w:trPr>
          <w:trHeight w:val="300"/>
        </w:trPr>
        <w:tc>
          <w:tcPr>
            <w:tcW w:w="993" w:type="dxa"/>
            <w:noWrap/>
          </w:tcPr>
          <w:p w14:paraId="2C529B48"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781BE3A2" w14:textId="39D09D74"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NCT04458298</w:t>
            </w:r>
          </w:p>
        </w:tc>
        <w:tc>
          <w:tcPr>
            <w:tcW w:w="2168" w:type="dxa"/>
            <w:noWrap/>
          </w:tcPr>
          <w:p w14:paraId="60F8ACD2" w14:textId="13353BB1"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TERMINATED</w:t>
            </w:r>
          </w:p>
        </w:tc>
        <w:tc>
          <w:tcPr>
            <w:tcW w:w="4125" w:type="dxa"/>
          </w:tcPr>
          <w:p w14:paraId="3F0ACE94"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5F8A1F5A" w14:textId="77777777" w:rsidTr="00B46704">
        <w:trPr>
          <w:trHeight w:val="300"/>
        </w:trPr>
        <w:tc>
          <w:tcPr>
            <w:tcW w:w="993" w:type="dxa"/>
            <w:noWrap/>
          </w:tcPr>
          <w:p w14:paraId="057AEADB"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579096FE" w14:textId="7C3FB2E3"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NCT04466657</w:t>
            </w:r>
          </w:p>
        </w:tc>
        <w:tc>
          <w:tcPr>
            <w:tcW w:w="2168" w:type="dxa"/>
            <w:noWrap/>
          </w:tcPr>
          <w:p w14:paraId="60FD7A65" w14:textId="32BEBA82"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WITHDRAWN</w:t>
            </w:r>
          </w:p>
        </w:tc>
        <w:tc>
          <w:tcPr>
            <w:tcW w:w="4125" w:type="dxa"/>
          </w:tcPr>
          <w:p w14:paraId="774D52A6"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5BB6AAE6" w14:textId="77777777" w:rsidTr="00B46704">
        <w:trPr>
          <w:trHeight w:val="300"/>
        </w:trPr>
        <w:tc>
          <w:tcPr>
            <w:tcW w:w="993" w:type="dxa"/>
            <w:noWrap/>
          </w:tcPr>
          <w:p w14:paraId="50E1B2C9"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7D94A2DB" w14:textId="5A05D36F"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NCT04590274</w:t>
            </w:r>
          </w:p>
        </w:tc>
        <w:tc>
          <w:tcPr>
            <w:tcW w:w="2168" w:type="dxa"/>
            <w:noWrap/>
          </w:tcPr>
          <w:p w14:paraId="4A38A398" w14:textId="2C8D2ABC"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WITHDRAWN</w:t>
            </w:r>
          </w:p>
        </w:tc>
        <w:tc>
          <w:tcPr>
            <w:tcW w:w="4125" w:type="dxa"/>
          </w:tcPr>
          <w:p w14:paraId="79E8D7C1"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431E3A7C" w14:textId="77777777" w:rsidTr="00B46704">
        <w:trPr>
          <w:trHeight w:val="300"/>
        </w:trPr>
        <w:tc>
          <w:tcPr>
            <w:tcW w:w="993" w:type="dxa"/>
            <w:noWrap/>
          </w:tcPr>
          <w:p w14:paraId="09C71220" w14:textId="1DF1FC26"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Magnesium</w:t>
            </w:r>
          </w:p>
        </w:tc>
        <w:tc>
          <w:tcPr>
            <w:tcW w:w="1126" w:type="dxa"/>
            <w:noWrap/>
          </w:tcPr>
          <w:p w14:paraId="350EFD90" w14:textId="66326D11"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NCT04716985</w:t>
            </w:r>
          </w:p>
        </w:tc>
        <w:tc>
          <w:tcPr>
            <w:tcW w:w="2168" w:type="dxa"/>
            <w:noWrap/>
          </w:tcPr>
          <w:p w14:paraId="1B225009" w14:textId="378F0BC1"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ACTIVE_NOT_RECRUITING</w:t>
            </w:r>
          </w:p>
        </w:tc>
        <w:tc>
          <w:tcPr>
            <w:tcW w:w="4125" w:type="dxa"/>
          </w:tcPr>
          <w:p w14:paraId="68B8771D" w14:textId="74BDD687" w:rsidR="00A92A05" w:rsidRDefault="00A92A05" w:rsidP="009C50C6">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Low magnesium associated with worse Covid-19 outcomes</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UZhj5eyH","properties":{"formattedCitation":"[36\\uc0\\u8211{}41]","plainCitation":"[36–41]","noteIndex":0},"citationItems":[{"id":11648,"uris":["http://zotero.org/users/7565624/items/74AMFMZR"],"itemData":{"id":11648,"type":"article-journal","abstract":"Magnesium (Mg) plays a key role in infections. However, its role in coronavirus disease 2019 (COVID-19) is still underexplored, particularly in long-term sequelae. The aim of the present study was to examine the prognostic value of serum Mg levels in older people affected by COVID-19. Patients were divided into those with serum Mg levels ≤1.96 vs. &gt;1.96 mg/dL, according to the Youden index. A total of 260 participants (mean age 65 years, 53.8% males) had valid Mg measurements. Serum Mg had a good accuracy in predicting in-hospital mortality (area under the curve = 0.83; 95% CI: 0.74–0.91). Low serum Mg at admission significantly predicted in-hospital death (HR = 1.29; 95% CI: 1.03–2.68) after adjusting for several confounders. A value of Mg ≤ 1.96 mg/dL was associated with a longer mean length of stay compared to those with a serum Mg &gt; 1.96 (15.2 vs. 12.7 days). Low serum Mg was associated with a higher incidence of long COVID symptomatology (OR = 2.14; 95% CI: 1.30–4.31), particularly post-traumatic stress disorder (OR = 2.00; 95% CI: 1.24–16.40). In conclusion, low serum Mg levels were significant predictors of mortality, length of stay, and onset of long COVID symptoms, indicating that measuring serum Mg in COVID-19 may be helpful in the prediction of complications related to the disease.","container-title":"Nutrients","DOI":"10.3390/nu15040830","ISSN":"2072-6643","issue":"4","language":"en","license":"http://creativecommons.org/licenses/by/3.0/","note":"number: 4\npublisher: Multidisciplinary Digital Publishing Institute","page":"830","source":"www.mdpi.com","title":"Prognostic Value of Magnesium in COVID-19: Findings from the COMEPA Study","title-short":"Prognostic Value of Magnesium in COVID-19","URL":"https://www.mdpi.com/2072-6643/15/4/830","volume":"15","author":[{"family":"La Carrubba","given":"Anna"},{"family":"Veronese","given":"Nicola"},{"family":"Di Bella","given":"Giovanna"},{"family":"Cusumano","given":"Claudia"},{"family":"Di Prazza","given":"Agnese"},{"family":"Ciriminna","given":"Stefano"},{"family":"Ganci","given":"Antonina"},{"family":"Naro","given":"Liliana"},{"family":"Dominguez","given":"Ligia J."},{"family":"Barbagallo","given":"Mario"},{"family":"on behalf of the COMEPA Group","given":""}],"accessed":{"date-parts":[["2023",6,23]]},"issued":{"date-parts":[["2023",1]]}}},{"id":11650,"uris":["http://zotero.org/users/7565624/items/8MCB4IEY"],"itemData":{"id":11650,"type":"article-journal","abstract":"Background: In the face of the global pandemic that the coronavirus disease 2019 (COVID-19) has created, readily available prognostic markers may be of great use. Objective: To evaluate the association between serum magnesium (sMg) levels on admission and clinical outcomes in hospitalized COVID-19 patients. Methods: We retrospectively analyzed all patients admitted to a single tertiary center with a primary de novo diagnosis of COVID-19. Patients were followed for a mean of 10 ± 7 months. Demographic, clinical and laboratory data were collected and compared between five groups of patients according to sMg quintiles on hospital admission. Results: The cohort included 1522 patients (58% male, 69 ± 17 years old). A low sMg level (1st quintile) was associated with higher rates of diabetes and steroid use, whereas a high sMg level (5th quintile) was associated with dyslipidemia, renal dysfunction, higher levels of inflammatory markers and stay in the intensive care unit. All-cause in-hospital and long-term mortality was higher in patients with both low and high sMg levels, compared with mid-range sMg levels (2nd, 3rd and 4th quintiles; 19% and 30% vs. 9.5%, 10.7% and 17.8% and 35% and 45.3% vs. 23%, 26.8% and 27.3% respectively; p &lt; 0.001 for all). After adjusting for significant clinical parameters indicating severe disease and renal dysfunction, only low sMg state was independently associated with increased mortality (HR = 1.57, p &lt; 0.001). Conclusions: Both low and high sMg levels were associated with increased mortality in a large cohort of hospitalized COVID-19 patients. However, after correction for renal dysfunction and disease severity, only low sMg maintained its prognostic ability.","container-title":"Nutrients","DOI":"10.3390/nu15092016","ISSN":"2072-6643","issue":"9","language":"en","license":"http://creativecommons.org/licenses/by/3.0/","note":"number: 9\npublisher: Multidisciplinary Digital Publishing Institute","page":"2016","source":"www.mdpi.com","title":"Admission Serum Magnesium Levels Is Associated with Short and Long-Term Clinical Outcomes in COVID-19 Patients","URL":"https://www.mdpi.com/2072-6643/15/9/2016","volume":"15","author":[{"family":"Segev","given":"Amitai"},{"family":"Sagir","given":"Adam"},{"family":"Matetzky","given":"Shlomi"},{"family":"Segev","given":"Amit"},{"family":"Atar","given":"Shaul"},{"family":"Shechter","given":"Michael"}],"accessed":{"date-parts":[["2023",6,23]]},"issued":{"date-parts":[["2023",1]]}}},{"id":11652,"uris":["http://zotero.org/users/7565624/items/ASQJRAT9"],"itemData":{"id":11652,"type":"article-journal","abstract":"Several studies provide evidence that obesity is a significant risk factor for adverse outcomes in coronavirus disease 2019 (COVID-19). Altered renal function and disturbances in magnesium levels have been reported to play important pathophysiological roles in COVID-19. However, the relationship between obesity, renal function, circulating magnesium levels, and mortality in patients with COVID-19 remains unclear. In this retrospective cohort study, we characterized 390 hospitalized patients with COVID-19 that were categorized according to their body mass index (BMI). Patients were clinically characterized and biochemical parameters, renal function, and electrolyte markers measured upon admission. We found that in patients who died, BMI was associated with reduced estimated glomerular filtration rate (eGFR, Rho: −0.251, p = 0.001) and serum magnesium levels (Rho: −0.308, p &lt; 0.0001). Multiple linear regression analyses showed that death was significantly associated with obesity (p = 0.001). The Cox model for obese patients showed that magnesium levels were associated with increased risk of death (hazard ratio: 0.213, 95% confidence interval: 0.077 to 0.586, p = 0.003). Thus, reduced renal function and lower magnesium levels were associated with increased mortality in obese COVID-19 patients. These results suggest that assessment of kidney function, including magnesium levels, may assist in developing effective treatment strategies to reduce mortality among obese COVID-19 patients.","container-title":"Nutrients","DOI":"10.3390/nu14194054","ISSN":"2072-6643","issue":"19","language":"en","license":"http://creativecommons.org/licenses/by/3.0/","note":"number: 19\npublisher: Multidisciplinary Digital Publishing Institute","page":"4054","source":"www.mdpi.com","title":"Reduction in Serum Magnesium Levels and Renal Function Are Associated with Increased Mortality in Obese COVID-19 Patients","URL":"https://www.mdpi.com/2072-6643/14/19/4054","volume":"14","author":[{"family":"Pulido Perez","given":"Patricia"},{"family":"Póndigo de los Angeles","given":"Jorge Alberto"},{"family":"Perez Peralta","given":"Alonso"},{"family":"Ramirez Mojica","given":"Eloisa"},{"family":"Torres Rasgado","given":"Enrique"},{"family":"Hernandez-Hernandez","given":"Maria Elena"},{"family":"Romero","given":"Jose R."}],"accessed":{"date-parts":[["2023",6,23]]},"issued":{"date-parts":[["2022",1]]}}},{"id":11654,"uris":["http://zotero.org/users/7565624/items/FYZJIKIK"],"itemData":{"id":11654,"type":"article-journal","abstract":"In this retrospective study to assess the impact of serum corrected calcium (CorrCa), magnesium (Mg) and phosphorus (P) levels, all adult patients with laboratory-confirmed COVID-19 hospitalized during 2020 were included. Poor outcome was considered in patients who presented need for mechanical ventilation, intensive care unit (ICU) admission, or in-hospital mortality. We analyzed 2473 patients (956 females) aged (mean±SD) 63.4±15.9 years. During admission, 169 patients (6.8%) required mechanical ventilation, 205 (8.3%) were admitted to the ICU, and 270 (10.9%) died. Composite variable of poor outcome, defined as need for mechanical ventilation, ICU admission or death, was present in 434 (17.5%) patients. In univariate analysis, the need for mechanical ventilation was positively related to Mg levels (OR 8.37, 95% CI 3.62–19.33; p&lt;0.001); ICU admission was related to CorrCa (OR 0.49, 95% CI 0.25–0.99; p=0.049) and Mg levels (OR 5.81, 95% CI 2.74–12.35; p&lt;0.001); and in-hospital mortality was related to CorrCa (OR 1.73, 95% CI 1.14–2.64; p=0.011). The composite variable of poor outcome was only related to Mg (OR 2.68, 95% CI 1.54–4.68; p=0.001). However, in multivariate analysis only CorrCa was significantly related to the need for mechanical ventilation (OR 0.19, 95% CI 0.05–0.72; p=0.014) and ICU admission (OR 0.25; 95% CI 0.09–0.66; p=0.005), but not with in-hospital mortality or the composite variable. In conclusion, CorrCa can be used as a simple and reliable marker of poor outcome in patients with COVID-19, although not to predict the risk of in-hospital mortality.","container-title":"Hormone and Metabolic Research","DOI":"10.1055/a-1899-8862","ISSN":"0018-5043, 1439-4286","issue":"1","journalAbbreviation":"Horm Metab Res","language":"en","license":"Georg Thieme Verlag KG Rüdigerstraße 14, 70469 Stuttgart, Germany","note":"publisher: Georg Thieme Verlag KG","page":"31-39","source":"www.thieme-connect.com","title":"Serum Calcium, Magnesium, and Phosphorus Levels in Patients with COVID-19: Relationships with Poor Outcome and Mortality","title-short":"Serum Calcium, Magnesium, and Phosphorus Levels in Patients with COVID-19","URL":"http://www.thieme-connect.de/DOI/DOI?10.1055/a-1899-8862","volume":"55","author":[{"family":"Díez","given":"Juan J."},{"family":"Iglesias","given":"Pedro"},{"family":"García","given":"Agustín"},{"family":"Martín-Casasempere","given":"Ignacio"},{"family":"Bernabéu-Andréu","given":"Francisco A."}],"accessed":{"date-parts":[["2023",6,23]]},"issued":{"date-parts":[["2023",1]]}}},{"id":8434,"uris":["http://zotero.org/users/7565624/items/I5NM2I8X"],"itemData":{"id":8434,"type":"article-journal","abstract":"Obesity, type 2 diabetes, arterial hypertension, decrease in immune response, cytokine storm, endothelial dysfunction, and arrhythmias, which are frequent in COVID-19 patients, are associated with hypomagnesemia. Given that cellular influx and efflux of magnesium and calcium involve the same transporters, we aimed to evaluate the association of serum magnesium-to-calcium ratio with mortality from severe COVID-19. The clinical and laboratory data of 1064 patients, aged 60.3 ± 15.7 years, and hospitalized by COVID-19 from March 2020 to July 2021 were analyzed. The data of 554 (52%) patients discharged per death were compared with the data of 510 (48%) patients discharged per recovery. The ROC curve showed that the best cut-off point of the magnesium-to-calcium ratio for identifying individuals at high risk of mortality from COVID-19 was 0.20. The sensitivity and specificity were 83% and 24%. The adjusted multivariate regression model showed that the odds ratio between the magnesium-to-calcium ratio ≤0.20 and discharge per death from COVID-19 was 6.93 (95%CI 1.6–29.1) in the whole population, 4.93 (95%CI 1.4–19.1, p = 0.003) in men, and 3.93 (95%CI 1.6–9.3) in women. In conclusion, our results show that a magnesium-to-calcium ratio ≤0.20 is strongly associated with mortality in patients with severe COVID-19.","container-title":"Nutrients","DOI":"10.3390/nu14091686","ISSN":"2072-6643","issue":"9","language":"en","license":"http://creativecommons.org/licenses/by/3.0/","note":"number: 9\npublisher: Multidisciplinary Digital Publishing Institute","page":"1686","source":"www.mdpi.com","title":"Magnesium-to-Calcium Ratio and Mortality from COVID-19","URL":"https://www.mdpi.com/2072-6643/14/9/1686","volume":"14","author":[{"family":"Guerrero-Romero","given":"Fernando"},{"family":"Mercado","given":"Moises"},{"family":"Rodriguez-Moran","given":"Martha"},{"family":"Ramírez-Renteria","given":"Claudia"},{"family":"Martínez-Aguilar","given":"Gerardo"},{"family":"Marrero-Rodríguez","given":"Daniel"},{"family":"Ferreira-Hermosillo","given":"Aldo"},{"family":"Simental-Mendía","given":"Luis E."},{"family":"Remba-Shapiro","given":"Ilan"},{"family":"Gamboa-Gómez","given":"Claudia I."},{"family":"Albarrán-Sánchez","given":"Alejandra"},{"family":"Sanchez-García","given":"Miriam L."}],"accessed":{"date-parts":[["2023",1,31]]},"issued":{"date-parts":[["2022",1]]}}},{"id":8436,"uris":["http://zotero.org/users/7565624/items/SFF33Q37"],"itemData":{"id":8436,"type":"article-journal","abstract":"Many studies have confirmed the important roles of nutritional status and micronutrients in the COVID-19 pandemic. Magnesium is a vital essential trace element that is involved in oxidative stress, inflammation, and many other immunological functions and has been shown to be associated with the outcome of COVID-19 infection. Here, we conducted a nationwide retrospective cohort study in the United States involving 1150 counties, 287,326,503 individuals, and 5,401,483 COVID-19 confirmed cases as of 30 September 2020 to reveal the infection risk of the populations distributed in low-magnesium areas in the early transmission of COVID-19. Our results indicate that the average county-level COVID-19 cumulative incidence in low-magnesium areas was significantly higher than in the control areas. Additionally, a significant negative nonlinear association was found between environmental magnesium concentration and the county-level COVID-19 cumulative incidence. Furthermore, the populations distributed in low environmental magnesium areas faced a higher COVID-19 infection risk (RR: 1.066; CI: 1.063–1.068), among which females (RR: 1.07; CI: 1.067–1.073), the 0–17 years subgroup (RR: 1.125; CI: 1.117–1.134), the 65+ years subgroup (RR: 1.093; CI: 1.087–1.098), black people (RR: 1.975; CI: 1.963–1.986), populations outside metro areas, and counties with a smaller population experienced higher risk of infection by COVID-19 than other subgroups. Considering that the magnesium intake of about half the population of the United States is below the daily required dose, our study will contribute to the creation of long-term public health strategies to help protect against COVID-19.","container-title":"Nutrients","DOI":"10.3390/nu14040909","ISSN":"2072-6643","issue":"4","language":"en","license":"http://creativecommons.org/licenses/by/3.0/","note":"number: 4\npublisher: Multidisciplinary Digital Publishing Institute","page":"909","source":"www.mdpi.com","title":"Populations in Low-Magnesium Areas Were Associated with Higher Risk of Infection in COVID-19’s Early Transmission: A Nationwide Retrospective Cohort Study in the United States","title-short":"Populations in Low-Magnesium Areas Were Associated with Higher Risk of Infection in COVID-19’s Early Transmission","URL":"https://www.mdpi.com/2072-6643/14/4/909","volume":"14","author":[{"family":"Tian","given":"Jing"},{"family":"Tang","given":"Liwei"},{"family":"Liu","given":"Xinwei"},{"family":"Li","given":"Yulan"},{"family":"Chen","given":"Jinghong"},{"family":"Huang","given":"Weiren"},{"family":"Liu","given":"Min"}],"accessed":{"date-parts":[["2023",1,31]]},"issued":{"date-parts":[["2022",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6078A7">
              <w:rPr>
                <w:rFonts w:ascii="Times New Roman" w:hAnsi="Times New Roman" w:cs="Times New Roman"/>
                <w:kern w:val="0"/>
                <w:sz w:val="14"/>
                <w:szCs w:val="24"/>
              </w:rPr>
              <w:t>[36–41]</w:t>
            </w:r>
            <w:r>
              <w:rPr>
                <w:rFonts w:ascii="Times New Roman" w:eastAsia="Times New Roman" w:hAnsi="Times New Roman" w:cs="Times New Roman"/>
                <w:color w:val="000000"/>
                <w:kern w:val="0"/>
                <w:sz w:val="14"/>
                <w:szCs w:val="14"/>
                <w:lang w:val="en-US" w:eastAsia="en-NL"/>
                <w14:ligatures w14:val="none"/>
              </w:rPr>
              <w:fldChar w:fldCharType="end"/>
            </w:r>
            <w:r>
              <w:rPr>
                <w:rFonts w:ascii="Times New Roman" w:eastAsia="Times New Roman" w:hAnsi="Times New Roman" w:cs="Times New Roman"/>
                <w:color w:val="000000"/>
                <w:kern w:val="0"/>
                <w:sz w:val="14"/>
                <w:szCs w:val="14"/>
                <w:lang w:val="en-US" w:eastAsia="en-NL"/>
                <w14:ligatures w14:val="none"/>
              </w:rPr>
              <w:t>, including long covid</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{"citationID":"z5jmG7ej","properties":{"formattedCitation":"[36]","plainCitation":"[36]","noteIndex":0},"citationItems":[{"id":11648,"uris":["http://zotero.org/users/7565624/items/74AMFMZR"],"itemData":{"id":11648,"type":"article-journal","abstract":"Magnesium (Mg) plays a key role in infections. However, its role in coronavirus disease 2019 (COVID-19) is still underexplored, particularly in long-term sequelae. The aim of the present study was to examine the prognostic value of serum Mg levels in older people affected by COVID-19. Patients were divided into those with serum Mg levels ≤1.96 vs. &gt;1.96 mg/dL, according to the Youden index. A total of 260 participants (mean age 65 years, 53.8% males) had valid Mg measurements. Serum Mg had a good accuracy in predicting in-hospital mortality (area under the curve = 0.83; 95% CI: 0.74–0.91). Low serum Mg at admission significantly predicted in-hospital death (HR = 1.29; 95% CI: 1.03–2.68) after adjusting for several confounders. A value of Mg ≤ 1.96 mg/dL was associated with a longer mean length of stay compared to those with a serum Mg &gt; 1.96 (15.2 vs. 12.7 days). Low serum Mg was associated with a higher incidence of long COVID symptomatology (OR = 2.14; 95% CI: 1.30–4.31), particularly post-traumatic stress disorder (OR = 2.00; 95% CI: 1.24–16.40). In conclusion, low serum Mg levels were significant predictors of mortality, length of stay, and onset of long COVID symptoms, indicating that measuring serum Mg in COVID-19 may be helpful in the prediction of complications related to the disease.","container-title":"Nutrients","DOI":"10.3390/nu15040830","ISSN":"2072-6643","issue":"4","language":"en","license":"http://creativecommons.org/licenses/by/3.0/","note":"number: 4\npublisher: Multidisciplinary Digital Publishing Institute","page":"830","source":"www.mdpi.com","title":"Prognostic Value of Magnesium in COVID-19: Findings from the COMEPA Study","title-short":"Prognostic Value of Magnesium in COVID-19","URL":"https://www.mdpi.com/2072-6643/15/4/830","volume":"15","author":[{"family":"La Carrubba","given":"Anna"},{"family":"Veronese","given":"Nicola"},{"family":"Di Bella","given":"Giovanna"},{"family":"Cusumano","given":"Claudia"},{"family":"Di Prazza","given":"Agnese"},{"family":"Ciriminna","given":"Stefano"},{"family":"Ganci","given":"Antonina"},{"family":"Naro","given":"Liliana"},{"family":"Dominguez","given":"Ligia J."},{"family":"Barbagallo","given":"Mario"},{"family":"on behalf of the COMEPA Group","given":""}],"accessed":{"date-parts":[["2023",6,23]]},"issued":{"date-parts":[["2023",1]]}}}],"schema":"https://github.com/citation-style-language/schema/raw/master/csl-citation.json"}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A3084A">
              <w:rPr>
                <w:rFonts w:ascii="Times New Roman" w:hAnsi="Times New Roman" w:cs="Times New Roman"/>
                <w:sz w:val="14"/>
              </w:rPr>
              <w:t>[36]</w:t>
            </w:r>
            <w:r>
              <w:rPr>
                <w:rFonts w:ascii="Times New Roman" w:eastAsia="Times New Roman" w:hAnsi="Times New Roman" w:cs="Times New Roman"/>
                <w:color w:val="000000"/>
                <w:kern w:val="0"/>
                <w:sz w:val="14"/>
                <w:szCs w:val="14"/>
                <w:lang w:val="en-US" w:eastAsia="en-NL"/>
                <w14:ligatures w14:val="none"/>
              </w:rPr>
              <w:fldChar w:fldCharType="end"/>
            </w:r>
            <w:r>
              <w:rPr>
                <w:rFonts w:ascii="Times New Roman" w:eastAsia="Times New Roman" w:hAnsi="Times New Roman" w:cs="Times New Roman"/>
                <w:color w:val="000000"/>
                <w:kern w:val="0"/>
                <w:sz w:val="14"/>
                <w:szCs w:val="14"/>
                <w:lang w:val="en-US" w:eastAsia="en-NL"/>
                <w14:ligatures w14:val="none"/>
              </w:rPr>
              <w:t>.</w:t>
            </w:r>
          </w:p>
          <w:p w14:paraId="0E653121" w14:textId="3204614C" w:rsidR="00A92A05" w:rsidRPr="00A3084A" w:rsidRDefault="00A92A05" w:rsidP="009C50C6">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Magnesium combined with Vitamin D and Vitamin B12 lessened need for oxygen support in older Covid-19 patients</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{"citationID":"yks6yp1C","properties":{"formattedCitation":"[42]","plainCitation":"[42]","noteIndex":0},"citationItems":[{"id":11660,"uris":["http://zotero.org/users/7565624/items/W8LRGVHE"],"itemData":{"id":11660,"type":"article-journal","abstract":"Objectives\nThe aim of this study was to determine clinical outcomes of older patients with coronavirus (COVID-19) who received a combination of vitamin D, magnesium, and vitamin B12 (DMB) compared with those who did not. We hypothesized that fewer patients administered this combination would require oxygen therapy, intensive care support, or a combination of both than those who did not.\nMethods\nThis was a cohort observational study of all consecutive hospitalized patients ≥50 y of age with COVID-19 in a tertiary academic hospital. Before April 6, 2020, no patients received the (DMB) combination. After this date, patients were administered 1000 IU/d oral vitamin D3, 150 mg/d oral magnesium, and 500 mcg/d oral vitamin B12 upon admission if they did not require oxygen therapy. Primary outcome was deterioration leading to any form of oxygen therapy, intensive care support, or both.\nResults\nBetween January 15 and April 15, 2020, we identified 43 consecutive patients ≥50 y of age with COVID-19. Seventeen patients received DMB before onset of primary outcome and 26 patients did not. Baseline demographic characteristics between the two groups were significantly different by age. In univariate analysis, age and hypertension had a significant influence on outcome. After adjusting for age or hypertension separately in a multivariate analysis, the intervention group retained protective significance. Fewer treated patients than controls required initiation of oxygen therapy during hospitalization (17.6 vs 61.5%, P = 0.006). DMB exposure was associated with odds ratios of 0.13 (95% confidence interval [CI], 0.03–0.59) and 0.20 (95% CI, 0.04–0.93) for oxygen therapy, intensive care support, or both on univariate and multivariate analyses, respectively.\nConclusions\nA vitamin D / magnesium / vitamin B12 combination in older COVID-19 patients was associated with a significant reduction in the proportion of patients with clinical deterioration requiring oxygen support, intensive care support, or both. This study supports further larger randomized controlled trials to ascertain the full benefit of this combination in ameliorating the severity of COVID-19.","container-title":"Nutrition","DOI":"10.1016/j.nut.2020.111017","ISSN":"0899-9007","journalAbbreviation":"Nutrition","language":"en","page":"111017","source":"ScienceDirect","title":"Cohort study to evaluate the effect of vitamin D, magnesium, and vitamin B12 in combination on progression to severe outcomes in older patients with coronavirus (COVID-19)","URL":"https://www.sciencedirect.com/science/article/pii/S0899900720303002","volume":"79-80","author":[{"family":"Tan","given":"Chuen Wen"},{"family":"Ho","given":"Liam Pock"},{"family":"Kalimuddin","given":"Shirin"},{"family":"Cherng","given":"Benjamin Pei Zhi"},{"family":"Teh","given":"Yii Ean"},{"family":"Thien","given":"Siew Yee"},{"family":"Wong","given":"Hei Man"},{"family":"Tern","given":"Paul Jie Wen"},{"family":"Chandran","given":"Manju"},{"family":"Chay","given":"Jason Wai Mun"},{"family":"Nagarajan","given":"Chandramouli"},{"family":"Sultana","given":"Rehena"},{"family":"Low","given":"Jenny Guek Hong"},{"family":"Ng","given":"Heng Joo"}],"accessed":{"date-parts":[["2023",6,23]]},"issued":{"date-parts":[["2020",11,1]]}}}],"schema":"https://github.com/citation-style-language/schema/raw/master/csl-citation.json"}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6078A7">
              <w:rPr>
                <w:rFonts w:ascii="Times New Roman" w:hAnsi="Times New Roman" w:cs="Times New Roman"/>
                <w:sz w:val="14"/>
              </w:rPr>
              <w:t>[42]</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0CA08276" w14:textId="77777777" w:rsidTr="00B46704">
        <w:trPr>
          <w:trHeight w:val="300"/>
        </w:trPr>
        <w:tc>
          <w:tcPr>
            <w:tcW w:w="993" w:type="dxa"/>
            <w:noWrap/>
          </w:tcPr>
          <w:p w14:paraId="79B673FF"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678CEC61" w14:textId="05C2B825"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NCT04640168</w:t>
            </w:r>
          </w:p>
        </w:tc>
        <w:tc>
          <w:tcPr>
            <w:tcW w:w="2168" w:type="dxa"/>
            <w:noWrap/>
          </w:tcPr>
          <w:p w14:paraId="24553110" w14:textId="1A1F0C6E"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7347F4E5"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7B258F0D" w14:textId="77777777" w:rsidTr="00B46704">
        <w:trPr>
          <w:trHeight w:val="300"/>
        </w:trPr>
        <w:tc>
          <w:tcPr>
            <w:tcW w:w="993" w:type="dxa"/>
            <w:noWrap/>
          </w:tcPr>
          <w:p w14:paraId="04B98DF6"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5D87C678" w14:textId="342C9926"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NCT04973449</w:t>
            </w:r>
          </w:p>
        </w:tc>
        <w:tc>
          <w:tcPr>
            <w:tcW w:w="2168" w:type="dxa"/>
            <w:noWrap/>
          </w:tcPr>
          <w:p w14:paraId="3CD5DAF6" w14:textId="2DFC21B2"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733DE263"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4D44AF4E" w14:textId="77777777" w:rsidTr="00B46704">
        <w:trPr>
          <w:trHeight w:val="300"/>
        </w:trPr>
        <w:tc>
          <w:tcPr>
            <w:tcW w:w="993" w:type="dxa"/>
            <w:noWrap/>
          </w:tcPr>
          <w:p w14:paraId="38009D17"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0A974EAE" w14:textId="3CA569CE"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NCT05630339</w:t>
            </w:r>
          </w:p>
        </w:tc>
        <w:tc>
          <w:tcPr>
            <w:tcW w:w="2168" w:type="dxa"/>
            <w:noWrap/>
          </w:tcPr>
          <w:p w14:paraId="69B21C16" w14:textId="30D8C9E5"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NOT_YET_RECRUITING</w:t>
            </w:r>
          </w:p>
        </w:tc>
        <w:tc>
          <w:tcPr>
            <w:tcW w:w="4125" w:type="dxa"/>
          </w:tcPr>
          <w:p w14:paraId="70EC5EA4"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206243EC" w14:textId="77777777" w:rsidTr="00B46704">
        <w:trPr>
          <w:trHeight w:val="300"/>
        </w:trPr>
        <w:tc>
          <w:tcPr>
            <w:tcW w:w="993" w:type="dxa"/>
            <w:noWrap/>
          </w:tcPr>
          <w:p w14:paraId="5F061694"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079D2467" w14:textId="07C629AA"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NCT04401579</w:t>
            </w:r>
          </w:p>
        </w:tc>
        <w:tc>
          <w:tcPr>
            <w:tcW w:w="2168" w:type="dxa"/>
            <w:noWrap/>
          </w:tcPr>
          <w:p w14:paraId="328A47D4" w14:textId="58391F92"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7DF263A2"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694D80D1" w14:textId="77777777" w:rsidTr="00B46704">
        <w:trPr>
          <w:trHeight w:val="300"/>
        </w:trPr>
        <w:tc>
          <w:tcPr>
            <w:tcW w:w="993" w:type="dxa"/>
            <w:noWrap/>
          </w:tcPr>
          <w:p w14:paraId="74D46DC0"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148367B9" w14:textId="227D0273"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NCT04621071</w:t>
            </w:r>
          </w:p>
        </w:tc>
        <w:tc>
          <w:tcPr>
            <w:tcW w:w="2168" w:type="dxa"/>
            <w:noWrap/>
          </w:tcPr>
          <w:p w14:paraId="102ED92F" w14:textId="30D3CA86"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704EA3A8"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716D9CFD" w14:textId="77777777" w:rsidTr="00B46704">
        <w:trPr>
          <w:trHeight w:val="300"/>
        </w:trPr>
        <w:tc>
          <w:tcPr>
            <w:tcW w:w="993" w:type="dxa"/>
            <w:noWrap/>
          </w:tcPr>
          <w:p w14:paraId="5D53CA09"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727A9BA0" w14:textId="480D3ADD"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NCT04363606</w:t>
            </w:r>
          </w:p>
        </w:tc>
        <w:tc>
          <w:tcPr>
            <w:tcW w:w="2168" w:type="dxa"/>
            <w:noWrap/>
          </w:tcPr>
          <w:p w14:paraId="64B13997" w14:textId="3E98155D"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RECRUITING</w:t>
            </w:r>
          </w:p>
        </w:tc>
        <w:tc>
          <w:tcPr>
            <w:tcW w:w="4125" w:type="dxa"/>
          </w:tcPr>
          <w:p w14:paraId="7DFB486B"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5736CFC7" w14:textId="77777777" w:rsidTr="00B46704">
        <w:trPr>
          <w:trHeight w:val="300"/>
        </w:trPr>
        <w:tc>
          <w:tcPr>
            <w:tcW w:w="993" w:type="dxa"/>
            <w:noWrap/>
          </w:tcPr>
          <w:p w14:paraId="152C7CCA"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66BC13FE" w14:textId="6B786BE5"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NCT05226754</w:t>
            </w:r>
          </w:p>
        </w:tc>
        <w:tc>
          <w:tcPr>
            <w:tcW w:w="2168" w:type="dxa"/>
            <w:noWrap/>
          </w:tcPr>
          <w:p w14:paraId="5857E378" w14:textId="05D02B9A"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RECRUITING</w:t>
            </w:r>
          </w:p>
        </w:tc>
        <w:tc>
          <w:tcPr>
            <w:tcW w:w="4125" w:type="dxa"/>
          </w:tcPr>
          <w:p w14:paraId="3EBE5786"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2D172503" w14:textId="77777777" w:rsidTr="00B46704">
        <w:trPr>
          <w:trHeight w:val="300"/>
        </w:trPr>
        <w:tc>
          <w:tcPr>
            <w:tcW w:w="993" w:type="dxa"/>
            <w:noWrap/>
          </w:tcPr>
          <w:p w14:paraId="6CCDE0EE"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313AE9EC" w14:textId="1E256CB8"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NCT05629975</w:t>
            </w:r>
          </w:p>
        </w:tc>
        <w:tc>
          <w:tcPr>
            <w:tcW w:w="2168" w:type="dxa"/>
            <w:noWrap/>
          </w:tcPr>
          <w:p w14:paraId="3C2CC618" w14:textId="1CC8840C"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NOT_YET_RECRUITING</w:t>
            </w:r>
          </w:p>
        </w:tc>
        <w:tc>
          <w:tcPr>
            <w:tcW w:w="4125" w:type="dxa"/>
          </w:tcPr>
          <w:p w14:paraId="1CB86BE0"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4D4FB3E1" w14:textId="77777777" w:rsidTr="00B46704">
        <w:trPr>
          <w:trHeight w:val="300"/>
        </w:trPr>
        <w:tc>
          <w:tcPr>
            <w:tcW w:w="993" w:type="dxa"/>
            <w:noWrap/>
          </w:tcPr>
          <w:p w14:paraId="6BF3B529"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7F79D443" w14:textId="537E727C"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NCT04941703</w:t>
            </w:r>
          </w:p>
        </w:tc>
        <w:tc>
          <w:tcPr>
            <w:tcW w:w="2168" w:type="dxa"/>
            <w:noWrap/>
          </w:tcPr>
          <w:p w14:paraId="7FD0FD9B" w14:textId="34FAECBE"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TERMINATED</w:t>
            </w:r>
          </w:p>
        </w:tc>
        <w:tc>
          <w:tcPr>
            <w:tcW w:w="4125" w:type="dxa"/>
          </w:tcPr>
          <w:p w14:paraId="0F9E1979"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39F86A4C" w14:textId="77777777" w:rsidTr="00B46704">
        <w:trPr>
          <w:trHeight w:val="300"/>
        </w:trPr>
        <w:tc>
          <w:tcPr>
            <w:tcW w:w="993" w:type="dxa"/>
            <w:noWrap/>
          </w:tcPr>
          <w:p w14:paraId="05B49669"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7BFADB2F" w14:textId="19590BDE"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NCT05057897</w:t>
            </w:r>
          </w:p>
        </w:tc>
        <w:tc>
          <w:tcPr>
            <w:tcW w:w="2168" w:type="dxa"/>
            <w:noWrap/>
          </w:tcPr>
          <w:p w14:paraId="61B79E3F" w14:textId="08290B22"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TERMINATED</w:t>
            </w:r>
          </w:p>
        </w:tc>
        <w:tc>
          <w:tcPr>
            <w:tcW w:w="4125" w:type="dxa"/>
          </w:tcPr>
          <w:p w14:paraId="5C3EC09C"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5A1FB759" w14:textId="77777777" w:rsidTr="00B46704">
        <w:trPr>
          <w:trHeight w:val="300"/>
        </w:trPr>
        <w:tc>
          <w:tcPr>
            <w:tcW w:w="993" w:type="dxa"/>
            <w:noWrap/>
          </w:tcPr>
          <w:p w14:paraId="0A12A6A7"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088FFB42" w14:textId="299CD5C5"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NCT04363216</w:t>
            </w:r>
          </w:p>
        </w:tc>
        <w:tc>
          <w:tcPr>
            <w:tcW w:w="2168" w:type="dxa"/>
            <w:noWrap/>
          </w:tcPr>
          <w:p w14:paraId="16A6DB5C" w14:textId="00C1A5CF"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UNKNOWN</w:t>
            </w:r>
          </w:p>
        </w:tc>
        <w:tc>
          <w:tcPr>
            <w:tcW w:w="4125" w:type="dxa"/>
          </w:tcPr>
          <w:p w14:paraId="1A3A1DBC"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240D1D82" w14:textId="77777777" w:rsidTr="00B46704">
        <w:trPr>
          <w:trHeight w:val="300"/>
        </w:trPr>
        <w:tc>
          <w:tcPr>
            <w:tcW w:w="993" w:type="dxa"/>
            <w:noWrap/>
          </w:tcPr>
          <w:p w14:paraId="0DC9C94C"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113C14AC" w14:textId="2002B55E"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NCT05552625</w:t>
            </w:r>
          </w:p>
        </w:tc>
        <w:tc>
          <w:tcPr>
            <w:tcW w:w="2168" w:type="dxa"/>
            <w:noWrap/>
          </w:tcPr>
          <w:p w14:paraId="48F1B678" w14:textId="22F48F59"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7BF1E4F8"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4A814BFA" w14:textId="77777777" w:rsidTr="00B46704">
        <w:trPr>
          <w:trHeight w:val="300"/>
        </w:trPr>
        <w:tc>
          <w:tcPr>
            <w:tcW w:w="993" w:type="dxa"/>
            <w:noWrap/>
          </w:tcPr>
          <w:p w14:paraId="2631C0FF"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5DC5B606" w14:textId="1B2C1127"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NCT04357730</w:t>
            </w:r>
          </w:p>
        </w:tc>
        <w:tc>
          <w:tcPr>
            <w:tcW w:w="2168" w:type="dxa"/>
            <w:noWrap/>
          </w:tcPr>
          <w:p w14:paraId="04E4F7A6" w14:textId="049ACFC3"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5EFD4B42"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3EEC6557" w14:textId="77777777" w:rsidTr="00B46704">
        <w:trPr>
          <w:trHeight w:val="300"/>
        </w:trPr>
        <w:tc>
          <w:tcPr>
            <w:tcW w:w="993" w:type="dxa"/>
            <w:noWrap/>
          </w:tcPr>
          <w:p w14:paraId="5D4C8DA3"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5CE27B8F" w14:textId="42212BB7"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NCT05371288</w:t>
            </w:r>
          </w:p>
        </w:tc>
        <w:tc>
          <w:tcPr>
            <w:tcW w:w="2168" w:type="dxa"/>
            <w:noWrap/>
          </w:tcPr>
          <w:p w14:paraId="77AAF284" w14:textId="0D96F2B3"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NOT_YET_RECRUITING</w:t>
            </w:r>
          </w:p>
        </w:tc>
        <w:tc>
          <w:tcPr>
            <w:tcW w:w="4125" w:type="dxa"/>
          </w:tcPr>
          <w:p w14:paraId="74269C6C"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6F6C33BB" w14:textId="77777777" w:rsidTr="00B46704">
        <w:trPr>
          <w:trHeight w:val="300"/>
        </w:trPr>
        <w:tc>
          <w:tcPr>
            <w:tcW w:w="993" w:type="dxa"/>
            <w:noWrap/>
          </w:tcPr>
          <w:p w14:paraId="0DF89A71"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1549A0BE" w14:textId="72E96556"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NCT04570462</w:t>
            </w:r>
          </w:p>
        </w:tc>
        <w:tc>
          <w:tcPr>
            <w:tcW w:w="2168" w:type="dxa"/>
            <w:noWrap/>
          </w:tcPr>
          <w:p w14:paraId="44A85BA2" w14:textId="7EE189CD"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WITHDRAWN</w:t>
            </w:r>
          </w:p>
        </w:tc>
        <w:tc>
          <w:tcPr>
            <w:tcW w:w="4125" w:type="dxa"/>
          </w:tcPr>
          <w:p w14:paraId="09D0420D"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5936E414" w14:textId="77777777" w:rsidTr="00B46704">
        <w:trPr>
          <w:trHeight w:val="300"/>
        </w:trPr>
        <w:tc>
          <w:tcPr>
            <w:tcW w:w="993" w:type="dxa"/>
            <w:noWrap/>
          </w:tcPr>
          <w:p w14:paraId="397B53D1"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4B4B5D7B" w14:textId="71D51BF8"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NCT04864561</w:t>
            </w:r>
          </w:p>
        </w:tc>
        <w:tc>
          <w:tcPr>
            <w:tcW w:w="2168" w:type="dxa"/>
            <w:noWrap/>
          </w:tcPr>
          <w:p w14:paraId="254E0862" w14:textId="179EE8F7"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3DA46321"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146E972E" w14:textId="77777777" w:rsidTr="00B46704">
        <w:trPr>
          <w:trHeight w:val="300"/>
        </w:trPr>
        <w:tc>
          <w:tcPr>
            <w:tcW w:w="993" w:type="dxa"/>
            <w:noWrap/>
          </w:tcPr>
          <w:p w14:paraId="29D8B37A"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796A0B7C" w14:textId="465C068D"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NCT05363410</w:t>
            </w:r>
          </w:p>
        </w:tc>
        <w:tc>
          <w:tcPr>
            <w:tcW w:w="2168" w:type="dxa"/>
            <w:noWrap/>
          </w:tcPr>
          <w:p w14:paraId="74478EC7" w14:textId="53741940"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NOT_YET_RECRUITING</w:t>
            </w:r>
          </w:p>
        </w:tc>
        <w:tc>
          <w:tcPr>
            <w:tcW w:w="4125" w:type="dxa"/>
          </w:tcPr>
          <w:p w14:paraId="783D5682"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4880F4BA" w14:textId="77777777" w:rsidTr="00B46704">
        <w:trPr>
          <w:trHeight w:val="300"/>
        </w:trPr>
        <w:tc>
          <w:tcPr>
            <w:tcW w:w="993" w:type="dxa"/>
            <w:noWrap/>
          </w:tcPr>
          <w:p w14:paraId="71AA88EA"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3653649B" w14:textId="27F997C6"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NCT04847518</w:t>
            </w:r>
          </w:p>
        </w:tc>
        <w:tc>
          <w:tcPr>
            <w:tcW w:w="2168" w:type="dxa"/>
            <w:noWrap/>
          </w:tcPr>
          <w:p w14:paraId="384761DB" w14:textId="2D405382"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UNKNOWN</w:t>
            </w:r>
          </w:p>
        </w:tc>
        <w:tc>
          <w:tcPr>
            <w:tcW w:w="4125" w:type="dxa"/>
          </w:tcPr>
          <w:p w14:paraId="2581D658"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1D247BD4" w14:textId="77777777" w:rsidTr="00B46704">
        <w:trPr>
          <w:trHeight w:val="300"/>
        </w:trPr>
        <w:tc>
          <w:tcPr>
            <w:tcW w:w="993" w:type="dxa"/>
            <w:noWrap/>
          </w:tcPr>
          <w:p w14:paraId="16395F83"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3211D332" w14:textId="17D06E22"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NCT05836402</w:t>
            </w:r>
          </w:p>
        </w:tc>
        <w:tc>
          <w:tcPr>
            <w:tcW w:w="2168" w:type="dxa"/>
            <w:noWrap/>
          </w:tcPr>
          <w:p w14:paraId="70DFFE40" w14:textId="321DC1E7"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NOT_YET_RECRUITING</w:t>
            </w:r>
          </w:p>
        </w:tc>
        <w:tc>
          <w:tcPr>
            <w:tcW w:w="4125" w:type="dxa"/>
          </w:tcPr>
          <w:p w14:paraId="5C29DC54"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72286E36" w14:textId="77777777" w:rsidTr="00B46704">
        <w:trPr>
          <w:trHeight w:val="300"/>
        </w:trPr>
        <w:tc>
          <w:tcPr>
            <w:tcW w:w="993" w:type="dxa"/>
            <w:noWrap/>
          </w:tcPr>
          <w:p w14:paraId="1BAF27DE"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29993DCD" w14:textId="3AA4938F"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NCT05080244</w:t>
            </w:r>
          </w:p>
        </w:tc>
        <w:tc>
          <w:tcPr>
            <w:tcW w:w="2168" w:type="dxa"/>
            <w:noWrap/>
          </w:tcPr>
          <w:p w14:paraId="76E4A641" w14:textId="56BDAA37"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3CCB0213"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3FCFA60D" w14:textId="77777777" w:rsidTr="00B46704">
        <w:trPr>
          <w:trHeight w:val="300"/>
        </w:trPr>
        <w:tc>
          <w:tcPr>
            <w:tcW w:w="993" w:type="dxa"/>
            <w:noWrap/>
          </w:tcPr>
          <w:p w14:paraId="1418FD90"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1DC43F2D" w14:textId="4537F4F2"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NCT05290298</w:t>
            </w:r>
          </w:p>
        </w:tc>
        <w:tc>
          <w:tcPr>
            <w:tcW w:w="2168" w:type="dxa"/>
            <w:noWrap/>
          </w:tcPr>
          <w:p w14:paraId="0CB86E3A" w14:textId="0EBCB026"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1A69687C"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053AFD68" w14:textId="77777777" w:rsidTr="00B46704">
        <w:trPr>
          <w:trHeight w:val="300"/>
        </w:trPr>
        <w:tc>
          <w:tcPr>
            <w:tcW w:w="993" w:type="dxa"/>
            <w:noWrap/>
          </w:tcPr>
          <w:p w14:paraId="1C2209A1"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60D83536" w14:textId="77BE592C"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NCT04708340</w:t>
            </w:r>
          </w:p>
        </w:tc>
        <w:tc>
          <w:tcPr>
            <w:tcW w:w="2168" w:type="dxa"/>
            <w:noWrap/>
          </w:tcPr>
          <w:p w14:paraId="617E3CA5" w14:textId="5C6FF61A"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ACTIVE_NOT_RECRUITING</w:t>
            </w:r>
          </w:p>
        </w:tc>
        <w:tc>
          <w:tcPr>
            <w:tcW w:w="4125" w:type="dxa"/>
          </w:tcPr>
          <w:p w14:paraId="42E97296"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1A5EB069" w14:textId="77777777" w:rsidTr="00B46704">
        <w:trPr>
          <w:trHeight w:val="300"/>
        </w:trPr>
        <w:tc>
          <w:tcPr>
            <w:tcW w:w="993" w:type="dxa"/>
            <w:noWrap/>
          </w:tcPr>
          <w:p w14:paraId="43182299"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0FF41AAE" w14:textId="4E412CDE"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NCT04420676</w:t>
            </w:r>
          </w:p>
        </w:tc>
        <w:tc>
          <w:tcPr>
            <w:tcW w:w="2168" w:type="dxa"/>
            <w:noWrap/>
          </w:tcPr>
          <w:p w14:paraId="22B0498C" w14:textId="3563304B"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ACTIVE_NOT_RECRUITING</w:t>
            </w:r>
          </w:p>
        </w:tc>
        <w:tc>
          <w:tcPr>
            <w:tcW w:w="4125" w:type="dxa"/>
          </w:tcPr>
          <w:p w14:paraId="60024C82"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3CB9CD2D" w14:textId="77777777" w:rsidTr="00B46704">
        <w:trPr>
          <w:trHeight w:val="300"/>
        </w:trPr>
        <w:tc>
          <w:tcPr>
            <w:tcW w:w="993" w:type="dxa"/>
            <w:noWrap/>
          </w:tcPr>
          <w:p w14:paraId="3DA27DE4" w14:textId="77777777"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1DC47430" w14:textId="39407973"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NCT05715944</w:t>
            </w:r>
          </w:p>
        </w:tc>
        <w:tc>
          <w:tcPr>
            <w:tcW w:w="2168" w:type="dxa"/>
            <w:noWrap/>
          </w:tcPr>
          <w:p w14:paraId="14AA1F8B" w14:textId="79800033" w:rsidR="00A92A05" w:rsidRPr="00903922" w:rsidRDefault="00A92A05" w:rsidP="009C50C6">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tcPr>
          <w:p w14:paraId="5D88E39F" w14:textId="77777777" w:rsidR="00A92A05" w:rsidRPr="00903922" w:rsidRDefault="00A92A05" w:rsidP="009C50C6">
            <w:pPr>
              <w:rPr>
                <w:rFonts w:ascii="Times New Roman" w:eastAsia="Times New Roman" w:hAnsi="Times New Roman" w:cs="Times New Roman"/>
                <w:color w:val="000000"/>
                <w:kern w:val="0"/>
                <w:sz w:val="14"/>
                <w:szCs w:val="14"/>
                <w:lang w:eastAsia="en-NL"/>
                <w14:ligatures w14:val="none"/>
              </w:rPr>
            </w:pPr>
          </w:p>
        </w:tc>
      </w:tr>
      <w:tr w:rsidR="00A92A05" w:rsidRPr="00903922" w14:paraId="78657834" w14:textId="77777777" w:rsidTr="00B46704">
        <w:trPr>
          <w:trHeight w:val="300"/>
        </w:trPr>
        <w:tc>
          <w:tcPr>
            <w:tcW w:w="993" w:type="dxa"/>
            <w:noWrap/>
          </w:tcPr>
          <w:p w14:paraId="3F00FB62" w14:textId="74A0EC29" w:rsidR="00A92A05" w:rsidRPr="00903922" w:rsidRDefault="00A92A05" w:rsidP="009C50C6">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Methylene Blue</w:t>
            </w:r>
          </w:p>
        </w:tc>
        <w:tc>
          <w:tcPr>
            <w:tcW w:w="1126" w:type="dxa"/>
            <w:noWrap/>
          </w:tcPr>
          <w:p w14:paraId="23B8B5BF" w14:textId="114463D2" w:rsidR="00A92A05" w:rsidRPr="002706D5" w:rsidRDefault="002706D5" w:rsidP="009C50C6">
            <w:pPr>
              <w:rPr>
                <w:rFonts w:ascii="Calibri" w:hAnsi="Calibri" w:cs="Calibri"/>
                <w:color w:val="000000"/>
                <w:sz w:val="14"/>
                <w:szCs w:val="14"/>
                <w:lang w:val="en-US"/>
              </w:rPr>
            </w:pPr>
            <w:r>
              <w:rPr>
                <w:rFonts w:ascii="Calibri" w:hAnsi="Calibri" w:cs="Calibri"/>
                <w:color w:val="000000"/>
                <w:sz w:val="14"/>
                <w:szCs w:val="14"/>
                <w:lang w:val="en-US"/>
              </w:rPr>
              <w:t>See above</w:t>
            </w:r>
          </w:p>
        </w:tc>
        <w:tc>
          <w:tcPr>
            <w:tcW w:w="2168" w:type="dxa"/>
            <w:noWrap/>
          </w:tcPr>
          <w:p w14:paraId="00211D62" w14:textId="77774EBF" w:rsidR="00A92A05" w:rsidRPr="00903922" w:rsidRDefault="00A92A05" w:rsidP="009C50C6">
            <w:pPr>
              <w:rPr>
                <w:rFonts w:ascii="Calibri" w:hAnsi="Calibri" w:cs="Calibri"/>
                <w:color w:val="000000"/>
                <w:sz w:val="14"/>
                <w:szCs w:val="14"/>
              </w:rPr>
            </w:pPr>
          </w:p>
        </w:tc>
        <w:tc>
          <w:tcPr>
            <w:tcW w:w="4125" w:type="dxa"/>
          </w:tcPr>
          <w:p w14:paraId="1170E689" w14:textId="260A62A6" w:rsidR="00A92A05" w:rsidRPr="002706D5" w:rsidRDefault="002706D5" w:rsidP="009C50C6">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See above</w:t>
            </w:r>
          </w:p>
        </w:tc>
      </w:tr>
      <w:tr w:rsidR="00A92A05" w:rsidRPr="00903922" w14:paraId="159920D9" w14:textId="77777777" w:rsidTr="00B46704">
        <w:trPr>
          <w:trHeight w:val="300"/>
        </w:trPr>
        <w:tc>
          <w:tcPr>
            <w:tcW w:w="993" w:type="dxa"/>
            <w:noWrap/>
          </w:tcPr>
          <w:p w14:paraId="386F83AC" w14:textId="1D2178FD" w:rsidR="00A92A05" w:rsidRPr="00903922" w:rsidRDefault="00A92A05" w:rsidP="001F038B">
            <w:pPr>
              <w:rPr>
                <w:rFonts w:ascii="Times New Roman" w:eastAsia="Times New Roman" w:hAnsi="Times New Roman" w:cs="Times New Roman"/>
                <w:color w:val="000000"/>
                <w:kern w:val="0"/>
                <w:sz w:val="14"/>
                <w:szCs w:val="14"/>
                <w:lang w:val="en-US" w:eastAsia="en-NL"/>
                <w14:ligatures w14:val="none"/>
              </w:rPr>
            </w:pPr>
            <w:r w:rsidRPr="00903922">
              <w:rPr>
                <w:rFonts w:ascii="Times New Roman" w:eastAsia="Times New Roman" w:hAnsi="Times New Roman" w:cs="Times New Roman"/>
                <w:color w:val="000000"/>
                <w:kern w:val="0"/>
                <w:sz w:val="14"/>
                <w:szCs w:val="14"/>
                <w:lang w:val="en-US" w:eastAsia="en-NL"/>
                <w14:ligatures w14:val="none"/>
              </w:rPr>
              <w:t>PBM</w:t>
            </w:r>
          </w:p>
        </w:tc>
        <w:tc>
          <w:tcPr>
            <w:tcW w:w="1126" w:type="dxa"/>
            <w:noWrap/>
          </w:tcPr>
          <w:p w14:paraId="291B3753" w14:textId="1F80480D"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NCT04418505</w:t>
            </w:r>
          </w:p>
        </w:tc>
        <w:tc>
          <w:tcPr>
            <w:tcW w:w="2168" w:type="dxa"/>
            <w:noWrap/>
          </w:tcPr>
          <w:p w14:paraId="14263CD4" w14:textId="447291A2"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UNKNOWN</w:t>
            </w:r>
          </w:p>
        </w:tc>
        <w:tc>
          <w:tcPr>
            <w:tcW w:w="4125" w:type="dxa"/>
          </w:tcPr>
          <w:p w14:paraId="7A49BA81" w14:textId="77777777" w:rsidR="00A92A05" w:rsidRDefault="00A92A05" w:rsidP="001F038B">
            <w:pPr>
              <w:rPr>
                <w:rFonts w:ascii="Times New Roman" w:eastAsia="Times New Roman" w:hAnsi="Times New Roman" w:cs="Times New Roman"/>
                <w:color w:val="000000"/>
                <w:kern w:val="0"/>
                <w:sz w:val="14"/>
                <w:szCs w:val="14"/>
                <w:lang w:val="en-US" w:eastAsia="en-NL"/>
                <w14:ligatures w14:val="none"/>
              </w:rPr>
            </w:pPr>
            <w:r>
              <w:rPr>
                <w:rFonts w:ascii="Times New Roman" w:eastAsia="Times New Roman" w:hAnsi="Times New Roman" w:cs="Times New Roman"/>
                <w:color w:val="000000"/>
                <w:kern w:val="0"/>
                <w:sz w:val="14"/>
                <w:szCs w:val="14"/>
                <w:lang w:val="en-US" w:eastAsia="en-NL"/>
                <w14:ligatures w14:val="none"/>
              </w:rPr>
              <w:t>PBM can reduce inflammation in animal models</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{"citationID":"UC7bEuAY","properties":{"formattedCitation":"[43]","plainCitation":"[43]","noteIndex":0},"citationItems":[{"id":11665,"uris":["http://zotero.org/users/7565624/items/ZUF9RH2K"],"itemData":{"id":11665,"type":"article-journal","abstract":"Background\nCOVID-19, as a newly-emerged viral infection has now spread all over the world after originating in Wuhan, China. Pneumonia is the hallmark of the disease, with dyspnea in half of the patients and acute respiratory distress syndrome (ARDS) in up to one –third of the cases. Pulmonary edema, neutrophilic infiltration, and inflammatory cytokine release are the pathologic signs of this disease. The anti-inflammatory effect of the photobiomodulation (PBM) has been confirmed in many previous studies. Therefore, this review study was conducted to evaluate the direct effect of PBM on the acute lung inflammation or ARDS and also accelerating the regeneration of the damaged tissues. The indirect effects of PBM on modulation of the immune system, increasing the blood flow and oxygenation in other tissues were also considered.\nMethodology\nThe databases of PubMed, Cochrane library, and Google Scholar were searched to find the relevant studies. Keywords included the PBM and related terms, lung inflammation, and COVID-19 -related signs. Studies were categorized with respect to the target tissue, laser parameters, and their results.\nResults\nSeventeen related papers were included in this review. All of them were in animal models. They showed that the PBM could significantly decrease the pulmonary edema, neutrophil influx, and generation of pro-inflammatory cytokines (tumor necrosis factor-α (TNF-α), interleukin 1 beta (IL-1β), interleukin 6 (IL-6), intracellular adhesion molecule (ICAM), reactive oxygen species (ROS), isoform of nitric oxide synthase (iNOS), and macrophage inflammatory protein 2 (MIP-2)).\nConclusion\nOur findings revealed that the PBM could be helpful in reducing the lung inflammation and promoting the regeneration of the damaged tissue. PBM can increase the oxygenation indirectly in order to rehabilitate the affected organs. Thus, the infra-red lasers or light-emitting diodes (LEDs) are recommended in this regard.","container-title":"Cytokine","DOI":"10.1016/j.cyto.2020.155312","ISSN":"1043-4666","journalAbbreviation":"Cytokine","language":"en","page":"155312","source":"ScienceDirect","title":"Probable positive effects of the photobiomodulation as an adjunctive treatment in COVID-19: A systematic review","title-short":"Probable positive effects of the photobiomodulation as an adjunctive treatment in COVID-19","URL":"https://www.sciencedirect.com/science/article/pii/S1043466620303288","volume":"137","author":[{"family":"Nejatifard","given":"Marzieh"},{"family":"Asefi","given":"Sohrab"},{"family":"Jamali","given":"Raika"},{"family":"Hamblin","given":"Michael R."},{"family":"Fekrazad","given":"Reza"}],"accessed":{"date-parts":[["2023",6,23]]},"issued":{"date-parts":[["2021",1,1]]}}}],"schema":"https://github.com/citation-style-language/schema/raw/master/csl-citation.json"}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6078A7">
              <w:rPr>
                <w:rFonts w:ascii="Times New Roman" w:hAnsi="Times New Roman" w:cs="Times New Roman"/>
                <w:sz w:val="14"/>
              </w:rPr>
              <w:t>[43]</w:t>
            </w:r>
            <w:r>
              <w:rPr>
                <w:rFonts w:ascii="Times New Roman" w:eastAsia="Times New Roman" w:hAnsi="Times New Roman" w:cs="Times New Roman"/>
                <w:color w:val="000000"/>
                <w:kern w:val="0"/>
                <w:sz w:val="14"/>
                <w:szCs w:val="14"/>
                <w:lang w:val="en-US" w:eastAsia="en-NL"/>
                <w14:ligatures w14:val="none"/>
              </w:rPr>
              <w:fldChar w:fldCharType="end"/>
            </w:r>
            <w:r>
              <w:rPr>
                <w:rFonts w:ascii="Times New Roman" w:eastAsia="Times New Roman" w:hAnsi="Times New Roman" w:cs="Times New Roman"/>
                <w:color w:val="000000"/>
                <w:kern w:val="0"/>
                <w:sz w:val="14"/>
                <w:szCs w:val="14"/>
                <w:lang w:val="en-US" w:eastAsia="en-NL"/>
                <w14:ligatures w14:val="none"/>
              </w:rPr>
              <w:t>.</w:t>
            </w:r>
          </w:p>
          <w:p w14:paraId="19F8440B" w14:textId="7984F214" w:rsidR="00A92A05" w:rsidRPr="00903922" w:rsidRDefault="00A92A05" w:rsidP="001F038B">
            <w:pPr>
              <w:rPr>
                <w:rFonts w:ascii="Times New Roman" w:eastAsia="Times New Roman" w:hAnsi="Times New Roman" w:cs="Times New Roman"/>
                <w:color w:val="000000"/>
                <w:kern w:val="0"/>
                <w:sz w:val="14"/>
                <w:szCs w:val="14"/>
                <w:lang w:eastAsia="en-NL"/>
                <w14:ligatures w14:val="none"/>
              </w:rPr>
            </w:pPr>
            <w:r>
              <w:rPr>
                <w:rFonts w:ascii="Times New Roman" w:eastAsia="Times New Roman" w:hAnsi="Times New Roman" w:cs="Times New Roman"/>
                <w:color w:val="000000"/>
                <w:kern w:val="0"/>
                <w:sz w:val="14"/>
                <w:szCs w:val="14"/>
                <w:lang w:val="en-US" w:eastAsia="en-NL"/>
                <w14:ligatures w14:val="none"/>
              </w:rPr>
              <w:t>Improvement on pulmonary indices and faster recovery, less long covid after infection treated with PBM</w:t>
            </w:r>
            <w:r>
              <w:rPr>
                <w:rFonts w:ascii="Times New Roman" w:eastAsia="Times New Roman" w:hAnsi="Times New Roman" w:cs="Times New Roman"/>
                <w:color w:val="000000"/>
                <w:kern w:val="0"/>
                <w:sz w:val="14"/>
                <w:szCs w:val="14"/>
                <w:lang w:val="en-US" w:eastAsia="en-NL"/>
                <w14:ligatures w14:val="none"/>
              </w:rPr>
              <w:fldChar w:fldCharType="begin"/>
            </w:r>
            <w:r>
              <w:rPr>
                <w:rFonts w:ascii="Times New Roman" w:eastAsia="Times New Roman" w:hAnsi="Times New Roman" w:cs="Times New Roman"/>
                <w:color w:val="000000"/>
                <w:kern w:val="0"/>
                <w:sz w:val="14"/>
                <w:szCs w:val="14"/>
                <w:lang w:val="en-US" w:eastAsia="en-NL"/>
                <w14:ligatures w14:val="none"/>
              </w:rPr>
              <w:instrText xml:space="preserve"> ADDIN ZOTERO_ITEM CSL_CITATION {"citationID":"N0Qor4Ui","properties":{"formattedCitation":"[44]","plainCitation":"[44]","noteIndex":0},"citationItems":[{"id":11668,"uris":["http://zotero.org/users/7565624/items/3CFX6QIF"],"itemData":{"id":11668,"type":"article-journal","abstract":"Purpose\nEvidence-based and effective treatments for COVID-19 are limited, and a new wave of infections and deaths calls for novel, easily implemented treatment strategies. Photobiomodulation therapy (PBMT) is a well-known adjunctive treatment for pain management, wound healing, lymphedema, and cellulitis. PBMT uses light to start a cascade of photochemical reactions that lead to local and systemic anti-inflammatory effects at multiple levels and that stimulate healing. Numerous empirical studies of PBMT for patients with pulmonary disease such as pneumonia, COPD and asthma suggest that PBMT is a safe and effective adjunctive treatment. Recent systematic reviews suggest that PBMT may be applied to target lung tissue in COVID-19 patients. In this preliminary study, we evaluated the effect of adjunctive PBMT on COVID-19 pneumonia and patient clinical status.\n\nPatients and Methods\nWe present a small-scale clinical trial with 10 patients randomized to standard medical care or standard medical care plus adjunctive PBMT. The PBMT group received four daily sessions of near-infrared light treatment targeting the lung tissue via a Multiwave Locked System (MLS) laser. Patient outcomes were measured via blood work, chest x-rays, pulse oximetry and validated scoring tools for pneumonia.\n\nResults\nPBMT patients showed improvement on pulmonary indices such as SMART-COP, BCRSS, RALE, and CAP (Community-Acquired Pneumonia questionnaire). PBMT-treated patients showed rapid recovery, did not require ICU admission or mechanical ventilation, and reported no long-term sequelae at 5 months after treatment. In the control group, 60% of patients were admitted to the ICU for mechanical ventilation. The control group had an overall mortality of 40%. At a 5-month follow-up, 40% of the control group experienced long-term sequelae.\n\nConclusion\nPBMT is a safe and effective potential treatment for COVID-19 pneumonia and improves clinical status in COVID-19 pneumonia.","container-title":"Journal of Inflammation Research","DOI":"10.2147/JIR.S301625","ISSN":"1178-7031","journalAbbreviation":"J Inflamm Res","note":"PMID: 33776469\nPMCID: PMC7989376","page":"965-979","source":"PubMed Central","title":"Evaluation of Adjunctive Photobiomodulation (PBMT) for COVID-19 Pneumonia via Clinical Status and Pulmonary Severity Indices in a Preliminary Trial","URL":"https://www.ncbi.nlm.nih.gov/pmc/articles/PMC7989376/","volume":"14","author":[{"family":"Vetrici","given":"Mariana A"},{"family":"Mokmeli","given":"Soheila"},{"family":"Bohm","given":"Andrew R"},{"family":"Monici","given":"Monica"},{"family":"Sigman","given":"Scott A"}],"accessed":{"date-parts":[["2023",6,23]]},"issued":{"date-parts":[["2021",3,19]]}}}],"schema":"https://github.com/citation-style-language/schema/raw/master/csl-citation.json"} </w:instrText>
            </w:r>
            <w:r>
              <w:rPr>
                <w:rFonts w:ascii="Times New Roman" w:eastAsia="Times New Roman" w:hAnsi="Times New Roman" w:cs="Times New Roman"/>
                <w:color w:val="000000"/>
                <w:kern w:val="0"/>
                <w:sz w:val="14"/>
                <w:szCs w:val="14"/>
                <w:lang w:val="en-US" w:eastAsia="en-NL"/>
                <w14:ligatures w14:val="none"/>
              </w:rPr>
              <w:fldChar w:fldCharType="separate"/>
            </w:r>
            <w:r w:rsidRPr="006078A7">
              <w:rPr>
                <w:rFonts w:ascii="Times New Roman" w:hAnsi="Times New Roman" w:cs="Times New Roman"/>
                <w:sz w:val="14"/>
              </w:rPr>
              <w:t>[44]</w:t>
            </w:r>
            <w:r>
              <w:rPr>
                <w:rFonts w:ascii="Times New Roman" w:eastAsia="Times New Roman" w:hAnsi="Times New Roman" w:cs="Times New Roman"/>
                <w:color w:val="000000"/>
                <w:kern w:val="0"/>
                <w:sz w:val="14"/>
                <w:szCs w:val="14"/>
                <w:lang w:val="en-US" w:eastAsia="en-NL"/>
                <w14:ligatures w14:val="none"/>
              </w:rPr>
              <w:fldChar w:fldCharType="end"/>
            </w:r>
          </w:p>
        </w:tc>
      </w:tr>
      <w:tr w:rsidR="00A92A05" w:rsidRPr="00903922" w14:paraId="6AF8C369" w14:textId="77777777" w:rsidTr="00B46704">
        <w:trPr>
          <w:trHeight w:val="300"/>
        </w:trPr>
        <w:tc>
          <w:tcPr>
            <w:tcW w:w="993" w:type="dxa"/>
            <w:noWrap/>
          </w:tcPr>
          <w:p w14:paraId="744066C9" w14:textId="7C47D5FC" w:rsidR="00A92A05" w:rsidRPr="00903922" w:rsidRDefault="00A92A05" w:rsidP="001F038B">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65B42581" w14:textId="0AAFC878"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NCT04416113</w:t>
            </w:r>
          </w:p>
        </w:tc>
        <w:tc>
          <w:tcPr>
            <w:tcW w:w="2168" w:type="dxa"/>
            <w:noWrap/>
          </w:tcPr>
          <w:p w14:paraId="4B0FA2B3" w14:textId="67340FB1"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ACTIVE_NOT_RECRUITING</w:t>
            </w:r>
          </w:p>
        </w:tc>
        <w:tc>
          <w:tcPr>
            <w:tcW w:w="4125" w:type="dxa"/>
            <w:vMerge w:val="restart"/>
          </w:tcPr>
          <w:p w14:paraId="31E188E4" w14:textId="5B57DBAA" w:rsidR="00A92A05" w:rsidRPr="006078A7" w:rsidRDefault="00A92A05" w:rsidP="001F038B">
            <w:pPr>
              <w:rPr>
                <w:rFonts w:ascii="Times New Roman" w:eastAsia="Times New Roman" w:hAnsi="Times New Roman" w:cs="Times New Roman"/>
                <w:color w:val="000000"/>
                <w:kern w:val="0"/>
                <w:sz w:val="14"/>
                <w:szCs w:val="14"/>
                <w:lang w:val="en-US" w:eastAsia="en-NL"/>
                <w14:ligatures w14:val="none"/>
              </w:rPr>
            </w:pPr>
          </w:p>
        </w:tc>
      </w:tr>
      <w:tr w:rsidR="00A92A05" w:rsidRPr="00903922" w14:paraId="5E2F3EF1" w14:textId="77777777" w:rsidTr="00B46704">
        <w:trPr>
          <w:trHeight w:val="300"/>
        </w:trPr>
        <w:tc>
          <w:tcPr>
            <w:tcW w:w="993" w:type="dxa"/>
            <w:noWrap/>
          </w:tcPr>
          <w:p w14:paraId="646D72E7" w14:textId="77777777" w:rsidR="00A92A05" w:rsidRPr="00903922" w:rsidRDefault="00A92A05" w:rsidP="001F038B">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55DDE727" w14:textId="4248BD73"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NCT05094726</w:t>
            </w:r>
          </w:p>
        </w:tc>
        <w:tc>
          <w:tcPr>
            <w:tcW w:w="2168" w:type="dxa"/>
            <w:noWrap/>
          </w:tcPr>
          <w:p w14:paraId="3CF997D6" w14:textId="472B2584"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RECRUITING</w:t>
            </w:r>
          </w:p>
        </w:tc>
        <w:tc>
          <w:tcPr>
            <w:tcW w:w="4125" w:type="dxa"/>
            <w:vMerge/>
          </w:tcPr>
          <w:p w14:paraId="4E42D052" w14:textId="77777777" w:rsidR="00A92A05" w:rsidRPr="00903922" w:rsidRDefault="00A92A05" w:rsidP="001F038B">
            <w:pPr>
              <w:rPr>
                <w:rFonts w:ascii="Times New Roman" w:eastAsia="Times New Roman" w:hAnsi="Times New Roman" w:cs="Times New Roman"/>
                <w:color w:val="000000"/>
                <w:kern w:val="0"/>
                <w:sz w:val="14"/>
                <w:szCs w:val="14"/>
                <w:lang w:eastAsia="en-NL"/>
                <w14:ligatures w14:val="none"/>
              </w:rPr>
            </w:pPr>
          </w:p>
        </w:tc>
      </w:tr>
      <w:tr w:rsidR="00A92A05" w:rsidRPr="00903922" w14:paraId="6567768F" w14:textId="77777777" w:rsidTr="00B46704">
        <w:trPr>
          <w:trHeight w:val="300"/>
        </w:trPr>
        <w:tc>
          <w:tcPr>
            <w:tcW w:w="993" w:type="dxa"/>
            <w:noWrap/>
          </w:tcPr>
          <w:p w14:paraId="558E9F2E" w14:textId="77777777" w:rsidR="00A92A05" w:rsidRPr="00903922" w:rsidRDefault="00A92A05" w:rsidP="001F038B">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5B7D9CAC" w14:textId="5075624B" w:rsidR="00A92A05" w:rsidRPr="00903922" w:rsidRDefault="00A92A05" w:rsidP="001F038B">
            <w:pPr>
              <w:rPr>
                <w:rFonts w:ascii="Calibri" w:hAnsi="Calibri" w:cs="Calibri"/>
                <w:color w:val="000000"/>
                <w:sz w:val="14"/>
                <w:szCs w:val="14"/>
                <w:lang w:val="en-US"/>
              </w:rPr>
            </w:pPr>
            <w:r w:rsidRPr="00903922">
              <w:rPr>
                <w:rFonts w:ascii="Calibri" w:hAnsi="Calibri" w:cs="Calibri"/>
                <w:color w:val="000000"/>
                <w:sz w:val="14"/>
                <w:szCs w:val="14"/>
              </w:rPr>
              <w:t>NCT05258617</w:t>
            </w:r>
          </w:p>
        </w:tc>
        <w:tc>
          <w:tcPr>
            <w:tcW w:w="2168" w:type="dxa"/>
            <w:noWrap/>
          </w:tcPr>
          <w:p w14:paraId="7CF06113" w14:textId="4BEC38E2"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TERMINATED</w:t>
            </w:r>
          </w:p>
        </w:tc>
        <w:tc>
          <w:tcPr>
            <w:tcW w:w="4125" w:type="dxa"/>
            <w:vMerge/>
          </w:tcPr>
          <w:p w14:paraId="2CC91A01" w14:textId="77777777" w:rsidR="00A92A05" w:rsidRPr="00903922" w:rsidRDefault="00A92A05" w:rsidP="001F038B">
            <w:pPr>
              <w:rPr>
                <w:rFonts w:ascii="Times New Roman" w:eastAsia="Times New Roman" w:hAnsi="Times New Roman" w:cs="Times New Roman"/>
                <w:color w:val="000000"/>
                <w:kern w:val="0"/>
                <w:sz w:val="14"/>
                <w:szCs w:val="14"/>
                <w:lang w:eastAsia="en-NL"/>
                <w14:ligatures w14:val="none"/>
              </w:rPr>
            </w:pPr>
          </w:p>
        </w:tc>
      </w:tr>
      <w:tr w:rsidR="00A92A05" w:rsidRPr="00903922" w14:paraId="226ADDC8" w14:textId="77777777" w:rsidTr="00B46704">
        <w:trPr>
          <w:trHeight w:val="300"/>
        </w:trPr>
        <w:tc>
          <w:tcPr>
            <w:tcW w:w="993" w:type="dxa"/>
            <w:noWrap/>
          </w:tcPr>
          <w:p w14:paraId="4D3C4721" w14:textId="77777777" w:rsidR="00A92A05" w:rsidRPr="00903922" w:rsidRDefault="00A92A05" w:rsidP="001F038B">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1C81AE82" w14:textId="34937D2E" w:rsidR="00A92A05" w:rsidRPr="00903922" w:rsidRDefault="00A92A05" w:rsidP="001F038B">
            <w:pPr>
              <w:rPr>
                <w:rFonts w:ascii="Calibri" w:hAnsi="Calibri" w:cs="Calibri"/>
                <w:color w:val="000000"/>
                <w:sz w:val="14"/>
                <w:szCs w:val="14"/>
                <w:lang w:val="en-US"/>
              </w:rPr>
            </w:pPr>
            <w:r w:rsidRPr="00903922">
              <w:rPr>
                <w:rFonts w:ascii="Calibri" w:hAnsi="Calibri" w:cs="Calibri"/>
                <w:color w:val="000000"/>
                <w:sz w:val="14"/>
                <w:szCs w:val="14"/>
              </w:rPr>
              <w:t>NCT04391712</w:t>
            </w:r>
          </w:p>
        </w:tc>
        <w:tc>
          <w:tcPr>
            <w:tcW w:w="2168" w:type="dxa"/>
            <w:noWrap/>
          </w:tcPr>
          <w:p w14:paraId="36106BD2" w14:textId="4C700B37"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vMerge/>
          </w:tcPr>
          <w:p w14:paraId="2F0532C7" w14:textId="77777777" w:rsidR="00A92A05" w:rsidRPr="00903922" w:rsidRDefault="00A92A05" w:rsidP="001F038B">
            <w:pPr>
              <w:rPr>
                <w:rFonts w:ascii="Times New Roman" w:eastAsia="Times New Roman" w:hAnsi="Times New Roman" w:cs="Times New Roman"/>
                <w:color w:val="000000"/>
                <w:kern w:val="0"/>
                <w:sz w:val="14"/>
                <w:szCs w:val="14"/>
                <w:lang w:eastAsia="en-NL"/>
                <w14:ligatures w14:val="none"/>
              </w:rPr>
            </w:pPr>
          </w:p>
        </w:tc>
      </w:tr>
      <w:tr w:rsidR="00A92A05" w:rsidRPr="00903922" w14:paraId="0618EECE" w14:textId="77777777" w:rsidTr="00B46704">
        <w:trPr>
          <w:trHeight w:val="300"/>
        </w:trPr>
        <w:tc>
          <w:tcPr>
            <w:tcW w:w="993" w:type="dxa"/>
            <w:noWrap/>
          </w:tcPr>
          <w:p w14:paraId="78CB13A0" w14:textId="77777777" w:rsidR="00A92A05" w:rsidRPr="00903922" w:rsidRDefault="00A92A05" w:rsidP="001F038B">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21BCD664" w14:textId="07AE9ACD"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NCT05760092</w:t>
            </w:r>
          </w:p>
        </w:tc>
        <w:tc>
          <w:tcPr>
            <w:tcW w:w="2168" w:type="dxa"/>
            <w:noWrap/>
          </w:tcPr>
          <w:p w14:paraId="64797824" w14:textId="073B3EAD"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RECRUITING</w:t>
            </w:r>
          </w:p>
        </w:tc>
        <w:tc>
          <w:tcPr>
            <w:tcW w:w="4125" w:type="dxa"/>
            <w:vMerge/>
          </w:tcPr>
          <w:p w14:paraId="2302F7AA" w14:textId="77777777" w:rsidR="00A92A05" w:rsidRPr="00903922" w:rsidRDefault="00A92A05" w:rsidP="001F038B">
            <w:pPr>
              <w:rPr>
                <w:rFonts w:ascii="Times New Roman" w:eastAsia="Times New Roman" w:hAnsi="Times New Roman" w:cs="Times New Roman"/>
                <w:color w:val="000000"/>
                <w:kern w:val="0"/>
                <w:sz w:val="14"/>
                <w:szCs w:val="14"/>
                <w:lang w:eastAsia="en-NL"/>
                <w14:ligatures w14:val="none"/>
              </w:rPr>
            </w:pPr>
          </w:p>
        </w:tc>
      </w:tr>
      <w:tr w:rsidR="00A92A05" w:rsidRPr="00903922" w14:paraId="5C43DBCC" w14:textId="77777777" w:rsidTr="00B46704">
        <w:trPr>
          <w:trHeight w:val="300"/>
        </w:trPr>
        <w:tc>
          <w:tcPr>
            <w:tcW w:w="993" w:type="dxa"/>
            <w:noWrap/>
          </w:tcPr>
          <w:p w14:paraId="058DF5CF" w14:textId="77777777" w:rsidR="00A92A05" w:rsidRPr="00903922" w:rsidRDefault="00A92A05" w:rsidP="001F038B">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321BB6AE" w14:textId="621C5973" w:rsidR="00A92A05" w:rsidRPr="00903922" w:rsidRDefault="00A92A05" w:rsidP="001F038B">
            <w:pPr>
              <w:rPr>
                <w:rFonts w:ascii="Calibri" w:hAnsi="Calibri" w:cs="Calibri"/>
                <w:color w:val="000000"/>
                <w:sz w:val="14"/>
                <w:szCs w:val="14"/>
                <w:lang w:val="en-US"/>
              </w:rPr>
            </w:pPr>
            <w:r w:rsidRPr="00903922">
              <w:rPr>
                <w:rFonts w:ascii="Calibri" w:hAnsi="Calibri" w:cs="Calibri"/>
                <w:color w:val="000000"/>
                <w:sz w:val="14"/>
                <w:szCs w:val="14"/>
              </w:rPr>
              <w:t>NCT04386694</w:t>
            </w:r>
          </w:p>
        </w:tc>
        <w:tc>
          <w:tcPr>
            <w:tcW w:w="2168" w:type="dxa"/>
            <w:noWrap/>
          </w:tcPr>
          <w:p w14:paraId="6C3BF8B1" w14:textId="4B7A064D"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COMPLETED</w:t>
            </w:r>
          </w:p>
        </w:tc>
        <w:tc>
          <w:tcPr>
            <w:tcW w:w="4125" w:type="dxa"/>
            <w:vMerge/>
          </w:tcPr>
          <w:p w14:paraId="53C08314" w14:textId="77777777" w:rsidR="00A92A05" w:rsidRPr="00903922" w:rsidRDefault="00A92A05" w:rsidP="001F038B">
            <w:pPr>
              <w:rPr>
                <w:rFonts w:ascii="Times New Roman" w:eastAsia="Times New Roman" w:hAnsi="Times New Roman" w:cs="Times New Roman"/>
                <w:color w:val="000000"/>
                <w:kern w:val="0"/>
                <w:sz w:val="14"/>
                <w:szCs w:val="14"/>
                <w:lang w:eastAsia="en-NL"/>
                <w14:ligatures w14:val="none"/>
              </w:rPr>
            </w:pPr>
          </w:p>
        </w:tc>
      </w:tr>
      <w:tr w:rsidR="00A92A05" w:rsidRPr="00903922" w14:paraId="74380D20" w14:textId="77777777" w:rsidTr="00B46704">
        <w:trPr>
          <w:trHeight w:val="300"/>
        </w:trPr>
        <w:tc>
          <w:tcPr>
            <w:tcW w:w="993" w:type="dxa"/>
            <w:noWrap/>
          </w:tcPr>
          <w:p w14:paraId="3254043E" w14:textId="77777777" w:rsidR="00A92A05" w:rsidRPr="00903922" w:rsidRDefault="00A92A05" w:rsidP="001F038B">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5C337DE9" w14:textId="6DE8666F"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NCT05857124</w:t>
            </w:r>
          </w:p>
        </w:tc>
        <w:tc>
          <w:tcPr>
            <w:tcW w:w="2168" w:type="dxa"/>
            <w:noWrap/>
          </w:tcPr>
          <w:p w14:paraId="3E72471C" w14:textId="478B1B1D"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NOT_YET_RECRUITING</w:t>
            </w:r>
          </w:p>
        </w:tc>
        <w:tc>
          <w:tcPr>
            <w:tcW w:w="4125" w:type="dxa"/>
            <w:vMerge/>
          </w:tcPr>
          <w:p w14:paraId="411ED37D" w14:textId="77777777" w:rsidR="00A92A05" w:rsidRPr="00903922" w:rsidRDefault="00A92A05" w:rsidP="001F038B">
            <w:pPr>
              <w:rPr>
                <w:rFonts w:ascii="Times New Roman" w:eastAsia="Times New Roman" w:hAnsi="Times New Roman" w:cs="Times New Roman"/>
                <w:color w:val="000000"/>
                <w:kern w:val="0"/>
                <w:sz w:val="14"/>
                <w:szCs w:val="14"/>
                <w:lang w:eastAsia="en-NL"/>
                <w14:ligatures w14:val="none"/>
              </w:rPr>
            </w:pPr>
          </w:p>
        </w:tc>
      </w:tr>
      <w:tr w:rsidR="00A92A05" w:rsidRPr="00903922" w14:paraId="3836FFD7" w14:textId="77777777" w:rsidTr="00B46704">
        <w:trPr>
          <w:trHeight w:val="300"/>
        </w:trPr>
        <w:tc>
          <w:tcPr>
            <w:tcW w:w="993" w:type="dxa"/>
            <w:noWrap/>
          </w:tcPr>
          <w:p w14:paraId="255C82E2" w14:textId="77777777" w:rsidR="00A92A05" w:rsidRPr="00903922" w:rsidRDefault="00A92A05" w:rsidP="001F038B">
            <w:pPr>
              <w:rPr>
                <w:rFonts w:ascii="Times New Roman" w:eastAsia="Times New Roman" w:hAnsi="Times New Roman" w:cs="Times New Roman"/>
                <w:color w:val="000000"/>
                <w:kern w:val="0"/>
                <w:sz w:val="14"/>
                <w:szCs w:val="14"/>
                <w:lang w:val="en-US" w:eastAsia="en-NL"/>
                <w14:ligatures w14:val="none"/>
              </w:rPr>
            </w:pPr>
          </w:p>
        </w:tc>
        <w:tc>
          <w:tcPr>
            <w:tcW w:w="1126" w:type="dxa"/>
            <w:noWrap/>
          </w:tcPr>
          <w:p w14:paraId="6915CE1F" w14:textId="254F4A76" w:rsidR="00A92A05" w:rsidRPr="00903922" w:rsidRDefault="00A92A05" w:rsidP="001F038B">
            <w:pPr>
              <w:rPr>
                <w:rFonts w:ascii="Calibri" w:hAnsi="Calibri" w:cs="Calibri"/>
                <w:color w:val="000000"/>
                <w:sz w:val="14"/>
                <w:szCs w:val="14"/>
                <w:lang w:val="en-US"/>
              </w:rPr>
            </w:pPr>
            <w:r w:rsidRPr="00903922">
              <w:rPr>
                <w:rFonts w:ascii="Calibri" w:hAnsi="Calibri" w:cs="Calibri"/>
                <w:color w:val="000000"/>
                <w:sz w:val="14"/>
                <w:szCs w:val="14"/>
              </w:rPr>
              <w:t>NCT05430776</w:t>
            </w:r>
          </w:p>
        </w:tc>
        <w:tc>
          <w:tcPr>
            <w:tcW w:w="2168" w:type="dxa"/>
            <w:noWrap/>
          </w:tcPr>
          <w:p w14:paraId="04917A0B" w14:textId="62D43728" w:rsidR="00A92A05" w:rsidRPr="00903922" w:rsidRDefault="00A92A05" w:rsidP="001F038B">
            <w:pPr>
              <w:rPr>
                <w:rFonts w:ascii="Calibri" w:hAnsi="Calibri" w:cs="Calibri"/>
                <w:color w:val="000000"/>
                <w:sz w:val="14"/>
                <w:szCs w:val="14"/>
              </w:rPr>
            </w:pPr>
            <w:r w:rsidRPr="00903922">
              <w:rPr>
                <w:rFonts w:ascii="Calibri" w:hAnsi="Calibri" w:cs="Calibri"/>
                <w:color w:val="000000"/>
                <w:sz w:val="14"/>
                <w:szCs w:val="14"/>
              </w:rPr>
              <w:t>RECRUITING</w:t>
            </w:r>
          </w:p>
        </w:tc>
        <w:tc>
          <w:tcPr>
            <w:tcW w:w="4125" w:type="dxa"/>
            <w:vMerge/>
          </w:tcPr>
          <w:p w14:paraId="5C03B85C" w14:textId="77777777" w:rsidR="00A92A05" w:rsidRPr="00903922" w:rsidRDefault="00A92A05" w:rsidP="001F038B">
            <w:pPr>
              <w:rPr>
                <w:rFonts w:ascii="Times New Roman" w:eastAsia="Times New Roman" w:hAnsi="Times New Roman" w:cs="Times New Roman"/>
                <w:color w:val="000000"/>
                <w:kern w:val="0"/>
                <w:sz w:val="14"/>
                <w:szCs w:val="14"/>
                <w:lang w:eastAsia="en-NL"/>
                <w14:ligatures w14:val="none"/>
              </w:rPr>
            </w:pPr>
          </w:p>
        </w:tc>
      </w:tr>
    </w:tbl>
    <w:p w14:paraId="0894DED1" w14:textId="77777777" w:rsidR="008B2E55" w:rsidRDefault="008B2E55"/>
    <w:p w14:paraId="106D5046" w14:textId="77777777" w:rsidR="000C6830" w:rsidRPr="000C6830" w:rsidRDefault="000C6830" w:rsidP="000C6830">
      <w:pPr>
        <w:pStyle w:val="Bibliography"/>
        <w:rPr>
          <w:rFonts w:ascii="Calibri" w:hAnsi="Calibri" w:cs="Calibri"/>
        </w:rPr>
      </w:pPr>
      <w:r>
        <w:fldChar w:fldCharType="begin"/>
      </w:r>
      <w:r>
        <w:instrText xml:space="preserve"> ADDIN ZOTERO_BIBL {"uncited":[],"omitted":[],"custom":[]} CSL_BIBLIOGRAPHY </w:instrText>
      </w:r>
      <w:r>
        <w:fldChar w:fldCharType="separate"/>
      </w:r>
      <w:r w:rsidRPr="000C6830">
        <w:rPr>
          <w:rFonts w:ascii="Calibri" w:hAnsi="Calibri" w:cs="Calibri"/>
        </w:rPr>
        <w:t xml:space="preserve">1. </w:t>
      </w:r>
      <w:r w:rsidRPr="000C6830">
        <w:rPr>
          <w:rFonts w:ascii="Calibri" w:hAnsi="Calibri" w:cs="Calibri"/>
        </w:rPr>
        <w:tab/>
        <w:t xml:space="preserve">McCreary, M.R.; Schnell, P.M.; Rhoda, D.A. Randomized Double-Blind Placebo-Controlled Proof-of-Concept Trial of Resveratrol for Outpatient Treatment of Mild Coronavirus Disease (COVID-19). </w:t>
      </w:r>
      <w:r w:rsidRPr="000C6830">
        <w:rPr>
          <w:rFonts w:ascii="Calibri" w:hAnsi="Calibri" w:cs="Calibri"/>
          <w:i/>
          <w:iCs/>
        </w:rPr>
        <w:t>Sci Rep</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12</w:t>
      </w:r>
      <w:r w:rsidRPr="000C6830">
        <w:rPr>
          <w:rFonts w:ascii="Calibri" w:hAnsi="Calibri" w:cs="Calibri"/>
        </w:rPr>
        <w:t>, 10978, doi:10.1038/s41598-022-13920-9.</w:t>
      </w:r>
    </w:p>
    <w:p w14:paraId="4CAD51EB" w14:textId="77777777" w:rsidR="000C6830" w:rsidRPr="000C6830" w:rsidRDefault="000C6830" w:rsidP="000C6830">
      <w:pPr>
        <w:pStyle w:val="Bibliography"/>
        <w:rPr>
          <w:rFonts w:ascii="Calibri" w:hAnsi="Calibri" w:cs="Calibri"/>
        </w:rPr>
      </w:pPr>
      <w:r w:rsidRPr="000C6830">
        <w:rPr>
          <w:rFonts w:ascii="Calibri" w:hAnsi="Calibri" w:cs="Calibri"/>
        </w:rPr>
        <w:t xml:space="preserve">2. </w:t>
      </w:r>
      <w:r w:rsidRPr="000C6830">
        <w:rPr>
          <w:rFonts w:ascii="Calibri" w:hAnsi="Calibri" w:cs="Calibri"/>
        </w:rPr>
        <w:tab/>
        <w:t>Mittra, I.; Souza, R. de; Bhadade, R.; Madke, T.; Shankpal, P.D.; Joshi, M.; Qayyumi, B.; Bhattacharjee, A.; Gota, V.; Gupta, S.; et al. Resveratrol and Copper for Treatment of Severe COVID-19: An Observational Study (RESCU 002) 2020, 2020.07.21.20151423.</w:t>
      </w:r>
    </w:p>
    <w:p w14:paraId="302C6F9A" w14:textId="77777777" w:rsidR="000C6830" w:rsidRPr="000C6830" w:rsidRDefault="000C6830" w:rsidP="000C6830">
      <w:pPr>
        <w:pStyle w:val="Bibliography"/>
        <w:rPr>
          <w:rFonts w:ascii="Calibri" w:hAnsi="Calibri" w:cs="Calibri"/>
        </w:rPr>
      </w:pPr>
      <w:r w:rsidRPr="000C6830">
        <w:rPr>
          <w:rFonts w:ascii="Calibri" w:hAnsi="Calibri" w:cs="Calibri"/>
        </w:rPr>
        <w:t xml:space="preserve">3. </w:t>
      </w:r>
      <w:r w:rsidRPr="000C6830">
        <w:rPr>
          <w:rFonts w:ascii="Calibri" w:hAnsi="Calibri" w:cs="Calibri"/>
        </w:rPr>
        <w:tab/>
        <w:t xml:space="preserve">Vahedian-Azimi, A.; Abbasifard, M.; Rahimi-Bashar, F.; Guest, P.C.; Majeed, M.; Mohammadi, A.; Banach, M.; Jamialahmadi, T.; Sahebkar, A. Effectiveness of Curcumin on Outcomes of Hospitalized COVID-19 Patients: A Systematic Review of Clinical Trials. </w:t>
      </w:r>
      <w:r w:rsidRPr="000C6830">
        <w:rPr>
          <w:rFonts w:ascii="Calibri" w:hAnsi="Calibri" w:cs="Calibri"/>
          <w:i/>
          <w:iCs/>
        </w:rPr>
        <w:t>Nutrients</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14</w:t>
      </w:r>
      <w:r w:rsidRPr="000C6830">
        <w:rPr>
          <w:rFonts w:ascii="Calibri" w:hAnsi="Calibri" w:cs="Calibri"/>
        </w:rPr>
        <w:t>, 256, doi:10.3390/nu14020256.</w:t>
      </w:r>
    </w:p>
    <w:p w14:paraId="33C22882" w14:textId="77777777" w:rsidR="000C6830" w:rsidRPr="000C6830" w:rsidRDefault="000C6830" w:rsidP="000C6830">
      <w:pPr>
        <w:pStyle w:val="Bibliography"/>
        <w:rPr>
          <w:rFonts w:ascii="Calibri" w:hAnsi="Calibri" w:cs="Calibri"/>
        </w:rPr>
      </w:pPr>
      <w:r w:rsidRPr="000C6830">
        <w:rPr>
          <w:rFonts w:ascii="Calibri" w:hAnsi="Calibri" w:cs="Calibri"/>
        </w:rPr>
        <w:t xml:space="preserve">4. </w:t>
      </w:r>
      <w:r w:rsidRPr="000C6830">
        <w:rPr>
          <w:rFonts w:ascii="Calibri" w:hAnsi="Calibri" w:cs="Calibri"/>
        </w:rPr>
        <w:tab/>
        <w:t xml:space="preserve">Pawar, K.S.; Mastud, R.N.; Pawar, S.K.; Pawar, S.S.; Bhoite, R.R.; Bhoite, R.R.; Kulkarni, M.V.; Deshpande, A.R. Oral Curcumin With Piperine as Adjuvant Therapy for the Treatment of COVID-19: A Randomized Clinical Trial. </w:t>
      </w:r>
      <w:r w:rsidRPr="000C6830">
        <w:rPr>
          <w:rFonts w:ascii="Calibri" w:hAnsi="Calibri" w:cs="Calibri"/>
          <w:i/>
          <w:iCs/>
        </w:rPr>
        <w:t>Frontiers in Pharmacology</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12</w:t>
      </w:r>
      <w:r w:rsidRPr="000C6830">
        <w:rPr>
          <w:rFonts w:ascii="Calibri" w:hAnsi="Calibri" w:cs="Calibri"/>
        </w:rPr>
        <w:t>.</w:t>
      </w:r>
    </w:p>
    <w:p w14:paraId="3A98DA98" w14:textId="77777777" w:rsidR="000C6830" w:rsidRPr="000C6830" w:rsidRDefault="000C6830" w:rsidP="000C6830">
      <w:pPr>
        <w:pStyle w:val="Bibliography"/>
        <w:rPr>
          <w:rFonts w:ascii="Calibri" w:hAnsi="Calibri" w:cs="Calibri"/>
        </w:rPr>
      </w:pPr>
      <w:r w:rsidRPr="000C6830">
        <w:rPr>
          <w:rFonts w:ascii="Calibri" w:hAnsi="Calibri" w:cs="Calibri"/>
        </w:rPr>
        <w:t xml:space="preserve">5. </w:t>
      </w:r>
      <w:r w:rsidRPr="000C6830">
        <w:rPr>
          <w:rFonts w:ascii="Calibri" w:hAnsi="Calibri" w:cs="Calibri"/>
        </w:rPr>
        <w:tab/>
        <w:t xml:space="preserve">Bettuzzi, S.; Gabba, L.; Cataldo, S. Efficacy of a Polyphenolic, Standardized Green Tea Extract for the Treatment of COVID-19 Syndrome: A Proof-of-Principle Study. </w:t>
      </w:r>
      <w:r w:rsidRPr="000C6830">
        <w:rPr>
          <w:rFonts w:ascii="Calibri" w:hAnsi="Calibri" w:cs="Calibri"/>
          <w:i/>
          <w:iCs/>
        </w:rPr>
        <w:t>COVID</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1</w:t>
      </w:r>
      <w:r w:rsidRPr="000C6830">
        <w:rPr>
          <w:rFonts w:ascii="Calibri" w:hAnsi="Calibri" w:cs="Calibri"/>
        </w:rPr>
        <w:t>, 2–12, doi:10.3390/covid1010002.</w:t>
      </w:r>
    </w:p>
    <w:p w14:paraId="1506CB1E" w14:textId="77777777" w:rsidR="000C6830" w:rsidRPr="000C6830" w:rsidRDefault="000C6830" w:rsidP="000C6830">
      <w:pPr>
        <w:pStyle w:val="Bibliography"/>
        <w:rPr>
          <w:rFonts w:ascii="Calibri" w:hAnsi="Calibri" w:cs="Calibri"/>
        </w:rPr>
      </w:pPr>
      <w:r w:rsidRPr="000C6830">
        <w:rPr>
          <w:rFonts w:ascii="Calibri" w:hAnsi="Calibri" w:cs="Calibri"/>
        </w:rPr>
        <w:lastRenderedPageBreak/>
        <w:t xml:space="preserve">6. </w:t>
      </w:r>
      <w:r w:rsidRPr="000C6830">
        <w:rPr>
          <w:rFonts w:ascii="Calibri" w:hAnsi="Calibri" w:cs="Calibri"/>
        </w:rPr>
        <w:tab/>
        <w:t xml:space="preserve">Camell, C.D.; Yousefzadeh, M.J.; Zhu, Y.; Prata, L.G.P.L.; Huggins, M.A.; Pierson, M.; Zhang, L.; O’Kelly, R.D.; Pirtskhalava, T.; Xun, P.; et al. Senolytics Reduce Coronavirus-Related Mortality in Old Mice. </w:t>
      </w:r>
      <w:r w:rsidRPr="000C6830">
        <w:rPr>
          <w:rFonts w:ascii="Calibri" w:hAnsi="Calibri" w:cs="Calibri"/>
          <w:i/>
          <w:iCs/>
        </w:rPr>
        <w:t>Science</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373</w:t>
      </w:r>
      <w:r w:rsidRPr="000C6830">
        <w:rPr>
          <w:rFonts w:ascii="Calibri" w:hAnsi="Calibri" w:cs="Calibri"/>
        </w:rPr>
        <w:t>, eabe4832, doi:10.1126/science.abe4832.</w:t>
      </w:r>
    </w:p>
    <w:p w14:paraId="40AB05D4" w14:textId="77777777" w:rsidR="000C6830" w:rsidRPr="000C6830" w:rsidRDefault="000C6830" w:rsidP="000C6830">
      <w:pPr>
        <w:pStyle w:val="Bibliography"/>
        <w:rPr>
          <w:rFonts w:ascii="Calibri" w:hAnsi="Calibri" w:cs="Calibri"/>
        </w:rPr>
      </w:pPr>
      <w:r w:rsidRPr="000C6830">
        <w:rPr>
          <w:rFonts w:ascii="Calibri" w:hAnsi="Calibri" w:cs="Calibri"/>
        </w:rPr>
        <w:t xml:space="preserve">7. </w:t>
      </w:r>
      <w:r w:rsidRPr="000C6830">
        <w:rPr>
          <w:rFonts w:ascii="Calibri" w:hAnsi="Calibri" w:cs="Calibri"/>
        </w:rPr>
        <w:tab/>
        <w:t xml:space="preserve">Hu, Q.; Zhang, Q.-Y.; Peng, C.-F.; Ma, Z.; Han, Y.-L. Efficiency of Nicotinamide-Based Supportive Therapy in Lymphopenia for Patients with Ordinary or Severe COVID-19: A Randomized Controlled Trial. </w:t>
      </w:r>
      <w:r w:rsidRPr="000C6830">
        <w:rPr>
          <w:rFonts w:ascii="Calibri" w:hAnsi="Calibri" w:cs="Calibri"/>
          <w:i/>
          <w:iCs/>
        </w:rPr>
        <w:t>Medicine (Baltimore)</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101</w:t>
      </w:r>
      <w:r w:rsidRPr="000C6830">
        <w:rPr>
          <w:rFonts w:ascii="Calibri" w:hAnsi="Calibri" w:cs="Calibri"/>
        </w:rPr>
        <w:t>, e31138, doi:10.1097/MD.0000000000031138.</w:t>
      </w:r>
    </w:p>
    <w:p w14:paraId="7C0B7E3D" w14:textId="77777777" w:rsidR="000C6830" w:rsidRPr="000C6830" w:rsidRDefault="000C6830" w:rsidP="000C6830">
      <w:pPr>
        <w:pStyle w:val="Bibliography"/>
        <w:rPr>
          <w:rFonts w:ascii="Calibri" w:hAnsi="Calibri" w:cs="Calibri"/>
        </w:rPr>
      </w:pPr>
      <w:r w:rsidRPr="000C6830">
        <w:rPr>
          <w:rFonts w:ascii="Calibri" w:hAnsi="Calibri" w:cs="Calibri"/>
        </w:rPr>
        <w:t xml:space="preserve">8. </w:t>
      </w:r>
      <w:r w:rsidRPr="000C6830">
        <w:rPr>
          <w:rFonts w:ascii="Calibri" w:hAnsi="Calibri" w:cs="Calibri"/>
        </w:rPr>
        <w:tab/>
        <w:t xml:space="preserve">Khalaji, A.; Behnoush, A.H.; Alilou, S.; Rezaee, M.; Peiman, S.; Sahebkar, A. Adjunctive Therapy with Lipid-Lowering Agents in COVID-19: A Systematic Review and Meta-Analysis of Randomized Controlled Trials. </w:t>
      </w:r>
      <w:r w:rsidRPr="000C6830">
        <w:rPr>
          <w:rFonts w:ascii="Calibri" w:hAnsi="Calibri" w:cs="Calibri"/>
          <w:i/>
          <w:iCs/>
        </w:rPr>
        <w:t>Lipids Health Dis</w:t>
      </w:r>
      <w:r w:rsidRPr="000C6830">
        <w:rPr>
          <w:rFonts w:ascii="Calibri" w:hAnsi="Calibri" w:cs="Calibri"/>
        </w:rPr>
        <w:t xml:space="preserve"> </w:t>
      </w:r>
      <w:r w:rsidRPr="000C6830">
        <w:rPr>
          <w:rFonts w:ascii="Calibri" w:hAnsi="Calibri" w:cs="Calibri"/>
          <w:b/>
          <w:bCs/>
        </w:rPr>
        <w:t>2023</w:t>
      </w:r>
      <w:r w:rsidRPr="000C6830">
        <w:rPr>
          <w:rFonts w:ascii="Calibri" w:hAnsi="Calibri" w:cs="Calibri"/>
        </w:rPr>
        <w:t xml:space="preserve">, </w:t>
      </w:r>
      <w:r w:rsidRPr="000C6830">
        <w:rPr>
          <w:rFonts w:ascii="Calibri" w:hAnsi="Calibri" w:cs="Calibri"/>
          <w:i/>
          <w:iCs/>
        </w:rPr>
        <w:t>22</w:t>
      </w:r>
      <w:r w:rsidRPr="000C6830">
        <w:rPr>
          <w:rFonts w:ascii="Calibri" w:hAnsi="Calibri" w:cs="Calibri"/>
        </w:rPr>
        <w:t>, 61, doi:10.1186/s12944-023-01828-w.</w:t>
      </w:r>
    </w:p>
    <w:p w14:paraId="5FF6DD66" w14:textId="77777777" w:rsidR="000C6830" w:rsidRPr="000C6830" w:rsidRDefault="000C6830" w:rsidP="000C6830">
      <w:pPr>
        <w:pStyle w:val="Bibliography"/>
        <w:rPr>
          <w:rFonts w:ascii="Calibri" w:hAnsi="Calibri" w:cs="Calibri"/>
        </w:rPr>
      </w:pPr>
      <w:r w:rsidRPr="000C6830">
        <w:rPr>
          <w:rFonts w:ascii="Calibri" w:hAnsi="Calibri" w:cs="Calibri"/>
        </w:rPr>
        <w:t xml:space="preserve">9. </w:t>
      </w:r>
      <w:r w:rsidRPr="000C6830">
        <w:rPr>
          <w:rFonts w:ascii="Calibri" w:hAnsi="Calibri" w:cs="Calibri"/>
        </w:rPr>
        <w:tab/>
        <w:t xml:space="preserve">Lan, S.-H.; Lee, H.-Z.; Chao, C.-M.; Chang, S.-P.; Lu, L.-C.; Lai, C.-C. Efficacy of Melatonin in the Treatment of Patients with COVID-19: A Systematic Review and Meta-Analysis of Randomized Controlled Trials. </w:t>
      </w:r>
      <w:r w:rsidRPr="000C6830">
        <w:rPr>
          <w:rFonts w:ascii="Calibri" w:hAnsi="Calibri" w:cs="Calibri"/>
          <w:i/>
          <w:iCs/>
        </w:rPr>
        <w:t>Journal of Medical Virology</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94</w:t>
      </w:r>
      <w:r w:rsidRPr="000C6830">
        <w:rPr>
          <w:rFonts w:ascii="Calibri" w:hAnsi="Calibri" w:cs="Calibri"/>
        </w:rPr>
        <w:t>, 2102–2107, doi:10.1002/jmv.27595.</w:t>
      </w:r>
    </w:p>
    <w:p w14:paraId="1C9879FC" w14:textId="77777777" w:rsidR="000C6830" w:rsidRPr="000C6830" w:rsidRDefault="000C6830" w:rsidP="000C6830">
      <w:pPr>
        <w:pStyle w:val="Bibliography"/>
        <w:rPr>
          <w:rFonts w:ascii="Calibri" w:hAnsi="Calibri" w:cs="Calibri"/>
        </w:rPr>
      </w:pPr>
      <w:r w:rsidRPr="000C6830">
        <w:rPr>
          <w:rFonts w:ascii="Calibri" w:hAnsi="Calibri" w:cs="Calibri"/>
        </w:rPr>
        <w:t xml:space="preserve">10. </w:t>
      </w:r>
      <w:r w:rsidRPr="000C6830">
        <w:rPr>
          <w:rFonts w:ascii="Calibri" w:hAnsi="Calibri" w:cs="Calibri"/>
        </w:rPr>
        <w:tab/>
        <w:t xml:space="preserve">Pattnaik, B.R.; Bhatraju, N.; Kashyap, S.; Verma, U.; Madan, K.; Guleria, R.; Agrawal, A.; Mohan, A. Effect of a Nutraceutical Drug in COPD Condition: A Pilot Study of in Vitro, in Vivo and Clinical Trial. </w:t>
      </w:r>
      <w:r w:rsidRPr="000C6830">
        <w:rPr>
          <w:rFonts w:ascii="Calibri" w:hAnsi="Calibri" w:cs="Calibri"/>
          <w:i/>
          <w:iCs/>
        </w:rPr>
        <w:t>European Respiratory Journal</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60</w:t>
      </w:r>
      <w:r w:rsidRPr="000C6830">
        <w:rPr>
          <w:rFonts w:ascii="Calibri" w:hAnsi="Calibri" w:cs="Calibri"/>
        </w:rPr>
        <w:t>, doi:10.1183/13993003.congress-2022.1661.</w:t>
      </w:r>
    </w:p>
    <w:p w14:paraId="208C698D" w14:textId="77777777" w:rsidR="000C6830" w:rsidRPr="000C6830" w:rsidRDefault="000C6830" w:rsidP="000C6830">
      <w:pPr>
        <w:pStyle w:val="Bibliography"/>
        <w:rPr>
          <w:rFonts w:ascii="Calibri" w:hAnsi="Calibri" w:cs="Calibri"/>
        </w:rPr>
      </w:pPr>
      <w:r w:rsidRPr="000C6830">
        <w:rPr>
          <w:rFonts w:ascii="Calibri" w:hAnsi="Calibri" w:cs="Calibri"/>
        </w:rPr>
        <w:t xml:space="preserve">11. </w:t>
      </w:r>
      <w:r w:rsidRPr="000C6830">
        <w:rPr>
          <w:rFonts w:ascii="Calibri" w:hAnsi="Calibri" w:cs="Calibri"/>
        </w:rPr>
        <w:tab/>
        <w:t xml:space="preserve">Barbara, C.; Clavario, P.; De Marzo, V.; Lotti, R.; Guglielmi, G.; Porcile, A.; Russo, C.; Griffo, R.; Mäkikallio, T.; Hautala, A.J.; et al. Effects of Exercise Rehabilitation in Patients with Long Coronavirus Disease 2019. </w:t>
      </w:r>
      <w:r w:rsidRPr="000C6830">
        <w:rPr>
          <w:rFonts w:ascii="Calibri" w:hAnsi="Calibri" w:cs="Calibri"/>
          <w:i/>
          <w:iCs/>
        </w:rPr>
        <w:t>European Journal of Preventive Cardiology</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29</w:t>
      </w:r>
      <w:r w:rsidRPr="000C6830">
        <w:rPr>
          <w:rFonts w:ascii="Calibri" w:hAnsi="Calibri" w:cs="Calibri"/>
        </w:rPr>
        <w:t>, e258–e260, doi:10.1093/eurjpc/zwac019.</w:t>
      </w:r>
    </w:p>
    <w:p w14:paraId="45BA181F" w14:textId="77777777" w:rsidR="000C6830" w:rsidRPr="000C6830" w:rsidRDefault="000C6830" w:rsidP="000C6830">
      <w:pPr>
        <w:pStyle w:val="Bibliography"/>
        <w:rPr>
          <w:rFonts w:ascii="Calibri" w:hAnsi="Calibri" w:cs="Calibri"/>
        </w:rPr>
      </w:pPr>
      <w:r w:rsidRPr="000C6830">
        <w:rPr>
          <w:rFonts w:ascii="Calibri" w:hAnsi="Calibri" w:cs="Calibri"/>
        </w:rPr>
        <w:t xml:space="preserve">12. </w:t>
      </w:r>
      <w:r w:rsidRPr="000C6830">
        <w:rPr>
          <w:rFonts w:ascii="Calibri" w:hAnsi="Calibri" w:cs="Calibri"/>
        </w:rPr>
        <w:tab/>
        <w:t xml:space="preserve">Nopp, S.; Moik, F.; Klok, F.A.; Gattinger, D.; Petrovic, M.; Vonbank, K.; Koczulla, A.R.; Ay, C.; Zwick, R.H. Outpatient Pulmonary Rehabilitation in Patients with Long COVID Improves Exercise Capacity, Functional Status, Dyspnea, Fatigue, and Quality of Life. </w:t>
      </w:r>
      <w:r w:rsidRPr="000C6830">
        <w:rPr>
          <w:rFonts w:ascii="Calibri" w:hAnsi="Calibri" w:cs="Calibri"/>
          <w:i/>
          <w:iCs/>
        </w:rPr>
        <w:t>Respiration</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101</w:t>
      </w:r>
      <w:r w:rsidRPr="000C6830">
        <w:rPr>
          <w:rFonts w:ascii="Calibri" w:hAnsi="Calibri" w:cs="Calibri"/>
        </w:rPr>
        <w:t>, 593–601, doi:10.1159/000522118.</w:t>
      </w:r>
    </w:p>
    <w:p w14:paraId="0F3C2532" w14:textId="77777777" w:rsidR="000C6830" w:rsidRPr="000C6830" w:rsidRDefault="000C6830" w:rsidP="000C6830">
      <w:pPr>
        <w:pStyle w:val="Bibliography"/>
        <w:rPr>
          <w:rFonts w:ascii="Calibri" w:hAnsi="Calibri" w:cs="Calibri"/>
        </w:rPr>
      </w:pPr>
      <w:r w:rsidRPr="000C6830">
        <w:rPr>
          <w:rFonts w:ascii="Calibri" w:hAnsi="Calibri" w:cs="Calibri"/>
        </w:rPr>
        <w:t xml:space="preserve">13. </w:t>
      </w:r>
      <w:r w:rsidRPr="000C6830">
        <w:rPr>
          <w:rFonts w:ascii="Calibri" w:hAnsi="Calibri" w:cs="Calibri"/>
        </w:rPr>
        <w:tab/>
        <w:t xml:space="preserve">Romanet, C.; Wormser, J.; Fels, A.; Lucas, P.; Prudat, C.; Sacco, E.; Bruel, C.; Plantefève, G.; Pene, F.; Chatellier, G.; et al. Effectiveness of Exercise Training on the Dyspnoea of Individuals with Long COVID: A Randomised Controlled Multicentre Trial. </w:t>
      </w:r>
      <w:r w:rsidRPr="000C6830">
        <w:rPr>
          <w:rFonts w:ascii="Calibri" w:hAnsi="Calibri" w:cs="Calibri"/>
          <w:i/>
          <w:iCs/>
        </w:rPr>
        <w:t>Annals of Physical and Rehabilitation Medicine</w:t>
      </w:r>
      <w:r w:rsidRPr="000C6830">
        <w:rPr>
          <w:rFonts w:ascii="Calibri" w:hAnsi="Calibri" w:cs="Calibri"/>
        </w:rPr>
        <w:t xml:space="preserve"> </w:t>
      </w:r>
      <w:r w:rsidRPr="000C6830">
        <w:rPr>
          <w:rFonts w:ascii="Calibri" w:hAnsi="Calibri" w:cs="Calibri"/>
          <w:b/>
          <w:bCs/>
        </w:rPr>
        <w:t>2023</w:t>
      </w:r>
      <w:r w:rsidRPr="000C6830">
        <w:rPr>
          <w:rFonts w:ascii="Calibri" w:hAnsi="Calibri" w:cs="Calibri"/>
        </w:rPr>
        <w:t xml:space="preserve">, </w:t>
      </w:r>
      <w:r w:rsidRPr="000C6830">
        <w:rPr>
          <w:rFonts w:ascii="Calibri" w:hAnsi="Calibri" w:cs="Calibri"/>
          <w:i/>
          <w:iCs/>
        </w:rPr>
        <w:t>66</w:t>
      </w:r>
      <w:r w:rsidRPr="000C6830">
        <w:rPr>
          <w:rFonts w:ascii="Calibri" w:hAnsi="Calibri" w:cs="Calibri"/>
        </w:rPr>
        <w:t>, 101765, doi:10.1016/j.rehab.2023.101765.</w:t>
      </w:r>
    </w:p>
    <w:p w14:paraId="116BB107" w14:textId="77777777" w:rsidR="000C6830" w:rsidRPr="000C6830" w:rsidRDefault="000C6830" w:rsidP="000C6830">
      <w:pPr>
        <w:pStyle w:val="Bibliography"/>
        <w:rPr>
          <w:rFonts w:ascii="Calibri" w:hAnsi="Calibri" w:cs="Calibri"/>
        </w:rPr>
      </w:pPr>
      <w:r w:rsidRPr="000C6830">
        <w:rPr>
          <w:rFonts w:ascii="Calibri" w:hAnsi="Calibri" w:cs="Calibri"/>
        </w:rPr>
        <w:t xml:space="preserve">14. </w:t>
      </w:r>
      <w:r w:rsidRPr="000C6830">
        <w:rPr>
          <w:rFonts w:ascii="Calibri" w:hAnsi="Calibri" w:cs="Calibri"/>
        </w:rPr>
        <w:tab/>
        <w:t xml:space="preserve">Winchester, S.; John, S.; Jabbar, K.; John, I. Clinical Efficacy of Nitric Oxide Nasal Spray (NONS) for the Treatment of Mild COVID-19 Infection. </w:t>
      </w:r>
      <w:r w:rsidRPr="000C6830">
        <w:rPr>
          <w:rFonts w:ascii="Calibri" w:hAnsi="Calibri" w:cs="Calibri"/>
          <w:i/>
          <w:iCs/>
        </w:rPr>
        <w:t>Journal of Infection</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83</w:t>
      </w:r>
      <w:r w:rsidRPr="000C6830">
        <w:rPr>
          <w:rFonts w:ascii="Calibri" w:hAnsi="Calibri" w:cs="Calibri"/>
        </w:rPr>
        <w:t>, 237–279, doi:10.1016/j.jinf.2021.05.009.</w:t>
      </w:r>
    </w:p>
    <w:p w14:paraId="6B73266B" w14:textId="77777777" w:rsidR="000C6830" w:rsidRPr="000C6830" w:rsidRDefault="000C6830" w:rsidP="000C6830">
      <w:pPr>
        <w:pStyle w:val="Bibliography"/>
        <w:rPr>
          <w:rFonts w:ascii="Calibri" w:hAnsi="Calibri" w:cs="Calibri"/>
        </w:rPr>
      </w:pPr>
      <w:r w:rsidRPr="000C6830">
        <w:rPr>
          <w:rFonts w:ascii="Calibri" w:hAnsi="Calibri" w:cs="Calibri"/>
        </w:rPr>
        <w:t xml:space="preserve">15. </w:t>
      </w:r>
      <w:r w:rsidRPr="000C6830">
        <w:rPr>
          <w:rFonts w:ascii="Calibri" w:hAnsi="Calibri" w:cs="Calibri"/>
        </w:rPr>
        <w:tab/>
        <w:t xml:space="preserve">Zhong, M.; Sun, A.; Xiao, T.; Yao, G.; Sang, L.; Zheng, X.; Zhang, J.; Jin, X.; Xu, L.; Yang, W.; et al. A Randomized, Single-Blind, Group Sequential, Active-Controlled Study to Evaluate the Clinical Efficacy and Safety of α-Lipoic Acid for Critically Ill Patients With Coronavirus Disease 2019 (COVID-19). </w:t>
      </w:r>
      <w:r w:rsidRPr="000C6830">
        <w:rPr>
          <w:rFonts w:ascii="Calibri" w:hAnsi="Calibri" w:cs="Calibri"/>
          <w:i/>
          <w:iCs/>
        </w:rPr>
        <w:t>Frontiers in Medicine</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8</w:t>
      </w:r>
      <w:r w:rsidRPr="000C6830">
        <w:rPr>
          <w:rFonts w:ascii="Calibri" w:hAnsi="Calibri" w:cs="Calibri"/>
        </w:rPr>
        <w:t>.</w:t>
      </w:r>
    </w:p>
    <w:p w14:paraId="3B95BEA6" w14:textId="77777777" w:rsidR="000C6830" w:rsidRPr="000C6830" w:rsidRDefault="000C6830" w:rsidP="000C6830">
      <w:pPr>
        <w:pStyle w:val="Bibliography"/>
        <w:rPr>
          <w:rFonts w:ascii="Calibri" w:hAnsi="Calibri" w:cs="Calibri"/>
        </w:rPr>
      </w:pPr>
      <w:r w:rsidRPr="000C6830">
        <w:rPr>
          <w:rFonts w:ascii="Calibri" w:hAnsi="Calibri" w:cs="Calibri"/>
        </w:rPr>
        <w:t xml:space="preserve">16. </w:t>
      </w:r>
      <w:r w:rsidRPr="000C6830">
        <w:rPr>
          <w:rFonts w:ascii="Calibri" w:hAnsi="Calibri" w:cs="Calibri"/>
        </w:rPr>
        <w:tab/>
        <w:t xml:space="preserve">Altay, O.; Arif, M.; Li, X.; Yang, H.; Aydın, M.; Alkurt, G.; Kim, W.; Akyol, D.; Zhang, C.; Dinler-Doganay, G.; et al. Combined Metabolic Activators Accelerates Recovery in Mild-to-Moderate COVID-19. </w:t>
      </w:r>
      <w:r w:rsidRPr="000C6830">
        <w:rPr>
          <w:rFonts w:ascii="Calibri" w:hAnsi="Calibri" w:cs="Calibri"/>
          <w:i/>
          <w:iCs/>
        </w:rPr>
        <w:t>Advanced Science</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8</w:t>
      </w:r>
      <w:r w:rsidRPr="000C6830">
        <w:rPr>
          <w:rFonts w:ascii="Calibri" w:hAnsi="Calibri" w:cs="Calibri"/>
        </w:rPr>
        <w:t>, 2101222, doi:10.1002/advs.202101222.</w:t>
      </w:r>
    </w:p>
    <w:p w14:paraId="7ABFAFCE" w14:textId="77777777" w:rsidR="000C6830" w:rsidRPr="000C6830" w:rsidRDefault="000C6830" w:rsidP="000C6830">
      <w:pPr>
        <w:pStyle w:val="Bibliography"/>
        <w:rPr>
          <w:rFonts w:ascii="Calibri" w:hAnsi="Calibri" w:cs="Calibri"/>
        </w:rPr>
      </w:pPr>
      <w:r w:rsidRPr="000C6830">
        <w:rPr>
          <w:rFonts w:ascii="Calibri" w:hAnsi="Calibri" w:cs="Calibri"/>
        </w:rPr>
        <w:t xml:space="preserve">17. </w:t>
      </w:r>
      <w:r w:rsidRPr="000C6830">
        <w:rPr>
          <w:rFonts w:ascii="Calibri" w:hAnsi="Calibri" w:cs="Calibri"/>
        </w:rPr>
        <w:tab/>
        <w:t xml:space="preserve">Li, C.; Ou, R.; Wei, Q.; Shang, H. Carnitine and COVID-19 Susceptibility and Severity: A Mendelian Randomization Study. </w:t>
      </w:r>
      <w:r w:rsidRPr="000C6830">
        <w:rPr>
          <w:rFonts w:ascii="Calibri" w:hAnsi="Calibri" w:cs="Calibri"/>
          <w:i/>
          <w:iCs/>
        </w:rPr>
        <w:t>Frontiers in Nutrition</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8</w:t>
      </w:r>
      <w:r w:rsidRPr="000C6830">
        <w:rPr>
          <w:rFonts w:ascii="Calibri" w:hAnsi="Calibri" w:cs="Calibri"/>
        </w:rPr>
        <w:t>.</w:t>
      </w:r>
    </w:p>
    <w:p w14:paraId="26C8794F" w14:textId="77777777" w:rsidR="000C6830" w:rsidRPr="000C6830" w:rsidRDefault="000C6830" w:rsidP="000C6830">
      <w:pPr>
        <w:pStyle w:val="Bibliography"/>
        <w:rPr>
          <w:rFonts w:ascii="Calibri" w:hAnsi="Calibri" w:cs="Calibri"/>
        </w:rPr>
      </w:pPr>
      <w:r w:rsidRPr="000C6830">
        <w:rPr>
          <w:rFonts w:ascii="Calibri" w:hAnsi="Calibri" w:cs="Calibri"/>
        </w:rPr>
        <w:t xml:space="preserve">18. </w:t>
      </w:r>
      <w:r w:rsidRPr="000C6830">
        <w:rPr>
          <w:rFonts w:ascii="Calibri" w:hAnsi="Calibri" w:cs="Calibri"/>
        </w:rPr>
        <w:tab/>
        <w:t xml:space="preserve">Negro, R.W.D.; Turco, P.; Povero, M. Nebivolol: An Effective Option against Long-Lasting Dyspnoea Following COVID-19 Pneumonia - a Pivotal Double-Blind, Cross-over Controlled Study. </w:t>
      </w:r>
      <w:r w:rsidRPr="000C6830">
        <w:rPr>
          <w:rFonts w:ascii="Calibri" w:hAnsi="Calibri" w:cs="Calibri"/>
          <w:i/>
          <w:iCs/>
        </w:rPr>
        <w:t>Multidisciplinary Respiratory Medicine</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17</w:t>
      </w:r>
      <w:r w:rsidRPr="000C6830">
        <w:rPr>
          <w:rFonts w:ascii="Calibri" w:hAnsi="Calibri" w:cs="Calibri"/>
        </w:rPr>
        <w:t>, doi:10.4081/mrm.2022.886.</w:t>
      </w:r>
    </w:p>
    <w:p w14:paraId="73E28EC2" w14:textId="77777777" w:rsidR="000C6830" w:rsidRPr="000C6830" w:rsidRDefault="000C6830" w:rsidP="000C6830">
      <w:pPr>
        <w:pStyle w:val="Bibliography"/>
        <w:rPr>
          <w:rFonts w:ascii="Calibri" w:hAnsi="Calibri" w:cs="Calibri"/>
        </w:rPr>
      </w:pPr>
      <w:r w:rsidRPr="000C6830">
        <w:rPr>
          <w:rFonts w:ascii="Calibri" w:hAnsi="Calibri" w:cs="Calibri"/>
        </w:rPr>
        <w:t xml:space="preserve">19. </w:t>
      </w:r>
      <w:r w:rsidRPr="000C6830">
        <w:rPr>
          <w:rFonts w:ascii="Calibri" w:hAnsi="Calibri" w:cs="Calibri"/>
        </w:rPr>
        <w:tab/>
        <w:t xml:space="preserve">Cheema, H.A.; Sohail, A.; Fatima, A.; Shahid, A.; Shahzil, M.; Ur Rehman, M.E.; Awan, R.U.; Chinnam, S.; Nashwan, A.J. Quercetin for the Treatment of COVID-19 Patients: A Systematic Review and Meta-Analysis. </w:t>
      </w:r>
      <w:r w:rsidRPr="000C6830">
        <w:rPr>
          <w:rFonts w:ascii="Calibri" w:hAnsi="Calibri" w:cs="Calibri"/>
          <w:i/>
          <w:iCs/>
        </w:rPr>
        <w:t>Reviews in Medical Virology</w:t>
      </w:r>
      <w:r w:rsidRPr="000C6830">
        <w:rPr>
          <w:rFonts w:ascii="Calibri" w:hAnsi="Calibri" w:cs="Calibri"/>
        </w:rPr>
        <w:t xml:space="preserve"> </w:t>
      </w:r>
      <w:r w:rsidRPr="000C6830">
        <w:rPr>
          <w:rFonts w:ascii="Calibri" w:hAnsi="Calibri" w:cs="Calibri"/>
          <w:b/>
          <w:bCs/>
        </w:rPr>
        <w:t>2023</w:t>
      </w:r>
      <w:r w:rsidRPr="000C6830">
        <w:rPr>
          <w:rFonts w:ascii="Calibri" w:hAnsi="Calibri" w:cs="Calibri"/>
        </w:rPr>
        <w:t xml:space="preserve">, </w:t>
      </w:r>
      <w:r w:rsidRPr="000C6830">
        <w:rPr>
          <w:rFonts w:ascii="Calibri" w:hAnsi="Calibri" w:cs="Calibri"/>
          <w:i/>
          <w:iCs/>
        </w:rPr>
        <w:t>33</w:t>
      </w:r>
      <w:r w:rsidRPr="000C6830">
        <w:rPr>
          <w:rFonts w:ascii="Calibri" w:hAnsi="Calibri" w:cs="Calibri"/>
        </w:rPr>
        <w:t>, e2427, doi:10.1002/rmv.2427.</w:t>
      </w:r>
    </w:p>
    <w:p w14:paraId="558B981E" w14:textId="77777777" w:rsidR="000C6830" w:rsidRPr="000C6830" w:rsidRDefault="000C6830" w:rsidP="000C6830">
      <w:pPr>
        <w:pStyle w:val="Bibliography"/>
        <w:rPr>
          <w:rFonts w:ascii="Calibri" w:hAnsi="Calibri" w:cs="Calibri"/>
        </w:rPr>
      </w:pPr>
      <w:r w:rsidRPr="000C6830">
        <w:rPr>
          <w:rFonts w:ascii="Calibri" w:hAnsi="Calibri" w:cs="Calibri"/>
        </w:rPr>
        <w:t xml:space="preserve">20. </w:t>
      </w:r>
      <w:r w:rsidRPr="000C6830">
        <w:rPr>
          <w:rFonts w:ascii="Calibri" w:hAnsi="Calibri" w:cs="Calibri"/>
        </w:rPr>
        <w:tab/>
        <w:t xml:space="preserve">Gomaa, A.A.; Mohamed, H.S.; Abd-ellatief, R.B.; Gomaa, M.A.; Hammam, D.S. Advancing Combination Treatment with Glycyrrhizin and Boswellic Acids for Hospitalized Patients with Moderate COVID-19 Infection: A Randomized Clinical Trial. </w:t>
      </w:r>
      <w:r w:rsidRPr="000C6830">
        <w:rPr>
          <w:rFonts w:ascii="Calibri" w:hAnsi="Calibri" w:cs="Calibri"/>
          <w:i/>
          <w:iCs/>
        </w:rPr>
        <w:t>Inflammopharmacol</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30</w:t>
      </w:r>
      <w:r w:rsidRPr="000C6830">
        <w:rPr>
          <w:rFonts w:ascii="Calibri" w:hAnsi="Calibri" w:cs="Calibri"/>
        </w:rPr>
        <w:t>, 477–486, doi:10.1007/s10787-022-00939-7.</w:t>
      </w:r>
    </w:p>
    <w:p w14:paraId="6757A99D" w14:textId="77777777" w:rsidR="000C6830" w:rsidRPr="000C6830" w:rsidRDefault="000C6830" w:rsidP="000C6830">
      <w:pPr>
        <w:pStyle w:val="Bibliography"/>
        <w:rPr>
          <w:rFonts w:ascii="Calibri" w:hAnsi="Calibri" w:cs="Calibri"/>
        </w:rPr>
      </w:pPr>
      <w:r w:rsidRPr="000C6830">
        <w:rPr>
          <w:rFonts w:ascii="Calibri" w:hAnsi="Calibri" w:cs="Calibri"/>
        </w:rPr>
        <w:t xml:space="preserve">21. </w:t>
      </w:r>
      <w:r w:rsidRPr="000C6830">
        <w:rPr>
          <w:rFonts w:ascii="Calibri" w:hAnsi="Calibri" w:cs="Calibri"/>
        </w:rPr>
        <w:tab/>
        <w:t xml:space="preserve">Banerjee, S.; Baidya, S.K.; Adhikari, N.; Ghosh, B.; Jha, T. Glycyrrhizin as a Promising Kryptonite against SARS-CoV-2: Clinical, Experimental, and Theoretical Evidences. </w:t>
      </w:r>
      <w:r w:rsidRPr="000C6830">
        <w:rPr>
          <w:rFonts w:ascii="Calibri" w:hAnsi="Calibri" w:cs="Calibri"/>
          <w:i/>
          <w:iCs/>
        </w:rPr>
        <w:t>Journal of Molecular Structure</w:t>
      </w:r>
      <w:r w:rsidRPr="000C6830">
        <w:rPr>
          <w:rFonts w:ascii="Calibri" w:hAnsi="Calibri" w:cs="Calibri"/>
        </w:rPr>
        <w:t xml:space="preserve"> </w:t>
      </w:r>
      <w:r w:rsidRPr="000C6830">
        <w:rPr>
          <w:rFonts w:ascii="Calibri" w:hAnsi="Calibri" w:cs="Calibri"/>
          <w:b/>
          <w:bCs/>
        </w:rPr>
        <w:t>2023</w:t>
      </w:r>
      <w:r w:rsidRPr="000C6830">
        <w:rPr>
          <w:rFonts w:ascii="Calibri" w:hAnsi="Calibri" w:cs="Calibri"/>
        </w:rPr>
        <w:t xml:space="preserve">, </w:t>
      </w:r>
      <w:r w:rsidRPr="000C6830">
        <w:rPr>
          <w:rFonts w:ascii="Calibri" w:hAnsi="Calibri" w:cs="Calibri"/>
          <w:i/>
          <w:iCs/>
        </w:rPr>
        <w:t>1275</w:t>
      </w:r>
      <w:r w:rsidRPr="000C6830">
        <w:rPr>
          <w:rFonts w:ascii="Calibri" w:hAnsi="Calibri" w:cs="Calibri"/>
        </w:rPr>
        <w:t>, 134642, doi:10.1016/j.molstruc.2022.134642.</w:t>
      </w:r>
    </w:p>
    <w:p w14:paraId="2912C966" w14:textId="77777777" w:rsidR="000C6830" w:rsidRPr="000C6830" w:rsidRDefault="000C6830" w:rsidP="000C6830">
      <w:pPr>
        <w:pStyle w:val="Bibliography"/>
        <w:rPr>
          <w:rFonts w:ascii="Calibri" w:hAnsi="Calibri" w:cs="Calibri"/>
        </w:rPr>
      </w:pPr>
      <w:r w:rsidRPr="000C6830">
        <w:rPr>
          <w:rFonts w:ascii="Calibri" w:hAnsi="Calibri" w:cs="Calibri"/>
        </w:rPr>
        <w:t xml:space="preserve">22. </w:t>
      </w:r>
      <w:r w:rsidRPr="000C6830">
        <w:rPr>
          <w:rFonts w:ascii="Calibri" w:hAnsi="Calibri" w:cs="Calibri"/>
        </w:rPr>
        <w:tab/>
        <w:t>Gomaa, A.A.; Abdel-</w:t>
      </w:r>
      <w:proofErr w:type="spellStart"/>
      <w:r w:rsidRPr="000C6830">
        <w:rPr>
          <w:rFonts w:ascii="Calibri" w:hAnsi="Calibri" w:cs="Calibri"/>
        </w:rPr>
        <w:t>Wadood</w:t>
      </w:r>
      <w:proofErr w:type="spellEnd"/>
      <w:r w:rsidRPr="000C6830">
        <w:rPr>
          <w:rFonts w:ascii="Calibri" w:hAnsi="Calibri" w:cs="Calibri"/>
        </w:rPr>
        <w:t xml:space="preserve">, Y.A.; Gomaa, M.A. Glycyrrhizin and Boswellic Acids, the Golden Nutraceuticals: Multitargeting for Treatment of Mild–Moderate COVID-19 and Prevention of Post-COVID Cognitive Impairment. </w:t>
      </w:r>
      <w:r w:rsidRPr="000C6830">
        <w:rPr>
          <w:rFonts w:ascii="Calibri" w:hAnsi="Calibri" w:cs="Calibri"/>
          <w:i/>
          <w:iCs/>
        </w:rPr>
        <w:t>Inflammopharmacol</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30</w:t>
      </w:r>
      <w:r w:rsidRPr="000C6830">
        <w:rPr>
          <w:rFonts w:ascii="Calibri" w:hAnsi="Calibri" w:cs="Calibri"/>
        </w:rPr>
        <w:t>, 1977–1992, doi:10.1007/s10787-022-01062-3.</w:t>
      </w:r>
    </w:p>
    <w:p w14:paraId="50C50DF8" w14:textId="77777777" w:rsidR="000C6830" w:rsidRPr="000C6830" w:rsidRDefault="000C6830" w:rsidP="000C6830">
      <w:pPr>
        <w:pStyle w:val="Bibliography"/>
        <w:rPr>
          <w:rFonts w:ascii="Calibri" w:hAnsi="Calibri" w:cs="Calibri"/>
        </w:rPr>
      </w:pPr>
      <w:r w:rsidRPr="000C6830">
        <w:rPr>
          <w:rFonts w:ascii="Calibri" w:hAnsi="Calibri" w:cs="Calibri"/>
        </w:rPr>
        <w:t xml:space="preserve">23. </w:t>
      </w:r>
      <w:r w:rsidRPr="000C6830">
        <w:rPr>
          <w:rFonts w:ascii="Calibri" w:hAnsi="Calibri" w:cs="Calibri"/>
        </w:rPr>
        <w:tab/>
        <w:t xml:space="preserve">Semmarath, W.; Mapoung, S.; Umsumarng, S.; Arjsri, P.; Srisawad, K.; Thippraphan, P.; Yodkeeree, S.; Dejkriengkraikul, P. Cyanidin-3-O-Glucoside and Peonidin-3-O-Glucoside-Rich Fraction of Black Rice Germ and Bran Suppresses Inflammatory Responses from SARS-CoV-2 Spike Glycoprotein S1-Induction In Vitro in A549 Lung Cells and THP-1 Macrophages via Inhibition of the NLRP3 Inflammasome Pathway. </w:t>
      </w:r>
      <w:r w:rsidRPr="000C6830">
        <w:rPr>
          <w:rFonts w:ascii="Calibri" w:hAnsi="Calibri" w:cs="Calibri"/>
          <w:i/>
          <w:iCs/>
        </w:rPr>
        <w:t>Nutrients</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14</w:t>
      </w:r>
      <w:r w:rsidRPr="000C6830">
        <w:rPr>
          <w:rFonts w:ascii="Calibri" w:hAnsi="Calibri" w:cs="Calibri"/>
        </w:rPr>
        <w:t>, 2738, doi:10.3390/nu14132738.</w:t>
      </w:r>
    </w:p>
    <w:p w14:paraId="32B5BA9C" w14:textId="77777777" w:rsidR="000C6830" w:rsidRPr="000C6830" w:rsidRDefault="000C6830" w:rsidP="000C6830">
      <w:pPr>
        <w:pStyle w:val="Bibliography"/>
        <w:rPr>
          <w:rFonts w:ascii="Calibri" w:hAnsi="Calibri" w:cs="Calibri"/>
        </w:rPr>
      </w:pPr>
      <w:r w:rsidRPr="000C6830">
        <w:rPr>
          <w:rFonts w:ascii="Calibri" w:hAnsi="Calibri" w:cs="Calibri"/>
        </w:rPr>
        <w:lastRenderedPageBreak/>
        <w:t xml:space="preserve">24. </w:t>
      </w:r>
      <w:r w:rsidRPr="000C6830">
        <w:rPr>
          <w:rFonts w:ascii="Calibri" w:hAnsi="Calibri" w:cs="Calibri"/>
        </w:rPr>
        <w:tab/>
        <w:t xml:space="preserve">Jaimes-Gualdrón, T.; Flórez-Álvarez, L.; Zapata-Cardona, M.I.; Rojano, B.A.; Rugeles, M.T.; Zapata-Builes, W. Corozo (Bactris Guineensis) Fruit Extract Has Antiviral Activity in Vitro against SARS-CoV-2. </w:t>
      </w:r>
      <w:r w:rsidRPr="000C6830">
        <w:rPr>
          <w:rFonts w:ascii="Calibri" w:hAnsi="Calibri" w:cs="Calibri"/>
          <w:i/>
          <w:iCs/>
        </w:rPr>
        <w:t>Functional Foods in Health and Disease</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12</w:t>
      </w:r>
      <w:r w:rsidRPr="000C6830">
        <w:rPr>
          <w:rFonts w:ascii="Calibri" w:hAnsi="Calibri" w:cs="Calibri"/>
        </w:rPr>
        <w:t>, 534–546.</w:t>
      </w:r>
    </w:p>
    <w:p w14:paraId="00C4D282" w14:textId="77777777" w:rsidR="000C6830" w:rsidRPr="000C6830" w:rsidRDefault="000C6830" w:rsidP="000C6830">
      <w:pPr>
        <w:pStyle w:val="Bibliography"/>
        <w:rPr>
          <w:rFonts w:ascii="Calibri" w:hAnsi="Calibri" w:cs="Calibri"/>
        </w:rPr>
      </w:pPr>
      <w:r w:rsidRPr="000C6830">
        <w:rPr>
          <w:rFonts w:ascii="Calibri" w:hAnsi="Calibri" w:cs="Calibri"/>
        </w:rPr>
        <w:t xml:space="preserve">25. </w:t>
      </w:r>
      <w:r w:rsidRPr="000C6830">
        <w:rPr>
          <w:rFonts w:ascii="Calibri" w:hAnsi="Calibri" w:cs="Calibri"/>
        </w:rPr>
        <w:tab/>
        <w:t xml:space="preserve">Dabholkar, N.; Gorantla, S.; Dubey, S.K.; Alexander, A.; Taliyan, R.; Singhvi, G. Repurposing Methylene Blue in the Management of COVID-19: Mechanistic Aspects and Clinical Investigations. </w:t>
      </w:r>
      <w:r w:rsidRPr="000C6830">
        <w:rPr>
          <w:rFonts w:ascii="Calibri" w:hAnsi="Calibri" w:cs="Calibri"/>
          <w:i/>
          <w:iCs/>
        </w:rPr>
        <w:t>Biomedicine &amp; Pharmacotherapy</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142</w:t>
      </w:r>
      <w:r w:rsidRPr="000C6830">
        <w:rPr>
          <w:rFonts w:ascii="Calibri" w:hAnsi="Calibri" w:cs="Calibri"/>
        </w:rPr>
        <w:t>, 112023, doi:10.1016/j.biopha.2021.112023.</w:t>
      </w:r>
    </w:p>
    <w:p w14:paraId="19CC84EB" w14:textId="77777777" w:rsidR="000C6830" w:rsidRPr="000C6830" w:rsidRDefault="000C6830" w:rsidP="000C6830">
      <w:pPr>
        <w:pStyle w:val="Bibliography"/>
        <w:rPr>
          <w:rFonts w:ascii="Calibri" w:hAnsi="Calibri" w:cs="Calibri"/>
        </w:rPr>
      </w:pPr>
      <w:r w:rsidRPr="000C6830">
        <w:rPr>
          <w:rFonts w:ascii="Calibri" w:hAnsi="Calibri" w:cs="Calibri"/>
        </w:rPr>
        <w:t xml:space="preserve">26. </w:t>
      </w:r>
      <w:r w:rsidRPr="000C6830">
        <w:rPr>
          <w:rFonts w:ascii="Calibri" w:hAnsi="Calibri" w:cs="Calibri"/>
        </w:rPr>
        <w:tab/>
        <w:t xml:space="preserve">Hamidi-Alamdari, D.; Hafizi-Lotfabadi, S.; Bagheri-Moghaddam, A.; Safari, H.; Mozdourian, M.; Javidarabshahi, Z.; Peivandi-Yazdi, A.; Ali-Zeraati, A.; Sedaghat, A.; Poursadegh, F.; et al. Methylene Blue for Treatment of Hospitalized COVID-19 Patients: A Randomized, Controlled, Open-Label Clinical Trial, Phase 2. </w:t>
      </w:r>
      <w:r w:rsidRPr="000C6830">
        <w:rPr>
          <w:rFonts w:ascii="Calibri" w:hAnsi="Calibri" w:cs="Calibri"/>
          <w:i/>
          <w:iCs/>
        </w:rPr>
        <w:t>Revista de investigación clínica</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73</w:t>
      </w:r>
      <w:r w:rsidRPr="000C6830">
        <w:rPr>
          <w:rFonts w:ascii="Calibri" w:hAnsi="Calibri" w:cs="Calibri"/>
        </w:rPr>
        <w:t>, 190–198, doi:10.24875/ric.21000028.</w:t>
      </w:r>
    </w:p>
    <w:p w14:paraId="5F6CD052" w14:textId="77777777" w:rsidR="009207CC" w:rsidRDefault="000C6830" w:rsidP="000C6830">
      <w:pPr>
        <w:pStyle w:val="Bibliography"/>
        <w:rPr>
          <w:rFonts w:ascii="Calibri" w:hAnsi="Calibri" w:cs="Calibri"/>
        </w:rPr>
      </w:pPr>
      <w:r w:rsidRPr="000C6830">
        <w:rPr>
          <w:rFonts w:ascii="Calibri" w:hAnsi="Calibri" w:cs="Calibri"/>
        </w:rPr>
        <w:t xml:space="preserve">27. </w:t>
      </w:r>
      <w:r w:rsidRPr="000C6830">
        <w:rPr>
          <w:rFonts w:ascii="Calibri" w:hAnsi="Calibri" w:cs="Calibri"/>
        </w:rPr>
        <w:tab/>
        <w:t xml:space="preserve">Patidar, V.; Sharma, A.; Bhoraskar, S.; Tripathi, A.P.; Dhaneriya, S. The Role of Nebulized Methylene Blue [NMB] </w:t>
      </w:r>
    </w:p>
    <w:p w14:paraId="5613EDFC" w14:textId="55920F96" w:rsidR="000C6830" w:rsidRPr="000C6830" w:rsidRDefault="000C6830" w:rsidP="000C6830">
      <w:pPr>
        <w:pStyle w:val="Bibliography"/>
        <w:rPr>
          <w:rFonts w:ascii="Calibri" w:hAnsi="Calibri" w:cs="Calibri"/>
        </w:rPr>
      </w:pPr>
      <w:r w:rsidRPr="000C6830">
        <w:rPr>
          <w:rFonts w:ascii="Calibri" w:hAnsi="Calibri" w:cs="Calibri"/>
        </w:rPr>
        <w:t xml:space="preserve">in The Management of COVID-19 Cases: An Observational Study. </w:t>
      </w:r>
      <w:r w:rsidRPr="000C6830">
        <w:rPr>
          <w:rFonts w:ascii="Calibri" w:hAnsi="Calibri" w:cs="Calibri"/>
          <w:i/>
          <w:iCs/>
        </w:rPr>
        <w:t>International Journal of Medical Arts</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4</w:t>
      </w:r>
      <w:r w:rsidRPr="000C6830">
        <w:rPr>
          <w:rFonts w:ascii="Calibri" w:hAnsi="Calibri" w:cs="Calibri"/>
        </w:rPr>
        <w:t>, 2129–2132, doi:10.21608/ijma.2022.112347.1416.</w:t>
      </w:r>
    </w:p>
    <w:p w14:paraId="559DADE1" w14:textId="77777777" w:rsidR="000C6830" w:rsidRPr="000C6830" w:rsidRDefault="000C6830" w:rsidP="000C6830">
      <w:pPr>
        <w:pStyle w:val="Bibliography"/>
        <w:rPr>
          <w:rFonts w:ascii="Calibri" w:hAnsi="Calibri" w:cs="Calibri"/>
        </w:rPr>
      </w:pPr>
      <w:r w:rsidRPr="000C6830">
        <w:rPr>
          <w:rFonts w:ascii="Calibri" w:hAnsi="Calibri" w:cs="Calibri"/>
        </w:rPr>
        <w:t xml:space="preserve">28. </w:t>
      </w:r>
      <w:r w:rsidRPr="000C6830">
        <w:rPr>
          <w:rFonts w:ascii="Calibri" w:hAnsi="Calibri" w:cs="Calibri"/>
        </w:rPr>
        <w:tab/>
        <w:t xml:space="preserve">Alamdari, D.H.; Moghaddam, A.B.; Amini, S.; Keramati, M.R.; Zarmehri, A.M.; Alamdari, A.H.; Damsaz, M.; Banpour, H.; Yarahmadi, A.; Koliakos, G. Application of Methylene Blue -Vitamin C –N-Acetyl Cysteine for Treatment of Critically Ill COVID-19 Patients, Report of a Phase-I Clinical Trial. </w:t>
      </w:r>
      <w:r w:rsidRPr="000C6830">
        <w:rPr>
          <w:rFonts w:ascii="Calibri" w:hAnsi="Calibri" w:cs="Calibri"/>
          <w:i/>
          <w:iCs/>
        </w:rPr>
        <w:t>European Journal of Pharmacology</w:t>
      </w:r>
      <w:r w:rsidRPr="000C6830">
        <w:rPr>
          <w:rFonts w:ascii="Calibri" w:hAnsi="Calibri" w:cs="Calibri"/>
        </w:rPr>
        <w:t xml:space="preserve"> </w:t>
      </w:r>
      <w:r w:rsidRPr="000C6830">
        <w:rPr>
          <w:rFonts w:ascii="Calibri" w:hAnsi="Calibri" w:cs="Calibri"/>
          <w:b/>
          <w:bCs/>
        </w:rPr>
        <w:t>2020</w:t>
      </w:r>
      <w:r w:rsidRPr="000C6830">
        <w:rPr>
          <w:rFonts w:ascii="Calibri" w:hAnsi="Calibri" w:cs="Calibri"/>
        </w:rPr>
        <w:t xml:space="preserve">, </w:t>
      </w:r>
      <w:r w:rsidRPr="000C6830">
        <w:rPr>
          <w:rFonts w:ascii="Calibri" w:hAnsi="Calibri" w:cs="Calibri"/>
          <w:i/>
          <w:iCs/>
        </w:rPr>
        <w:t>885</w:t>
      </w:r>
      <w:r w:rsidRPr="000C6830">
        <w:rPr>
          <w:rFonts w:ascii="Calibri" w:hAnsi="Calibri" w:cs="Calibri"/>
        </w:rPr>
        <w:t>, 173494, doi:10.1016/j.ejphar.2020.173494.</w:t>
      </w:r>
    </w:p>
    <w:p w14:paraId="1D248448" w14:textId="77777777" w:rsidR="000C6830" w:rsidRPr="000C6830" w:rsidRDefault="000C6830" w:rsidP="000C6830">
      <w:pPr>
        <w:pStyle w:val="Bibliography"/>
        <w:rPr>
          <w:rFonts w:ascii="Calibri" w:hAnsi="Calibri" w:cs="Calibri"/>
        </w:rPr>
      </w:pPr>
      <w:r w:rsidRPr="000C6830">
        <w:rPr>
          <w:rFonts w:ascii="Calibri" w:hAnsi="Calibri" w:cs="Calibri"/>
        </w:rPr>
        <w:t xml:space="preserve">29. </w:t>
      </w:r>
      <w:r w:rsidRPr="000C6830">
        <w:rPr>
          <w:rFonts w:ascii="Calibri" w:hAnsi="Calibri" w:cs="Calibri"/>
        </w:rPr>
        <w:tab/>
        <w:t xml:space="preserve">Mahale, N.; Godavarthy, P.; Marreddy, S.; Gokhale, S.D.; Funde, P.; Rajhans, P.A.; Akole, P.V.; Pawar, B.; Bhurke, B.; Dalvi, P.; et al. Intravenous Methylene Blue as a Rescue Therapy in the Management of Refractory Hypoxia in COVID-19 ARDS Patients: A Case Series. </w:t>
      </w:r>
      <w:r w:rsidRPr="000C6830">
        <w:rPr>
          <w:rFonts w:ascii="Calibri" w:hAnsi="Calibri" w:cs="Calibri"/>
          <w:i/>
          <w:iCs/>
        </w:rPr>
        <w:t>Indian J Crit Care Med</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25</w:t>
      </w:r>
      <w:r w:rsidRPr="000C6830">
        <w:rPr>
          <w:rFonts w:ascii="Calibri" w:hAnsi="Calibri" w:cs="Calibri"/>
        </w:rPr>
        <w:t>, 934–938, doi:10.5005/jp-journals-10071-23905.</w:t>
      </w:r>
    </w:p>
    <w:p w14:paraId="1CF37515" w14:textId="77777777" w:rsidR="000C6830" w:rsidRPr="000C6830" w:rsidRDefault="000C6830" w:rsidP="000C6830">
      <w:pPr>
        <w:pStyle w:val="Bibliography"/>
        <w:rPr>
          <w:rFonts w:ascii="Calibri" w:hAnsi="Calibri" w:cs="Calibri"/>
        </w:rPr>
      </w:pPr>
      <w:r w:rsidRPr="000C6830">
        <w:rPr>
          <w:rFonts w:ascii="Calibri" w:hAnsi="Calibri" w:cs="Calibri"/>
        </w:rPr>
        <w:t xml:space="preserve">30. </w:t>
      </w:r>
      <w:r w:rsidRPr="000C6830">
        <w:rPr>
          <w:rFonts w:ascii="Calibri" w:hAnsi="Calibri" w:cs="Calibri"/>
        </w:rPr>
        <w:tab/>
        <w:t xml:space="preserve">Yella, S.H.T.; Yella, S.S.T.; Sasanka, K.S.B.S.K.; Thangaraju, P. Does Methylene Blue Satisfy an Option in COVID-19 ARDS. </w:t>
      </w:r>
      <w:r w:rsidRPr="000C6830">
        <w:rPr>
          <w:rFonts w:ascii="Calibri" w:hAnsi="Calibri" w:cs="Calibri"/>
          <w:i/>
          <w:iCs/>
        </w:rPr>
        <w:t>Infectious Disorders - Drug TargetsDisorders)</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22</w:t>
      </w:r>
      <w:r w:rsidRPr="000C6830">
        <w:rPr>
          <w:rFonts w:ascii="Calibri" w:hAnsi="Calibri" w:cs="Calibri"/>
        </w:rPr>
        <w:t>, 62–65, doi:10.2174/1871526522666220317155947.</w:t>
      </w:r>
    </w:p>
    <w:p w14:paraId="42DF5F93" w14:textId="77777777" w:rsidR="000C6830" w:rsidRPr="000C6830" w:rsidRDefault="000C6830" w:rsidP="000C6830">
      <w:pPr>
        <w:pStyle w:val="Bibliography"/>
        <w:rPr>
          <w:rFonts w:ascii="Calibri" w:hAnsi="Calibri" w:cs="Calibri"/>
        </w:rPr>
      </w:pPr>
      <w:r w:rsidRPr="000C6830">
        <w:rPr>
          <w:rFonts w:ascii="Calibri" w:hAnsi="Calibri" w:cs="Calibri"/>
        </w:rPr>
        <w:t xml:space="preserve">31. </w:t>
      </w:r>
      <w:r w:rsidRPr="000C6830">
        <w:rPr>
          <w:rFonts w:ascii="Calibri" w:hAnsi="Calibri" w:cs="Calibri"/>
        </w:rPr>
        <w:tab/>
        <w:t xml:space="preserve">Henry, M.; Summa, M.; Patrick, L.; Schwartz, L. A Cohort of Cancer Patients with No Reported Cases of SARS-CoV-2 Infection: The Possible Preventive Role of Methylene Blue. </w:t>
      </w:r>
      <w:r w:rsidRPr="000C6830">
        <w:rPr>
          <w:rFonts w:ascii="Calibri" w:hAnsi="Calibri" w:cs="Calibri"/>
          <w:i/>
          <w:iCs/>
        </w:rPr>
        <w:t>Substantia</w:t>
      </w:r>
      <w:r w:rsidRPr="000C6830">
        <w:rPr>
          <w:rFonts w:ascii="Calibri" w:hAnsi="Calibri" w:cs="Calibri"/>
        </w:rPr>
        <w:t xml:space="preserve"> </w:t>
      </w:r>
      <w:r w:rsidRPr="000C6830">
        <w:rPr>
          <w:rFonts w:ascii="Calibri" w:hAnsi="Calibri" w:cs="Calibri"/>
          <w:b/>
          <w:bCs/>
        </w:rPr>
        <w:t>2020</w:t>
      </w:r>
      <w:r w:rsidRPr="000C6830">
        <w:rPr>
          <w:rFonts w:ascii="Calibri" w:hAnsi="Calibri" w:cs="Calibri"/>
        </w:rPr>
        <w:t>, 888–888, doi:10.13128/Substantia-888.</w:t>
      </w:r>
    </w:p>
    <w:p w14:paraId="0E62660B" w14:textId="77777777" w:rsidR="000C6830" w:rsidRPr="000C6830" w:rsidRDefault="000C6830" w:rsidP="000C6830">
      <w:pPr>
        <w:pStyle w:val="Bibliography"/>
        <w:rPr>
          <w:rFonts w:ascii="Calibri" w:hAnsi="Calibri" w:cs="Calibri"/>
        </w:rPr>
      </w:pPr>
      <w:r w:rsidRPr="000C6830">
        <w:rPr>
          <w:rFonts w:ascii="Calibri" w:hAnsi="Calibri" w:cs="Calibri"/>
        </w:rPr>
        <w:t xml:space="preserve">32. </w:t>
      </w:r>
      <w:r w:rsidRPr="000C6830">
        <w:rPr>
          <w:rFonts w:ascii="Calibri" w:hAnsi="Calibri" w:cs="Calibri"/>
        </w:rPr>
        <w:tab/>
        <w:t xml:space="preserve">Rawat, D.; Roy, A.; Maitra, S.; Gulati, A.; Khanna, P.; Baidya, D.K. Vitamin C and COVID-19 Treatment: A Systematic Review and Meta-Analysis of Randomized Controlled Trials. </w:t>
      </w:r>
      <w:r w:rsidRPr="000C6830">
        <w:rPr>
          <w:rFonts w:ascii="Calibri" w:hAnsi="Calibri" w:cs="Calibri"/>
          <w:i/>
          <w:iCs/>
        </w:rPr>
        <w:t>Diabetes &amp; Metabolic Syndrome: Clinical Research &amp; Reviews</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15</w:t>
      </w:r>
      <w:r w:rsidRPr="000C6830">
        <w:rPr>
          <w:rFonts w:ascii="Calibri" w:hAnsi="Calibri" w:cs="Calibri"/>
        </w:rPr>
        <w:t>, 102324, doi:10.1016/j.dsx.2021.102324.</w:t>
      </w:r>
    </w:p>
    <w:p w14:paraId="6FF16D17" w14:textId="77777777" w:rsidR="000C6830" w:rsidRPr="000C6830" w:rsidRDefault="000C6830" w:rsidP="000C6830">
      <w:pPr>
        <w:pStyle w:val="Bibliography"/>
        <w:rPr>
          <w:rFonts w:ascii="Calibri" w:hAnsi="Calibri" w:cs="Calibri"/>
        </w:rPr>
      </w:pPr>
      <w:r w:rsidRPr="000C6830">
        <w:rPr>
          <w:rFonts w:ascii="Calibri" w:hAnsi="Calibri" w:cs="Calibri"/>
        </w:rPr>
        <w:t xml:space="preserve">33. </w:t>
      </w:r>
      <w:r w:rsidRPr="000C6830">
        <w:rPr>
          <w:rFonts w:ascii="Calibri" w:hAnsi="Calibri" w:cs="Calibri"/>
        </w:rPr>
        <w:tab/>
        <w:t xml:space="preserve">Hemilä, H.; de Man, A.M.E. Vitamin C and COVID-19. </w:t>
      </w:r>
      <w:r w:rsidRPr="000C6830">
        <w:rPr>
          <w:rFonts w:ascii="Calibri" w:hAnsi="Calibri" w:cs="Calibri"/>
          <w:i/>
          <w:iCs/>
        </w:rPr>
        <w:t>Frontiers in Medicine</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7</w:t>
      </w:r>
      <w:r w:rsidRPr="000C6830">
        <w:rPr>
          <w:rFonts w:ascii="Calibri" w:hAnsi="Calibri" w:cs="Calibri"/>
        </w:rPr>
        <w:t>.</w:t>
      </w:r>
    </w:p>
    <w:p w14:paraId="1BF2F4EF" w14:textId="77777777" w:rsidR="000C6830" w:rsidRPr="000C6830" w:rsidRDefault="000C6830" w:rsidP="000C6830">
      <w:pPr>
        <w:pStyle w:val="Bibliography"/>
        <w:rPr>
          <w:rFonts w:ascii="Calibri" w:hAnsi="Calibri" w:cs="Calibri"/>
        </w:rPr>
      </w:pPr>
      <w:r w:rsidRPr="000C6830">
        <w:rPr>
          <w:rFonts w:ascii="Calibri" w:hAnsi="Calibri" w:cs="Calibri"/>
        </w:rPr>
        <w:t xml:space="preserve">34. </w:t>
      </w:r>
      <w:r w:rsidRPr="000C6830">
        <w:rPr>
          <w:rFonts w:ascii="Calibri" w:hAnsi="Calibri" w:cs="Calibri"/>
        </w:rPr>
        <w:tab/>
        <w:t xml:space="preserve">Assimakopoulos, S.F.; Aretha, D.; Komninos, D.; Dimitropoulou, D.; Lagadinou, M.; Leonidou, L.; Oikonomou, I.; Mouzaki, A.; Marangos, M. N-Acetyl-Cysteine Reduces the Risk for Mechanical Ventilation and Mortality in Patients with COVID-19 Pneumonia: A Two-Center Retrospective Cohort Study. </w:t>
      </w:r>
      <w:r w:rsidRPr="000C6830">
        <w:rPr>
          <w:rFonts w:ascii="Calibri" w:hAnsi="Calibri" w:cs="Calibri"/>
          <w:i/>
          <w:iCs/>
        </w:rPr>
        <w:t>Infectious Diseases</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53</w:t>
      </w:r>
      <w:r w:rsidRPr="000C6830">
        <w:rPr>
          <w:rFonts w:ascii="Calibri" w:hAnsi="Calibri" w:cs="Calibri"/>
        </w:rPr>
        <w:t>, 847–854, doi:10.1080/23744235.2021.1945675.</w:t>
      </w:r>
    </w:p>
    <w:p w14:paraId="52AB25C0" w14:textId="77777777" w:rsidR="000C6830" w:rsidRPr="000C6830" w:rsidRDefault="000C6830" w:rsidP="000C6830">
      <w:pPr>
        <w:pStyle w:val="Bibliography"/>
        <w:rPr>
          <w:rFonts w:ascii="Calibri" w:hAnsi="Calibri" w:cs="Calibri"/>
        </w:rPr>
      </w:pPr>
      <w:r w:rsidRPr="000C6830">
        <w:rPr>
          <w:rFonts w:ascii="Calibri" w:hAnsi="Calibri" w:cs="Calibri"/>
        </w:rPr>
        <w:t xml:space="preserve">35. </w:t>
      </w:r>
      <w:r w:rsidRPr="000C6830">
        <w:rPr>
          <w:rFonts w:ascii="Calibri" w:hAnsi="Calibri" w:cs="Calibri"/>
        </w:rPr>
        <w:tab/>
        <w:t xml:space="preserve">Paraskevas, T.; Kantanis, A.; Karalis, I.; Michailides, C.; Karamouzos, V.; Koniari, I.; Pierrakos, C.; Velissaris, D. N-Acetylcysteine Efficacy in Patients Hospitalized with COVID-19 Pneumonia: A Systematic Review and Meta-Analysis. </w:t>
      </w:r>
      <w:r w:rsidRPr="000C6830">
        <w:rPr>
          <w:rFonts w:ascii="Calibri" w:hAnsi="Calibri" w:cs="Calibri"/>
          <w:i/>
          <w:iCs/>
        </w:rPr>
        <w:t>Romanian Journal of Internal Medicine</w:t>
      </w:r>
      <w:r w:rsidRPr="000C6830">
        <w:rPr>
          <w:rFonts w:ascii="Calibri" w:hAnsi="Calibri" w:cs="Calibri"/>
        </w:rPr>
        <w:t xml:space="preserve"> </w:t>
      </w:r>
      <w:r w:rsidRPr="000C6830">
        <w:rPr>
          <w:rFonts w:ascii="Calibri" w:hAnsi="Calibri" w:cs="Calibri"/>
          <w:b/>
          <w:bCs/>
        </w:rPr>
        <w:t>2023</w:t>
      </w:r>
      <w:r w:rsidRPr="000C6830">
        <w:rPr>
          <w:rFonts w:ascii="Calibri" w:hAnsi="Calibri" w:cs="Calibri"/>
        </w:rPr>
        <w:t xml:space="preserve">, </w:t>
      </w:r>
      <w:r w:rsidRPr="000C6830">
        <w:rPr>
          <w:rFonts w:ascii="Calibri" w:hAnsi="Calibri" w:cs="Calibri"/>
          <w:i/>
          <w:iCs/>
        </w:rPr>
        <w:t>61</w:t>
      </w:r>
      <w:r w:rsidRPr="000C6830">
        <w:rPr>
          <w:rFonts w:ascii="Calibri" w:hAnsi="Calibri" w:cs="Calibri"/>
        </w:rPr>
        <w:t>, 41–52, doi:10.2478/rjim-2023-0001.</w:t>
      </w:r>
    </w:p>
    <w:p w14:paraId="0AD4280C" w14:textId="77777777" w:rsidR="000C6830" w:rsidRPr="000C6830" w:rsidRDefault="000C6830" w:rsidP="000C6830">
      <w:pPr>
        <w:pStyle w:val="Bibliography"/>
        <w:rPr>
          <w:rFonts w:ascii="Calibri" w:hAnsi="Calibri" w:cs="Calibri"/>
        </w:rPr>
      </w:pPr>
      <w:r w:rsidRPr="000C6830">
        <w:rPr>
          <w:rFonts w:ascii="Calibri" w:hAnsi="Calibri" w:cs="Calibri"/>
        </w:rPr>
        <w:t xml:space="preserve">36. </w:t>
      </w:r>
      <w:r w:rsidRPr="000C6830">
        <w:rPr>
          <w:rFonts w:ascii="Calibri" w:hAnsi="Calibri" w:cs="Calibri"/>
        </w:rPr>
        <w:tab/>
        <w:t xml:space="preserve">La Carrubba, A.; Veronese, N.; Di Bella, G.; Cusumano, C.; Di Prazza, A.; Ciriminna, S.; Ganci, A.; Naro, L.; Dominguez, L.J.; Barbagallo, M.; et al. Prognostic Value of Magnesium in COVID-19: Findings from the COMEPA Study. </w:t>
      </w:r>
      <w:r w:rsidRPr="000C6830">
        <w:rPr>
          <w:rFonts w:ascii="Calibri" w:hAnsi="Calibri" w:cs="Calibri"/>
          <w:i/>
          <w:iCs/>
        </w:rPr>
        <w:t>Nutrients</w:t>
      </w:r>
      <w:r w:rsidRPr="000C6830">
        <w:rPr>
          <w:rFonts w:ascii="Calibri" w:hAnsi="Calibri" w:cs="Calibri"/>
        </w:rPr>
        <w:t xml:space="preserve"> </w:t>
      </w:r>
      <w:r w:rsidRPr="000C6830">
        <w:rPr>
          <w:rFonts w:ascii="Calibri" w:hAnsi="Calibri" w:cs="Calibri"/>
          <w:b/>
          <w:bCs/>
        </w:rPr>
        <w:t>2023</w:t>
      </w:r>
      <w:r w:rsidRPr="000C6830">
        <w:rPr>
          <w:rFonts w:ascii="Calibri" w:hAnsi="Calibri" w:cs="Calibri"/>
        </w:rPr>
        <w:t xml:space="preserve">, </w:t>
      </w:r>
      <w:r w:rsidRPr="000C6830">
        <w:rPr>
          <w:rFonts w:ascii="Calibri" w:hAnsi="Calibri" w:cs="Calibri"/>
          <w:i/>
          <w:iCs/>
        </w:rPr>
        <w:t>15</w:t>
      </w:r>
      <w:r w:rsidRPr="000C6830">
        <w:rPr>
          <w:rFonts w:ascii="Calibri" w:hAnsi="Calibri" w:cs="Calibri"/>
        </w:rPr>
        <w:t>, 830, doi:10.3390/nu15040830.</w:t>
      </w:r>
    </w:p>
    <w:p w14:paraId="0810FA0D" w14:textId="77777777" w:rsidR="000C6830" w:rsidRPr="000C6830" w:rsidRDefault="000C6830" w:rsidP="000C6830">
      <w:pPr>
        <w:pStyle w:val="Bibliography"/>
        <w:rPr>
          <w:rFonts w:ascii="Calibri" w:hAnsi="Calibri" w:cs="Calibri"/>
        </w:rPr>
      </w:pPr>
      <w:r w:rsidRPr="000C6830">
        <w:rPr>
          <w:rFonts w:ascii="Calibri" w:hAnsi="Calibri" w:cs="Calibri"/>
        </w:rPr>
        <w:t xml:space="preserve">37. </w:t>
      </w:r>
      <w:r w:rsidRPr="000C6830">
        <w:rPr>
          <w:rFonts w:ascii="Calibri" w:hAnsi="Calibri" w:cs="Calibri"/>
        </w:rPr>
        <w:tab/>
        <w:t xml:space="preserve">Segev, A.; Sagir, A.; Matetzky, S.; Segev, A.; Atar, S.; Shechter, M. Admission Serum Magnesium Levels Is Associated with Short and Long-Term Clinical Outcomes in COVID-19 Patients. </w:t>
      </w:r>
      <w:r w:rsidRPr="000C6830">
        <w:rPr>
          <w:rFonts w:ascii="Calibri" w:hAnsi="Calibri" w:cs="Calibri"/>
          <w:i/>
          <w:iCs/>
        </w:rPr>
        <w:t>Nutrients</w:t>
      </w:r>
      <w:r w:rsidRPr="000C6830">
        <w:rPr>
          <w:rFonts w:ascii="Calibri" w:hAnsi="Calibri" w:cs="Calibri"/>
        </w:rPr>
        <w:t xml:space="preserve"> </w:t>
      </w:r>
      <w:r w:rsidRPr="000C6830">
        <w:rPr>
          <w:rFonts w:ascii="Calibri" w:hAnsi="Calibri" w:cs="Calibri"/>
          <w:b/>
          <w:bCs/>
        </w:rPr>
        <w:t>2023</w:t>
      </w:r>
      <w:r w:rsidRPr="000C6830">
        <w:rPr>
          <w:rFonts w:ascii="Calibri" w:hAnsi="Calibri" w:cs="Calibri"/>
        </w:rPr>
        <w:t xml:space="preserve">, </w:t>
      </w:r>
      <w:r w:rsidRPr="000C6830">
        <w:rPr>
          <w:rFonts w:ascii="Calibri" w:hAnsi="Calibri" w:cs="Calibri"/>
          <w:i/>
          <w:iCs/>
        </w:rPr>
        <w:t>15</w:t>
      </w:r>
      <w:r w:rsidRPr="000C6830">
        <w:rPr>
          <w:rFonts w:ascii="Calibri" w:hAnsi="Calibri" w:cs="Calibri"/>
        </w:rPr>
        <w:t>, 2016, doi:10.3390/nu15092016.</w:t>
      </w:r>
    </w:p>
    <w:p w14:paraId="0E558637" w14:textId="77777777" w:rsidR="000C6830" w:rsidRPr="000C6830" w:rsidRDefault="000C6830" w:rsidP="000C6830">
      <w:pPr>
        <w:pStyle w:val="Bibliography"/>
        <w:rPr>
          <w:rFonts w:ascii="Calibri" w:hAnsi="Calibri" w:cs="Calibri"/>
        </w:rPr>
      </w:pPr>
      <w:r w:rsidRPr="000C6830">
        <w:rPr>
          <w:rFonts w:ascii="Calibri" w:hAnsi="Calibri" w:cs="Calibri"/>
        </w:rPr>
        <w:t xml:space="preserve">38. </w:t>
      </w:r>
      <w:r w:rsidRPr="000C6830">
        <w:rPr>
          <w:rFonts w:ascii="Calibri" w:hAnsi="Calibri" w:cs="Calibri"/>
        </w:rPr>
        <w:tab/>
        <w:t xml:space="preserve">Pulido Perez, P.; Póndigo de los Angeles, J.A.; Perez Peralta, A.; Ramirez Mojica, E.; Torres Rasgado, E.; Hernandez-Hernandez, M.E.; Romero, J.R. Reduction in Serum Magnesium Levels and Renal Function Are Associated with Increased Mortality in Obese COVID-19 Patients. </w:t>
      </w:r>
      <w:r w:rsidRPr="000C6830">
        <w:rPr>
          <w:rFonts w:ascii="Calibri" w:hAnsi="Calibri" w:cs="Calibri"/>
          <w:i/>
          <w:iCs/>
        </w:rPr>
        <w:t>Nutrients</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14</w:t>
      </w:r>
      <w:r w:rsidRPr="000C6830">
        <w:rPr>
          <w:rFonts w:ascii="Calibri" w:hAnsi="Calibri" w:cs="Calibri"/>
        </w:rPr>
        <w:t>, 4054, doi:10.3390/nu14194054.</w:t>
      </w:r>
    </w:p>
    <w:p w14:paraId="020A9605" w14:textId="77777777" w:rsidR="000C6830" w:rsidRPr="000C6830" w:rsidRDefault="000C6830" w:rsidP="000C6830">
      <w:pPr>
        <w:pStyle w:val="Bibliography"/>
        <w:rPr>
          <w:rFonts w:ascii="Calibri" w:hAnsi="Calibri" w:cs="Calibri"/>
        </w:rPr>
      </w:pPr>
      <w:r w:rsidRPr="000C6830">
        <w:rPr>
          <w:rFonts w:ascii="Calibri" w:hAnsi="Calibri" w:cs="Calibri"/>
        </w:rPr>
        <w:t xml:space="preserve">39. </w:t>
      </w:r>
      <w:r w:rsidRPr="000C6830">
        <w:rPr>
          <w:rFonts w:ascii="Calibri" w:hAnsi="Calibri" w:cs="Calibri"/>
        </w:rPr>
        <w:tab/>
        <w:t xml:space="preserve">Díez, J.J.; Iglesias, P.; García, A.; Martín-Casasempere, I.; Bernabéu-Andréu, F.A. Serum Calcium, Magnesium, and Phosphorus Levels in Patients with COVID-19: Relationships with Poor Outcome and Mortality. </w:t>
      </w:r>
      <w:r w:rsidRPr="000C6830">
        <w:rPr>
          <w:rFonts w:ascii="Calibri" w:hAnsi="Calibri" w:cs="Calibri"/>
          <w:i/>
          <w:iCs/>
        </w:rPr>
        <w:t>Horm Metab Res</w:t>
      </w:r>
      <w:r w:rsidRPr="000C6830">
        <w:rPr>
          <w:rFonts w:ascii="Calibri" w:hAnsi="Calibri" w:cs="Calibri"/>
        </w:rPr>
        <w:t xml:space="preserve"> </w:t>
      </w:r>
      <w:r w:rsidRPr="000C6830">
        <w:rPr>
          <w:rFonts w:ascii="Calibri" w:hAnsi="Calibri" w:cs="Calibri"/>
          <w:b/>
          <w:bCs/>
        </w:rPr>
        <w:t>2023</w:t>
      </w:r>
      <w:r w:rsidRPr="000C6830">
        <w:rPr>
          <w:rFonts w:ascii="Calibri" w:hAnsi="Calibri" w:cs="Calibri"/>
        </w:rPr>
        <w:t xml:space="preserve">, </w:t>
      </w:r>
      <w:r w:rsidRPr="000C6830">
        <w:rPr>
          <w:rFonts w:ascii="Calibri" w:hAnsi="Calibri" w:cs="Calibri"/>
          <w:i/>
          <w:iCs/>
        </w:rPr>
        <w:t>55</w:t>
      </w:r>
      <w:r w:rsidRPr="000C6830">
        <w:rPr>
          <w:rFonts w:ascii="Calibri" w:hAnsi="Calibri" w:cs="Calibri"/>
        </w:rPr>
        <w:t>, 31–39, doi:10.1055/a-1899-8862.</w:t>
      </w:r>
    </w:p>
    <w:p w14:paraId="6B29ED78" w14:textId="77777777" w:rsidR="000C6830" w:rsidRPr="000C6830" w:rsidRDefault="000C6830" w:rsidP="000C6830">
      <w:pPr>
        <w:pStyle w:val="Bibliography"/>
        <w:rPr>
          <w:rFonts w:ascii="Calibri" w:hAnsi="Calibri" w:cs="Calibri"/>
        </w:rPr>
      </w:pPr>
      <w:r w:rsidRPr="000C6830">
        <w:rPr>
          <w:rFonts w:ascii="Calibri" w:hAnsi="Calibri" w:cs="Calibri"/>
        </w:rPr>
        <w:t xml:space="preserve">40. </w:t>
      </w:r>
      <w:r w:rsidRPr="000C6830">
        <w:rPr>
          <w:rFonts w:ascii="Calibri" w:hAnsi="Calibri" w:cs="Calibri"/>
        </w:rPr>
        <w:tab/>
        <w:t xml:space="preserve">Guerrero-Romero, F.; Mercado, M.; Rodriguez-Moran, M.; Ramírez-Renteria, C.; Martínez-Aguilar, G.; Marrero-Rodríguez, D.; Ferreira-Hermosillo, A.; Simental-Mendía, L.E.; Remba-Shapiro, I.; Gamboa-Gómez, C.I.; et al. Magnesium-to-Calcium Ratio and Mortality from COVID-19. </w:t>
      </w:r>
      <w:r w:rsidRPr="000C6830">
        <w:rPr>
          <w:rFonts w:ascii="Calibri" w:hAnsi="Calibri" w:cs="Calibri"/>
          <w:i/>
          <w:iCs/>
        </w:rPr>
        <w:t>Nutrients</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14</w:t>
      </w:r>
      <w:r w:rsidRPr="000C6830">
        <w:rPr>
          <w:rFonts w:ascii="Calibri" w:hAnsi="Calibri" w:cs="Calibri"/>
        </w:rPr>
        <w:t>, 1686, doi:10.3390/nu14091686.</w:t>
      </w:r>
    </w:p>
    <w:p w14:paraId="42880284" w14:textId="77777777" w:rsidR="000C6830" w:rsidRPr="000C6830" w:rsidRDefault="000C6830" w:rsidP="000C6830">
      <w:pPr>
        <w:pStyle w:val="Bibliography"/>
        <w:rPr>
          <w:rFonts w:ascii="Calibri" w:hAnsi="Calibri" w:cs="Calibri"/>
        </w:rPr>
      </w:pPr>
      <w:r w:rsidRPr="000C6830">
        <w:rPr>
          <w:rFonts w:ascii="Calibri" w:hAnsi="Calibri" w:cs="Calibri"/>
        </w:rPr>
        <w:lastRenderedPageBreak/>
        <w:t xml:space="preserve">41. </w:t>
      </w:r>
      <w:r w:rsidRPr="000C6830">
        <w:rPr>
          <w:rFonts w:ascii="Calibri" w:hAnsi="Calibri" w:cs="Calibri"/>
        </w:rPr>
        <w:tab/>
        <w:t xml:space="preserve">Tian, J.; Tang, L.; Liu, X.; Li, Y.; Chen, J.; Huang, W.; Liu, M. Populations in Low-Magnesium Areas Were Associated with Higher Risk of Infection in COVID-19’s Early Transmission: A Nationwide Retrospective Cohort Study in the United States. </w:t>
      </w:r>
      <w:r w:rsidRPr="000C6830">
        <w:rPr>
          <w:rFonts w:ascii="Calibri" w:hAnsi="Calibri" w:cs="Calibri"/>
          <w:i/>
          <w:iCs/>
        </w:rPr>
        <w:t>Nutrients</w:t>
      </w:r>
      <w:r w:rsidRPr="000C6830">
        <w:rPr>
          <w:rFonts w:ascii="Calibri" w:hAnsi="Calibri" w:cs="Calibri"/>
        </w:rPr>
        <w:t xml:space="preserve"> </w:t>
      </w:r>
      <w:r w:rsidRPr="000C6830">
        <w:rPr>
          <w:rFonts w:ascii="Calibri" w:hAnsi="Calibri" w:cs="Calibri"/>
          <w:b/>
          <w:bCs/>
        </w:rPr>
        <w:t>2022</w:t>
      </w:r>
      <w:r w:rsidRPr="000C6830">
        <w:rPr>
          <w:rFonts w:ascii="Calibri" w:hAnsi="Calibri" w:cs="Calibri"/>
        </w:rPr>
        <w:t xml:space="preserve">, </w:t>
      </w:r>
      <w:r w:rsidRPr="000C6830">
        <w:rPr>
          <w:rFonts w:ascii="Calibri" w:hAnsi="Calibri" w:cs="Calibri"/>
          <w:i/>
          <w:iCs/>
        </w:rPr>
        <w:t>14</w:t>
      </w:r>
      <w:r w:rsidRPr="000C6830">
        <w:rPr>
          <w:rFonts w:ascii="Calibri" w:hAnsi="Calibri" w:cs="Calibri"/>
        </w:rPr>
        <w:t>, 909, doi:10.3390/nu14040909.</w:t>
      </w:r>
    </w:p>
    <w:p w14:paraId="76D55E56" w14:textId="77777777" w:rsidR="000C6830" w:rsidRPr="000C6830" w:rsidRDefault="000C6830" w:rsidP="000C6830">
      <w:pPr>
        <w:pStyle w:val="Bibliography"/>
        <w:rPr>
          <w:rFonts w:ascii="Calibri" w:hAnsi="Calibri" w:cs="Calibri"/>
        </w:rPr>
      </w:pPr>
      <w:r w:rsidRPr="000C6830">
        <w:rPr>
          <w:rFonts w:ascii="Calibri" w:hAnsi="Calibri" w:cs="Calibri"/>
        </w:rPr>
        <w:t xml:space="preserve">42. </w:t>
      </w:r>
      <w:r w:rsidRPr="000C6830">
        <w:rPr>
          <w:rFonts w:ascii="Calibri" w:hAnsi="Calibri" w:cs="Calibri"/>
        </w:rPr>
        <w:tab/>
        <w:t xml:space="preserve">Tan, C.W.; Ho, L.P.; Kalimuddin, S.; Cherng, B.P.Z.; Teh, Y.E.; Thien, S.Y.; Wong, H.M.; Tern, P.J.W.; Chandran, M.; Chay, J.W.M.; et al. Cohort Study to Evaluate the Effect of Vitamin D, Magnesium, and Vitamin B12 in Combination on Progression to Severe Outcomes in Older Patients with Coronavirus (COVID-19). </w:t>
      </w:r>
      <w:r w:rsidRPr="000C6830">
        <w:rPr>
          <w:rFonts w:ascii="Calibri" w:hAnsi="Calibri" w:cs="Calibri"/>
          <w:i/>
          <w:iCs/>
        </w:rPr>
        <w:t>Nutrition</w:t>
      </w:r>
      <w:r w:rsidRPr="000C6830">
        <w:rPr>
          <w:rFonts w:ascii="Calibri" w:hAnsi="Calibri" w:cs="Calibri"/>
        </w:rPr>
        <w:t xml:space="preserve"> </w:t>
      </w:r>
      <w:r w:rsidRPr="000C6830">
        <w:rPr>
          <w:rFonts w:ascii="Calibri" w:hAnsi="Calibri" w:cs="Calibri"/>
          <w:b/>
          <w:bCs/>
        </w:rPr>
        <w:t>2020</w:t>
      </w:r>
      <w:r w:rsidRPr="000C6830">
        <w:rPr>
          <w:rFonts w:ascii="Calibri" w:hAnsi="Calibri" w:cs="Calibri"/>
        </w:rPr>
        <w:t xml:space="preserve">, </w:t>
      </w:r>
      <w:r w:rsidRPr="000C6830">
        <w:rPr>
          <w:rFonts w:ascii="Calibri" w:hAnsi="Calibri" w:cs="Calibri"/>
          <w:i/>
          <w:iCs/>
        </w:rPr>
        <w:t>79–80</w:t>
      </w:r>
      <w:r w:rsidRPr="000C6830">
        <w:rPr>
          <w:rFonts w:ascii="Calibri" w:hAnsi="Calibri" w:cs="Calibri"/>
        </w:rPr>
        <w:t>, 111017, doi:10.1016/j.nut.2020.111017.</w:t>
      </w:r>
    </w:p>
    <w:p w14:paraId="72910805" w14:textId="77777777" w:rsidR="000C6830" w:rsidRPr="000C6830" w:rsidRDefault="000C6830" w:rsidP="000C6830">
      <w:pPr>
        <w:pStyle w:val="Bibliography"/>
        <w:rPr>
          <w:rFonts w:ascii="Calibri" w:hAnsi="Calibri" w:cs="Calibri"/>
        </w:rPr>
      </w:pPr>
      <w:r w:rsidRPr="000C6830">
        <w:rPr>
          <w:rFonts w:ascii="Calibri" w:hAnsi="Calibri" w:cs="Calibri"/>
        </w:rPr>
        <w:t xml:space="preserve">43. </w:t>
      </w:r>
      <w:r w:rsidRPr="000C6830">
        <w:rPr>
          <w:rFonts w:ascii="Calibri" w:hAnsi="Calibri" w:cs="Calibri"/>
        </w:rPr>
        <w:tab/>
        <w:t xml:space="preserve">Nejatifard, M.; Asefi, S.; Jamali, R.; Hamblin, M.R.; Fekrazad, R. Probable Positive Effects of the Photobiomodulation as an Adjunctive Treatment in COVID-19: A Systematic Review. </w:t>
      </w:r>
      <w:r w:rsidRPr="000C6830">
        <w:rPr>
          <w:rFonts w:ascii="Calibri" w:hAnsi="Calibri" w:cs="Calibri"/>
          <w:i/>
          <w:iCs/>
        </w:rPr>
        <w:t>Cytokine</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137</w:t>
      </w:r>
      <w:r w:rsidRPr="000C6830">
        <w:rPr>
          <w:rFonts w:ascii="Calibri" w:hAnsi="Calibri" w:cs="Calibri"/>
        </w:rPr>
        <w:t>, 155312, doi:10.1016/j.cyto.2020.155312.</w:t>
      </w:r>
    </w:p>
    <w:p w14:paraId="40ED8E8B" w14:textId="77777777" w:rsidR="000C6830" w:rsidRPr="000C6830" w:rsidRDefault="000C6830" w:rsidP="000C6830">
      <w:pPr>
        <w:pStyle w:val="Bibliography"/>
        <w:rPr>
          <w:rFonts w:ascii="Calibri" w:hAnsi="Calibri" w:cs="Calibri"/>
        </w:rPr>
      </w:pPr>
      <w:r w:rsidRPr="000C6830">
        <w:rPr>
          <w:rFonts w:ascii="Calibri" w:hAnsi="Calibri" w:cs="Calibri"/>
        </w:rPr>
        <w:t xml:space="preserve">44. </w:t>
      </w:r>
      <w:r w:rsidRPr="000C6830">
        <w:rPr>
          <w:rFonts w:ascii="Calibri" w:hAnsi="Calibri" w:cs="Calibri"/>
        </w:rPr>
        <w:tab/>
        <w:t xml:space="preserve">Vetrici, M.A.; Mokmeli, S.; Bohm, A.R.; Monici, M.; Sigman, S.A. Evaluation of Adjunctive Photobiomodulation (PBMT) for COVID-19 Pneumonia via Clinical Status and Pulmonary Severity Indices in a Preliminary Trial. </w:t>
      </w:r>
      <w:r w:rsidRPr="000C6830">
        <w:rPr>
          <w:rFonts w:ascii="Calibri" w:hAnsi="Calibri" w:cs="Calibri"/>
          <w:i/>
          <w:iCs/>
        </w:rPr>
        <w:t>J Inflamm Res</w:t>
      </w:r>
      <w:r w:rsidRPr="000C6830">
        <w:rPr>
          <w:rFonts w:ascii="Calibri" w:hAnsi="Calibri" w:cs="Calibri"/>
        </w:rPr>
        <w:t xml:space="preserve"> </w:t>
      </w:r>
      <w:r w:rsidRPr="000C6830">
        <w:rPr>
          <w:rFonts w:ascii="Calibri" w:hAnsi="Calibri" w:cs="Calibri"/>
          <w:b/>
          <w:bCs/>
        </w:rPr>
        <w:t>2021</w:t>
      </w:r>
      <w:r w:rsidRPr="000C6830">
        <w:rPr>
          <w:rFonts w:ascii="Calibri" w:hAnsi="Calibri" w:cs="Calibri"/>
        </w:rPr>
        <w:t xml:space="preserve">, </w:t>
      </w:r>
      <w:r w:rsidRPr="000C6830">
        <w:rPr>
          <w:rFonts w:ascii="Calibri" w:hAnsi="Calibri" w:cs="Calibri"/>
          <w:i/>
          <w:iCs/>
        </w:rPr>
        <w:t>14</w:t>
      </w:r>
      <w:r w:rsidRPr="000C6830">
        <w:rPr>
          <w:rFonts w:ascii="Calibri" w:hAnsi="Calibri" w:cs="Calibri"/>
        </w:rPr>
        <w:t>, 965–979, doi:10.2147/JIR.S301625.</w:t>
      </w:r>
    </w:p>
    <w:p w14:paraId="2C71151C" w14:textId="0B2050CD" w:rsidR="00B46704" w:rsidRDefault="000C6830">
      <w:r>
        <w:fldChar w:fldCharType="end"/>
      </w:r>
    </w:p>
    <w:sectPr w:rsidR="00B46704" w:rsidSect="009039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E750" w14:textId="77777777" w:rsidR="00B9464F" w:rsidRDefault="00B9464F" w:rsidP="009C50C6">
      <w:pPr>
        <w:spacing w:after="0" w:line="240" w:lineRule="auto"/>
      </w:pPr>
      <w:r>
        <w:separator/>
      </w:r>
    </w:p>
  </w:endnote>
  <w:endnote w:type="continuationSeparator" w:id="0">
    <w:p w14:paraId="3FB76A47" w14:textId="77777777" w:rsidR="00B9464F" w:rsidRDefault="00B9464F" w:rsidP="009C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FEC0" w14:textId="77777777" w:rsidR="00B9464F" w:rsidRDefault="00B9464F" w:rsidP="009C50C6">
      <w:pPr>
        <w:spacing w:after="0" w:line="240" w:lineRule="auto"/>
      </w:pPr>
      <w:r>
        <w:separator/>
      </w:r>
    </w:p>
  </w:footnote>
  <w:footnote w:type="continuationSeparator" w:id="0">
    <w:p w14:paraId="44071038" w14:textId="77777777" w:rsidR="00B9464F" w:rsidRDefault="00B9464F" w:rsidP="009C5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35"/>
    <w:rsid w:val="000C6830"/>
    <w:rsid w:val="000E55B0"/>
    <w:rsid w:val="00192E9D"/>
    <w:rsid w:val="001F038B"/>
    <w:rsid w:val="002706D5"/>
    <w:rsid w:val="002A56A8"/>
    <w:rsid w:val="002B6BF9"/>
    <w:rsid w:val="003135D5"/>
    <w:rsid w:val="00353388"/>
    <w:rsid w:val="00355AC8"/>
    <w:rsid w:val="00363130"/>
    <w:rsid w:val="00366D83"/>
    <w:rsid w:val="00392BF1"/>
    <w:rsid w:val="003C5E6F"/>
    <w:rsid w:val="005D4135"/>
    <w:rsid w:val="006078A7"/>
    <w:rsid w:val="0072616C"/>
    <w:rsid w:val="008224C5"/>
    <w:rsid w:val="008A17DB"/>
    <w:rsid w:val="008B2E55"/>
    <w:rsid w:val="00903922"/>
    <w:rsid w:val="009207CC"/>
    <w:rsid w:val="009271A4"/>
    <w:rsid w:val="00954E3F"/>
    <w:rsid w:val="009864ED"/>
    <w:rsid w:val="009C50C6"/>
    <w:rsid w:val="00A07913"/>
    <w:rsid w:val="00A3084A"/>
    <w:rsid w:val="00A92A05"/>
    <w:rsid w:val="00B401AF"/>
    <w:rsid w:val="00B46704"/>
    <w:rsid w:val="00B9464F"/>
    <w:rsid w:val="00BD1A49"/>
    <w:rsid w:val="00C645A8"/>
    <w:rsid w:val="00CA1CB5"/>
    <w:rsid w:val="00CA6AE9"/>
    <w:rsid w:val="00D356AC"/>
    <w:rsid w:val="00D6362B"/>
    <w:rsid w:val="00DC0F00"/>
    <w:rsid w:val="00DD5124"/>
    <w:rsid w:val="00E255BB"/>
    <w:rsid w:val="00E411AA"/>
    <w:rsid w:val="00E9062F"/>
    <w:rsid w:val="00ED7D17"/>
    <w:rsid w:val="00F678B9"/>
    <w:rsid w:val="00F84CB7"/>
    <w:rsid w:val="00F850A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782E"/>
  <w15:chartTrackingRefBased/>
  <w15:docId w15:val="{69A41715-406C-4384-839F-8D00D8FD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0C6"/>
  </w:style>
  <w:style w:type="paragraph" w:styleId="Footer">
    <w:name w:val="footer"/>
    <w:basedOn w:val="Normal"/>
    <w:link w:val="FooterChar"/>
    <w:uiPriority w:val="99"/>
    <w:unhideWhenUsed/>
    <w:rsid w:val="009C5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0C6"/>
  </w:style>
  <w:style w:type="table" w:styleId="TableGridLight">
    <w:name w:val="Grid Table Light"/>
    <w:basedOn w:val="TableNormal"/>
    <w:uiPriority w:val="40"/>
    <w:rsid w:val="002A56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unhideWhenUsed/>
    <w:rsid w:val="000C6830"/>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252">
      <w:bodyDiv w:val="1"/>
      <w:marLeft w:val="0"/>
      <w:marRight w:val="0"/>
      <w:marTop w:val="0"/>
      <w:marBottom w:val="0"/>
      <w:divBdr>
        <w:top w:val="none" w:sz="0" w:space="0" w:color="auto"/>
        <w:left w:val="none" w:sz="0" w:space="0" w:color="auto"/>
        <w:bottom w:val="none" w:sz="0" w:space="0" w:color="auto"/>
        <w:right w:val="none" w:sz="0" w:space="0" w:color="auto"/>
      </w:divBdr>
      <w:divsChild>
        <w:div w:id="1419982104">
          <w:marLeft w:val="0"/>
          <w:marRight w:val="0"/>
          <w:marTop w:val="0"/>
          <w:marBottom w:val="120"/>
          <w:divBdr>
            <w:top w:val="none" w:sz="0" w:space="0" w:color="auto"/>
            <w:left w:val="none" w:sz="0" w:space="0" w:color="auto"/>
            <w:bottom w:val="none" w:sz="0" w:space="0" w:color="auto"/>
            <w:right w:val="none" w:sz="0" w:space="0" w:color="auto"/>
          </w:divBdr>
        </w:div>
      </w:divsChild>
    </w:div>
    <w:div w:id="135221762">
      <w:bodyDiv w:val="1"/>
      <w:marLeft w:val="0"/>
      <w:marRight w:val="0"/>
      <w:marTop w:val="0"/>
      <w:marBottom w:val="0"/>
      <w:divBdr>
        <w:top w:val="none" w:sz="0" w:space="0" w:color="auto"/>
        <w:left w:val="none" w:sz="0" w:space="0" w:color="auto"/>
        <w:bottom w:val="none" w:sz="0" w:space="0" w:color="auto"/>
        <w:right w:val="none" w:sz="0" w:space="0" w:color="auto"/>
      </w:divBdr>
    </w:div>
    <w:div w:id="371157320">
      <w:bodyDiv w:val="1"/>
      <w:marLeft w:val="0"/>
      <w:marRight w:val="0"/>
      <w:marTop w:val="0"/>
      <w:marBottom w:val="0"/>
      <w:divBdr>
        <w:top w:val="none" w:sz="0" w:space="0" w:color="auto"/>
        <w:left w:val="none" w:sz="0" w:space="0" w:color="auto"/>
        <w:bottom w:val="none" w:sz="0" w:space="0" w:color="auto"/>
        <w:right w:val="none" w:sz="0" w:space="0" w:color="auto"/>
      </w:divBdr>
      <w:divsChild>
        <w:div w:id="240719247">
          <w:marLeft w:val="0"/>
          <w:marRight w:val="0"/>
          <w:marTop w:val="0"/>
          <w:marBottom w:val="120"/>
          <w:divBdr>
            <w:top w:val="none" w:sz="0" w:space="0" w:color="auto"/>
            <w:left w:val="none" w:sz="0" w:space="0" w:color="auto"/>
            <w:bottom w:val="none" w:sz="0" w:space="0" w:color="auto"/>
            <w:right w:val="none" w:sz="0" w:space="0" w:color="auto"/>
          </w:divBdr>
        </w:div>
      </w:divsChild>
    </w:div>
    <w:div w:id="970745089">
      <w:bodyDiv w:val="1"/>
      <w:marLeft w:val="0"/>
      <w:marRight w:val="0"/>
      <w:marTop w:val="0"/>
      <w:marBottom w:val="0"/>
      <w:divBdr>
        <w:top w:val="none" w:sz="0" w:space="0" w:color="auto"/>
        <w:left w:val="none" w:sz="0" w:space="0" w:color="auto"/>
        <w:bottom w:val="none" w:sz="0" w:space="0" w:color="auto"/>
        <w:right w:val="none" w:sz="0" w:space="0" w:color="auto"/>
      </w:divBdr>
      <w:divsChild>
        <w:div w:id="117845590">
          <w:marLeft w:val="0"/>
          <w:marRight w:val="0"/>
          <w:marTop w:val="0"/>
          <w:marBottom w:val="0"/>
          <w:divBdr>
            <w:top w:val="none" w:sz="0" w:space="0" w:color="auto"/>
            <w:left w:val="none" w:sz="0" w:space="0" w:color="auto"/>
            <w:bottom w:val="none" w:sz="0" w:space="0" w:color="auto"/>
            <w:right w:val="none" w:sz="0" w:space="0" w:color="auto"/>
          </w:divBdr>
        </w:div>
      </w:divsChild>
    </w:div>
    <w:div w:id="1113012544">
      <w:bodyDiv w:val="1"/>
      <w:marLeft w:val="0"/>
      <w:marRight w:val="0"/>
      <w:marTop w:val="0"/>
      <w:marBottom w:val="0"/>
      <w:divBdr>
        <w:top w:val="none" w:sz="0" w:space="0" w:color="auto"/>
        <w:left w:val="none" w:sz="0" w:space="0" w:color="auto"/>
        <w:bottom w:val="none" w:sz="0" w:space="0" w:color="auto"/>
        <w:right w:val="none" w:sz="0" w:space="0" w:color="auto"/>
      </w:divBdr>
      <w:divsChild>
        <w:div w:id="889726521">
          <w:marLeft w:val="0"/>
          <w:marRight w:val="0"/>
          <w:marTop w:val="0"/>
          <w:marBottom w:val="0"/>
          <w:divBdr>
            <w:top w:val="none" w:sz="0" w:space="0" w:color="auto"/>
            <w:left w:val="none" w:sz="0" w:space="0" w:color="auto"/>
            <w:bottom w:val="none" w:sz="0" w:space="0" w:color="auto"/>
            <w:right w:val="none" w:sz="0" w:space="0" w:color="auto"/>
          </w:divBdr>
        </w:div>
      </w:divsChild>
    </w:div>
    <w:div w:id="1179345149">
      <w:bodyDiv w:val="1"/>
      <w:marLeft w:val="0"/>
      <w:marRight w:val="0"/>
      <w:marTop w:val="0"/>
      <w:marBottom w:val="0"/>
      <w:divBdr>
        <w:top w:val="none" w:sz="0" w:space="0" w:color="auto"/>
        <w:left w:val="none" w:sz="0" w:space="0" w:color="auto"/>
        <w:bottom w:val="none" w:sz="0" w:space="0" w:color="auto"/>
        <w:right w:val="none" w:sz="0" w:space="0" w:color="auto"/>
      </w:divBdr>
    </w:div>
    <w:div w:id="1462529270">
      <w:bodyDiv w:val="1"/>
      <w:marLeft w:val="0"/>
      <w:marRight w:val="0"/>
      <w:marTop w:val="0"/>
      <w:marBottom w:val="0"/>
      <w:divBdr>
        <w:top w:val="none" w:sz="0" w:space="0" w:color="auto"/>
        <w:left w:val="none" w:sz="0" w:space="0" w:color="auto"/>
        <w:bottom w:val="none" w:sz="0" w:space="0" w:color="auto"/>
        <w:right w:val="none" w:sz="0" w:space="0" w:color="auto"/>
      </w:divBdr>
      <w:divsChild>
        <w:div w:id="573394835">
          <w:marLeft w:val="0"/>
          <w:marRight w:val="0"/>
          <w:marTop w:val="0"/>
          <w:marBottom w:val="120"/>
          <w:divBdr>
            <w:top w:val="none" w:sz="0" w:space="0" w:color="auto"/>
            <w:left w:val="none" w:sz="0" w:space="0" w:color="auto"/>
            <w:bottom w:val="none" w:sz="0" w:space="0" w:color="auto"/>
            <w:right w:val="none" w:sz="0" w:space="0" w:color="auto"/>
          </w:divBdr>
        </w:div>
      </w:divsChild>
    </w:div>
    <w:div w:id="1721592874">
      <w:bodyDiv w:val="1"/>
      <w:marLeft w:val="0"/>
      <w:marRight w:val="0"/>
      <w:marTop w:val="0"/>
      <w:marBottom w:val="0"/>
      <w:divBdr>
        <w:top w:val="none" w:sz="0" w:space="0" w:color="auto"/>
        <w:left w:val="none" w:sz="0" w:space="0" w:color="auto"/>
        <w:bottom w:val="none" w:sz="0" w:space="0" w:color="auto"/>
        <w:right w:val="none" w:sz="0" w:space="0" w:color="auto"/>
      </w:divBdr>
    </w:div>
    <w:div w:id="1811629583">
      <w:bodyDiv w:val="1"/>
      <w:marLeft w:val="0"/>
      <w:marRight w:val="0"/>
      <w:marTop w:val="0"/>
      <w:marBottom w:val="0"/>
      <w:divBdr>
        <w:top w:val="none" w:sz="0" w:space="0" w:color="auto"/>
        <w:left w:val="none" w:sz="0" w:space="0" w:color="auto"/>
        <w:bottom w:val="none" w:sz="0" w:space="0" w:color="auto"/>
        <w:right w:val="none" w:sz="0" w:space="0" w:color="auto"/>
      </w:divBdr>
      <w:divsChild>
        <w:div w:id="1781561450">
          <w:marLeft w:val="0"/>
          <w:marRight w:val="0"/>
          <w:marTop w:val="0"/>
          <w:marBottom w:val="0"/>
          <w:divBdr>
            <w:top w:val="none" w:sz="0" w:space="0" w:color="auto"/>
            <w:left w:val="none" w:sz="0" w:space="0" w:color="auto"/>
            <w:bottom w:val="none" w:sz="0" w:space="0" w:color="auto"/>
            <w:right w:val="none" w:sz="0" w:space="0" w:color="auto"/>
          </w:divBdr>
        </w:div>
      </w:divsChild>
    </w:div>
    <w:div w:id="183495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22557</Words>
  <Characters>128579</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Halma</dc:creator>
  <cp:keywords/>
  <dc:description/>
  <cp:lastModifiedBy>Matthew Halma</cp:lastModifiedBy>
  <cp:revision>7</cp:revision>
  <dcterms:created xsi:type="dcterms:W3CDTF">2023-06-23T21:46:00Z</dcterms:created>
  <dcterms:modified xsi:type="dcterms:W3CDTF">2023-06-24T13:25:00Z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id="SOnwAS7v"/&gt;&lt;style id="http://www.zotero.org/styles/multidisciplinary-digital-publishing-institute" hasBibliography="1" bibliographyStyleHasBeenSet="1"/&gt;&lt;prefs&gt;&lt;pref name="fieldType" value="Field"</vt:lpwstr>
  </property>
  <property fmtid="{D5CDD505-2E9C-101B-9397-08002B2CF9AE}" pid="3" name="ZOTERO_PREF_2">
    <vt:lpwstr>/&gt;&lt;/prefs&gt;&lt;/data&gt;</vt:lpwstr>
  </property>
</Properties>
</file>