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93C0" w14:textId="77777777" w:rsidR="00921DFC" w:rsidRDefault="00000000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Supplementary information</w:t>
      </w:r>
    </w:p>
    <w:p w14:paraId="0E82DE0E" w14:textId="77777777" w:rsidR="00921DFC" w:rsidRDefault="00000000">
      <w:pPr>
        <w:spacing w:before="280" w:after="280"/>
        <w:rPr>
          <w:rFonts w:ascii="Arial" w:eastAsia="Arial" w:hAnsi="Arial" w:cs="Arial"/>
          <w:b/>
          <w:color w:val="0A0A0A"/>
          <w:sz w:val="20"/>
          <w:szCs w:val="20"/>
        </w:rPr>
      </w:pPr>
      <w:r>
        <w:rPr>
          <w:rFonts w:ascii="Arial" w:eastAsia="Arial" w:hAnsi="Arial" w:cs="Arial"/>
          <w:b/>
          <w:color w:val="0A0A0A"/>
          <w:sz w:val="20"/>
          <w:szCs w:val="20"/>
        </w:rPr>
        <w:t>Figure S1. Study population</w:t>
      </w:r>
    </w:p>
    <w:p w14:paraId="4D8D867E" w14:textId="77777777" w:rsidR="00921DFC" w:rsidRDefault="00000000">
      <w:pPr>
        <w:spacing w:before="280" w:after="280"/>
        <w:rPr>
          <w:rFonts w:ascii="Arial" w:eastAsia="Arial" w:hAnsi="Arial" w:cs="Arial"/>
          <w:color w:val="0A0A0A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6BE4F7C7" wp14:editId="4A028BC6">
            <wp:extent cx="5400040" cy="1846580"/>
            <wp:effectExtent l="0" t="0" r="0" b="0"/>
            <wp:docPr id="1860734342" name="image1.png" descr="グラフィカル ユーザー インターフェイス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グラフィカル ユーザー インターフェイス&#10;&#10;中程度の精度で自動的に生成された説明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46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6D6D95" w14:textId="77777777" w:rsidR="00921DFC" w:rsidRDefault="00000000">
      <w:pPr>
        <w:widowControl/>
        <w:jc w:val="left"/>
        <w:rPr>
          <w:rFonts w:ascii="Arial" w:eastAsia="Arial" w:hAnsi="Arial" w:cs="Arial"/>
          <w:b/>
          <w:color w:val="0A0A0A"/>
          <w:sz w:val="20"/>
          <w:szCs w:val="20"/>
        </w:rPr>
      </w:pPr>
      <w:r>
        <w:br w:type="page"/>
      </w:r>
    </w:p>
    <w:p w14:paraId="0611D6DB" w14:textId="77777777" w:rsidR="00921DFC" w:rsidRDefault="00000000">
      <w:pPr>
        <w:spacing w:before="280" w:after="280"/>
        <w:rPr>
          <w:rFonts w:ascii="Arial" w:eastAsia="Arial" w:hAnsi="Arial" w:cs="Arial"/>
          <w:b/>
          <w:color w:val="0A0A0A"/>
          <w:sz w:val="20"/>
          <w:szCs w:val="20"/>
        </w:rPr>
      </w:pPr>
      <w:r>
        <w:rPr>
          <w:rFonts w:ascii="Arial" w:eastAsia="Arial" w:hAnsi="Arial" w:cs="Arial"/>
          <w:b/>
          <w:color w:val="0A0A0A"/>
          <w:sz w:val="20"/>
          <w:szCs w:val="20"/>
        </w:rPr>
        <w:lastRenderedPageBreak/>
        <w:t>Table S1. Background of groups with and without preoperative angiography</w:t>
      </w:r>
    </w:p>
    <w:tbl>
      <w:tblPr>
        <w:tblW w:w="850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701"/>
        <w:gridCol w:w="1417"/>
        <w:gridCol w:w="1418"/>
        <w:gridCol w:w="1808"/>
        <w:gridCol w:w="45"/>
        <w:gridCol w:w="703"/>
      </w:tblGrid>
      <w:tr w:rsidR="00B978A7" w14:paraId="3403D192" w14:textId="77777777" w:rsidTr="00474F58">
        <w:trPr>
          <w:trHeight w:val="20"/>
          <w:jc w:val="center"/>
        </w:trPr>
        <w:tc>
          <w:tcPr>
            <w:tcW w:w="8505" w:type="dxa"/>
            <w:gridSpan w:val="7"/>
          </w:tcPr>
          <w:p w14:paraId="21C59578" w14:textId="77777777" w:rsidR="00B978A7" w:rsidRDefault="00B978A7" w:rsidP="00474F58">
            <w:pPr>
              <w:rPr>
                <w:rFonts w:ascii="Arial" w:eastAsia="Arial" w:hAnsi="Arial" w:cs="Arial"/>
                <w:b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A0A0A"/>
                <w:sz w:val="20"/>
                <w:szCs w:val="20"/>
              </w:rPr>
              <w:t>Patient characteristics</w:t>
            </w:r>
          </w:p>
        </w:tc>
      </w:tr>
      <w:tr w:rsidR="00B978A7" w14:paraId="683CDCF6" w14:textId="77777777" w:rsidTr="00474F58">
        <w:trPr>
          <w:trHeight w:val="20"/>
          <w:jc w:val="center"/>
        </w:trPr>
        <w:tc>
          <w:tcPr>
            <w:tcW w:w="3114" w:type="dxa"/>
            <w:gridSpan w:val="2"/>
          </w:tcPr>
          <w:p w14:paraId="118B91A1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5E7AD2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All glioblastoma (n=133)</w:t>
            </w:r>
          </w:p>
        </w:tc>
        <w:tc>
          <w:tcPr>
            <w:tcW w:w="1418" w:type="dxa"/>
          </w:tcPr>
          <w:p w14:paraId="6D9AA001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Preoperative angiography (n=91)</w:t>
            </w:r>
          </w:p>
        </w:tc>
        <w:tc>
          <w:tcPr>
            <w:tcW w:w="1808" w:type="dxa"/>
          </w:tcPr>
          <w:p w14:paraId="5FF93EC5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Non-preoperative angiography (n=42)</w:t>
            </w:r>
          </w:p>
        </w:tc>
        <w:tc>
          <w:tcPr>
            <w:tcW w:w="748" w:type="dxa"/>
            <w:gridSpan w:val="2"/>
          </w:tcPr>
          <w:p w14:paraId="77EA07DF" w14:textId="77777777" w:rsidR="00B978A7" w:rsidRDefault="00B978A7" w:rsidP="00474F58">
            <w:pPr>
              <w:rPr>
                <w:rFonts w:ascii="Arial" w:eastAsia="Arial" w:hAnsi="Arial" w:cs="Arial"/>
                <w:i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A0A0A"/>
                <w:sz w:val="20"/>
                <w:szCs w:val="20"/>
              </w:rPr>
              <w:t>P</w:t>
            </w:r>
          </w:p>
        </w:tc>
      </w:tr>
      <w:tr w:rsidR="00B978A7" w14:paraId="695351CF" w14:textId="77777777" w:rsidTr="00474F58">
        <w:trPr>
          <w:trHeight w:val="20"/>
          <w:jc w:val="center"/>
        </w:trPr>
        <w:tc>
          <w:tcPr>
            <w:tcW w:w="3114" w:type="dxa"/>
            <w:gridSpan w:val="2"/>
          </w:tcPr>
          <w:p w14:paraId="01F5B964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Age in years, median, IQR</w:t>
            </w:r>
          </w:p>
        </w:tc>
        <w:tc>
          <w:tcPr>
            <w:tcW w:w="1417" w:type="dxa"/>
          </w:tcPr>
          <w:p w14:paraId="4AD5D3A5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64 [52–72]</w:t>
            </w:r>
          </w:p>
        </w:tc>
        <w:tc>
          <w:tcPr>
            <w:tcW w:w="1418" w:type="dxa"/>
          </w:tcPr>
          <w:p w14:paraId="08254221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64 [52–71]</w:t>
            </w:r>
          </w:p>
        </w:tc>
        <w:tc>
          <w:tcPr>
            <w:tcW w:w="1808" w:type="dxa"/>
          </w:tcPr>
          <w:p w14:paraId="1866A6A9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67 [52–74]</w:t>
            </w:r>
          </w:p>
        </w:tc>
        <w:tc>
          <w:tcPr>
            <w:tcW w:w="748" w:type="dxa"/>
            <w:gridSpan w:val="2"/>
          </w:tcPr>
          <w:p w14:paraId="35145D7D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0.56</w:t>
            </w:r>
          </w:p>
        </w:tc>
      </w:tr>
      <w:tr w:rsidR="00B978A7" w14:paraId="5956A2DB" w14:textId="77777777" w:rsidTr="00474F58">
        <w:trPr>
          <w:trHeight w:val="20"/>
          <w:jc w:val="center"/>
        </w:trPr>
        <w:tc>
          <w:tcPr>
            <w:tcW w:w="3114" w:type="dxa"/>
            <w:gridSpan w:val="2"/>
          </w:tcPr>
          <w:p w14:paraId="3C766464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Men, n (%)</w:t>
            </w:r>
          </w:p>
        </w:tc>
        <w:tc>
          <w:tcPr>
            <w:tcW w:w="1417" w:type="dxa"/>
          </w:tcPr>
          <w:p w14:paraId="24F62347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80 (60.2)</w:t>
            </w:r>
          </w:p>
        </w:tc>
        <w:tc>
          <w:tcPr>
            <w:tcW w:w="1418" w:type="dxa"/>
          </w:tcPr>
          <w:p w14:paraId="11B41132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61 (67.0)</w:t>
            </w:r>
          </w:p>
        </w:tc>
        <w:tc>
          <w:tcPr>
            <w:tcW w:w="1808" w:type="dxa"/>
          </w:tcPr>
          <w:p w14:paraId="440459B2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19 (45.2)</w:t>
            </w:r>
          </w:p>
        </w:tc>
        <w:tc>
          <w:tcPr>
            <w:tcW w:w="748" w:type="dxa"/>
            <w:gridSpan w:val="2"/>
          </w:tcPr>
          <w:p w14:paraId="75F1D3C8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0.02</w:t>
            </w:r>
          </w:p>
        </w:tc>
      </w:tr>
      <w:tr w:rsidR="00B978A7" w14:paraId="3B04E81B" w14:textId="77777777" w:rsidTr="00474F58">
        <w:trPr>
          <w:trHeight w:val="20"/>
          <w:jc w:val="center"/>
        </w:trPr>
        <w:tc>
          <w:tcPr>
            <w:tcW w:w="8505" w:type="dxa"/>
            <w:gridSpan w:val="7"/>
          </w:tcPr>
          <w:p w14:paraId="6BB2877E" w14:textId="77777777" w:rsidR="00B978A7" w:rsidRDefault="00B978A7" w:rsidP="00474F58">
            <w:pPr>
              <w:rPr>
                <w:rFonts w:ascii="Arial" w:eastAsia="Arial" w:hAnsi="Arial" w:cs="Arial"/>
                <w:b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A0A0A"/>
                <w:sz w:val="20"/>
                <w:szCs w:val="20"/>
              </w:rPr>
              <w:t>Baseline neurological findings</w:t>
            </w:r>
          </w:p>
        </w:tc>
      </w:tr>
      <w:tr w:rsidR="00B978A7" w14:paraId="186AEF9B" w14:textId="77777777" w:rsidTr="00474F58">
        <w:trPr>
          <w:trHeight w:val="20"/>
          <w:jc w:val="center"/>
        </w:trPr>
        <w:tc>
          <w:tcPr>
            <w:tcW w:w="3114" w:type="dxa"/>
            <w:gridSpan w:val="2"/>
          </w:tcPr>
          <w:p w14:paraId="46492D0C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Modified Rankin Scale, median, IQR</w:t>
            </w:r>
          </w:p>
        </w:tc>
        <w:tc>
          <w:tcPr>
            <w:tcW w:w="1417" w:type="dxa"/>
          </w:tcPr>
          <w:p w14:paraId="00520C04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2 [2–4]</w:t>
            </w:r>
          </w:p>
        </w:tc>
        <w:tc>
          <w:tcPr>
            <w:tcW w:w="1418" w:type="dxa"/>
          </w:tcPr>
          <w:p w14:paraId="66A3A315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2 [1–4]</w:t>
            </w:r>
          </w:p>
        </w:tc>
        <w:tc>
          <w:tcPr>
            <w:tcW w:w="1808" w:type="dxa"/>
          </w:tcPr>
          <w:p w14:paraId="2EB44E39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2 [2–4]</w:t>
            </w:r>
          </w:p>
        </w:tc>
        <w:tc>
          <w:tcPr>
            <w:tcW w:w="748" w:type="dxa"/>
            <w:gridSpan w:val="2"/>
          </w:tcPr>
          <w:p w14:paraId="5629B0A8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0.75</w:t>
            </w:r>
          </w:p>
        </w:tc>
      </w:tr>
      <w:tr w:rsidR="00B978A7" w14:paraId="49D8850A" w14:textId="77777777" w:rsidTr="00474F58">
        <w:trPr>
          <w:trHeight w:val="20"/>
          <w:jc w:val="center"/>
        </w:trPr>
        <w:tc>
          <w:tcPr>
            <w:tcW w:w="3114" w:type="dxa"/>
            <w:gridSpan w:val="2"/>
          </w:tcPr>
          <w:p w14:paraId="5976C73A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Karnofsky</w:t>
            </w:r>
            <w:proofErr w:type="spellEnd"/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 xml:space="preserve"> Performance Status, median, IQR</w:t>
            </w:r>
          </w:p>
        </w:tc>
        <w:tc>
          <w:tcPr>
            <w:tcW w:w="1417" w:type="dxa"/>
          </w:tcPr>
          <w:p w14:paraId="3CC5E592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70 [50–85]</w:t>
            </w:r>
          </w:p>
        </w:tc>
        <w:tc>
          <w:tcPr>
            <w:tcW w:w="1418" w:type="dxa"/>
          </w:tcPr>
          <w:p w14:paraId="0F04E24A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70 [50–80]</w:t>
            </w:r>
          </w:p>
        </w:tc>
        <w:tc>
          <w:tcPr>
            <w:tcW w:w="1808" w:type="dxa"/>
          </w:tcPr>
          <w:p w14:paraId="4969F8F7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70 [50–90]</w:t>
            </w:r>
          </w:p>
        </w:tc>
        <w:tc>
          <w:tcPr>
            <w:tcW w:w="748" w:type="dxa"/>
            <w:gridSpan w:val="2"/>
          </w:tcPr>
          <w:p w14:paraId="0180EB89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0.85</w:t>
            </w:r>
          </w:p>
        </w:tc>
      </w:tr>
      <w:tr w:rsidR="00B978A7" w14:paraId="22F027BF" w14:textId="77777777" w:rsidTr="00474F58">
        <w:trPr>
          <w:trHeight w:val="20"/>
          <w:jc w:val="center"/>
        </w:trPr>
        <w:tc>
          <w:tcPr>
            <w:tcW w:w="8505" w:type="dxa"/>
            <w:gridSpan w:val="7"/>
          </w:tcPr>
          <w:p w14:paraId="1274B929" w14:textId="77777777" w:rsidR="00B978A7" w:rsidRDefault="00B978A7" w:rsidP="00474F58">
            <w:pPr>
              <w:rPr>
                <w:rFonts w:ascii="Arial" w:eastAsia="Arial" w:hAnsi="Arial" w:cs="Arial"/>
                <w:b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A0A0A"/>
                <w:sz w:val="20"/>
                <w:szCs w:val="20"/>
              </w:rPr>
              <w:t>The degree of removal</w:t>
            </w:r>
          </w:p>
        </w:tc>
      </w:tr>
      <w:tr w:rsidR="00B978A7" w14:paraId="749776FB" w14:textId="77777777" w:rsidTr="00474F58">
        <w:trPr>
          <w:trHeight w:val="20"/>
          <w:jc w:val="center"/>
        </w:trPr>
        <w:tc>
          <w:tcPr>
            <w:tcW w:w="3114" w:type="dxa"/>
            <w:gridSpan w:val="2"/>
          </w:tcPr>
          <w:p w14:paraId="723199A8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Biopsy, n (%)</w:t>
            </w:r>
          </w:p>
        </w:tc>
        <w:tc>
          <w:tcPr>
            <w:tcW w:w="1417" w:type="dxa"/>
          </w:tcPr>
          <w:p w14:paraId="73E0C8F9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23 (17.3)</w:t>
            </w:r>
          </w:p>
        </w:tc>
        <w:tc>
          <w:tcPr>
            <w:tcW w:w="1418" w:type="dxa"/>
          </w:tcPr>
          <w:p w14:paraId="118AFDE8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10 (11.0)</w:t>
            </w:r>
          </w:p>
        </w:tc>
        <w:tc>
          <w:tcPr>
            <w:tcW w:w="1808" w:type="dxa"/>
          </w:tcPr>
          <w:p w14:paraId="1C3B7417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13 (31.0)</w:t>
            </w:r>
          </w:p>
        </w:tc>
        <w:tc>
          <w:tcPr>
            <w:tcW w:w="748" w:type="dxa"/>
            <w:gridSpan w:val="2"/>
            <w:vMerge w:val="restart"/>
          </w:tcPr>
          <w:p w14:paraId="2FE162C9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0.005</w:t>
            </w:r>
          </w:p>
        </w:tc>
      </w:tr>
      <w:tr w:rsidR="00B978A7" w14:paraId="08A5E54B" w14:textId="77777777" w:rsidTr="00474F58">
        <w:trPr>
          <w:trHeight w:val="20"/>
          <w:jc w:val="center"/>
        </w:trPr>
        <w:tc>
          <w:tcPr>
            <w:tcW w:w="3114" w:type="dxa"/>
            <w:gridSpan w:val="2"/>
          </w:tcPr>
          <w:p w14:paraId="71BC83B3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Maximum safe removal, n (%)</w:t>
            </w:r>
          </w:p>
        </w:tc>
        <w:tc>
          <w:tcPr>
            <w:tcW w:w="1417" w:type="dxa"/>
          </w:tcPr>
          <w:p w14:paraId="6815686E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110 (82.7)</w:t>
            </w:r>
          </w:p>
        </w:tc>
        <w:tc>
          <w:tcPr>
            <w:tcW w:w="1418" w:type="dxa"/>
          </w:tcPr>
          <w:p w14:paraId="18542E49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81 (89.0)</w:t>
            </w:r>
          </w:p>
        </w:tc>
        <w:tc>
          <w:tcPr>
            <w:tcW w:w="1808" w:type="dxa"/>
          </w:tcPr>
          <w:p w14:paraId="708076B1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29 (69.1)</w:t>
            </w:r>
          </w:p>
        </w:tc>
        <w:tc>
          <w:tcPr>
            <w:tcW w:w="748" w:type="dxa"/>
            <w:gridSpan w:val="2"/>
            <w:vMerge/>
          </w:tcPr>
          <w:p w14:paraId="0B564BC8" w14:textId="77777777" w:rsidR="00B978A7" w:rsidRDefault="00B978A7" w:rsidP="00474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</w:p>
        </w:tc>
      </w:tr>
      <w:tr w:rsidR="00B978A7" w14:paraId="67554531" w14:textId="77777777" w:rsidTr="00474F58">
        <w:trPr>
          <w:trHeight w:val="20"/>
          <w:jc w:val="center"/>
        </w:trPr>
        <w:tc>
          <w:tcPr>
            <w:tcW w:w="1413" w:type="dxa"/>
            <w:vMerge w:val="restart"/>
            <w:vAlign w:val="center"/>
          </w:tcPr>
          <w:p w14:paraId="5F5A131C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Maximum safe removal</w:t>
            </w:r>
          </w:p>
        </w:tc>
        <w:tc>
          <w:tcPr>
            <w:tcW w:w="1701" w:type="dxa"/>
          </w:tcPr>
          <w:p w14:paraId="1D9C011A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Partial removal, n (%)</w:t>
            </w:r>
          </w:p>
        </w:tc>
        <w:tc>
          <w:tcPr>
            <w:tcW w:w="1417" w:type="dxa"/>
          </w:tcPr>
          <w:p w14:paraId="04E2F374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30 (22.6)</w:t>
            </w:r>
          </w:p>
        </w:tc>
        <w:tc>
          <w:tcPr>
            <w:tcW w:w="1418" w:type="dxa"/>
          </w:tcPr>
          <w:p w14:paraId="11A254AD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20 (22.0)</w:t>
            </w:r>
          </w:p>
        </w:tc>
        <w:tc>
          <w:tcPr>
            <w:tcW w:w="1808" w:type="dxa"/>
          </w:tcPr>
          <w:p w14:paraId="1B9738C8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10 (23.8)</w:t>
            </w:r>
          </w:p>
        </w:tc>
        <w:tc>
          <w:tcPr>
            <w:tcW w:w="748" w:type="dxa"/>
            <w:gridSpan w:val="2"/>
            <w:vMerge w:val="restart"/>
          </w:tcPr>
          <w:p w14:paraId="136A1285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0.31</w:t>
            </w:r>
          </w:p>
        </w:tc>
      </w:tr>
      <w:tr w:rsidR="00B978A7" w14:paraId="6AB546DC" w14:textId="77777777" w:rsidTr="00474F58"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14:paraId="4D4C5093" w14:textId="77777777" w:rsidR="00B978A7" w:rsidRDefault="00B978A7" w:rsidP="00474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BC0733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Total (&gt;90%) removal, n (%)</w:t>
            </w:r>
          </w:p>
        </w:tc>
        <w:tc>
          <w:tcPr>
            <w:tcW w:w="1417" w:type="dxa"/>
          </w:tcPr>
          <w:p w14:paraId="5F6CE34D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80 (60.2)</w:t>
            </w:r>
          </w:p>
        </w:tc>
        <w:tc>
          <w:tcPr>
            <w:tcW w:w="1418" w:type="dxa"/>
          </w:tcPr>
          <w:p w14:paraId="6F58EE84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61 (67.0)</w:t>
            </w:r>
          </w:p>
        </w:tc>
        <w:tc>
          <w:tcPr>
            <w:tcW w:w="1808" w:type="dxa"/>
          </w:tcPr>
          <w:p w14:paraId="41C32D39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19 (45.2)</w:t>
            </w:r>
          </w:p>
        </w:tc>
        <w:tc>
          <w:tcPr>
            <w:tcW w:w="748" w:type="dxa"/>
            <w:gridSpan w:val="2"/>
            <w:vMerge/>
          </w:tcPr>
          <w:p w14:paraId="77AAB381" w14:textId="77777777" w:rsidR="00B978A7" w:rsidRDefault="00B978A7" w:rsidP="00474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</w:p>
        </w:tc>
      </w:tr>
      <w:tr w:rsidR="00B978A7" w14:paraId="210A542B" w14:textId="77777777" w:rsidTr="00474F58">
        <w:trPr>
          <w:trHeight w:val="20"/>
          <w:jc w:val="center"/>
        </w:trPr>
        <w:tc>
          <w:tcPr>
            <w:tcW w:w="8505" w:type="dxa"/>
            <w:gridSpan w:val="7"/>
          </w:tcPr>
          <w:p w14:paraId="476C4E72" w14:textId="77777777" w:rsidR="00B978A7" w:rsidRDefault="00B978A7" w:rsidP="00474F58">
            <w:pPr>
              <w:rPr>
                <w:rFonts w:ascii="Arial" w:eastAsia="Arial" w:hAnsi="Arial" w:cs="Arial"/>
                <w:b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A0A0A"/>
                <w:sz w:val="20"/>
                <w:szCs w:val="20"/>
              </w:rPr>
              <w:t>Adjuvant therapy</w:t>
            </w:r>
          </w:p>
        </w:tc>
      </w:tr>
      <w:tr w:rsidR="00B978A7" w14:paraId="31FEFA55" w14:textId="77777777" w:rsidTr="00474F58">
        <w:trPr>
          <w:trHeight w:val="20"/>
          <w:jc w:val="center"/>
        </w:trPr>
        <w:tc>
          <w:tcPr>
            <w:tcW w:w="3114" w:type="dxa"/>
            <w:gridSpan w:val="2"/>
          </w:tcPr>
          <w:p w14:paraId="244BA68D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Non-adjuvant therapy, n (%)</w:t>
            </w:r>
          </w:p>
        </w:tc>
        <w:tc>
          <w:tcPr>
            <w:tcW w:w="1417" w:type="dxa"/>
          </w:tcPr>
          <w:p w14:paraId="05413A28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4 (3.0)</w:t>
            </w:r>
          </w:p>
        </w:tc>
        <w:tc>
          <w:tcPr>
            <w:tcW w:w="1418" w:type="dxa"/>
          </w:tcPr>
          <w:p w14:paraId="3260B639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2 (2.2)</w:t>
            </w:r>
          </w:p>
        </w:tc>
        <w:tc>
          <w:tcPr>
            <w:tcW w:w="1808" w:type="dxa"/>
          </w:tcPr>
          <w:p w14:paraId="433B6A32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2 (4.8)</w:t>
            </w:r>
          </w:p>
        </w:tc>
        <w:tc>
          <w:tcPr>
            <w:tcW w:w="748" w:type="dxa"/>
            <w:gridSpan w:val="2"/>
            <w:vMerge w:val="restart"/>
          </w:tcPr>
          <w:p w14:paraId="5965D090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0.46</w:t>
            </w:r>
          </w:p>
        </w:tc>
      </w:tr>
      <w:tr w:rsidR="00B978A7" w14:paraId="555A422D" w14:textId="77777777" w:rsidTr="00474F58">
        <w:trPr>
          <w:trHeight w:val="20"/>
          <w:jc w:val="center"/>
        </w:trPr>
        <w:tc>
          <w:tcPr>
            <w:tcW w:w="3114" w:type="dxa"/>
            <w:gridSpan w:val="2"/>
          </w:tcPr>
          <w:p w14:paraId="1DD65670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Chemotherapy and radiation therapy, n (%)</w:t>
            </w:r>
          </w:p>
        </w:tc>
        <w:tc>
          <w:tcPr>
            <w:tcW w:w="1417" w:type="dxa"/>
          </w:tcPr>
          <w:p w14:paraId="42BECC12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125 (94.0)</w:t>
            </w:r>
          </w:p>
        </w:tc>
        <w:tc>
          <w:tcPr>
            <w:tcW w:w="1418" w:type="dxa"/>
          </w:tcPr>
          <w:p w14:paraId="2CA7B006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87 (95.6)</w:t>
            </w:r>
          </w:p>
        </w:tc>
        <w:tc>
          <w:tcPr>
            <w:tcW w:w="1808" w:type="dxa"/>
          </w:tcPr>
          <w:p w14:paraId="381895B8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38 (90.5)</w:t>
            </w:r>
          </w:p>
        </w:tc>
        <w:tc>
          <w:tcPr>
            <w:tcW w:w="748" w:type="dxa"/>
            <w:gridSpan w:val="2"/>
            <w:vMerge/>
          </w:tcPr>
          <w:p w14:paraId="22348EE2" w14:textId="77777777" w:rsidR="00B978A7" w:rsidRDefault="00B978A7" w:rsidP="00474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</w:p>
        </w:tc>
      </w:tr>
      <w:tr w:rsidR="00B978A7" w14:paraId="2DE498F7" w14:textId="77777777" w:rsidTr="00474F58">
        <w:trPr>
          <w:trHeight w:val="20"/>
          <w:jc w:val="center"/>
        </w:trPr>
        <w:tc>
          <w:tcPr>
            <w:tcW w:w="3114" w:type="dxa"/>
            <w:gridSpan w:val="2"/>
          </w:tcPr>
          <w:p w14:paraId="02A99C88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Only radiation therapy, n (%)</w:t>
            </w:r>
          </w:p>
        </w:tc>
        <w:tc>
          <w:tcPr>
            <w:tcW w:w="1417" w:type="dxa"/>
          </w:tcPr>
          <w:p w14:paraId="3FE6BB43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2 (1.5)</w:t>
            </w:r>
          </w:p>
        </w:tc>
        <w:tc>
          <w:tcPr>
            <w:tcW w:w="1418" w:type="dxa"/>
          </w:tcPr>
          <w:p w14:paraId="11AAD97A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1 (1.1)</w:t>
            </w:r>
          </w:p>
        </w:tc>
        <w:tc>
          <w:tcPr>
            <w:tcW w:w="1808" w:type="dxa"/>
          </w:tcPr>
          <w:p w14:paraId="6265E985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1 (2.4)</w:t>
            </w:r>
          </w:p>
        </w:tc>
        <w:tc>
          <w:tcPr>
            <w:tcW w:w="748" w:type="dxa"/>
            <w:gridSpan w:val="2"/>
            <w:vMerge/>
          </w:tcPr>
          <w:p w14:paraId="7ABC891A" w14:textId="77777777" w:rsidR="00B978A7" w:rsidRDefault="00B978A7" w:rsidP="00474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</w:p>
        </w:tc>
      </w:tr>
      <w:tr w:rsidR="00B978A7" w14:paraId="3351B0EA" w14:textId="77777777" w:rsidTr="00474F58">
        <w:trPr>
          <w:trHeight w:val="20"/>
          <w:jc w:val="center"/>
        </w:trPr>
        <w:tc>
          <w:tcPr>
            <w:tcW w:w="3114" w:type="dxa"/>
            <w:gridSpan w:val="2"/>
          </w:tcPr>
          <w:p w14:paraId="35CD1293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Only chemotherapy, n (%)</w:t>
            </w:r>
          </w:p>
        </w:tc>
        <w:tc>
          <w:tcPr>
            <w:tcW w:w="1417" w:type="dxa"/>
          </w:tcPr>
          <w:p w14:paraId="174E58E3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1 (0.8)</w:t>
            </w:r>
          </w:p>
        </w:tc>
        <w:tc>
          <w:tcPr>
            <w:tcW w:w="1418" w:type="dxa"/>
          </w:tcPr>
          <w:p w14:paraId="33B4BAE2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0 (0)</w:t>
            </w:r>
          </w:p>
        </w:tc>
        <w:tc>
          <w:tcPr>
            <w:tcW w:w="1808" w:type="dxa"/>
          </w:tcPr>
          <w:p w14:paraId="37722F58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1 (2.4)</w:t>
            </w:r>
          </w:p>
        </w:tc>
        <w:tc>
          <w:tcPr>
            <w:tcW w:w="748" w:type="dxa"/>
            <w:gridSpan w:val="2"/>
            <w:vMerge/>
          </w:tcPr>
          <w:p w14:paraId="328F0222" w14:textId="77777777" w:rsidR="00B978A7" w:rsidRDefault="00B978A7" w:rsidP="00474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</w:p>
        </w:tc>
      </w:tr>
      <w:tr w:rsidR="00B978A7" w14:paraId="448B5CA7" w14:textId="77777777" w:rsidTr="00474F58">
        <w:trPr>
          <w:trHeight w:val="20"/>
          <w:jc w:val="center"/>
        </w:trPr>
        <w:tc>
          <w:tcPr>
            <w:tcW w:w="3114" w:type="dxa"/>
            <w:gridSpan w:val="2"/>
          </w:tcPr>
          <w:p w14:paraId="5FFCBD53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Others, n (%)</w:t>
            </w:r>
          </w:p>
        </w:tc>
        <w:tc>
          <w:tcPr>
            <w:tcW w:w="1417" w:type="dxa"/>
          </w:tcPr>
          <w:p w14:paraId="7DF7FB74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1 (0.8)</w:t>
            </w:r>
          </w:p>
        </w:tc>
        <w:tc>
          <w:tcPr>
            <w:tcW w:w="1418" w:type="dxa"/>
          </w:tcPr>
          <w:p w14:paraId="2D769D55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1 (1.1)</w:t>
            </w:r>
          </w:p>
        </w:tc>
        <w:tc>
          <w:tcPr>
            <w:tcW w:w="1808" w:type="dxa"/>
          </w:tcPr>
          <w:p w14:paraId="3A7E9A06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0 (0)</w:t>
            </w:r>
          </w:p>
        </w:tc>
        <w:tc>
          <w:tcPr>
            <w:tcW w:w="748" w:type="dxa"/>
            <w:gridSpan w:val="2"/>
            <w:vMerge/>
          </w:tcPr>
          <w:p w14:paraId="25E7B159" w14:textId="77777777" w:rsidR="00B978A7" w:rsidRDefault="00B978A7" w:rsidP="00474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</w:p>
        </w:tc>
      </w:tr>
      <w:tr w:rsidR="00B978A7" w14:paraId="7E611249" w14:textId="77777777" w:rsidTr="00474F58">
        <w:trPr>
          <w:trHeight w:val="20"/>
          <w:jc w:val="center"/>
        </w:trPr>
        <w:tc>
          <w:tcPr>
            <w:tcW w:w="3114" w:type="dxa"/>
            <w:gridSpan w:val="2"/>
          </w:tcPr>
          <w:p w14:paraId="316E4AC9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Avastin, n (%)</w:t>
            </w:r>
          </w:p>
        </w:tc>
        <w:tc>
          <w:tcPr>
            <w:tcW w:w="1417" w:type="dxa"/>
          </w:tcPr>
          <w:p w14:paraId="6F37CBDF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44 (33.1)</w:t>
            </w:r>
          </w:p>
        </w:tc>
        <w:tc>
          <w:tcPr>
            <w:tcW w:w="1418" w:type="dxa"/>
          </w:tcPr>
          <w:p w14:paraId="4A951575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26 (28.6)</w:t>
            </w:r>
          </w:p>
        </w:tc>
        <w:tc>
          <w:tcPr>
            <w:tcW w:w="1808" w:type="dxa"/>
          </w:tcPr>
          <w:p w14:paraId="546515A0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18 (42.9)</w:t>
            </w:r>
          </w:p>
        </w:tc>
        <w:tc>
          <w:tcPr>
            <w:tcW w:w="748" w:type="dxa"/>
            <w:gridSpan w:val="2"/>
          </w:tcPr>
          <w:p w14:paraId="44FB7916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0.10</w:t>
            </w:r>
          </w:p>
        </w:tc>
      </w:tr>
      <w:tr w:rsidR="00B978A7" w14:paraId="5371B793" w14:textId="77777777" w:rsidTr="00474F58">
        <w:trPr>
          <w:trHeight w:val="20"/>
          <w:jc w:val="center"/>
        </w:trPr>
        <w:tc>
          <w:tcPr>
            <w:tcW w:w="8505" w:type="dxa"/>
            <w:gridSpan w:val="7"/>
          </w:tcPr>
          <w:p w14:paraId="6D077DCB" w14:textId="77777777" w:rsidR="00B978A7" w:rsidRDefault="00B978A7" w:rsidP="00474F58">
            <w:pPr>
              <w:rPr>
                <w:rFonts w:ascii="Arial" w:eastAsia="Arial" w:hAnsi="Arial" w:cs="Arial"/>
                <w:b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A0A0A"/>
                <w:sz w:val="20"/>
                <w:szCs w:val="20"/>
              </w:rPr>
              <w:t>Molecular features</w:t>
            </w:r>
          </w:p>
        </w:tc>
      </w:tr>
      <w:tr w:rsidR="00B978A7" w14:paraId="65D54A55" w14:textId="77777777" w:rsidTr="00474F58">
        <w:trPr>
          <w:trHeight w:val="20"/>
          <w:jc w:val="center"/>
        </w:trPr>
        <w:tc>
          <w:tcPr>
            <w:tcW w:w="3114" w:type="dxa"/>
            <w:gridSpan w:val="2"/>
          </w:tcPr>
          <w:p w14:paraId="4C9C72B8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IDH mutation, n (%)</w:t>
            </w:r>
          </w:p>
        </w:tc>
        <w:tc>
          <w:tcPr>
            <w:tcW w:w="1417" w:type="dxa"/>
          </w:tcPr>
          <w:p w14:paraId="28E9E166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5 (4.2)</w:t>
            </w:r>
          </w:p>
        </w:tc>
        <w:tc>
          <w:tcPr>
            <w:tcW w:w="1418" w:type="dxa"/>
          </w:tcPr>
          <w:p w14:paraId="2F78D6C1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3 (3.8)</w:t>
            </w:r>
          </w:p>
        </w:tc>
        <w:tc>
          <w:tcPr>
            <w:tcW w:w="1808" w:type="dxa"/>
          </w:tcPr>
          <w:p w14:paraId="49D375A4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2 (5.3)</w:t>
            </w:r>
          </w:p>
        </w:tc>
        <w:tc>
          <w:tcPr>
            <w:tcW w:w="748" w:type="dxa"/>
            <w:gridSpan w:val="2"/>
          </w:tcPr>
          <w:p w14:paraId="5054F203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0.70</w:t>
            </w:r>
          </w:p>
        </w:tc>
      </w:tr>
      <w:tr w:rsidR="00B978A7" w14:paraId="11EB2D7F" w14:textId="77777777" w:rsidTr="00474F58">
        <w:trPr>
          <w:trHeight w:val="20"/>
          <w:jc w:val="center"/>
        </w:trPr>
        <w:tc>
          <w:tcPr>
            <w:tcW w:w="3114" w:type="dxa"/>
            <w:gridSpan w:val="2"/>
          </w:tcPr>
          <w:p w14:paraId="429198A3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MGMT methylation, n (%)</w:t>
            </w:r>
          </w:p>
        </w:tc>
        <w:tc>
          <w:tcPr>
            <w:tcW w:w="1417" w:type="dxa"/>
          </w:tcPr>
          <w:p w14:paraId="6699856C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32 (31.4)</w:t>
            </w:r>
          </w:p>
        </w:tc>
        <w:tc>
          <w:tcPr>
            <w:tcW w:w="1418" w:type="dxa"/>
          </w:tcPr>
          <w:p w14:paraId="2AA062C4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23 (32.4)</w:t>
            </w:r>
          </w:p>
        </w:tc>
        <w:tc>
          <w:tcPr>
            <w:tcW w:w="1808" w:type="dxa"/>
          </w:tcPr>
          <w:p w14:paraId="65F9CD92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9 (29.0)</w:t>
            </w:r>
          </w:p>
        </w:tc>
        <w:tc>
          <w:tcPr>
            <w:tcW w:w="748" w:type="dxa"/>
            <w:gridSpan w:val="2"/>
          </w:tcPr>
          <w:p w14:paraId="3B50481C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0.74</w:t>
            </w:r>
          </w:p>
        </w:tc>
      </w:tr>
      <w:tr w:rsidR="00B978A7" w14:paraId="09D5A8FF" w14:textId="77777777" w:rsidTr="00474F58">
        <w:trPr>
          <w:trHeight w:val="20"/>
          <w:jc w:val="center"/>
        </w:trPr>
        <w:tc>
          <w:tcPr>
            <w:tcW w:w="3114" w:type="dxa"/>
            <w:gridSpan w:val="2"/>
          </w:tcPr>
          <w:p w14:paraId="063D1404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MIB1 index, median, IQR</w:t>
            </w:r>
          </w:p>
        </w:tc>
        <w:tc>
          <w:tcPr>
            <w:tcW w:w="1417" w:type="dxa"/>
          </w:tcPr>
          <w:p w14:paraId="70359DBD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0.3 [0.2–0.4]</w:t>
            </w:r>
          </w:p>
        </w:tc>
        <w:tc>
          <w:tcPr>
            <w:tcW w:w="1418" w:type="dxa"/>
          </w:tcPr>
          <w:p w14:paraId="53F15604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0.3 [0.2–0.4]</w:t>
            </w:r>
          </w:p>
        </w:tc>
        <w:tc>
          <w:tcPr>
            <w:tcW w:w="1808" w:type="dxa"/>
          </w:tcPr>
          <w:p w14:paraId="6C7DC91E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0.2 [0.2–0.4]</w:t>
            </w:r>
          </w:p>
        </w:tc>
        <w:tc>
          <w:tcPr>
            <w:tcW w:w="748" w:type="dxa"/>
            <w:gridSpan w:val="2"/>
          </w:tcPr>
          <w:p w14:paraId="309972CB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0.35</w:t>
            </w:r>
          </w:p>
        </w:tc>
      </w:tr>
      <w:tr w:rsidR="00B978A7" w14:paraId="57F2C145" w14:textId="77777777" w:rsidTr="00474F58">
        <w:trPr>
          <w:trHeight w:val="20"/>
          <w:jc w:val="center"/>
        </w:trPr>
        <w:tc>
          <w:tcPr>
            <w:tcW w:w="8505" w:type="dxa"/>
            <w:gridSpan w:val="7"/>
          </w:tcPr>
          <w:p w14:paraId="64C0EA8B" w14:textId="77777777" w:rsidR="00B978A7" w:rsidRDefault="00B978A7" w:rsidP="00474F58">
            <w:pPr>
              <w:rPr>
                <w:rFonts w:ascii="Arial" w:eastAsia="Arial" w:hAnsi="Arial" w:cs="Arial"/>
                <w:b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A0A0A"/>
                <w:sz w:val="20"/>
                <w:szCs w:val="20"/>
              </w:rPr>
              <w:t>Follow-up duration</w:t>
            </w:r>
          </w:p>
        </w:tc>
      </w:tr>
      <w:tr w:rsidR="00B978A7" w14:paraId="3ECEA36C" w14:textId="77777777" w:rsidTr="00474F58">
        <w:trPr>
          <w:trHeight w:val="20"/>
          <w:jc w:val="center"/>
        </w:trPr>
        <w:tc>
          <w:tcPr>
            <w:tcW w:w="3114" w:type="dxa"/>
            <w:gridSpan w:val="2"/>
          </w:tcPr>
          <w:p w14:paraId="16ED47B0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Follow-up duration, months median, IQR</w:t>
            </w:r>
          </w:p>
        </w:tc>
        <w:tc>
          <w:tcPr>
            <w:tcW w:w="1417" w:type="dxa"/>
          </w:tcPr>
          <w:p w14:paraId="27E3F9B0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17 [9–26]</w:t>
            </w:r>
          </w:p>
        </w:tc>
        <w:tc>
          <w:tcPr>
            <w:tcW w:w="1418" w:type="dxa"/>
          </w:tcPr>
          <w:p w14:paraId="6FEEAB1A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17 [9–26]</w:t>
            </w:r>
          </w:p>
        </w:tc>
        <w:tc>
          <w:tcPr>
            <w:tcW w:w="1853" w:type="dxa"/>
            <w:gridSpan w:val="2"/>
          </w:tcPr>
          <w:p w14:paraId="3227004E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14 [9–26]</w:t>
            </w:r>
          </w:p>
        </w:tc>
        <w:tc>
          <w:tcPr>
            <w:tcW w:w="703" w:type="dxa"/>
          </w:tcPr>
          <w:p w14:paraId="1D436D8E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0.64</w:t>
            </w:r>
          </w:p>
        </w:tc>
      </w:tr>
    </w:tbl>
    <w:p w14:paraId="6B0B3895" w14:textId="77777777" w:rsidR="00921DFC" w:rsidRDefault="00921DFC">
      <w:pPr>
        <w:spacing w:before="280" w:after="280"/>
        <w:rPr>
          <w:rFonts w:ascii="Arial" w:eastAsia="Arial" w:hAnsi="Arial" w:cs="Arial"/>
          <w:b/>
          <w:color w:val="0A0A0A"/>
          <w:sz w:val="20"/>
          <w:szCs w:val="20"/>
        </w:rPr>
      </w:pPr>
    </w:p>
    <w:p w14:paraId="2886A5D0" w14:textId="77777777" w:rsidR="00921DFC" w:rsidRDefault="00921DFC">
      <w:pPr>
        <w:spacing w:before="280" w:after="280"/>
        <w:rPr>
          <w:rFonts w:ascii="Arial" w:eastAsia="Arial" w:hAnsi="Arial" w:cs="Arial"/>
          <w:b/>
          <w:color w:val="0A0A0A"/>
          <w:sz w:val="20"/>
          <w:szCs w:val="20"/>
        </w:rPr>
      </w:pPr>
    </w:p>
    <w:p w14:paraId="5093F5CD" w14:textId="77777777" w:rsidR="00921DFC" w:rsidRDefault="00921DFC">
      <w:pPr>
        <w:spacing w:before="280" w:after="280"/>
        <w:rPr>
          <w:rFonts w:ascii="Arial" w:eastAsia="Arial" w:hAnsi="Arial" w:cs="Arial"/>
          <w:b/>
          <w:color w:val="0A0A0A"/>
          <w:sz w:val="20"/>
          <w:szCs w:val="20"/>
        </w:rPr>
      </w:pPr>
    </w:p>
    <w:p w14:paraId="5749A020" w14:textId="77777777" w:rsidR="00921DFC" w:rsidRDefault="00921DFC">
      <w:pPr>
        <w:spacing w:before="280" w:after="280"/>
        <w:rPr>
          <w:rFonts w:ascii="Arial" w:eastAsia="Arial" w:hAnsi="Arial" w:cs="Arial"/>
          <w:b/>
          <w:color w:val="0A0A0A"/>
          <w:sz w:val="20"/>
          <w:szCs w:val="20"/>
        </w:rPr>
      </w:pPr>
    </w:p>
    <w:p w14:paraId="3E90BF9F" w14:textId="77777777" w:rsidR="00921DFC" w:rsidRDefault="00921DFC">
      <w:pPr>
        <w:spacing w:before="280" w:after="280"/>
        <w:rPr>
          <w:rFonts w:ascii="Arial" w:eastAsia="Arial" w:hAnsi="Arial" w:cs="Arial"/>
          <w:b/>
          <w:color w:val="0A0A0A"/>
          <w:sz w:val="20"/>
          <w:szCs w:val="20"/>
        </w:rPr>
      </w:pPr>
    </w:p>
    <w:p w14:paraId="521401FD" w14:textId="77777777" w:rsidR="00921DFC" w:rsidRDefault="00921DFC">
      <w:pPr>
        <w:spacing w:before="280" w:after="280"/>
        <w:rPr>
          <w:rFonts w:ascii="Arial" w:eastAsia="Arial" w:hAnsi="Arial" w:cs="Arial"/>
          <w:b/>
          <w:color w:val="0A0A0A"/>
          <w:sz w:val="20"/>
          <w:szCs w:val="20"/>
        </w:rPr>
      </w:pPr>
    </w:p>
    <w:p w14:paraId="649D2ED5" w14:textId="77777777" w:rsidR="00921DFC" w:rsidRDefault="00921DFC">
      <w:pPr>
        <w:spacing w:before="280" w:after="280"/>
        <w:rPr>
          <w:rFonts w:ascii="Arial" w:eastAsia="Arial" w:hAnsi="Arial" w:cs="Arial"/>
          <w:b/>
          <w:color w:val="0A0A0A"/>
          <w:sz w:val="20"/>
          <w:szCs w:val="20"/>
        </w:rPr>
      </w:pPr>
    </w:p>
    <w:p w14:paraId="7D1A9F1B" w14:textId="77777777" w:rsidR="00921DFC" w:rsidRDefault="00921DFC">
      <w:pPr>
        <w:spacing w:before="280" w:after="280"/>
        <w:rPr>
          <w:rFonts w:ascii="Arial" w:eastAsia="Arial" w:hAnsi="Arial" w:cs="Arial"/>
          <w:b/>
          <w:color w:val="0A0A0A"/>
          <w:sz w:val="20"/>
          <w:szCs w:val="20"/>
        </w:rPr>
      </w:pPr>
    </w:p>
    <w:p w14:paraId="0156C713" w14:textId="77777777" w:rsidR="00921DFC" w:rsidRDefault="00921DFC">
      <w:pPr>
        <w:spacing w:before="280" w:after="280"/>
        <w:rPr>
          <w:rFonts w:ascii="Arial" w:eastAsia="Arial" w:hAnsi="Arial" w:cs="Arial"/>
          <w:b/>
          <w:color w:val="0A0A0A"/>
          <w:sz w:val="20"/>
          <w:szCs w:val="20"/>
        </w:rPr>
      </w:pPr>
    </w:p>
    <w:p w14:paraId="791FC58B" w14:textId="77777777" w:rsidR="00921DFC" w:rsidRDefault="00000000">
      <w:pPr>
        <w:spacing w:before="280" w:after="280"/>
        <w:rPr>
          <w:rFonts w:ascii="Arial" w:eastAsia="Arial" w:hAnsi="Arial" w:cs="Arial"/>
          <w:b/>
          <w:color w:val="0A0A0A"/>
          <w:sz w:val="20"/>
          <w:szCs w:val="20"/>
        </w:rPr>
      </w:pPr>
      <w:r>
        <w:rPr>
          <w:rFonts w:ascii="Arial" w:eastAsia="Arial" w:hAnsi="Arial" w:cs="Arial"/>
          <w:b/>
          <w:color w:val="0A0A0A"/>
          <w:sz w:val="20"/>
          <w:szCs w:val="20"/>
        </w:rPr>
        <w:lastRenderedPageBreak/>
        <w:t>Table S2. Effects of the patient group (preoperative angiography vs. non-preoperative angiography) on death and progression</w:t>
      </w:r>
    </w:p>
    <w:tbl>
      <w:tblPr>
        <w:tblW w:w="77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543"/>
        <w:gridCol w:w="993"/>
      </w:tblGrid>
      <w:tr w:rsidR="00B978A7" w14:paraId="1CA68137" w14:textId="77777777" w:rsidTr="00474F58">
        <w:trPr>
          <w:trHeight w:val="20"/>
        </w:trPr>
        <w:tc>
          <w:tcPr>
            <w:tcW w:w="3256" w:type="dxa"/>
          </w:tcPr>
          <w:p w14:paraId="7581D669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Preoperative angiography vs. non-preoperative angiography</w:t>
            </w:r>
          </w:p>
        </w:tc>
        <w:tc>
          <w:tcPr>
            <w:tcW w:w="3543" w:type="dxa"/>
          </w:tcPr>
          <w:p w14:paraId="110B73FC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Crude HR (95% CI)</w:t>
            </w:r>
          </w:p>
        </w:tc>
        <w:tc>
          <w:tcPr>
            <w:tcW w:w="993" w:type="dxa"/>
          </w:tcPr>
          <w:p w14:paraId="7F6D3C12" w14:textId="77777777" w:rsidR="00B978A7" w:rsidRDefault="00B978A7" w:rsidP="00474F58">
            <w:pPr>
              <w:rPr>
                <w:rFonts w:ascii="Arial" w:eastAsia="Arial" w:hAnsi="Arial" w:cs="Arial"/>
                <w:i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A0A0A"/>
                <w:sz w:val="20"/>
                <w:szCs w:val="20"/>
              </w:rPr>
              <w:t>P</w:t>
            </w:r>
          </w:p>
        </w:tc>
      </w:tr>
      <w:tr w:rsidR="00B978A7" w14:paraId="62BBFCFD" w14:textId="77777777" w:rsidTr="00474F58">
        <w:trPr>
          <w:trHeight w:val="20"/>
        </w:trPr>
        <w:tc>
          <w:tcPr>
            <w:tcW w:w="3256" w:type="dxa"/>
          </w:tcPr>
          <w:p w14:paraId="3AB7EC6E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Death</w:t>
            </w:r>
          </w:p>
        </w:tc>
        <w:tc>
          <w:tcPr>
            <w:tcW w:w="3543" w:type="dxa"/>
          </w:tcPr>
          <w:p w14:paraId="3CF5FC72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0.82 (0.55–1.22)</w:t>
            </w:r>
          </w:p>
        </w:tc>
        <w:tc>
          <w:tcPr>
            <w:tcW w:w="993" w:type="dxa"/>
          </w:tcPr>
          <w:p w14:paraId="43E27C01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0.33</w:t>
            </w:r>
          </w:p>
        </w:tc>
      </w:tr>
      <w:tr w:rsidR="00B978A7" w14:paraId="23B8693F" w14:textId="77777777" w:rsidTr="00474F58">
        <w:trPr>
          <w:trHeight w:val="20"/>
        </w:trPr>
        <w:tc>
          <w:tcPr>
            <w:tcW w:w="3256" w:type="dxa"/>
          </w:tcPr>
          <w:p w14:paraId="60E572D0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Progression</w:t>
            </w:r>
          </w:p>
        </w:tc>
        <w:tc>
          <w:tcPr>
            <w:tcW w:w="3543" w:type="dxa"/>
          </w:tcPr>
          <w:p w14:paraId="5D728DE5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0.77 (0.52–1.13)</w:t>
            </w:r>
          </w:p>
        </w:tc>
        <w:tc>
          <w:tcPr>
            <w:tcW w:w="993" w:type="dxa"/>
          </w:tcPr>
          <w:p w14:paraId="0EBA7F75" w14:textId="77777777" w:rsidR="00B978A7" w:rsidRDefault="00B978A7" w:rsidP="00474F58">
            <w:pPr>
              <w:rPr>
                <w:rFonts w:ascii="Arial" w:eastAsia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0.18</w:t>
            </w:r>
          </w:p>
        </w:tc>
      </w:tr>
    </w:tbl>
    <w:p w14:paraId="00931B37" w14:textId="77777777" w:rsidR="00921DFC" w:rsidRDefault="00921DF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2687CC26" w14:textId="77777777" w:rsidR="00921DFC" w:rsidRDefault="00921DF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42AF8601" w14:textId="77777777" w:rsidR="00921DFC" w:rsidRDefault="00921DF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62B49C2E" w14:textId="77777777" w:rsidR="00921DFC" w:rsidRDefault="00921DF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45D881B4" w14:textId="77777777" w:rsidR="00921DFC" w:rsidRDefault="00921DF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DF4ACEF" w14:textId="77777777" w:rsidR="00921DFC" w:rsidRDefault="00000000">
      <w:pPr>
        <w:widowControl/>
        <w:jc w:val="left"/>
        <w:rPr>
          <w:rFonts w:ascii="Arial" w:eastAsia="Arial" w:hAnsi="Arial" w:cs="Arial"/>
          <w:b/>
          <w:color w:val="0A0A0A"/>
          <w:sz w:val="20"/>
          <w:szCs w:val="20"/>
        </w:rPr>
      </w:pPr>
      <w:r>
        <w:br w:type="page"/>
      </w:r>
    </w:p>
    <w:p w14:paraId="4E9B1ECC" w14:textId="77777777" w:rsidR="00921DFC" w:rsidRDefault="00000000">
      <w:pPr>
        <w:rPr>
          <w:rFonts w:ascii="Arial" w:eastAsia="Arial" w:hAnsi="Arial" w:cs="Arial"/>
          <w:b/>
          <w:color w:val="212121"/>
          <w:sz w:val="20"/>
          <w:szCs w:val="20"/>
        </w:rPr>
      </w:pPr>
      <w:r>
        <w:rPr>
          <w:rFonts w:ascii="Arial" w:eastAsia="Arial" w:hAnsi="Arial" w:cs="Arial"/>
          <w:b/>
          <w:color w:val="212121"/>
          <w:sz w:val="20"/>
          <w:szCs w:val="20"/>
        </w:rPr>
        <w:lastRenderedPageBreak/>
        <w:t>Table S3</w:t>
      </w:r>
      <w:r>
        <w:rPr>
          <w:rFonts w:ascii="Arial" w:eastAsia="Arial" w:hAnsi="Arial" w:cs="Arial"/>
          <w:b/>
          <w:color w:val="212121"/>
          <w:sz w:val="20"/>
          <w:szCs w:val="20"/>
          <w:highlight w:val="white"/>
        </w:rPr>
        <w:t xml:space="preserve">. </w:t>
      </w:r>
      <w:r>
        <w:rPr>
          <w:rFonts w:ascii="Arial" w:eastAsia="Arial" w:hAnsi="Arial" w:cs="Arial"/>
          <w:b/>
          <w:color w:val="212121"/>
          <w:sz w:val="20"/>
          <w:szCs w:val="20"/>
        </w:rPr>
        <w:t>Diagnostic method for IDH mutation and MGMT methylation</w:t>
      </w:r>
    </w:p>
    <w:p w14:paraId="47AA19F8" w14:textId="77777777" w:rsidR="00B978A7" w:rsidRDefault="00B978A7">
      <w:pPr>
        <w:rPr>
          <w:rFonts w:ascii="Arial" w:eastAsia="Arial" w:hAnsi="Arial" w:cs="Arial"/>
          <w:color w:val="212121"/>
          <w:sz w:val="20"/>
          <w:szCs w:val="20"/>
          <w:highlight w:val="white"/>
        </w:rPr>
      </w:pPr>
    </w:p>
    <w:tbl>
      <w:tblPr>
        <w:tblStyle w:val="a7"/>
        <w:tblW w:w="8490" w:type="dxa"/>
        <w:tblInd w:w="-10" w:type="dxa"/>
        <w:tblLayout w:type="fixed"/>
        <w:tblLook w:val="0600" w:firstRow="0" w:lastRow="0" w:firstColumn="0" w:lastColumn="0" w:noHBand="1" w:noVBand="1"/>
      </w:tblPr>
      <w:tblGrid>
        <w:gridCol w:w="1440"/>
        <w:gridCol w:w="1980"/>
        <w:gridCol w:w="765"/>
        <w:gridCol w:w="2070"/>
        <w:gridCol w:w="1665"/>
        <w:gridCol w:w="570"/>
      </w:tblGrid>
      <w:tr w:rsidR="00921DFC" w14:paraId="7B331EA0" w14:textId="77777777">
        <w:trPr>
          <w:trHeight w:val="170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FF94703" w14:textId="77777777" w:rsidR="00921DFC" w:rsidRDefault="00921DFC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25FBD6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 (n=91)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AE7A2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Non-early venous filling (n=44)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4EFBF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Early venous filling (n=47)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FE2736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</w:t>
            </w:r>
          </w:p>
        </w:tc>
      </w:tr>
      <w:tr w:rsidR="00921DFC" w14:paraId="5EC422D4" w14:textId="77777777">
        <w:trPr>
          <w:trHeight w:val="170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2AE26C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IDH mutation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3D44A4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Genetic diagnosis, n (%)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7F27B5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 (37.5)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5234CAE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 (35.1)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64187DA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 (39.5)</w:t>
            </w: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058B77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0.69</w:t>
            </w:r>
          </w:p>
        </w:tc>
      </w:tr>
      <w:tr w:rsidR="00921DFC" w14:paraId="1A10306B" w14:textId="77777777">
        <w:trPr>
          <w:trHeight w:val="170"/>
        </w:trPr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790D9D" w14:textId="77777777" w:rsidR="00921DFC" w:rsidRDefault="0092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0BF769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Pathological diagnosis, n (%)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1F3389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 (62.5)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08F80C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 (64.9)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209FB4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 (60.5)</w:t>
            </w:r>
          </w:p>
        </w:tc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9B90D5" w14:textId="77777777" w:rsidR="00921DFC" w:rsidRDefault="0092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1DFC" w14:paraId="7DBFE555" w14:textId="77777777">
        <w:trPr>
          <w:trHeight w:val="170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A1E4838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MGMT methylation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C573E4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Genetic diagnosis, n (%)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FBF33C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 (42.3)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AEEC95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 (39.4)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4B6FB48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 (44.7)</w:t>
            </w: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AD2A2E3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0.65</w:t>
            </w:r>
          </w:p>
        </w:tc>
      </w:tr>
      <w:tr w:rsidR="00921DFC" w14:paraId="79BD977E" w14:textId="77777777">
        <w:trPr>
          <w:trHeight w:val="170"/>
        </w:trPr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5CDEC48" w14:textId="77777777" w:rsidR="00921DFC" w:rsidRDefault="0092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7EE707C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Pathological diagnosis, n (%)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15DEEDB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 (57.8)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A12F08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 (60.6)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964031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 (55.3)</w:t>
            </w:r>
          </w:p>
        </w:tc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C295C10" w14:textId="77777777" w:rsidR="00921DFC" w:rsidRDefault="0092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969BA20" w14:textId="77777777" w:rsidR="00921DFC" w:rsidRDefault="00921DFC">
      <w:pPr>
        <w:rPr>
          <w:rFonts w:ascii="Arial" w:eastAsia="Arial" w:hAnsi="Arial" w:cs="Arial"/>
          <w:color w:val="212121"/>
          <w:sz w:val="20"/>
          <w:szCs w:val="20"/>
          <w:highlight w:val="white"/>
        </w:rPr>
      </w:pPr>
    </w:p>
    <w:p w14:paraId="6816597B" w14:textId="77777777" w:rsidR="00921DFC" w:rsidRDefault="00000000">
      <w:pPr>
        <w:widowControl/>
        <w:jc w:val="left"/>
        <w:rPr>
          <w:rFonts w:ascii="Arial" w:eastAsia="Arial" w:hAnsi="Arial" w:cs="Arial"/>
          <w:color w:val="212121"/>
          <w:sz w:val="20"/>
          <w:szCs w:val="20"/>
          <w:highlight w:val="white"/>
        </w:rPr>
      </w:pPr>
      <w:r>
        <w:br w:type="page"/>
      </w:r>
    </w:p>
    <w:p w14:paraId="3C73A744" w14:textId="77777777" w:rsidR="00921DFC" w:rsidRDefault="00000000">
      <w:pPr>
        <w:spacing w:before="280" w:after="280"/>
        <w:rPr>
          <w:rFonts w:ascii="Arial" w:eastAsia="Arial" w:hAnsi="Arial" w:cs="Arial"/>
          <w:b/>
          <w:color w:val="0A0A0A"/>
          <w:sz w:val="20"/>
          <w:szCs w:val="20"/>
        </w:rPr>
      </w:pPr>
      <w:r>
        <w:rPr>
          <w:rFonts w:ascii="Arial" w:eastAsia="Arial" w:hAnsi="Arial" w:cs="Arial"/>
          <w:b/>
          <w:color w:val="0A0A0A"/>
          <w:sz w:val="20"/>
          <w:szCs w:val="20"/>
        </w:rPr>
        <w:lastRenderedPageBreak/>
        <w:t xml:space="preserve">Table S4. Background for the 20 cases undergone pathological </w:t>
      </w:r>
      <w:proofErr w:type="gramStart"/>
      <w:r>
        <w:rPr>
          <w:rFonts w:ascii="Arial" w:eastAsia="Arial" w:hAnsi="Arial" w:cs="Arial"/>
          <w:b/>
          <w:color w:val="0A0A0A"/>
          <w:sz w:val="20"/>
          <w:szCs w:val="20"/>
        </w:rPr>
        <w:t>examination</w:t>
      </w:r>
      <w:proofErr w:type="gramEnd"/>
    </w:p>
    <w:tbl>
      <w:tblPr>
        <w:tblStyle w:val="a8"/>
        <w:tblW w:w="85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1559"/>
        <w:gridCol w:w="1515"/>
        <w:gridCol w:w="1462"/>
      </w:tblGrid>
      <w:tr w:rsidR="00921DFC" w14:paraId="4CA2EEDF" w14:textId="77777777">
        <w:trPr>
          <w:trHeight w:val="20"/>
          <w:jc w:val="center"/>
        </w:trPr>
        <w:tc>
          <w:tcPr>
            <w:tcW w:w="8506" w:type="dxa"/>
            <w:gridSpan w:val="4"/>
          </w:tcPr>
          <w:p w14:paraId="3BE49E8A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Patient characteristics</w:t>
            </w:r>
          </w:p>
        </w:tc>
      </w:tr>
      <w:tr w:rsidR="00921DFC" w14:paraId="53FE4367" w14:textId="77777777">
        <w:trPr>
          <w:trHeight w:val="20"/>
          <w:jc w:val="center"/>
        </w:trPr>
        <w:tc>
          <w:tcPr>
            <w:tcW w:w="3970" w:type="dxa"/>
          </w:tcPr>
          <w:p w14:paraId="21B2B994" w14:textId="77777777" w:rsidR="00921DFC" w:rsidRDefault="00921D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863110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Non-Early venous filling (n=10) </w:t>
            </w:r>
          </w:p>
        </w:tc>
        <w:tc>
          <w:tcPr>
            <w:tcW w:w="1515" w:type="dxa"/>
          </w:tcPr>
          <w:p w14:paraId="17152BE6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Early venous filling (n=10)</w:t>
            </w:r>
          </w:p>
        </w:tc>
        <w:tc>
          <w:tcPr>
            <w:tcW w:w="1462" w:type="dxa"/>
          </w:tcPr>
          <w:p w14:paraId="2241DE6A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</w:t>
            </w:r>
          </w:p>
        </w:tc>
      </w:tr>
      <w:tr w:rsidR="00921DFC" w14:paraId="149A6D0B" w14:textId="77777777">
        <w:trPr>
          <w:trHeight w:val="20"/>
          <w:jc w:val="center"/>
        </w:trPr>
        <w:tc>
          <w:tcPr>
            <w:tcW w:w="3970" w:type="dxa"/>
          </w:tcPr>
          <w:p w14:paraId="5C6C976A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Age in years, median, IQR</w:t>
            </w:r>
          </w:p>
        </w:tc>
        <w:tc>
          <w:tcPr>
            <w:tcW w:w="1559" w:type="dxa"/>
          </w:tcPr>
          <w:p w14:paraId="4CF9A4E9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45.5 [39.5–70.5]</w:t>
            </w:r>
          </w:p>
        </w:tc>
        <w:tc>
          <w:tcPr>
            <w:tcW w:w="1515" w:type="dxa"/>
          </w:tcPr>
          <w:p w14:paraId="20384B99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 [55.5–70]</w:t>
            </w:r>
          </w:p>
        </w:tc>
        <w:tc>
          <w:tcPr>
            <w:tcW w:w="1462" w:type="dxa"/>
          </w:tcPr>
          <w:p w14:paraId="2AB8F4F7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0.23</w:t>
            </w:r>
          </w:p>
        </w:tc>
      </w:tr>
      <w:tr w:rsidR="00921DFC" w14:paraId="0D5584CF" w14:textId="77777777">
        <w:trPr>
          <w:trHeight w:val="20"/>
          <w:jc w:val="center"/>
        </w:trPr>
        <w:tc>
          <w:tcPr>
            <w:tcW w:w="3970" w:type="dxa"/>
          </w:tcPr>
          <w:p w14:paraId="0355F326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Men, n (%)</w:t>
            </w:r>
          </w:p>
        </w:tc>
        <w:tc>
          <w:tcPr>
            <w:tcW w:w="1559" w:type="dxa"/>
          </w:tcPr>
          <w:p w14:paraId="135DBC78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 (60)</w:t>
            </w:r>
          </w:p>
        </w:tc>
        <w:tc>
          <w:tcPr>
            <w:tcW w:w="1515" w:type="dxa"/>
          </w:tcPr>
          <w:p w14:paraId="0E13FBE6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(50)</w:t>
            </w:r>
          </w:p>
        </w:tc>
        <w:tc>
          <w:tcPr>
            <w:tcW w:w="1462" w:type="dxa"/>
          </w:tcPr>
          <w:p w14:paraId="2FB351CA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0.65</w:t>
            </w:r>
          </w:p>
        </w:tc>
      </w:tr>
      <w:tr w:rsidR="00921DFC" w14:paraId="0CD1C775" w14:textId="77777777">
        <w:trPr>
          <w:trHeight w:val="20"/>
          <w:jc w:val="center"/>
        </w:trPr>
        <w:tc>
          <w:tcPr>
            <w:tcW w:w="8506" w:type="dxa"/>
            <w:gridSpan w:val="4"/>
          </w:tcPr>
          <w:p w14:paraId="24D4A52F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Baseline neurological findings</w:t>
            </w:r>
          </w:p>
        </w:tc>
      </w:tr>
      <w:tr w:rsidR="00921DFC" w14:paraId="0EAA65B3" w14:textId="77777777">
        <w:trPr>
          <w:trHeight w:val="20"/>
          <w:jc w:val="center"/>
        </w:trPr>
        <w:tc>
          <w:tcPr>
            <w:tcW w:w="3970" w:type="dxa"/>
          </w:tcPr>
          <w:p w14:paraId="66DD7CA3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Modified Rankin Scale, median, IQR</w:t>
            </w:r>
          </w:p>
        </w:tc>
        <w:tc>
          <w:tcPr>
            <w:tcW w:w="1559" w:type="dxa"/>
          </w:tcPr>
          <w:p w14:paraId="5A036EB3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[1–2]</w:t>
            </w:r>
          </w:p>
        </w:tc>
        <w:tc>
          <w:tcPr>
            <w:tcW w:w="1515" w:type="dxa"/>
          </w:tcPr>
          <w:p w14:paraId="50BAC209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 [1–4]</w:t>
            </w:r>
          </w:p>
        </w:tc>
        <w:tc>
          <w:tcPr>
            <w:tcW w:w="1462" w:type="dxa"/>
          </w:tcPr>
          <w:p w14:paraId="27B2BA86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0.23</w:t>
            </w:r>
          </w:p>
        </w:tc>
      </w:tr>
      <w:tr w:rsidR="00921DFC" w14:paraId="07FB1A05" w14:textId="77777777">
        <w:trPr>
          <w:trHeight w:val="20"/>
          <w:jc w:val="center"/>
        </w:trPr>
        <w:tc>
          <w:tcPr>
            <w:tcW w:w="3970" w:type="dxa"/>
          </w:tcPr>
          <w:p w14:paraId="3A0C2E4A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Karnofsky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Performance Status, median, IQR</w:t>
            </w:r>
          </w:p>
        </w:tc>
        <w:tc>
          <w:tcPr>
            <w:tcW w:w="1559" w:type="dxa"/>
          </w:tcPr>
          <w:p w14:paraId="00589172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 [70–90]</w:t>
            </w:r>
          </w:p>
        </w:tc>
        <w:tc>
          <w:tcPr>
            <w:tcW w:w="1515" w:type="dxa"/>
          </w:tcPr>
          <w:p w14:paraId="60D07D9B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 [68–83]</w:t>
            </w:r>
          </w:p>
        </w:tc>
        <w:tc>
          <w:tcPr>
            <w:tcW w:w="1462" w:type="dxa"/>
          </w:tcPr>
          <w:p w14:paraId="396F902E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0.46</w:t>
            </w:r>
          </w:p>
        </w:tc>
      </w:tr>
      <w:tr w:rsidR="00921DFC" w14:paraId="77F95BD9" w14:textId="77777777">
        <w:trPr>
          <w:trHeight w:val="20"/>
          <w:jc w:val="center"/>
        </w:trPr>
        <w:tc>
          <w:tcPr>
            <w:tcW w:w="8506" w:type="dxa"/>
            <w:gridSpan w:val="4"/>
          </w:tcPr>
          <w:p w14:paraId="4721D51C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The degree of removal</w:t>
            </w:r>
          </w:p>
        </w:tc>
      </w:tr>
      <w:tr w:rsidR="00921DFC" w14:paraId="36308B69" w14:textId="77777777">
        <w:trPr>
          <w:trHeight w:val="20"/>
          <w:jc w:val="center"/>
        </w:trPr>
        <w:tc>
          <w:tcPr>
            <w:tcW w:w="3970" w:type="dxa"/>
          </w:tcPr>
          <w:p w14:paraId="34459B61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Biopsy, n (%)</w:t>
            </w:r>
          </w:p>
        </w:tc>
        <w:tc>
          <w:tcPr>
            <w:tcW w:w="1559" w:type="dxa"/>
          </w:tcPr>
          <w:p w14:paraId="6D66A257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 (0)</w:t>
            </w:r>
          </w:p>
        </w:tc>
        <w:tc>
          <w:tcPr>
            <w:tcW w:w="1515" w:type="dxa"/>
          </w:tcPr>
          <w:p w14:paraId="156ED619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 (0)</w:t>
            </w:r>
          </w:p>
        </w:tc>
        <w:tc>
          <w:tcPr>
            <w:tcW w:w="1462" w:type="dxa"/>
            <w:vMerge w:val="restart"/>
          </w:tcPr>
          <w:p w14:paraId="58184589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21DFC" w14:paraId="3AA12176" w14:textId="77777777">
        <w:trPr>
          <w:trHeight w:val="20"/>
          <w:jc w:val="center"/>
        </w:trPr>
        <w:tc>
          <w:tcPr>
            <w:tcW w:w="3970" w:type="dxa"/>
          </w:tcPr>
          <w:p w14:paraId="7F611189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Maximum safe removal, n (%)</w:t>
            </w:r>
          </w:p>
        </w:tc>
        <w:tc>
          <w:tcPr>
            <w:tcW w:w="1559" w:type="dxa"/>
          </w:tcPr>
          <w:p w14:paraId="49EA9F2B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(100)</w:t>
            </w:r>
          </w:p>
        </w:tc>
        <w:tc>
          <w:tcPr>
            <w:tcW w:w="1515" w:type="dxa"/>
          </w:tcPr>
          <w:p w14:paraId="48E90BC3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(100)</w:t>
            </w:r>
          </w:p>
        </w:tc>
        <w:tc>
          <w:tcPr>
            <w:tcW w:w="1462" w:type="dxa"/>
            <w:vMerge/>
          </w:tcPr>
          <w:p w14:paraId="2F751B32" w14:textId="77777777" w:rsidR="00921DFC" w:rsidRDefault="0092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21DFC" w14:paraId="535075DA" w14:textId="77777777">
        <w:trPr>
          <w:trHeight w:val="20"/>
          <w:jc w:val="center"/>
        </w:trPr>
        <w:tc>
          <w:tcPr>
            <w:tcW w:w="3970" w:type="dxa"/>
          </w:tcPr>
          <w:p w14:paraId="528D6C9B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Total (&gt;90%) removal, n (%)</w:t>
            </w:r>
          </w:p>
        </w:tc>
        <w:tc>
          <w:tcPr>
            <w:tcW w:w="1559" w:type="dxa"/>
          </w:tcPr>
          <w:p w14:paraId="168C4DC1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 (70)</w:t>
            </w:r>
          </w:p>
        </w:tc>
        <w:tc>
          <w:tcPr>
            <w:tcW w:w="1515" w:type="dxa"/>
          </w:tcPr>
          <w:p w14:paraId="1F8F979E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 (60)</w:t>
            </w:r>
          </w:p>
        </w:tc>
        <w:tc>
          <w:tcPr>
            <w:tcW w:w="1462" w:type="dxa"/>
          </w:tcPr>
          <w:p w14:paraId="62B84C35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0.64</w:t>
            </w:r>
          </w:p>
        </w:tc>
      </w:tr>
      <w:tr w:rsidR="00921DFC" w14:paraId="5B29B32D" w14:textId="77777777">
        <w:trPr>
          <w:trHeight w:val="20"/>
          <w:jc w:val="center"/>
        </w:trPr>
        <w:tc>
          <w:tcPr>
            <w:tcW w:w="8506" w:type="dxa"/>
            <w:gridSpan w:val="4"/>
          </w:tcPr>
          <w:p w14:paraId="50C61BEA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Molecular features</w:t>
            </w:r>
          </w:p>
        </w:tc>
      </w:tr>
      <w:tr w:rsidR="00921DFC" w14:paraId="26691C61" w14:textId="77777777">
        <w:trPr>
          <w:trHeight w:val="20"/>
          <w:jc w:val="center"/>
        </w:trPr>
        <w:tc>
          <w:tcPr>
            <w:tcW w:w="3970" w:type="dxa"/>
          </w:tcPr>
          <w:p w14:paraId="69CBB703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IDH mutation, n (%)</w:t>
            </w:r>
          </w:p>
        </w:tc>
        <w:tc>
          <w:tcPr>
            <w:tcW w:w="1559" w:type="dxa"/>
          </w:tcPr>
          <w:p w14:paraId="4738DCFC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(28.6)</w:t>
            </w:r>
          </w:p>
        </w:tc>
        <w:tc>
          <w:tcPr>
            <w:tcW w:w="1515" w:type="dxa"/>
          </w:tcPr>
          <w:p w14:paraId="6B8282CA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 (0)</w:t>
            </w:r>
          </w:p>
        </w:tc>
        <w:tc>
          <w:tcPr>
            <w:tcW w:w="1462" w:type="dxa"/>
          </w:tcPr>
          <w:p w14:paraId="08E07805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0.07</w:t>
            </w:r>
          </w:p>
        </w:tc>
      </w:tr>
      <w:tr w:rsidR="00921DFC" w14:paraId="43F4141B" w14:textId="77777777">
        <w:trPr>
          <w:trHeight w:val="20"/>
          <w:jc w:val="center"/>
        </w:trPr>
        <w:tc>
          <w:tcPr>
            <w:tcW w:w="3970" w:type="dxa"/>
          </w:tcPr>
          <w:p w14:paraId="2972706F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MGMT methylation, n (%)</w:t>
            </w:r>
          </w:p>
        </w:tc>
        <w:tc>
          <w:tcPr>
            <w:tcW w:w="1559" w:type="dxa"/>
          </w:tcPr>
          <w:p w14:paraId="265018D5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 (50)</w:t>
            </w:r>
          </w:p>
        </w:tc>
        <w:tc>
          <w:tcPr>
            <w:tcW w:w="1515" w:type="dxa"/>
          </w:tcPr>
          <w:p w14:paraId="69D57A4B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(20)</w:t>
            </w:r>
          </w:p>
        </w:tc>
        <w:tc>
          <w:tcPr>
            <w:tcW w:w="1462" w:type="dxa"/>
          </w:tcPr>
          <w:p w14:paraId="3DC1840F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0.21</w:t>
            </w:r>
          </w:p>
        </w:tc>
      </w:tr>
      <w:tr w:rsidR="00921DFC" w14:paraId="0EB742F3" w14:textId="77777777">
        <w:trPr>
          <w:trHeight w:val="20"/>
          <w:jc w:val="center"/>
        </w:trPr>
        <w:tc>
          <w:tcPr>
            <w:tcW w:w="3970" w:type="dxa"/>
          </w:tcPr>
          <w:p w14:paraId="05B435CA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MIB1 index, median, IQR</w:t>
            </w:r>
          </w:p>
        </w:tc>
        <w:tc>
          <w:tcPr>
            <w:tcW w:w="1559" w:type="dxa"/>
          </w:tcPr>
          <w:p w14:paraId="6D804206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0.2 [0.2–0.3]</w:t>
            </w:r>
          </w:p>
        </w:tc>
        <w:tc>
          <w:tcPr>
            <w:tcW w:w="1515" w:type="dxa"/>
          </w:tcPr>
          <w:p w14:paraId="6C71D07F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0.3 [0.1–0.4]</w:t>
            </w:r>
          </w:p>
        </w:tc>
        <w:tc>
          <w:tcPr>
            <w:tcW w:w="1462" w:type="dxa"/>
          </w:tcPr>
          <w:p w14:paraId="65587CC3" w14:textId="77777777" w:rsidR="00921D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0.78</w:t>
            </w:r>
          </w:p>
        </w:tc>
      </w:tr>
    </w:tbl>
    <w:p w14:paraId="27900C4A" w14:textId="77777777" w:rsidR="00921DFC" w:rsidRDefault="00921DF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5C344C92" w14:textId="77777777" w:rsidR="00921DFC" w:rsidRDefault="00000000">
      <w:pPr>
        <w:widowControl/>
        <w:jc w:val="left"/>
        <w:rPr>
          <w:rFonts w:ascii="Arial" w:eastAsia="Arial" w:hAnsi="Arial" w:cs="Arial"/>
          <w:color w:val="212121"/>
          <w:sz w:val="20"/>
          <w:szCs w:val="20"/>
          <w:highlight w:val="white"/>
        </w:rPr>
      </w:pPr>
      <w:r>
        <w:br w:type="page"/>
      </w:r>
    </w:p>
    <w:p w14:paraId="5D6A6723" w14:textId="77777777" w:rsidR="00921DFC" w:rsidRDefault="00000000">
      <w:pPr>
        <w:rPr>
          <w:rFonts w:ascii="Arial" w:eastAsia="Arial" w:hAnsi="Arial" w:cs="Arial"/>
          <w:b/>
          <w:color w:val="212121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212121"/>
          <w:sz w:val="20"/>
          <w:szCs w:val="20"/>
          <w:highlight w:val="white"/>
        </w:rPr>
        <w:lastRenderedPageBreak/>
        <w:t xml:space="preserve">Table S5.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 “Pink” vessels considered to be vascular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mimicry</w:t>
      </w:r>
      <w:proofErr w:type="gramEnd"/>
    </w:p>
    <w:tbl>
      <w:tblPr>
        <w:tblStyle w:val="a9"/>
        <w:tblW w:w="84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70"/>
        <w:gridCol w:w="1035"/>
        <w:gridCol w:w="2205"/>
        <w:gridCol w:w="2040"/>
        <w:gridCol w:w="825"/>
      </w:tblGrid>
      <w:tr w:rsidR="00921DFC" w14:paraId="754835BC" w14:textId="77777777">
        <w:trPr>
          <w:trHeight w:val="20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038B58" w14:textId="77777777" w:rsidR="00921DFC" w:rsidRDefault="00921DFC">
            <w:pPr>
              <w:widowControl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05A2CE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 (n=20)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3B1FF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Non-early venous filling (n=10)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05276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Early venous filling (n=10)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85600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</w:t>
            </w:r>
          </w:p>
        </w:tc>
      </w:tr>
      <w:tr w:rsidR="00921DFC" w14:paraId="5BB97370" w14:textId="77777777">
        <w:trPr>
          <w:trHeight w:val="20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425153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Score 2, n (%)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36C9E1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(25)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EB5F6E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B8DCA0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(50)</w:t>
            </w:r>
          </w:p>
        </w:tc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F4A70E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921DFC" w14:paraId="45080D4B" w14:textId="77777777">
        <w:trPr>
          <w:trHeight w:val="20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8E8818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Score 1, n (%)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07FCF4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 (35)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7FD66A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 (30)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5155B4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 (40)</w:t>
            </w: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51D93F" w14:textId="77777777" w:rsidR="00921DFC" w:rsidRDefault="0092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1DFC" w14:paraId="71169B69" w14:textId="77777777">
        <w:trPr>
          <w:trHeight w:val="20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F2D40E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Score 0, n (%)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E06CF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 (30)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18185A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(50)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6B16C7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(10)</w:t>
            </w: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55A136" w14:textId="77777777" w:rsidR="00921DFC" w:rsidRDefault="0092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1DFC" w14:paraId="5735589F" w14:textId="77777777">
        <w:trPr>
          <w:trHeight w:val="20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5502A9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 diagnosable, n (%)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53B614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(10)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7D0F4F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(20)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C10EB5" w14:textId="77777777" w:rsidR="00921DFC" w:rsidRDefault="00000000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5E1AC3" w14:textId="77777777" w:rsidR="00921DFC" w:rsidRDefault="0092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495A4ED" w14:textId="77777777" w:rsidR="00921DFC" w:rsidRDefault="00921DFC">
      <w:pPr>
        <w:rPr>
          <w:rFonts w:ascii="Arial" w:eastAsia="Arial" w:hAnsi="Arial" w:cs="Arial"/>
        </w:rPr>
      </w:pPr>
    </w:p>
    <w:sectPr w:rsidR="00921DFC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FC"/>
    <w:rsid w:val="007E14FF"/>
    <w:rsid w:val="00921DFC"/>
    <w:rsid w:val="00B06852"/>
    <w:rsid w:val="00B9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B9E51A"/>
  <w15:docId w15:val="{A7DB4EAA-6F67-F84B-AA79-7120186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BD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DPI42tablebody">
    <w:name w:val="MDPI_4.2_table_body"/>
    <w:qFormat/>
    <w:rsid w:val="003C5BD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table" w:customStyle="1" w:styleId="aff0">
    <w:name w:val="aff0"/>
    <w:basedOn w:val="a1"/>
    <w:rsid w:val="003C5BD9"/>
    <w:tblPr>
      <w:tblStyleRowBandSize w:val="1"/>
      <w:tblStyleColBandSize w:val="1"/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QqY91jHBsAK+gAX3FuopTgUQGw==">CgMxLjA4AHIhMTJkNlpRZEpxTzBJeVdkRUVtSTl0SkQ1ZGRWRmZaZFVv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立林洸太朗</dc:creator>
  <cp:lastModifiedBy>立林洸太朗</cp:lastModifiedBy>
  <cp:revision>2</cp:revision>
  <dcterms:created xsi:type="dcterms:W3CDTF">2023-06-25T17:32:00Z</dcterms:created>
  <dcterms:modified xsi:type="dcterms:W3CDTF">2023-06-25T17:32:00Z</dcterms:modified>
</cp:coreProperties>
</file>