
<file path=[Content_Types].xml><?xml version="1.0" encoding="utf-8"?>
<Types xmlns="http://schemas.openxmlformats.org/package/2006/content-types"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Arial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Arial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Supplementary material</w:t>
      </w:r>
    </w:p>
    <w:p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Palatino Linotype" w:hAnsi="Palatino Linotype" w:eastAsia="Times New Roman" w:cs="Times New Roman"/>
          <w:b/>
          <w:snapToGrid w:val="0"/>
          <w:color w:val="000000"/>
          <w:kern w:val="0"/>
          <w:sz w:val="36"/>
          <w:szCs w:val="20"/>
          <w:lang w:val="en-US" w:eastAsia="de-DE" w:bidi="en-US"/>
        </w:rPr>
        <w:t xml:space="preserve">Single-dose intranasal immunisation with novel </w:t>
      </w:r>
      <w:r>
        <w:rPr>
          <w:rFonts w:hint="eastAsia" w:ascii="Palatino Linotype" w:hAnsi="Palatino Linotype" w:eastAsia="Times New Roman" w:cs="Times New Roman"/>
          <w:b/>
          <w:snapToGrid w:val="0"/>
          <w:color w:val="000000"/>
          <w:kern w:val="0"/>
          <w:sz w:val="36"/>
          <w:szCs w:val="20"/>
          <w:lang w:val="en-US" w:eastAsia="zh-CN" w:bidi="en-US"/>
        </w:rPr>
        <w:t>chimeric</w:t>
      </w:r>
      <w:r>
        <w:rPr>
          <w:rFonts w:hint="default" w:ascii="Palatino Linotype" w:hAnsi="Palatino Linotype" w:eastAsia="Times New Roman" w:cs="Times New Roman"/>
          <w:b/>
          <w:snapToGrid w:val="0"/>
          <w:color w:val="000000"/>
          <w:kern w:val="0"/>
          <w:sz w:val="36"/>
          <w:szCs w:val="20"/>
          <w:lang w:val="en-US" w:eastAsia="de-DE" w:bidi="en-US"/>
        </w:rPr>
        <w:t xml:space="preserve"> H</w:t>
      </w:r>
      <w:r>
        <w:rPr>
          <w:rFonts w:hint="eastAsia" w:ascii="Palatino Linotype" w:hAnsi="Palatino Linotype" w:eastAsia="Times New Roman" w:cs="Times New Roman"/>
          <w:b/>
          <w:snapToGrid w:val="0"/>
          <w:color w:val="000000"/>
          <w:kern w:val="0"/>
          <w:sz w:val="36"/>
          <w:szCs w:val="20"/>
          <w:lang w:val="en-US" w:eastAsia="zh-CN" w:bidi="en-US"/>
        </w:rPr>
        <w:t>1</w:t>
      </w:r>
      <w:r>
        <w:rPr>
          <w:rFonts w:hint="default" w:ascii="Palatino Linotype" w:hAnsi="Palatino Linotype" w:eastAsia="Times New Roman" w:cs="Times New Roman"/>
          <w:b/>
          <w:snapToGrid w:val="0"/>
          <w:color w:val="000000"/>
          <w:kern w:val="0"/>
          <w:sz w:val="36"/>
          <w:szCs w:val="20"/>
          <w:lang w:val="en-US" w:eastAsia="de-DE" w:bidi="en-US"/>
        </w:rPr>
        <w:t xml:space="preserve">N1 expressing the receptor-binding domain of </w:t>
      </w:r>
      <w:r>
        <w:rPr>
          <w:rFonts w:hint="default" w:ascii="Palatino Linotype" w:hAnsi="Palatino Linotype" w:eastAsia="Times New Roman" w:cs="Times New Roman"/>
          <w:b/>
          <w:snapToGrid w:val="0"/>
          <w:color w:val="000000"/>
          <w:kern w:val="0"/>
          <w:sz w:val="36"/>
          <w:szCs w:val="20"/>
          <w:lang w:val="en-US" w:eastAsia="zh-CN" w:bidi="en-US"/>
        </w:rPr>
        <w:t>SARS-CoV-2</w:t>
      </w:r>
      <w:r>
        <w:rPr>
          <w:rFonts w:hint="default" w:ascii="Palatino Linotype" w:hAnsi="Palatino Linotype" w:eastAsia="Times New Roman" w:cs="Times New Roman"/>
          <w:b/>
          <w:snapToGrid w:val="0"/>
          <w:color w:val="000000"/>
          <w:kern w:val="0"/>
          <w:sz w:val="36"/>
          <w:szCs w:val="20"/>
          <w:lang w:val="en-US" w:eastAsia="de-DE" w:bidi="en-US"/>
        </w:rPr>
        <w:t xml:space="preserve"> induces robust mucosal immunity, tissue-resident memory T cells, and heterologous protection in mice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rPr>
          <w:rFonts w:hint="default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Donghong Wang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1,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Yao Deng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,Jianfang Zhou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2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,Wen Wang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 Baoying Huang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 Wenling Wang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,Lan Wei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,Jiao Ren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 Ruiwen Han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1,3</w:t>
      </w:r>
      <w:r>
        <w:t xml:space="preserve">, 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Jialuo Bing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1,4</w:t>
      </w:r>
      <w:r>
        <w:t xml:space="preserve">, 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Chengcheng Zhai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,Xiaoyan Guo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,Wenjie Tan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vertAlign w:val="superscript"/>
          <w:lang w:val="en-US" w:eastAsia="zh-CN" w:bidi="en-US"/>
        </w:rPr>
        <w:t>1,3,4,</w:t>
      </w:r>
      <w:r>
        <w:rPr>
          <w:rFonts w:hint="eastAsia" w:ascii="Palatino Linotype" w:hAnsi="Palatino Linotype" w:eastAsia="Times New Roman" w:cs="Times New Roman"/>
          <w:b/>
          <w:color w:val="000000"/>
          <w:kern w:val="0"/>
          <w:sz w:val="20"/>
          <w:szCs w:val="22"/>
          <w:lang w:val="en-US" w:eastAsia="zh-CN" w:bidi="en-US"/>
        </w:rPr>
        <w:t>*</w:t>
      </w:r>
    </w:p>
    <w:p>
      <w:pPr>
        <w:spacing w:line="360" w:lineRule="auto"/>
        <w:rPr>
          <w:rFonts w:hint="default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</w:pPr>
      <w:bookmarkStart w:id="0" w:name="OLE_LINK2"/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vertAlign w:val="superscript"/>
          <w:lang w:val="en-US" w:eastAsia="zh-CN" w:bidi="en-US"/>
        </w:rPr>
        <w:t>1</w:t>
      </w:r>
      <w:bookmarkStart w:id="1" w:name="OLE_LINK4"/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de-DE" w:bidi="en-US"/>
        </w:rPr>
        <w:t>Key Laboratory of Biosafety</w:t>
      </w:r>
      <w:bookmarkEnd w:id="0"/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de-DE" w:bidi="en-US"/>
        </w:rPr>
        <w:t>, National Health Commissions, National Institute for Viral Disease Control and Prevention, China CDC</w:t>
      </w:r>
      <w:bookmarkEnd w:id="1"/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de-DE" w:bidi="en-US"/>
        </w:rPr>
        <w:t>, 155 Changbai Road, Beijing, 102206, China</w:t>
      </w: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 xml:space="preserve">;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"mailto:dhwang666@163.com;"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Dhwang666@163.com(D.W.);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"mailto:dengyao@ivdc.chinacdc.cn;"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Dengyao@ivdc.chinacdc.cn(Y.D.);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 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"mailto:wangwen435@sohu.com;"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Wangwen435@sohu.com(W.W.);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"mailto:huangby@ivdc.chinacdc.cn;"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Huangby@ivdc.chinacdc.cn(B.H.);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"mailto:wangwl@ivdc.chinacdc.cn;"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Wangwl@ivdc.chinacdc.cn(W.W.);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"mailto:weilan@ivdc.chinacdc.cn;"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Weilan@ivdc.chinacdc.cn(L.W.);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"mailto:renjiao@ivdc.chinacdc.cn"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Renjiao@ivdc.chinacdc.cn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(J.R.); 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"mailto:chencheny526@163.com;"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Chencheny526@163.com(C.Z.);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"mailto:4991433@qq.com"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4991433@qq.com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(X.G.)</w:t>
      </w:r>
    </w:p>
    <w:p>
      <w:pPr>
        <w:spacing w:line="360" w:lineRule="auto"/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vertAlign w:val="superscript"/>
          <w:lang w:val="en-US" w:eastAsia="zh-CN" w:bidi="en-US"/>
        </w:rPr>
        <w:t>2</w:t>
      </w:r>
      <w:bookmarkStart w:id="2" w:name="OLE_LINK3"/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de-DE" w:bidi="en-US"/>
        </w:rPr>
        <w:t>State Key Laboratory for Molecular Virology and Genetic Engineering,Chinese National Influenza Center, National Institute for Viral Disease Control</w:t>
      </w: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 xml:space="preserve"> </w:t>
      </w: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de-DE" w:bidi="en-US"/>
        </w:rPr>
        <w:t>and Prevention, China CDC,</w:t>
      </w:r>
      <w:bookmarkEnd w:id="2"/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de-DE" w:bidi="en-US"/>
        </w:rPr>
        <w:t xml:space="preserve"> 155 Changbai Road, Beijing, 102206, China</w:t>
      </w: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 xml:space="preserve">; 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"mailto:jfz@cnic.org.cn" </w:instrTex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jfz@cnic.org.cn</w:t>
      </w:r>
      <w:r>
        <w:rPr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>(J.Z.);</w:t>
      </w:r>
    </w:p>
    <w:p>
      <w:pPr>
        <w:spacing w:line="360" w:lineRule="auto"/>
        <w:rPr>
          <w:rFonts w:hint="default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vertAlign w:val="superscript"/>
          <w:lang w:val="en-US" w:eastAsia="zh-CN" w:bidi="en-US"/>
        </w:rPr>
        <w:t>3</w:t>
      </w:r>
      <w:r>
        <w:rPr>
          <w:rFonts w:hint="default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>Zhejiang Provincial Key Laboratory of Medical Genetics,School of Laboratory Medicine and Life Sciences,Wenzhou Medical University,Wenzhou 325035</w:t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, </w:t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"mailto:China;1875756230@qq.com;" </w:instrText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China</w:t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;1875756230@qq.com(R.H.);</w:t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 xml:space="preserve"> </w:t>
      </w:r>
    </w:p>
    <w:p>
      <w:pPr>
        <w:spacing w:line="360" w:lineRule="auto"/>
        <w:rPr>
          <w:rFonts w:hint="default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vertAlign w:val="superscript"/>
          <w:lang w:val="en-US" w:eastAsia="zh-CN" w:bidi="en-US"/>
        </w:rPr>
        <w:t>4</w:t>
      </w:r>
      <w:r>
        <w:rPr>
          <w:rFonts w:hint="default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>School of Public Health, Xinxiang Medical University, Xinxiang 453003,</w:t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 xml:space="preserve"> </w:t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begin"/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instrText xml:space="preserve"> HYPERLINK "mailto:China;2500406897@qq.com;" </w:instrText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separate"/>
      </w:r>
      <w:r>
        <w:rPr>
          <w:rStyle w:val="6"/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China</w:t>
      </w:r>
      <w:r>
        <w:rPr>
          <w:rStyle w:val="6"/>
          <w:rFonts w:hint="eastAsia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t>;2500406897@qq.com(J.B.);</w:t>
      </w:r>
      <w:r>
        <w:rPr>
          <w:rFonts w:hint="default" w:ascii="Palatino Linotype" w:hAnsi="Palatino Linotype" w:eastAsia="Times New Roman" w:cs="Times New Roman"/>
          <w:color w:val="auto"/>
          <w:kern w:val="0"/>
          <w:sz w:val="16"/>
          <w:szCs w:val="18"/>
          <w:u w:val="none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 xml:space="preserve"> </w:t>
      </w:r>
    </w:p>
    <w:p>
      <w:pPr>
        <w:spacing w:line="360" w:lineRule="auto"/>
        <w:rPr>
          <w:rFonts w:hint="default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lnNumType w:countBy="0" w:restart="continuous"/>
          <w:cols w:space="0" w:num="1"/>
          <w:rtlGutter w:val="0"/>
          <w:docGrid w:type="lines" w:linePitch="312" w:charSpace="0"/>
        </w:sectPr>
      </w:pPr>
      <w:r>
        <w:rPr>
          <w:rFonts w:hint="default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>* Correspondence:</w:t>
      </w:r>
      <w:r>
        <w:rPr>
          <w:rFonts w:hint="eastAsia" w:ascii="Palatino Linotype" w:hAnsi="Palatino Linotype" w:eastAsia="Times New Roman" w:cs="Times New Roman"/>
          <w:color w:val="000000"/>
          <w:kern w:val="0"/>
          <w:sz w:val="16"/>
          <w:szCs w:val="18"/>
          <w:lang w:val="en-US" w:eastAsia="zh-CN" w:bidi="en-US"/>
        </w:rPr>
        <w:t>Wenjie Tan(tanwj@ivdc.chinacdc.cn)(W.T)</w:t>
      </w:r>
    </w:p>
    <w:p>
      <w:pPr>
        <w:numPr>
          <w:ilvl w:val="0"/>
          <w:numId w:val="0"/>
        </w:numPr>
        <w:spacing w:line="360" w:lineRule="auto"/>
        <w:rPr>
          <w:rFonts w:hint="default" w:ascii="Palatino Linotype" w:hAnsi="Palatino Linotype" w:eastAsia="Times New Roman" w:cs="Times New Roman"/>
          <w:b/>
          <w:snapToGrid w:val="0"/>
          <w:color w:val="000000"/>
          <w:kern w:val="0"/>
          <w:sz w:val="20"/>
          <w:szCs w:val="22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b/>
          <w:snapToGrid w:val="0"/>
          <w:color w:val="000000"/>
          <w:kern w:val="0"/>
          <w:sz w:val="20"/>
          <w:szCs w:val="22"/>
          <w:lang w:val="en-US" w:eastAsia="zh-CN" w:bidi="en-US"/>
        </w:rPr>
        <w:t>1.</w:t>
      </w:r>
      <w:r>
        <w:rPr>
          <w:rFonts w:hint="default" w:ascii="Palatino Linotype" w:hAnsi="Palatino Linotype" w:eastAsia="Times New Roman" w:cs="Times New Roman"/>
          <w:b/>
          <w:snapToGrid w:val="0"/>
          <w:color w:val="000000"/>
          <w:kern w:val="0"/>
          <w:sz w:val="20"/>
          <w:szCs w:val="22"/>
          <w:lang w:val="en-US" w:eastAsia="zh-CN" w:bidi="en-US"/>
        </w:rPr>
        <w:t>Supplemental Methods</w:t>
      </w:r>
    </w:p>
    <w:p>
      <w:pPr>
        <w:numPr>
          <w:ilvl w:val="0"/>
          <w:numId w:val="0"/>
        </w:numPr>
        <w:spacing w:line="360" w:lineRule="auto"/>
        <w:rPr>
          <w:rFonts w:hint="eastAsia" w:ascii="Palatino Linotype" w:hAnsi="Palatino Linotype" w:eastAsia="Times New Roman" w:cs="Times New Roman"/>
          <w:b w:val="0"/>
          <w:bCs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b w:val="0"/>
          <w:bCs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  <w:t>1.1 Genetic stability of recombinant virus and growth kinetic</w:t>
      </w:r>
    </w:p>
    <w:p>
      <w:pPr>
        <w:spacing w:line="360" w:lineRule="auto"/>
        <w:ind w:firstLine="400" w:firstLineChars="200"/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The viruses of PR8NARBD/PR8,PR8NARBD/WSN were propagated in 9-day-old chicken eggs purchased from Merial, at 100 PFU of each virus was injected into egg. After incubation at 37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℃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 xml:space="preserve"> for 48 h, the virus allantoic fluid was harvested and titrated for TCID50 values. In order to test the genetic stability of recombinant virus, the virus was serially passaged in 9-day-old embryonated eggs five times and collect the allantoic fluid, labeled as E1 to E5 accordingly. 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T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he viruses of passage E1 to E5 were extracted using QIAamp Vira RNA Mini Kit (REF:52906) according to the manufacturer’s instruction and converted to cDNA by Superscript® III First- strand kit (Invitrogen).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T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he unit12 primer (5’-AGCA/GAAAGCAGG-3’) were used to amplified the full-genome with QIAGEN One-step RT-PCR kit and visualized by 1% agarose gel electrophoresis. The PR8-NA-RBD specific fragments were amplified with NA universal primer Ba-NA-1/Ba-NA-1413R described by E.Hoffmann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instrText xml:space="preserve"> ADDIN EN.CITE </w:instrTex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fldChar w:fldCharType="begin">
          <w:fldData xml:space="preserve">PEVuZE5vdGU+PENpdGU+PEF1dGhvcj5Ib2ZmbWFubjwvQXV0aG9yPjxZZWFyPjIwMDI8L1llYXI+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</w:fldData>
        </w:fldChar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instrText xml:space="preserve"> ADDIN EN.CITE.DATA </w:instrTex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fldChar w:fldCharType="separate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fldChar w:fldCharType="end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separate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[1]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end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.The sequences was further confirmed by Sanger sequencing.</w:t>
      </w:r>
    </w:p>
    <w:p>
      <w:pPr>
        <w:numPr>
          <w:ilvl w:val="0"/>
          <w:numId w:val="0"/>
        </w:numPr>
        <w:spacing w:line="360" w:lineRule="auto"/>
        <w:rPr>
          <w:rFonts w:hint="eastAsia" w:ascii="Palatino Linotype" w:hAnsi="Palatino Linotype" w:eastAsia="Times New Roman" w:cs="Times New Roman"/>
          <w:b w:val="0"/>
          <w:bCs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b w:val="0"/>
          <w:bCs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1.2 Western blot </w:t>
      </w:r>
    </w:p>
    <w:p>
      <w:pPr>
        <w:spacing w:line="360" w:lineRule="auto"/>
        <w:ind w:firstLine="400" w:firstLineChars="200"/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The virus allantoic fluid was collected and concentrated purification as previously described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instrText xml:space="preserve"> ADDIN EN.CITE &lt;EndNote&gt;&lt;Cite&gt;&lt;Author&gt;Gao&lt;/Author&gt;&lt;Year&gt;2021&lt;/Year&gt;&lt;RecNum&gt;454&lt;/RecNum&gt;&lt;DisplayText&gt;[2]&lt;/DisplayText&gt;&lt;record&gt;&lt;rec-number&gt;454&lt;/rec-number&gt;&lt;foreign-keys&gt;&lt;key app="EN" db-id="te55fvsf0rdvr0ezxel52fxotasdz5xex55t" timestamp="1683187879"&gt;454&lt;/key&gt;&lt;/foreign-keys&gt;&lt;ref-type name="Journal Article"&gt;17&lt;/ref-type&gt;&lt;contributors&gt;&lt;authors&gt;&lt;author&gt;Gao, J.&lt;/author&gt;&lt;author&gt;Wan, H.&lt;/author&gt;&lt;author&gt;Li, X.&lt;/author&gt;&lt;author&gt;Rakic Martinez, M.&lt;/author&gt;&lt;author&gt;Klenow, L.&lt;/author&gt;&lt;author&gt;Gao, Y.&lt;/author&gt;&lt;author&gt;Ye, Z.&lt;/author&gt;&lt;author&gt;Daniels, R.&lt;/author&gt;&lt;/authors&gt;&lt;/contributors&gt;&lt;auth-address&gt;Division of Viral Products, Center for Biologics Evaluation and Research, Food and Drug Administration, Silver Spring, Maryland, United States of America.&lt;/auth-address&gt;&lt;titles&gt;&lt;title&gt;Balancing the influenza neuraminidase and hemagglutinin responses by exchanging the vaccine virus backbone&lt;/title&gt;&lt;secondary-title&gt;PLoS Pathog&lt;/secondary-title&gt;&lt;/titles&gt;&lt;periodical&gt;&lt;full-title&gt;PLoS Pathog&lt;/full-title&gt;&lt;/periodical&gt;&lt;pages&gt;e1009171&lt;/pages&gt;&lt;volume&gt;17&lt;/volume&gt;&lt;number&gt;4&lt;/number&gt;&lt;edition&gt;2021/04/20&lt;/edition&gt;&lt;keywords&gt;&lt;keyword&gt;Animals&lt;/keyword&gt;&lt;keyword&gt;Antibodies, Neutralizing/blood&lt;/keyword&gt;&lt;keyword&gt;Antibodies, Viral/*immunology&lt;/keyword&gt;&lt;keyword&gt;Cowpox virus/immunology&lt;/keyword&gt;&lt;keyword&gt;Hemagglutinin Glycoproteins, Influenza Virus/immunology&lt;/keyword&gt;&lt;keyword&gt;Hemagglutinins/*immunology&lt;/keyword&gt;&lt;keyword&gt;Humans&lt;/keyword&gt;&lt;keyword&gt;Influenza A Virus, H1N1 Subtype/immunology&lt;/keyword&gt;&lt;keyword&gt;Influenza Vaccines/*immunology&lt;/keyword&gt;&lt;keyword&gt;Influenza, Human/*virology&lt;/keyword&gt;&lt;keyword&gt;Mice&lt;/keyword&gt;&lt;keyword&gt;Neuraminidase/*genetics&lt;/keyword&gt;&lt;/keywords&gt;&lt;dates&gt;&lt;year&gt;2021&lt;/year&gt;&lt;pub-dates&gt;&lt;date&gt;Apr&lt;/date&gt;&lt;/pub-dates&gt;&lt;/dates&gt;&lt;isbn&gt;1553-7366 (Print)&amp;#xD;1553-7366&lt;/isbn&gt;&lt;accession-num&gt;33872324&lt;/accession-num&gt;&lt;urls&gt;&lt;/urls&gt;&lt;custom2&gt;PMC8084346&lt;/custom2&gt;&lt;electronic-resource-num&gt;10.1371/journal.ppat.1009171&lt;/electronic-resource-num&gt;&lt;remote-database-provider&gt;NLM&lt;/remote-database-provider&gt;&lt;language&gt;eng&lt;/language&gt;&lt;/record&gt;&lt;/Cite&gt;&lt;/EndNote&gt;</w:instrTex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separate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[2]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end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. Membranes were probed with rabbit anti-Spike RBD (Biodragon, cat:BD-PD400014), mouse anti-influenza A NP (Millipore, MAB 8257) , Goat anti-rabbit IgG-HRP (KPL,MA, USA) and anti-mouse IgG-HRP antibodies were used as secondary antibodies for chemiluminescence detection by AEC substrate set(551951) and imaged using chemiluminescent imager.</w:t>
      </w:r>
    </w:p>
    <w:p>
      <w:pPr>
        <w:numPr>
          <w:ilvl w:val="0"/>
          <w:numId w:val="0"/>
        </w:numPr>
        <w:spacing w:line="360" w:lineRule="auto"/>
        <w:rPr>
          <w:rFonts w:hint="eastAsia" w:ascii="Palatino Linotype" w:hAnsi="Palatino Linotype" w:eastAsia="Times New Roman" w:cs="Times New Roman"/>
          <w:b w:val="0"/>
          <w:bCs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b w:val="0"/>
          <w:bCs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  <w:t>1.3 Neuraminidase activity measurements</w:t>
      </w:r>
    </w:p>
    <w:p>
      <w:pPr>
        <w:spacing w:line="360" w:lineRule="auto"/>
        <w:ind w:firstLine="400" w:firstLineChars="200"/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NA activity was measured by NA-Fluor™ Influenza Neuraminidase Assay Kit. The viruses were performed serially two-fold dilution across the black plate in 1xNA-Fluor buffer. Add 50 µL of 200 µM MUNANA per well and gently tap the plate to mix. Incubate the plate at 37 ℃ for 1 h. Add 100 µL of stop solution per well to terminate the reaction and gently tap the plate to mix. Read the plate using a fluorometer.</w:t>
      </w:r>
    </w:p>
    <w:p>
      <w:pPr>
        <w:numPr>
          <w:ilvl w:val="0"/>
          <w:numId w:val="0"/>
        </w:numPr>
        <w:spacing w:line="360" w:lineRule="auto"/>
        <w:rPr>
          <w:rFonts w:hint="eastAsia" w:ascii="Palatino Linotype" w:hAnsi="Palatino Linotype" w:eastAsia="Times New Roman" w:cs="Times New Roman"/>
          <w:b w:val="0"/>
          <w:bCs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</w:pPr>
      <w:r>
        <w:rPr>
          <w:rFonts w:hint="eastAsia" w:ascii="Palatino Linotype" w:hAnsi="Palatino Linotype" w:eastAsia="Times New Roman" w:cs="Times New Roman"/>
          <w:b w:val="0"/>
          <w:bCs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  <w:t>1.4 RBD concentration was detected by Enzyme-linked immunosorbent assays (ELISAs)</w:t>
      </w:r>
    </w:p>
    <w:p>
      <w:pPr>
        <w:spacing w:line="360" w:lineRule="auto"/>
        <w:ind w:firstLine="400" w:firstLineChars="200"/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The RBD concentration of the reassortment viruses PR8NARBD/PR8</w:t>
      </w:r>
      <w:r>
        <w:rPr>
          <w:rFonts w:hint="eastAsia" w:ascii="Palatino Linotype" w:hAnsi="Palatino Linotype" w:eastAsia="宋体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 xml:space="preserve">and PR8NARBD/WSN was quantitative by enzyme-linked immunosorbent assay (ELISA) using SARS-COV-2 Spike RBD kit (Sino biological, Cat:KIT40592). It contains recombinant SARS-CoV-2 Coronavirus spike, and antibodies raised against the recombinant RBD protein. Briefly, Prepare serially diluted standard to quantified the concentration of the virus stock. 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T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he viruses samples were diluted to the right concentration and does not exceed the standard curve and 100μL of virus sample were added to per well, Incubate for 2 hours at room temperature.Add 100μL of Detection Antibody in working concentration to each well. and incubate for 1 hour at room temperature.Reaction were stopped with stop soulation and read at 450nm.</w:t>
      </w:r>
    </w:p>
    <w:p>
      <w:pPr>
        <w:spacing w:line="360" w:lineRule="auto"/>
        <w:rPr>
          <w:rFonts w:hint="default" w:ascii="Palatino Linotype" w:hAnsi="Palatino Linotype" w:eastAsia="Times New Roman" w:cs="Times New Roman"/>
          <w:b w:val="0"/>
          <w:bCs w:val="0"/>
          <w:i/>
          <w:iCs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eastAsia" w:ascii="Palatino Linotype" w:hAnsi="Palatino Linotype" w:eastAsia="宋体" w:cs="Times New Roman"/>
          <w:b w:val="0"/>
          <w:bCs w:val="0"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1.5 </w:t>
      </w:r>
      <w:r>
        <w:rPr>
          <w:rFonts w:hint="default" w:ascii="Palatino Linotype" w:hAnsi="Palatino Linotype" w:eastAsia="Times New Roman" w:cs="Times New Roman"/>
          <w:b w:val="0"/>
          <w:bCs w:val="0"/>
          <w:i/>
          <w:iCs/>
          <w:snapToGrid w:val="0"/>
          <w:color w:val="000000"/>
          <w:kern w:val="0"/>
          <w:sz w:val="20"/>
          <w:szCs w:val="22"/>
          <w:lang w:val="en-US" w:eastAsia="de-DE" w:bidi="en-US"/>
        </w:rPr>
        <w:t>SARS-COV-2 Pseudotypes Virus Neutralization Assay</w:t>
      </w:r>
    </w:p>
    <w:p>
      <w:pPr>
        <w:spacing w:line="360" w:lineRule="auto"/>
        <w:ind w:firstLine="400" w:firstLineChars="200"/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Neutralizing antibodies against SARS-COV-2 in serum were detected by Pseudotypes Virus Neutralization Assay based on previous study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instrText xml:space="preserve"> ADDIN EN.CITE &lt;EndNote&gt;&lt;Cite&gt;&lt;Author&gt;Yang&lt;/Author&gt;&lt;Year&gt;2020&lt;/Year&gt;&lt;RecNum&gt;479&lt;/RecNum&gt;&lt;DisplayText&gt;[3]&lt;/DisplayText&gt;&lt;record&gt;&lt;rec-number&gt;479&lt;/rec-number&gt;&lt;foreign-keys&gt;&lt;key app="EN" db-id="te55fvsf0rdvr0ezxel52fxotasdz5xex55t" timestamp="1683446206"&gt;479&lt;/key&gt;&lt;/foreign-keys&gt;&lt;ref-type name="Journal Article"&gt;17&lt;/ref-type&gt;&lt;contributors&gt;&lt;authors&gt;&lt;author&gt;Yang, R.&lt;/author&gt;&lt;author&gt;Huang, B.&lt;/author&gt;&lt;author&gt;A, R.&lt;/author&gt;&lt;author&gt;Li, W.&lt;/author&gt;&lt;author&gt;Wang, W.&lt;/author&gt;&lt;author&gt;Deng, Y.&lt;/author&gt;&lt;author&gt;Tan, W.&lt;/author&gt;&lt;/authors&gt;&lt;/contributors&gt;&lt;auth-address&gt;NHC Key Laboratory of Biosafety, National Institute for Viral Disease Control and Prevention, Chinese Center for Disease Control and Prevention, Beijing 102206, China.&amp;#xD;National Institute of Biological Sciences, No.7 Science Park Road, ZGC Life Science Park, Changping, Beijing 102206, China.&amp;#xD;Tsinghua Institute of Multidisciplinary Biomedical Research, Tsinghua University, Beijing 102206, China.&lt;/auth-address&gt;&lt;titles&gt;&lt;title&gt;Development and effectiveness of pseudotyped SARS-CoV-2 system as determined by neutralizing efficiency and entry inhibition test in vitro&lt;/title&gt;&lt;secondary-title&gt;Biosaf Health&lt;/secondary-title&gt;&lt;/titles&gt;&lt;periodical&gt;&lt;full-title&gt;Biosaf Health&lt;/full-title&gt;&lt;/periodical&gt;&lt;pages&gt;226-231&lt;/pages&gt;&lt;volume&gt;2&lt;/volume&gt;&lt;number&gt;4&lt;/number&gt;&lt;edition&gt;2020/08/31&lt;/edition&gt;&lt;keywords&gt;&lt;keyword&gt;Covid-19&lt;/keyword&gt;&lt;keyword&gt;Neutralization assay&lt;/keyword&gt;&lt;keyword&gt;Pseudotyped&lt;/keyword&gt;&lt;keyword&gt;Pseudovirus&lt;/keyword&gt;&lt;keyword&gt;SARS-CoV-2&lt;/keyword&gt;&lt;keyword&gt;Viral entry assay&lt;/keyword&gt;&lt;/keywords&gt;&lt;dates&gt;&lt;year&gt;2020&lt;/year&gt;&lt;pub-dates&gt;&lt;date&gt;Dec&lt;/date&gt;&lt;/pub-dates&gt;&lt;/dates&gt;&lt;isbn&gt;2590-0536&lt;/isbn&gt;&lt;accession-num&gt;32864605&lt;/accession-num&gt;&lt;urls&gt;&lt;/urls&gt;&lt;custom2&gt;PMC7442068&lt;/custom2&gt;&lt;electronic-resource-num&gt;10.1016/j.bsheal.2020.08.004&lt;/electronic-resource-num&gt;&lt;remote-database-provider&gt;NLM&lt;/remote-database-provider&gt;&lt;language&gt;eng&lt;/language&gt;&lt;/record&gt;&lt;/Cite&gt;&lt;/EndNote&gt;</w:instrTex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separate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[3]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end"/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. Pseudotyped SARS-CoV-2 virus with the Fluc reporter gene were generated and titrated as described previously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instrText xml:space="preserve"> ADDIN EN.CITE &lt;EndNote&gt;&lt;Cite&gt;&lt;Author&gt;Yang&lt;/Author&gt;&lt;Year&gt;2020&lt;/Year&gt;&lt;RecNum&gt;479&lt;/RecNum&gt;&lt;DisplayText&gt;[3]&lt;/DisplayText&gt;&lt;record&gt;&lt;rec-number&gt;479&lt;/rec-number&gt;&lt;foreign-keys&gt;&lt;key app="EN" db-id="te55fvsf0rdvr0ezxel52fxotasdz5xex55t" timestamp="1683446206"&gt;479&lt;/key&gt;&lt;/foreign-keys&gt;&lt;ref-type name="Journal Article"&gt;17&lt;/ref-type&gt;&lt;contributors&gt;&lt;authors&gt;&lt;author&gt;Yang, R.&lt;/author&gt;&lt;author&gt;Huang, B.&lt;/author&gt;&lt;author&gt;A, R.&lt;/author&gt;&lt;author&gt;Li, W.&lt;/author&gt;&lt;author&gt;Wang, W.&lt;/author&gt;&lt;author&gt;Deng, Y.&lt;/author&gt;&lt;author&gt;Tan, W.&lt;/author&gt;&lt;/authors&gt;&lt;/contributors&gt;&lt;auth-address&gt;NHC Key Laboratory of Biosafety, National Institute for Viral Disease Control and Prevention, Chinese Center for Disease Control and Prevention, Beijing 102206, China.&amp;#xD;National Institute of Biological Sciences, No.7 Science Park Road, ZGC Life Science Park, Changping, Beijing 102206, China.&amp;#xD;Tsinghua Institute of Multidisciplinary Biomedical Research, Tsinghua University, Beijing 102206, China.&lt;/auth-address&gt;&lt;titles&gt;&lt;title&gt;Development and effectiveness of pseudotyped SARS-CoV-2 system as determined by neutralizing efficiency and entry inhibition test in vitro&lt;/title&gt;&lt;secondary-title&gt;Biosaf Health&lt;/secondary-title&gt;&lt;/titles&gt;&lt;periodical&gt;&lt;full-title&gt;Biosaf Health&lt;/full-title&gt;&lt;/periodical&gt;&lt;pages&gt;226-231&lt;/pages&gt;&lt;volume&gt;2&lt;/volume&gt;&lt;number&gt;4&lt;/number&gt;&lt;edition&gt;2020/08/31&lt;/edition&gt;&lt;keywords&gt;&lt;keyword&gt;Covid-19&lt;/keyword&gt;&lt;keyword&gt;Neutralization assay&lt;/keyword&gt;&lt;keyword&gt;Pseudotyped&lt;/keyword&gt;&lt;keyword&gt;Pseudovirus&lt;/keyword&gt;&lt;keyword&gt;SARS-CoV-2&lt;/keyword&gt;&lt;keyword&gt;Viral entry assay&lt;/keyword&gt;&lt;/keywords&gt;&lt;dates&gt;&lt;year&gt;2020&lt;/year&gt;&lt;pub-dates&gt;&lt;date&gt;Dec&lt;/date&gt;&lt;/pub-dates&gt;&lt;/dates&gt;&lt;isbn&gt;2590-0536&lt;/isbn&gt;&lt;accession-num&gt;32864605&lt;/accession-num&gt;&lt;urls&gt;&lt;/urls&gt;&lt;custom2&gt;PMC7442068&lt;/custom2&gt;&lt;electronic-resource-num&gt;10.1016/j.bsheal.2020.08.004&lt;/electronic-resource-num&gt;&lt;remote-database-provider&gt;NLM&lt;/remote-database-provider&gt;&lt;language&gt;eng&lt;/language&gt;&lt;/record&gt;&lt;/Cite&gt;&lt;/EndNote&gt;</w:instrTex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separate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[3]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end"/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. Mouse sera were heated inactivated at 56℃ for 30 min and serially 2-fold diluted (starting dilution of (1:20) in 2%FBS in DMEM. Huh7.5 cells were inoculated in a 96-well cell culture plate and 80% confluency.The diluted serum was mixed with equal volume of pseudovirus particles, and the mixture was added into Huh7.5 cells incubated at 37°C for 2h.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Cell were washed and overlaid with DMEM containing 2% FBS and incubated at 37℃48 h, the Bright-Glo luciferase assay substrate was added to each well, and the luminescence was measured with GLOMAX luminometer, and the neutralization efficiency was then calculated.</w:t>
      </w:r>
    </w:p>
    <w:p>
      <w:pPr>
        <w:spacing w:line="360" w:lineRule="auto"/>
        <w:rPr>
          <w:rFonts w:hint="default" w:ascii="Palatino Linotype" w:hAnsi="Palatino Linotype" w:eastAsia="Times New Roman" w:cs="Times New Roman"/>
          <w:b w:val="0"/>
          <w:bCs w:val="0"/>
          <w:i/>
          <w:iCs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eastAsia" w:ascii="Palatino Linotype" w:hAnsi="Palatino Linotype" w:eastAsia="宋体" w:cs="Times New Roman"/>
          <w:b w:val="0"/>
          <w:bCs w:val="0"/>
          <w:i/>
          <w:iCs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1.6 </w:t>
      </w:r>
      <w:r>
        <w:rPr>
          <w:rFonts w:hint="default" w:ascii="Palatino Linotype" w:hAnsi="Palatino Linotype" w:eastAsia="Times New Roman" w:cs="Times New Roman"/>
          <w:b w:val="0"/>
          <w:bCs w:val="0"/>
          <w:i/>
          <w:iCs/>
          <w:snapToGrid w:val="0"/>
          <w:color w:val="000000"/>
          <w:kern w:val="0"/>
          <w:sz w:val="20"/>
          <w:szCs w:val="22"/>
          <w:lang w:val="en-US" w:eastAsia="de-DE" w:bidi="en-US"/>
        </w:rPr>
        <w:t>Hemagglutination Inhibition Assays (HAI)</w:t>
      </w:r>
    </w:p>
    <w:p>
      <w:pPr>
        <w:spacing w:line="360" w:lineRule="auto"/>
        <w:ind w:firstLine="400" w:firstLineChars="200"/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 xml:space="preserve">To evaluate neutralization antibody against Influenza viruses,the HAI assay were performed as follows. Serum samples from mice were treated with receptor-destroying enzyme (RDE (II); Denka Seiken Co., Ltd, cat # 370013) for 18h at 37 ℃ and heat inactivated for 30 min at 56 ℃. Then, the two-fold serially diluted serum samples were mixed with the PR8NAWSN virues(4 hemagglutinating units,4HAU) and culture 30 min at RT. HAI titers were determined by adding 0.5% turkey red blood cells to the virus-Ab mixtures followed by a 30 min incubation at RT 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begin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instrText xml:space="preserve"> ADDIN EN.CITE &lt;EndNote&gt;&lt;Cite&gt;&lt;RecNum&gt;481&lt;/RecNum&gt;&lt;DisplayText&gt;[4]&lt;/DisplayText&gt;&lt;record&gt;&lt;rec-number&gt;481&lt;/rec-number&gt;&lt;foreign-keys&gt;&lt;key app="EN" db-id="te55fvsf0rdvr0ezxel52fxotasdz5xex55t" timestamp="1683453817"&gt;481&lt;/key&gt;&lt;/foreign-keys&gt;&lt;ref-type name="Journal Article"&gt;17&lt;/ref-type&gt;&lt;contributors&gt;&lt;/contributors&gt;&lt;titles&gt;&lt;title&gt;World Health Organization Manual for the laboratory diagnosis and virological surveillance of influenza / WHO Global Influenza Surveillance Network.&lt;/title&gt;&lt;secondary-title&gt;&lt;style face="underline" font="default" size="100%"&gt;http://whqlibdoc.who.int/ publications/2011/9789241548090_eng.pdf&lt;/style&gt;&lt;/secondary-title&gt;&lt;/titles&gt;&lt;periodical&gt;&lt;full-title&gt;http://whqlibdoc.who.int/ publications/2011/9789241548090_eng.pdf&lt;/full-title&gt;&lt;/periodical&gt;&lt;dates&gt;&lt;/dates&gt;&lt;urls&gt;&lt;/urls&gt;&lt;/record&gt;&lt;/Cite&gt;&lt;/EndNote&gt;</w:instrTex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separate"/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[4]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fldChar w:fldCharType="end"/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de-DE" w:bidi="en-US"/>
        </w:rPr>
        <w:t>. the HAI titers were defined as the reciprocal of the highest serum dilution for complete hemagglutination inhibition.</w:t>
      </w:r>
    </w:p>
    <w:p>
      <w:pPr>
        <w:numPr>
          <w:ilvl w:val="0"/>
          <w:numId w:val="1"/>
        </w:numPr>
        <w:spacing w:line="360" w:lineRule="auto"/>
        <w:rPr>
          <w:rFonts w:hint="default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de-DE" w:bidi="en-US"/>
        </w:rPr>
      </w:pPr>
      <w:r>
        <w:rPr>
          <w:rFonts w:hint="default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>Supplemental Figure</w:t>
      </w:r>
    </w:p>
    <w:p>
      <w:pPr>
        <w:rPr>
          <w:rFonts w:hint="eastAsia" w:ascii="Times New Roman" w:hAnsi="Times New Roman" w:cs="Times New Roman"/>
          <w:sz w:val="24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9615" cy="3924935"/>
            <wp:effectExtent l="0" t="0" r="6985" b="12065"/>
            <wp:docPr id="1" name="图片 1" descr="pr8narbd p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r8narbd pr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</w:pPr>
      <w:bookmarkStart w:id="3" w:name="OLE_LINK1"/>
      <w:r>
        <w:rPr>
          <w:rFonts w:hint="default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>Supplemental Figure</w:t>
      </w:r>
      <w:bookmarkEnd w:id="3"/>
      <w:r>
        <w:rPr>
          <w:rFonts w:hint="eastAsia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</w:t>
      </w:r>
      <w:r>
        <w:rPr>
          <w:rFonts w:hint="default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>1: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. Humoral immune and 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cellular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immune responses elicited by single dose intranasal immune PR8NARBD/PR8 viruses in BALB/c mice. Serum and Splenocytes were obtained on day 14 after a single intranasal administration of PR8NARBD/PR8,(A) RBD specific binding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antibody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(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B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) RBD specific neutralization antibody. (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C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)Serum HAI titers against the PR8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virus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. (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D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)RBD specific 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cell immunity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. (G) 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NP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specific 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cell immunity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.Statistical significances were analyzed by one-way analysis of variance (ANOVA).The bars plotted show means±SEM. The results represent three independent experiments. (*p &lt; 0.05, **p &lt; 0.01, ***p &lt; 0.001, ****p &lt;0.0001).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</w:t>
      </w:r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2535" cy="4812665"/>
            <wp:effectExtent l="0" t="0" r="0" b="0"/>
            <wp:docPr id="2" name="图片 2" descr="over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ver al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</w:pPr>
      <w:r>
        <w:rPr>
          <w:rFonts w:hint="default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>Supplemental Figure</w:t>
      </w:r>
      <w:r>
        <w:rPr>
          <w:rFonts w:hint="eastAsia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2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:Gating strategy for memory T cell phenotypes.Exemplary gating strategy of a lung sample from an PR8NARBD/WSN immunized mouse.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lung lymphocytes were collected 14 days later and the expression of memory pneumonocytes was detected (CD8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vertAlign w:val="superscript"/>
          <w:lang w:val="en-US" w:eastAsia="zh-CN" w:bidi="en-US"/>
        </w:rPr>
        <w:t>+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CD44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vertAlign w:val="superscript"/>
          <w:lang w:val="en-US" w:eastAsia="zh-CN" w:bidi="en-US"/>
        </w:rPr>
        <w:t>+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CD62L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vertAlign w:val="superscript"/>
          <w:lang w:val="en-US" w:eastAsia="zh-CN" w:bidi="en-US"/>
        </w:rPr>
        <w:t>-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CD69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vertAlign w:val="superscript"/>
          <w:lang w:val="en-US" w:eastAsia="zh-CN" w:bidi="en-US"/>
        </w:rPr>
        <w:t>+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CD103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vertAlign w:val="superscript"/>
          <w:lang w:val="en-US" w:eastAsia="zh-CN" w:bidi="en-US"/>
        </w:rPr>
        <w:t>+</w:t>
      </w:r>
      <w:r>
        <w:rPr>
          <w:rFonts w:hint="default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) with NP peptides</w:t>
      </w:r>
      <w:r>
        <w:rPr>
          <w:rFonts w:hint="eastAsia" w:ascii="Palatino Linotype" w:hAnsi="Palatino Linotype" w:eastAsia="Times New Roman" w:cs="Times New Roman"/>
          <w:snapToGrid w:val="0"/>
          <w:color w:val="000000"/>
          <w:kern w:val="0"/>
          <w:sz w:val="20"/>
          <w:szCs w:val="22"/>
          <w:lang w:val="en-US" w:eastAsia="zh-CN" w:bidi="en-US"/>
        </w:rPr>
        <w:t>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</w:pPr>
      <w:r>
        <w:rPr>
          <w:rFonts w:hint="default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>Supplemental</w:t>
      </w:r>
      <w:r>
        <w:rPr>
          <w:rFonts w:hint="eastAsia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 xml:space="preserve"> R</w:t>
      </w:r>
      <w:r>
        <w:rPr>
          <w:rFonts w:hint="default" w:ascii="Palatino Linotype" w:hAnsi="Palatino Linotype" w:eastAsia="Times New Roman" w:cs="Times New Roman"/>
          <w:b/>
          <w:bCs/>
          <w:snapToGrid w:val="0"/>
          <w:color w:val="000000"/>
          <w:kern w:val="0"/>
          <w:sz w:val="20"/>
          <w:szCs w:val="22"/>
          <w:lang w:val="en-US" w:eastAsia="zh-CN" w:bidi="en-US"/>
        </w:rPr>
        <w:t>eferences</w:t>
      </w:r>
      <w:bookmarkStart w:id="4" w:name="_GoBack"/>
      <w:bookmarkEnd w:id="4"/>
    </w:p>
    <w:p>
      <w:pPr>
        <w:pStyle w:val="9"/>
        <w:bidi w:val="0"/>
        <w:ind w:left="720" w:hanging="72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instrText xml:space="preserve"> ADDIN EN.REFLIST 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fldChar w:fldCharType="separate"/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1.</w:t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ab/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Hoffmann E, Krauss S, Perez D, et al. Eight-plasmid system for rapid generation of influenza virus vaccines. Vaccine. 2002 Aug 19;20(25-26):3165-70.</w:t>
      </w:r>
    </w:p>
    <w:p>
      <w:pPr>
        <w:pStyle w:val="9"/>
        <w:bidi w:val="0"/>
        <w:ind w:left="720" w:hanging="72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2.</w:t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ab/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Gao J, Wan H, Li X, et al. Balancing the influenza neuraminidase and hemagglutinin responses by exchanging the vaccine virus backbone. PLoS Pathog. 2021 Apr;17(4):e1009171.</w:t>
      </w:r>
    </w:p>
    <w:p>
      <w:pPr>
        <w:pStyle w:val="9"/>
        <w:bidi w:val="0"/>
        <w:ind w:left="720" w:hanging="72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3.</w:t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ab/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Yang R, Huang B, A R, et al. Development and effectiveness of pseudotyped SARS-CoV-2 system as determined by neutralizing efficiency and entry inhibition test in vitro. Biosaf Health. 2020 Dec;2(4):226-231.</w:t>
      </w:r>
    </w:p>
    <w:p>
      <w:pPr>
        <w:pStyle w:val="9"/>
        <w:bidi w:val="0"/>
        <w:ind w:left="720" w:hanging="720"/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</w:pP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4.</w:t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ab/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 xml:space="preserve">World Health Organization Manual for the laboratory diagnosis and virological surveillance of influenza / WHO Global Influenza Surveillance Network. </w:t>
      </w:r>
      <w:r>
        <w:rPr>
          <w:rFonts w:ascii="Calibri" w:hAnsi="Calibri" w:cs="Calibri" w:eastAsiaTheme="minorEastAsia"/>
          <w:kern w:val="2"/>
          <w:sz w:val="20"/>
          <w:szCs w:val="24"/>
          <w:u w:val="single"/>
          <w:lang w:val="en-US" w:eastAsia="zh-CN" w:bidi="ar-SA"/>
        </w:rPr>
        <w:fldChar w:fldCharType="begin"/>
      </w:r>
      <w:r>
        <w:rPr>
          <w:rFonts w:ascii="Calibri" w:hAnsi="Calibri" w:cs="Calibri" w:eastAsiaTheme="minorEastAsia"/>
          <w:kern w:val="2"/>
          <w:sz w:val="20"/>
          <w:szCs w:val="24"/>
          <w:u w:val="single"/>
          <w:lang w:val="en-US" w:eastAsia="zh-CN" w:bidi="ar-SA"/>
        </w:rPr>
        <w:instrText xml:space="preserve"> HYPERLINK "http://whqlibdocwhoint/" </w:instrText>
      </w:r>
      <w:r>
        <w:rPr>
          <w:rFonts w:ascii="Calibri" w:hAnsi="Calibri" w:cs="Calibri" w:eastAsiaTheme="minorEastAsia"/>
          <w:kern w:val="2"/>
          <w:sz w:val="20"/>
          <w:szCs w:val="24"/>
          <w:u w:val="single"/>
          <w:lang w:val="en-US" w:eastAsia="zh-CN" w:bidi="ar-SA"/>
        </w:rPr>
        <w:fldChar w:fldCharType="separate"/>
      </w:r>
      <w:r>
        <w:rPr>
          <w:rStyle w:val="6"/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http://whqlibdocwhoint/</w:t>
      </w:r>
      <w:r>
        <w:rPr>
          <w:rFonts w:ascii="Calibri" w:hAnsi="Calibri" w:cs="Calibri" w:eastAsiaTheme="minorEastAsia"/>
          <w:kern w:val="2"/>
          <w:sz w:val="20"/>
          <w:szCs w:val="24"/>
          <w:u w:val="single"/>
          <w:lang w:val="en-US" w:eastAsia="zh-CN" w:bidi="ar-SA"/>
        </w:rPr>
        <w:fldChar w:fldCharType="end"/>
      </w:r>
      <w:r>
        <w:rPr>
          <w:rFonts w:ascii="Calibri" w:hAnsi="Calibri" w:cs="Calibri" w:eastAsiaTheme="minorEastAsia"/>
          <w:kern w:val="2"/>
          <w:sz w:val="20"/>
          <w:szCs w:val="24"/>
          <w:u w:val="single"/>
          <w:lang w:val="en-US" w:eastAsia="zh-CN" w:bidi="ar-SA"/>
        </w:rPr>
        <w:t xml:space="preserve"> publications/2011/9789241548090_engpdf</w:t>
      </w:r>
      <w:r>
        <w:rPr>
          <w:rFonts w:ascii="Calibri" w:hAnsi="Calibri" w:cs="Calibri" w:eastAsiaTheme="minorEastAsia"/>
          <w:kern w:val="2"/>
          <w:sz w:val="20"/>
          <w:szCs w:val="24"/>
          <w:lang w:val="en-US" w:eastAsia="zh-CN" w:bidi="ar-SA"/>
        </w:rPr>
        <w:t>.</w:t>
      </w:r>
    </w:p>
    <w:p>
      <w:pP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433830" cy="429260"/>
          <wp:effectExtent l="0" t="0" r="1270" b="254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383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</w:t>
    </w:r>
    <w:r>
      <w:rPr>
        <w:rFonts w:eastAsia="等线"/>
        <w:b/>
        <w:bCs/>
      </w:rPr>
      <w:drawing>
        <wp:inline distT="0" distB="0" distL="0" distR="0">
          <wp:extent cx="539750" cy="359410"/>
          <wp:effectExtent l="0" t="0" r="6350" b="8890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8B0BE"/>
    <w:multiLevelType w:val="singleLevel"/>
    <w:tmpl w:val="6818B0B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DkwZTFiNzk3Y2U4MDJmZDc3MzExN2YzYTUxMzc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F-Standard NLM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55fvsf0rdvr0ezxel52fxotasdz5xex55t&quot;&gt;My EndNote Library&lt;record-ids&gt;&lt;item&gt;454&lt;/item&gt;&lt;item&gt;477&lt;/item&gt;&lt;item&gt;479&lt;/item&gt;&lt;item&gt;481&lt;/item&gt;&lt;/record-ids&gt;&lt;/item&gt;&lt;/Libraries&gt;"/>
  </w:docVars>
  <w:rsids>
    <w:rsidRoot w:val="00000000"/>
    <w:rsid w:val="04730E04"/>
    <w:rsid w:val="04B213C1"/>
    <w:rsid w:val="05143E2A"/>
    <w:rsid w:val="06C278B5"/>
    <w:rsid w:val="07091040"/>
    <w:rsid w:val="0DD04666"/>
    <w:rsid w:val="11277FB0"/>
    <w:rsid w:val="183A0CBA"/>
    <w:rsid w:val="252A0A96"/>
    <w:rsid w:val="25FA451E"/>
    <w:rsid w:val="274E68CF"/>
    <w:rsid w:val="278B7B24"/>
    <w:rsid w:val="28746F5A"/>
    <w:rsid w:val="2EB536D8"/>
    <w:rsid w:val="35447564"/>
    <w:rsid w:val="35B21F61"/>
    <w:rsid w:val="371B60A2"/>
    <w:rsid w:val="38471845"/>
    <w:rsid w:val="3E601ADB"/>
    <w:rsid w:val="4A7E09CA"/>
    <w:rsid w:val="4C5A1811"/>
    <w:rsid w:val="521A722A"/>
    <w:rsid w:val="52B15DE1"/>
    <w:rsid w:val="561548D9"/>
    <w:rsid w:val="5A663955"/>
    <w:rsid w:val="69C51D1A"/>
    <w:rsid w:val="6BA53BB1"/>
    <w:rsid w:val="72D03685"/>
    <w:rsid w:val="741B23BF"/>
    <w:rsid w:val="74940C67"/>
    <w:rsid w:val="75037798"/>
    <w:rsid w:val="7B64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  <w:style w:type="paragraph" w:customStyle="1" w:styleId="8">
    <w:name w:val="EndNote Bibliography Title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ascii="Calibri" w:hAnsi="Calibri" w:cs="Calibri" w:eastAsiaTheme="minorEastAsia"/>
      <w:kern w:val="2"/>
      <w:sz w:val="20"/>
      <w:szCs w:val="24"/>
      <w:lang w:val="en-US" w:eastAsia="zh-CN" w:bidi="ar-SA"/>
    </w:rPr>
  </w:style>
  <w:style w:type="paragraph" w:customStyle="1" w:styleId="9">
    <w:name w:val="EndNote Bibliograph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cs="Calibri" w:eastAsiaTheme="minorEastAsia"/>
      <w:kern w:val="2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4.tiff"/><Relationship Id="rId5" Type="http://schemas.openxmlformats.org/officeDocument/2006/relationships/image" Target="media/image3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1040</Words>
  <Characters>6632</Characters>
  <Lines>0</Lines>
  <Paragraphs>0</Paragraphs>
  <TotalTime>11</TotalTime>
  <ScaleCrop>false</ScaleCrop>
  <LinksUpToDate>false</LinksUpToDate>
  <CharactersWithSpaces>7646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2023-05-16T06:44:00Z</dcterms:created>
  <dc:creator>hongzi</dc:creator>
  <cp:lastModifiedBy>WPS_1591407326</cp:lastModifiedBy>
  <dcterms:modified xsi:type="dcterms:W3CDTF">2023-07-25T14:30:22Z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CE8ECC6A64A4444790436DFAC95E4F86_13</vt:lpwstr>
  </property>
</Properties>
</file>