
<file path=[Content_Types].xml><?xml version="1.0" encoding="utf-8"?>
<Types xmlns="http://schemas.openxmlformats.org/package/2006/content-types"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Arial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Arial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Supplementary material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Palatino Linotype" w:hAnsi="Palatino Linotype" w:eastAsia="Times New Roman" w:cs="Times New Roman"/>
          <w:b/>
          <w:snapToGrid w:val="0"/>
          <w:color w:val="000000"/>
          <w:kern w:val="0"/>
          <w:sz w:val="36"/>
          <w:szCs w:val="20"/>
          <w:lang w:val="en-US" w:eastAsia="de-DE" w:bidi="en-US"/>
        </w:rPr>
        <w:t xml:space="preserve">Single-dose intranasal immunisation with novel </w:t>
      </w:r>
      <w:r>
        <w:rPr>
          <w:rFonts w:hint="eastAsia" w:ascii="Palatino Linotype" w:hAnsi="Palatino Linotype" w:eastAsia="Times New Roman" w:cs="Times New Roman"/>
          <w:b/>
          <w:snapToGrid w:val="0"/>
          <w:color w:val="000000"/>
          <w:kern w:val="0"/>
          <w:sz w:val="36"/>
          <w:szCs w:val="20"/>
          <w:lang w:val="en-US" w:eastAsia="zh-CN" w:bidi="en-US"/>
        </w:rPr>
        <w:t>chimeric</w:t>
      </w:r>
      <w:r>
        <w:rPr>
          <w:rFonts w:hint="default" w:ascii="Palatino Linotype" w:hAnsi="Palatino Linotype" w:eastAsia="Times New Roman" w:cs="Times New Roman"/>
          <w:b/>
          <w:snapToGrid w:val="0"/>
          <w:color w:val="000000"/>
          <w:kern w:val="0"/>
          <w:sz w:val="36"/>
          <w:szCs w:val="20"/>
          <w:lang w:val="en-US" w:eastAsia="de-DE" w:bidi="en-US"/>
        </w:rPr>
        <w:t xml:space="preserve"> H</w:t>
      </w:r>
      <w:r>
        <w:rPr>
          <w:rFonts w:hint="eastAsia" w:ascii="Palatino Linotype" w:hAnsi="Palatino Linotype" w:eastAsia="Times New Roman" w:cs="Times New Roman"/>
          <w:b/>
          <w:snapToGrid w:val="0"/>
          <w:color w:val="000000"/>
          <w:kern w:val="0"/>
          <w:sz w:val="36"/>
          <w:szCs w:val="20"/>
          <w:lang w:val="en-US" w:eastAsia="zh-CN" w:bidi="en-US"/>
        </w:rPr>
        <w:t>1</w:t>
      </w:r>
      <w:r>
        <w:rPr>
          <w:rFonts w:hint="default" w:ascii="Palatino Linotype" w:hAnsi="Palatino Linotype" w:eastAsia="Times New Roman" w:cs="Times New Roman"/>
          <w:b/>
          <w:snapToGrid w:val="0"/>
          <w:color w:val="000000"/>
          <w:kern w:val="0"/>
          <w:sz w:val="36"/>
          <w:szCs w:val="20"/>
          <w:lang w:val="en-US" w:eastAsia="de-DE" w:bidi="en-US"/>
        </w:rPr>
        <w:t xml:space="preserve">N1 expressing the receptor-binding domain of </w:t>
      </w:r>
      <w:r>
        <w:rPr>
          <w:rFonts w:hint="default" w:ascii="Palatino Linotype" w:hAnsi="Palatino Linotype" w:eastAsia="Times New Roman" w:cs="Times New Roman"/>
          <w:b/>
          <w:snapToGrid w:val="0"/>
          <w:color w:val="000000"/>
          <w:kern w:val="0"/>
          <w:sz w:val="36"/>
          <w:szCs w:val="20"/>
          <w:lang w:val="en-US" w:eastAsia="zh-CN" w:bidi="en-US"/>
        </w:rPr>
        <w:t>SARS-CoV-2</w:t>
      </w:r>
      <w:r>
        <w:rPr>
          <w:rFonts w:hint="default" w:ascii="Palatino Linotype" w:hAnsi="Palatino Linotype" w:eastAsia="Times New Roman" w:cs="Times New Roman"/>
          <w:b/>
          <w:snapToGrid w:val="0"/>
          <w:color w:val="000000"/>
          <w:kern w:val="0"/>
          <w:sz w:val="36"/>
          <w:szCs w:val="20"/>
          <w:lang w:val="en-US" w:eastAsia="de-DE" w:bidi="en-US"/>
        </w:rPr>
        <w:t xml:space="preserve"> induces robust mucosal immunity, tissue-resident memory T cells, and heterologous protection in mice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</w:p>
    <w:p>
      <w:pPr>
        <w:rPr>
          <w:rFonts w:hint="default" w:ascii="Palatino Linotype" w:hAnsi="Palatino Linotype" w:eastAsia="Times New Roman" w:cs="Times New Roman"/>
          <w:b/>
          <w:color w:val="000000"/>
          <w:kern w:val="0"/>
          <w:sz w:val="20"/>
          <w:szCs w:val="22"/>
          <w:lang w:val="en-US" w:eastAsia="zh-CN" w:bidi="en-US"/>
        </w:rPr>
      </w:pPr>
      <w:r>
        <w:rPr>
          <w:rFonts w:hint="eastAsia" w:ascii="Palatino Linotype" w:hAnsi="Palatino Linotype" w:eastAsia="Times New Roman" w:cs="Times New Roman"/>
          <w:b/>
          <w:color w:val="000000"/>
          <w:kern w:val="0"/>
          <w:sz w:val="20"/>
          <w:szCs w:val="22"/>
          <w:lang w:val="en-US" w:eastAsia="zh-CN" w:bidi="en-US"/>
        </w:rPr>
        <w:t>Donghong Wang</w:t>
      </w:r>
      <w:r>
        <w:rPr>
          <w:rFonts w:hint="eastAsia" w:ascii="Palatino Linotype" w:hAnsi="Palatino Linotype" w:eastAsia="Times New Roman" w:cs="Times New Roman"/>
          <w:b/>
          <w:color w:val="000000"/>
          <w:kern w:val="0"/>
          <w:sz w:val="20"/>
          <w:szCs w:val="22"/>
          <w:vertAlign w:val="superscript"/>
          <w:lang w:val="en-US" w:eastAsia="zh-CN" w:bidi="en-US"/>
        </w:rPr>
        <w:t>1,</w:t>
      </w:r>
      <w:r>
        <w:rPr>
          <w:rFonts w:hint="eastAsia" w:ascii="Palatino Linotype" w:hAnsi="Palatino Linotype" w:eastAsia="Times New Roman" w:cs="Times New Roman"/>
          <w:b/>
          <w:color w:val="000000"/>
          <w:kern w:val="0"/>
          <w:sz w:val="20"/>
          <w:szCs w:val="22"/>
          <w:lang w:val="en-US" w:eastAsia="zh-CN" w:bidi="en-US"/>
        </w:rPr>
        <w:t>Yao Deng</w:t>
      </w:r>
      <w:r>
        <w:rPr>
          <w:rFonts w:hint="eastAsia" w:ascii="Palatino Linotype" w:hAnsi="Palatino Linotype" w:eastAsia="Times New Roman" w:cs="Times New Roman"/>
          <w:b/>
          <w:color w:val="000000"/>
          <w:kern w:val="0"/>
          <w:sz w:val="20"/>
          <w:szCs w:val="22"/>
          <w:vertAlign w:val="superscript"/>
          <w:lang w:val="en-US" w:eastAsia="zh-CN" w:bidi="en-US"/>
        </w:rPr>
        <w:t>1</w:t>
      </w:r>
      <w:r>
        <w:rPr>
          <w:rFonts w:hint="eastAsia" w:ascii="Palatino Linotype" w:hAnsi="Palatino Linotype" w:eastAsia="Times New Roman" w:cs="Times New Roman"/>
          <w:b/>
          <w:color w:val="000000"/>
          <w:kern w:val="0"/>
          <w:sz w:val="20"/>
          <w:szCs w:val="22"/>
          <w:lang w:val="en-US" w:eastAsia="zh-CN" w:bidi="en-US"/>
        </w:rPr>
        <w:t>,Jianfang Zhou</w:t>
      </w:r>
      <w:r>
        <w:rPr>
          <w:rFonts w:hint="eastAsia" w:ascii="Palatino Linotype" w:hAnsi="Palatino Linotype" w:eastAsia="Times New Roman" w:cs="Times New Roman"/>
          <w:b/>
          <w:color w:val="000000"/>
          <w:kern w:val="0"/>
          <w:sz w:val="20"/>
          <w:szCs w:val="22"/>
          <w:vertAlign w:val="superscript"/>
          <w:lang w:val="en-US" w:eastAsia="zh-CN" w:bidi="en-US"/>
        </w:rPr>
        <w:t>2</w:t>
      </w:r>
      <w:r>
        <w:rPr>
          <w:rFonts w:hint="eastAsia" w:ascii="Palatino Linotype" w:hAnsi="Palatino Linotype" w:eastAsia="Times New Roman" w:cs="Times New Roman"/>
          <w:b/>
          <w:color w:val="000000"/>
          <w:kern w:val="0"/>
          <w:sz w:val="20"/>
          <w:szCs w:val="22"/>
          <w:lang w:val="en-US" w:eastAsia="zh-CN" w:bidi="en-US"/>
        </w:rPr>
        <w:t>,Wen Wang</w:t>
      </w:r>
      <w:r>
        <w:rPr>
          <w:rFonts w:hint="eastAsia" w:ascii="Palatino Linotype" w:hAnsi="Palatino Linotype" w:eastAsia="Times New Roman" w:cs="Times New Roman"/>
          <w:b/>
          <w:color w:val="000000"/>
          <w:kern w:val="0"/>
          <w:sz w:val="20"/>
          <w:szCs w:val="22"/>
          <w:vertAlign w:val="superscript"/>
          <w:lang w:val="en-US" w:eastAsia="zh-CN" w:bidi="en-US"/>
        </w:rPr>
        <w:t>1</w:t>
      </w:r>
      <w:r>
        <w:rPr>
          <w:rFonts w:hint="eastAsia" w:ascii="Palatino Linotype" w:hAnsi="Palatino Linotype" w:eastAsia="Times New Roman" w:cs="Times New Roman"/>
          <w:b/>
          <w:color w:val="000000"/>
          <w:kern w:val="0"/>
          <w:sz w:val="20"/>
          <w:szCs w:val="22"/>
          <w:lang w:val="en-US" w:eastAsia="zh-CN" w:bidi="en-US"/>
        </w:rPr>
        <w:t>, Baoying Huang</w:t>
      </w:r>
      <w:r>
        <w:rPr>
          <w:rFonts w:hint="eastAsia" w:ascii="Palatino Linotype" w:hAnsi="Palatino Linotype" w:eastAsia="Times New Roman" w:cs="Times New Roman"/>
          <w:b/>
          <w:color w:val="000000"/>
          <w:kern w:val="0"/>
          <w:sz w:val="20"/>
          <w:szCs w:val="22"/>
          <w:vertAlign w:val="superscript"/>
          <w:lang w:val="en-US" w:eastAsia="zh-CN" w:bidi="en-US"/>
        </w:rPr>
        <w:t>1</w:t>
      </w:r>
      <w:r>
        <w:rPr>
          <w:rFonts w:hint="eastAsia" w:ascii="Palatino Linotype" w:hAnsi="Palatino Linotype" w:eastAsia="Times New Roman" w:cs="Times New Roman"/>
          <w:b/>
          <w:color w:val="000000"/>
          <w:kern w:val="0"/>
          <w:sz w:val="20"/>
          <w:szCs w:val="22"/>
          <w:lang w:val="en-US" w:eastAsia="zh-CN" w:bidi="en-US"/>
        </w:rPr>
        <w:t>, Wenling Wang</w:t>
      </w:r>
      <w:r>
        <w:rPr>
          <w:rFonts w:hint="eastAsia" w:ascii="Palatino Linotype" w:hAnsi="Palatino Linotype" w:eastAsia="Times New Roman" w:cs="Times New Roman"/>
          <w:b/>
          <w:color w:val="000000"/>
          <w:kern w:val="0"/>
          <w:sz w:val="20"/>
          <w:szCs w:val="22"/>
          <w:vertAlign w:val="superscript"/>
          <w:lang w:val="en-US" w:eastAsia="zh-CN" w:bidi="en-US"/>
        </w:rPr>
        <w:t>1</w:t>
      </w:r>
      <w:r>
        <w:rPr>
          <w:rFonts w:hint="eastAsia" w:ascii="Palatino Linotype" w:hAnsi="Palatino Linotype" w:eastAsia="Times New Roman" w:cs="Times New Roman"/>
          <w:b/>
          <w:color w:val="000000"/>
          <w:kern w:val="0"/>
          <w:sz w:val="20"/>
          <w:szCs w:val="22"/>
          <w:lang w:val="en-US" w:eastAsia="zh-CN" w:bidi="en-US"/>
        </w:rPr>
        <w:t>,Lan Wei</w:t>
      </w:r>
      <w:r>
        <w:rPr>
          <w:rFonts w:hint="eastAsia" w:ascii="Palatino Linotype" w:hAnsi="Palatino Linotype" w:eastAsia="Times New Roman" w:cs="Times New Roman"/>
          <w:b/>
          <w:color w:val="000000"/>
          <w:kern w:val="0"/>
          <w:sz w:val="20"/>
          <w:szCs w:val="22"/>
          <w:vertAlign w:val="superscript"/>
          <w:lang w:val="en-US" w:eastAsia="zh-CN" w:bidi="en-US"/>
        </w:rPr>
        <w:t>1</w:t>
      </w:r>
      <w:r>
        <w:rPr>
          <w:rFonts w:hint="eastAsia" w:ascii="Palatino Linotype" w:hAnsi="Palatino Linotype" w:eastAsia="Times New Roman" w:cs="Times New Roman"/>
          <w:b/>
          <w:color w:val="000000"/>
          <w:kern w:val="0"/>
          <w:sz w:val="20"/>
          <w:szCs w:val="22"/>
          <w:lang w:val="en-US" w:eastAsia="zh-CN" w:bidi="en-US"/>
        </w:rPr>
        <w:t>,Jiao Ren</w:t>
      </w:r>
      <w:r>
        <w:rPr>
          <w:rFonts w:hint="eastAsia" w:ascii="Palatino Linotype" w:hAnsi="Palatino Linotype" w:eastAsia="Times New Roman" w:cs="Times New Roman"/>
          <w:b/>
          <w:color w:val="000000"/>
          <w:kern w:val="0"/>
          <w:sz w:val="20"/>
          <w:szCs w:val="22"/>
          <w:vertAlign w:val="superscript"/>
          <w:lang w:val="en-US" w:eastAsia="zh-CN" w:bidi="en-US"/>
        </w:rPr>
        <w:t>1</w:t>
      </w:r>
      <w:r>
        <w:rPr>
          <w:rFonts w:hint="eastAsia" w:ascii="Palatino Linotype" w:hAnsi="Palatino Linotype" w:eastAsia="Times New Roman" w:cs="Times New Roman"/>
          <w:b/>
          <w:color w:val="000000"/>
          <w:kern w:val="0"/>
          <w:sz w:val="20"/>
          <w:szCs w:val="22"/>
          <w:lang w:val="en-US" w:eastAsia="zh-CN" w:bidi="en-US"/>
        </w:rPr>
        <w:t>, Ruiwen Han</w:t>
      </w:r>
      <w:r>
        <w:rPr>
          <w:rFonts w:hint="eastAsia" w:ascii="Palatino Linotype" w:hAnsi="Palatino Linotype" w:eastAsia="Times New Roman" w:cs="Times New Roman"/>
          <w:b/>
          <w:color w:val="000000"/>
          <w:kern w:val="0"/>
          <w:sz w:val="20"/>
          <w:szCs w:val="22"/>
          <w:vertAlign w:val="superscript"/>
          <w:lang w:val="en-US" w:eastAsia="zh-CN" w:bidi="en-US"/>
        </w:rPr>
        <w:t>1,3</w:t>
      </w:r>
      <w:r>
        <w:t xml:space="preserve">, </w:t>
      </w:r>
      <w:r>
        <w:rPr>
          <w:rFonts w:hint="eastAsia" w:ascii="Palatino Linotype" w:hAnsi="Palatino Linotype" w:eastAsia="Times New Roman" w:cs="Times New Roman"/>
          <w:b/>
          <w:color w:val="000000"/>
          <w:kern w:val="0"/>
          <w:sz w:val="20"/>
          <w:szCs w:val="22"/>
          <w:lang w:val="en-US" w:eastAsia="zh-CN" w:bidi="en-US"/>
        </w:rPr>
        <w:t>Jialuo Bing</w:t>
      </w:r>
      <w:r>
        <w:rPr>
          <w:rFonts w:hint="eastAsia" w:ascii="Palatino Linotype" w:hAnsi="Palatino Linotype" w:eastAsia="Times New Roman" w:cs="Times New Roman"/>
          <w:b/>
          <w:color w:val="000000"/>
          <w:kern w:val="0"/>
          <w:sz w:val="20"/>
          <w:szCs w:val="22"/>
          <w:vertAlign w:val="superscript"/>
          <w:lang w:val="en-US" w:eastAsia="zh-CN" w:bidi="en-US"/>
        </w:rPr>
        <w:t>1,4</w:t>
      </w:r>
      <w:r>
        <w:t xml:space="preserve">, </w:t>
      </w:r>
      <w:r>
        <w:rPr>
          <w:rFonts w:hint="eastAsia" w:ascii="Palatino Linotype" w:hAnsi="Palatino Linotype" w:eastAsia="Times New Roman" w:cs="Times New Roman"/>
          <w:b/>
          <w:color w:val="000000"/>
          <w:kern w:val="0"/>
          <w:sz w:val="20"/>
          <w:szCs w:val="22"/>
          <w:lang w:val="en-US" w:eastAsia="zh-CN" w:bidi="en-US"/>
        </w:rPr>
        <w:t>Chengcheng Zhai</w:t>
      </w:r>
      <w:r>
        <w:rPr>
          <w:rFonts w:hint="eastAsia" w:ascii="Palatino Linotype" w:hAnsi="Palatino Linotype" w:eastAsia="Times New Roman" w:cs="Times New Roman"/>
          <w:b/>
          <w:color w:val="000000"/>
          <w:kern w:val="0"/>
          <w:sz w:val="20"/>
          <w:szCs w:val="22"/>
          <w:vertAlign w:val="superscript"/>
          <w:lang w:val="en-US" w:eastAsia="zh-CN" w:bidi="en-US"/>
        </w:rPr>
        <w:t>1</w:t>
      </w:r>
      <w:r>
        <w:rPr>
          <w:rFonts w:hint="eastAsia" w:ascii="Palatino Linotype" w:hAnsi="Palatino Linotype" w:eastAsia="Times New Roman" w:cs="Times New Roman"/>
          <w:b/>
          <w:color w:val="000000"/>
          <w:kern w:val="0"/>
          <w:sz w:val="20"/>
          <w:szCs w:val="22"/>
          <w:lang w:val="en-US" w:eastAsia="zh-CN" w:bidi="en-US"/>
        </w:rPr>
        <w:t>,Xiaoyan Guo</w:t>
      </w:r>
      <w:r>
        <w:rPr>
          <w:rFonts w:hint="eastAsia" w:ascii="Palatino Linotype" w:hAnsi="Palatino Linotype" w:eastAsia="Times New Roman" w:cs="Times New Roman"/>
          <w:b/>
          <w:color w:val="000000"/>
          <w:kern w:val="0"/>
          <w:sz w:val="20"/>
          <w:szCs w:val="22"/>
          <w:vertAlign w:val="superscript"/>
          <w:lang w:val="en-US" w:eastAsia="zh-CN" w:bidi="en-US"/>
        </w:rPr>
        <w:t>1</w:t>
      </w:r>
      <w:r>
        <w:rPr>
          <w:rFonts w:hint="eastAsia" w:ascii="Palatino Linotype" w:hAnsi="Palatino Linotype" w:eastAsia="Times New Roman" w:cs="Times New Roman"/>
          <w:b/>
          <w:color w:val="000000"/>
          <w:kern w:val="0"/>
          <w:sz w:val="20"/>
          <w:szCs w:val="22"/>
          <w:lang w:val="en-US" w:eastAsia="zh-CN" w:bidi="en-US"/>
        </w:rPr>
        <w:t>,Wenjie Tan</w:t>
      </w:r>
      <w:r>
        <w:rPr>
          <w:rFonts w:hint="eastAsia" w:ascii="Palatino Linotype" w:hAnsi="Palatino Linotype" w:eastAsia="Times New Roman" w:cs="Times New Roman"/>
          <w:b/>
          <w:color w:val="000000"/>
          <w:kern w:val="0"/>
          <w:sz w:val="20"/>
          <w:szCs w:val="22"/>
          <w:vertAlign w:val="superscript"/>
          <w:lang w:val="en-US" w:eastAsia="zh-CN" w:bidi="en-US"/>
        </w:rPr>
        <w:t>1,3,4,</w:t>
      </w:r>
      <w:r>
        <w:rPr>
          <w:rFonts w:hint="eastAsia" w:ascii="Palatino Linotype" w:hAnsi="Palatino Linotype" w:eastAsia="Times New Roman" w:cs="Times New Roman"/>
          <w:b/>
          <w:color w:val="000000"/>
          <w:kern w:val="0"/>
          <w:sz w:val="20"/>
          <w:szCs w:val="22"/>
          <w:lang w:val="en-US" w:eastAsia="zh-CN" w:bidi="en-US"/>
        </w:rPr>
        <w:t>*</w:t>
      </w:r>
    </w:p>
    <w:p>
      <w:pPr>
        <w:spacing w:line="360" w:lineRule="auto"/>
        <w:rPr>
          <w:rFonts w:hint="default" w:ascii="Palatino Linotype" w:hAnsi="Palatino Linotype" w:eastAsia="Times New Roman" w:cs="Times New Roman"/>
          <w:color w:val="000000"/>
          <w:kern w:val="0"/>
          <w:sz w:val="16"/>
          <w:szCs w:val="18"/>
          <w:lang w:val="en-US" w:eastAsia="zh-CN" w:bidi="en-US"/>
        </w:rPr>
      </w:pPr>
      <w:bookmarkStart w:id="0" w:name="OLE_LINK2"/>
      <w:r>
        <w:rPr>
          <w:rFonts w:hint="eastAsia" w:ascii="Palatino Linotype" w:hAnsi="Palatino Linotype" w:eastAsia="Times New Roman" w:cs="Times New Roman"/>
          <w:color w:val="000000"/>
          <w:kern w:val="0"/>
          <w:sz w:val="16"/>
          <w:szCs w:val="18"/>
          <w:vertAlign w:val="superscript"/>
          <w:lang w:val="en-US" w:eastAsia="zh-CN" w:bidi="en-US"/>
        </w:rPr>
        <w:t>1</w:t>
      </w:r>
      <w:bookmarkStart w:id="1" w:name="OLE_LINK4"/>
      <w:r>
        <w:rPr>
          <w:rFonts w:hint="eastAsia" w:ascii="Palatino Linotype" w:hAnsi="Palatino Linotype" w:eastAsia="Times New Roman" w:cs="Times New Roman"/>
          <w:color w:val="000000"/>
          <w:kern w:val="0"/>
          <w:sz w:val="16"/>
          <w:szCs w:val="18"/>
          <w:lang w:val="en-US" w:eastAsia="de-DE" w:bidi="en-US"/>
        </w:rPr>
        <w:t>Key Laboratory of Biosafety</w:t>
      </w:r>
      <w:bookmarkEnd w:id="0"/>
      <w:r>
        <w:rPr>
          <w:rFonts w:hint="eastAsia" w:ascii="Palatino Linotype" w:hAnsi="Palatino Linotype" w:eastAsia="Times New Roman" w:cs="Times New Roman"/>
          <w:color w:val="000000"/>
          <w:kern w:val="0"/>
          <w:sz w:val="16"/>
          <w:szCs w:val="18"/>
          <w:lang w:val="en-US" w:eastAsia="de-DE" w:bidi="en-US"/>
        </w:rPr>
        <w:t>, National Health Commissions, National Institute for Viral Disease Control and Prevention, China CDC</w:t>
      </w:r>
      <w:bookmarkEnd w:id="1"/>
      <w:r>
        <w:rPr>
          <w:rFonts w:hint="eastAsia" w:ascii="Palatino Linotype" w:hAnsi="Palatino Linotype" w:eastAsia="Times New Roman" w:cs="Times New Roman"/>
          <w:color w:val="000000"/>
          <w:kern w:val="0"/>
          <w:sz w:val="16"/>
          <w:szCs w:val="18"/>
          <w:lang w:val="en-US" w:eastAsia="de-DE" w:bidi="en-US"/>
        </w:rPr>
        <w:t>, 155 Changbai Road, Beijing, 102206, China</w:t>
      </w:r>
      <w:r>
        <w:rPr>
          <w:rFonts w:hint="eastAsia" w:ascii="Palatino Linotype" w:hAnsi="Palatino Linotype" w:eastAsia="Times New Roman" w:cs="Times New Roman"/>
          <w:color w:val="000000"/>
          <w:kern w:val="0"/>
          <w:sz w:val="16"/>
          <w:szCs w:val="18"/>
          <w:lang w:val="en-US" w:eastAsia="zh-CN" w:bidi="en-US"/>
        </w:rPr>
        <w:t xml:space="preserve">; </w:t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fldChar w:fldCharType="begin"/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instrText xml:space="preserve"> HYPERLINK "mailto:dhwang666@163.com;" </w:instrText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fldChar w:fldCharType="separate"/>
      </w:r>
      <w:r>
        <w:rPr>
          <w:rStyle w:val="6"/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t>Dhwang666@163.com(D.W.);</w:t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fldChar w:fldCharType="end"/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t xml:space="preserve"> </w:t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fldChar w:fldCharType="begin"/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instrText xml:space="preserve"> HYPERLINK "mailto:dengyao@ivdc.chinacdc.cn;" </w:instrText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fldChar w:fldCharType="separate"/>
      </w:r>
      <w:r>
        <w:rPr>
          <w:rStyle w:val="6"/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t>Dengyao@ivdc.chinacdc.cn(Y.D.);</w:t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fldChar w:fldCharType="end"/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t xml:space="preserve">  </w:t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fldChar w:fldCharType="begin"/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instrText xml:space="preserve"> HYPERLINK "mailto:wangwen435@sohu.com;" </w:instrText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fldChar w:fldCharType="separate"/>
      </w:r>
      <w:r>
        <w:rPr>
          <w:rStyle w:val="6"/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t>Wangwen435@sohu.com(W.W.);</w:t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fldChar w:fldCharType="end"/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t xml:space="preserve"> </w:t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fldChar w:fldCharType="begin"/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instrText xml:space="preserve"> HYPERLINK "mailto:huangby@ivdc.chinacdc.cn;" </w:instrText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fldChar w:fldCharType="separate"/>
      </w:r>
      <w:r>
        <w:rPr>
          <w:rStyle w:val="6"/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t>Huangby@ivdc.chinacdc.cn(B.H.);</w:t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fldChar w:fldCharType="end"/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t xml:space="preserve"> </w:t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fldChar w:fldCharType="begin"/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instrText xml:space="preserve"> HYPERLINK "mailto:wangwl@ivdc.chinacdc.cn;" </w:instrText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fldChar w:fldCharType="separate"/>
      </w:r>
      <w:r>
        <w:rPr>
          <w:rStyle w:val="6"/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t>Wangwl@ivdc.chinacdc.cn(W.W.);</w:t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fldChar w:fldCharType="end"/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t xml:space="preserve"> </w:t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fldChar w:fldCharType="begin"/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instrText xml:space="preserve"> HYPERLINK "mailto:weilan@ivdc.chinacdc.cn;" </w:instrText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fldChar w:fldCharType="separate"/>
      </w:r>
      <w:r>
        <w:rPr>
          <w:rStyle w:val="6"/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t>Weilan@ivdc.chinacdc.cn(L.W.);</w:t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fldChar w:fldCharType="end"/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t xml:space="preserve"> </w:t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fldChar w:fldCharType="begin"/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instrText xml:space="preserve"> HYPERLINK "mailto:renjiao@ivdc.chinacdc.cn" </w:instrText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fldChar w:fldCharType="separate"/>
      </w:r>
      <w:r>
        <w:rPr>
          <w:rStyle w:val="6"/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t>Renjiao@ivdc.chinacdc.cn</w:t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fldChar w:fldCharType="end"/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t xml:space="preserve">(J.R.);  </w:t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fldChar w:fldCharType="begin"/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instrText xml:space="preserve"> HYPERLINK "mailto:chencheny526@163.com;" </w:instrText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fldChar w:fldCharType="separate"/>
      </w:r>
      <w:r>
        <w:rPr>
          <w:rStyle w:val="6"/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t>Chencheny526@163.com(C.Z.);</w:t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fldChar w:fldCharType="end"/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t xml:space="preserve"> </w:t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fldChar w:fldCharType="begin"/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instrText xml:space="preserve"> HYPERLINK "mailto:4991433@qq.com" </w:instrText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fldChar w:fldCharType="separate"/>
      </w:r>
      <w:r>
        <w:rPr>
          <w:rStyle w:val="6"/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t>4991433@qq.com</w:t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fldChar w:fldCharType="end"/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t>(X.G.)</w:t>
      </w:r>
    </w:p>
    <w:p>
      <w:pPr>
        <w:spacing w:line="360" w:lineRule="auto"/>
        <w:rPr>
          <w:rFonts w:hint="eastAsia" w:ascii="Palatino Linotype" w:hAnsi="Palatino Linotype" w:eastAsia="Times New Roman" w:cs="Times New Roman"/>
          <w:color w:val="000000"/>
          <w:kern w:val="0"/>
          <w:sz w:val="16"/>
          <w:szCs w:val="18"/>
          <w:lang w:val="en-US" w:eastAsia="zh-CN" w:bidi="en-US"/>
        </w:rPr>
      </w:pPr>
      <w:r>
        <w:rPr>
          <w:rFonts w:hint="eastAsia" w:ascii="Palatino Linotype" w:hAnsi="Palatino Linotype" w:eastAsia="Times New Roman" w:cs="Times New Roman"/>
          <w:color w:val="000000"/>
          <w:kern w:val="0"/>
          <w:sz w:val="16"/>
          <w:szCs w:val="18"/>
          <w:vertAlign w:val="superscript"/>
          <w:lang w:val="en-US" w:eastAsia="zh-CN" w:bidi="en-US"/>
        </w:rPr>
        <w:t>2</w:t>
      </w:r>
      <w:bookmarkStart w:id="2" w:name="OLE_LINK3"/>
      <w:r>
        <w:rPr>
          <w:rFonts w:hint="eastAsia" w:ascii="Palatino Linotype" w:hAnsi="Palatino Linotype" w:eastAsia="Times New Roman" w:cs="Times New Roman"/>
          <w:color w:val="000000"/>
          <w:kern w:val="0"/>
          <w:sz w:val="16"/>
          <w:szCs w:val="18"/>
          <w:lang w:val="en-US" w:eastAsia="de-DE" w:bidi="en-US"/>
        </w:rPr>
        <w:t>State Key Laboratory for Molecular Virology and Genetic Engineering,Chinese National Influenza Center, National Institute for Viral Disease Control</w:t>
      </w:r>
      <w:r>
        <w:rPr>
          <w:rFonts w:hint="eastAsia" w:ascii="Palatino Linotype" w:hAnsi="Palatino Linotype" w:eastAsia="Times New Roman" w:cs="Times New Roman"/>
          <w:color w:val="000000"/>
          <w:kern w:val="0"/>
          <w:sz w:val="16"/>
          <w:szCs w:val="18"/>
          <w:lang w:val="en-US" w:eastAsia="zh-CN" w:bidi="en-US"/>
        </w:rPr>
        <w:t xml:space="preserve"> </w:t>
      </w:r>
      <w:r>
        <w:rPr>
          <w:rFonts w:hint="eastAsia" w:ascii="Palatino Linotype" w:hAnsi="Palatino Linotype" w:eastAsia="Times New Roman" w:cs="Times New Roman"/>
          <w:color w:val="000000"/>
          <w:kern w:val="0"/>
          <w:sz w:val="16"/>
          <w:szCs w:val="18"/>
          <w:lang w:val="en-US" w:eastAsia="de-DE" w:bidi="en-US"/>
        </w:rPr>
        <w:t>and Prevention, China CDC,</w:t>
      </w:r>
      <w:bookmarkEnd w:id="2"/>
      <w:r>
        <w:rPr>
          <w:rFonts w:hint="eastAsia" w:ascii="Palatino Linotype" w:hAnsi="Palatino Linotype" w:eastAsia="Times New Roman" w:cs="Times New Roman"/>
          <w:color w:val="000000"/>
          <w:kern w:val="0"/>
          <w:sz w:val="16"/>
          <w:szCs w:val="18"/>
          <w:lang w:val="en-US" w:eastAsia="de-DE" w:bidi="en-US"/>
        </w:rPr>
        <w:t xml:space="preserve"> 155 Changbai Road, Beijing, 102206, China</w:t>
      </w:r>
      <w:r>
        <w:rPr>
          <w:rFonts w:hint="eastAsia" w:ascii="Palatino Linotype" w:hAnsi="Palatino Linotype" w:eastAsia="Times New Roman" w:cs="Times New Roman"/>
          <w:color w:val="000000"/>
          <w:kern w:val="0"/>
          <w:sz w:val="16"/>
          <w:szCs w:val="18"/>
          <w:lang w:val="en-US" w:eastAsia="zh-CN" w:bidi="en-US"/>
        </w:rPr>
        <w:t xml:space="preserve">; </w:t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fldChar w:fldCharType="begin"/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instrText xml:space="preserve"> HYPERLINK "mailto:jfz@cnic.org.cn" </w:instrText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fldChar w:fldCharType="separate"/>
      </w:r>
      <w:r>
        <w:rPr>
          <w:rStyle w:val="6"/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t>jfz@cnic.org.cn</w:t>
      </w:r>
      <w:r>
        <w:rPr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fldChar w:fldCharType="end"/>
      </w:r>
      <w:r>
        <w:rPr>
          <w:rFonts w:hint="eastAsia" w:ascii="Palatino Linotype" w:hAnsi="Palatino Linotype" w:eastAsia="Times New Roman" w:cs="Times New Roman"/>
          <w:color w:val="000000"/>
          <w:kern w:val="0"/>
          <w:sz w:val="16"/>
          <w:szCs w:val="18"/>
          <w:lang w:val="en-US" w:eastAsia="zh-CN" w:bidi="en-US"/>
        </w:rPr>
        <w:t>(J.Z.);</w:t>
      </w:r>
    </w:p>
    <w:p>
      <w:pPr>
        <w:spacing w:line="360" w:lineRule="auto"/>
        <w:rPr>
          <w:rFonts w:hint="default" w:ascii="Palatino Linotype" w:hAnsi="Palatino Linotype" w:eastAsia="Times New Roman" w:cs="Times New Roman"/>
          <w:color w:val="000000"/>
          <w:kern w:val="0"/>
          <w:sz w:val="16"/>
          <w:szCs w:val="18"/>
          <w:lang w:val="en-US" w:eastAsia="zh-CN" w:bidi="en-US"/>
        </w:rPr>
      </w:pPr>
      <w:r>
        <w:rPr>
          <w:rFonts w:hint="eastAsia" w:ascii="Palatino Linotype" w:hAnsi="Palatino Linotype" w:eastAsia="Times New Roman" w:cs="Times New Roman"/>
          <w:color w:val="000000"/>
          <w:kern w:val="0"/>
          <w:sz w:val="16"/>
          <w:szCs w:val="18"/>
          <w:vertAlign w:val="superscript"/>
          <w:lang w:val="en-US" w:eastAsia="zh-CN" w:bidi="en-US"/>
        </w:rPr>
        <w:t>3</w:t>
      </w:r>
      <w:r>
        <w:rPr>
          <w:rFonts w:hint="default" w:ascii="Palatino Linotype" w:hAnsi="Palatino Linotype" w:eastAsia="Times New Roman" w:cs="Times New Roman"/>
          <w:color w:val="000000"/>
          <w:kern w:val="0"/>
          <w:sz w:val="16"/>
          <w:szCs w:val="18"/>
          <w:lang w:val="en-US" w:eastAsia="zh-CN" w:bidi="en-US"/>
        </w:rPr>
        <w:t>Zhejiang Provincial Key Laboratory of Medical Genetics,School of Laboratory Medicine and Life Sciences,Wenzhou Medical University,Wenzhou 325035</w:t>
      </w:r>
      <w:r>
        <w:rPr>
          <w:rFonts w:hint="default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t xml:space="preserve">, </w:t>
      </w:r>
      <w:r>
        <w:rPr>
          <w:rFonts w:hint="default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fldChar w:fldCharType="begin"/>
      </w:r>
      <w:r>
        <w:rPr>
          <w:rFonts w:hint="default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instrText xml:space="preserve"> HYPERLINK "mailto:China;1875756230@qq.com;" </w:instrText>
      </w:r>
      <w:r>
        <w:rPr>
          <w:rFonts w:hint="default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fldChar w:fldCharType="separate"/>
      </w:r>
      <w:r>
        <w:rPr>
          <w:rStyle w:val="6"/>
          <w:rFonts w:hint="default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t>China</w:t>
      </w:r>
      <w:r>
        <w:rPr>
          <w:rStyle w:val="6"/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t>;1875756230@qq.com(R.H.);</w:t>
      </w:r>
      <w:r>
        <w:rPr>
          <w:rFonts w:hint="default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fldChar w:fldCharType="end"/>
      </w:r>
      <w:r>
        <w:rPr>
          <w:rFonts w:hint="eastAsia" w:ascii="Palatino Linotype" w:hAnsi="Palatino Linotype" w:eastAsia="Times New Roman" w:cs="Times New Roman"/>
          <w:color w:val="000000"/>
          <w:kern w:val="0"/>
          <w:sz w:val="16"/>
          <w:szCs w:val="18"/>
          <w:lang w:val="en-US" w:eastAsia="zh-CN" w:bidi="en-US"/>
        </w:rPr>
        <w:t xml:space="preserve"> </w:t>
      </w:r>
    </w:p>
    <w:p>
      <w:pPr>
        <w:spacing w:line="360" w:lineRule="auto"/>
        <w:rPr>
          <w:rFonts w:hint="default" w:ascii="Palatino Linotype" w:hAnsi="Palatino Linotype" w:eastAsia="Times New Roman" w:cs="Times New Roman"/>
          <w:color w:val="000000"/>
          <w:kern w:val="0"/>
          <w:sz w:val="16"/>
          <w:szCs w:val="18"/>
          <w:lang w:val="en-US" w:eastAsia="zh-CN" w:bidi="en-US"/>
        </w:rPr>
      </w:pPr>
      <w:r>
        <w:rPr>
          <w:rFonts w:hint="eastAsia" w:ascii="Palatino Linotype" w:hAnsi="Palatino Linotype" w:eastAsia="Times New Roman" w:cs="Times New Roman"/>
          <w:color w:val="000000"/>
          <w:kern w:val="0"/>
          <w:sz w:val="16"/>
          <w:szCs w:val="18"/>
          <w:vertAlign w:val="superscript"/>
          <w:lang w:val="en-US" w:eastAsia="zh-CN" w:bidi="en-US"/>
        </w:rPr>
        <w:t>4</w:t>
      </w:r>
      <w:r>
        <w:rPr>
          <w:rFonts w:hint="default" w:ascii="Palatino Linotype" w:hAnsi="Palatino Linotype" w:eastAsia="Times New Roman" w:cs="Times New Roman"/>
          <w:color w:val="000000"/>
          <w:kern w:val="0"/>
          <w:sz w:val="16"/>
          <w:szCs w:val="18"/>
          <w:lang w:val="en-US" w:eastAsia="zh-CN" w:bidi="en-US"/>
        </w:rPr>
        <w:t>School of Public Health, Xinxiang Medical University, Xinxiang 453003,</w:t>
      </w:r>
      <w:r>
        <w:rPr>
          <w:rFonts w:hint="default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t xml:space="preserve"> </w:t>
      </w:r>
      <w:r>
        <w:rPr>
          <w:rFonts w:hint="default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fldChar w:fldCharType="begin"/>
      </w:r>
      <w:r>
        <w:rPr>
          <w:rFonts w:hint="default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instrText xml:space="preserve"> HYPERLINK "mailto:China;2500406897@qq.com;" </w:instrText>
      </w:r>
      <w:r>
        <w:rPr>
          <w:rFonts w:hint="default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fldChar w:fldCharType="separate"/>
      </w:r>
      <w:r>
        <w:rPr>
          <w:rStyle w:val="6"/>
          <w:rFonts w:hint="default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t>China</w:t>
      </w:r>
      <w:r>
        <w:rPr>
          <w:rStyle w:val="6"/>
          <w:rFonts w:hint="eastAsia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t>;2500406897@qq.com(J.B.);</w:t>
      </w:r>
      <w:r>
        <w:rPr>
          <w:rFonts w:hint="default" w:ascii="Palatino Linotype" w:hAnsi="Palatino Linotype" w:eastAsia="Times New Roman" w:cs="Times New Roman"/>
          <w:color w:val="auto"/>
          <w:kern w:val="0"/>
          <w:sz w:val="16"/>
          <w:szCs w:val="18"/>
          <w:u w:val="none"/>
          <w:lang w:val="en-US" w:eastAsia="zh-CN" w:bidi="en-US"/>
        </w:rPr>
        <w:fldChar w:fldCharType="end"/>
      </w:r>
      <w:r>
        <w:rPr>
          <w:rFonts w:hint="eastAsia" w:ascii="Palatino Linotype" w:hAnsi="Palatino Linotype" w:eastAsia="Times New Roman" w:cs="Times New Roman"/>
          <w:color w:val="000000"/>
          <w:kern w:val="0"/>
          <w:sz w:val="16"/>
          <w:szCs w:val="18"/>
          <w:lang w:val="en-US" w:eastAsia="zh-CN" w:bidi="en-US"/>
        </w:rPr>
        <w:t xml:space="preserve"> </w:t>
      </w:r>
    </w:p>
    <w:p>
      <w:pPr>
        <w:spacing w:line="360" w:lineRule="auto"/>
        <w:rPr>
          <w:rFonts w:hint="default" w:ascii="Palatino Linotype" w:hAnsi="Palatino Linotype" w:eastAsia="Times New Roman" w:cs="Times New Roman"/>
          <w:color w:val="000000"/>
          <w:kern w:val="0"/>
          <w:sz w:val="16"/>
          <w:szCs w:val="18"/>
          <w:lang w:val="en-US" w:eastAsia="zh-CN" w:bidi="en-US"/>
        </w:rPr>
        <w:sectPr>
          <w:headerReference r:id="rId3" w:type="default"/>
          <w:pgSz w:w="11906" w:h="16838"/>
          <w:pgMar w:top="1440" w:right="1800" w:bottom="1440" w:left="1800" w:header="851" w:footer="992" w:gutter="0"/>
          <w:lnNumType w:countBy="0" w:restart="continuous"/>
          <w:cols w:space="0" w:num="1"/>
          <w:rtlGutter w:val="0"/>
          <w:docGrid w:type="lines" w:linePitch="312" w:charSpace="0"/>
        </w:sectPr>
      </w:pPr>
      <w:r>
        <w:rPr>
          <w:rFonts w:hint="default" w:ascii="Palatino Linotype" w:hAnsi="Palatino Linotype" w:eastAsia="Times New Roman" w:cs="Times New Roman"/>
          <w:color w:val="000000"/>
          <w:kern w:val="0"/>
          <w:sz w:val="16"/>
          <w:szCs w:val="18"/>
          <w:lang w:val="en-US" w:eastAsia="zh-CN" w:bidi="en-US"/>
        </w:rPr>
        <w:t>* Correspondence:</w:t>
      </w:r>
      <w:r>
        <w:rPr>
          <w:rFonts w:hint="eastAsia" w:ascii="Palatino Linotype" w:hAnsi="Palatino Linotype" w:eastAsia="Times New Roman" w:cs="Times New Roman"/>
          <w:color w:val="000000"/>
          <w:kern w:val="0"/>
          <w:sz w:val="16"/>
          <w:szCs w:val="18"/>
          <w:lang w:val="en-US" w:eastAsia="zh-CN" w:bidi="en-US"/>
        </w:rPr>
        <w:t>Wenjie Tan(tanwj@ivdc.chinacdc.cn)(W.T)</w:t>
      </w:r>
    </w:p>
    <w:p>
      <w:pPr>
        <w:numPr>
          <w:ilvl w:val="0"/>
          <w:numId w:val="0"/>
        </w:numPr>
        <w:spacing w:line="360" w:lineRule="auto"/>
        <w:rPr>
          <w:rFonts w:hint="default" w:ascii="Palatino Linotype" w:hAnsi="Palatino Linotype" w:eastAsia="Times New Roman" w:cs="Times New Roman"/>
          <w:b/>
          <w:snapToGrid w:val="0"/>
          <w:color w:val="000000"/>
          <w:kern w:val="0"/>
          <w:sz w:val="20"/>
          <w:szCs w:val="22"/>
          <w:lang w:val="en-US" w:eastAsia="zh-CN" w:bidi="en-US"/>
        </w:rPr>
      </w:pPr>
      <w:r>
        <w:rPr>
          <w:rFonts w:hint="eastAsia" w:ascii="Palatino Linotype" w:hAnsi="Palatino Linotype" w:eastAsia="Times New Roman" w:cs="Times New Roman"/>
          <w:b/>
          <w:snapToGrid w:val="0"/>
          <w:color w:val="000000"/>
          <w:kern w:val="0"/>
          <w:sz w:val="20"/>
          <w:szCs w:val="22"/>
          <w:lang w:val="en-US" w:eastAsia="zh-CN" w:bidi="en-US"/>
        </w:rPr>
        <w:t>1.</w:t>
      </w:r>
      <w:r>
        <w:rPr>
          <w:rFonts w:hint="default" w:ascii="Palatino Linotype" w:hAnsi="Palatino Linotype" w:eastAsia="Times New Roman" w:cs="Times New Roman"/>
          <w:b/>
          <w:snapToGrid w:val="0"/>
          <w:color w:val="000000"/>
          <w:kern w:val="0"/>
          <w:sz w:val="20"/>
          <w:szCs w:val="22"/>
          <w:lang w:val="en-US" w:eastAsia="zh-CN" w:bidi="en-US"/>
        </w:rPr>
        <w:t>Supplemental Methods</w:t>
      </w:r>
    </w:p>
    <w:p>
      <w:pPr>
        <w:numPr>
          <w:ilvl w:val="0"/>
          <w:numId w:val="0"/>
        </w:numPr>
        <w:spacing w:line="360" w:lineRule="auto"/>
        <w:rPr>
          <w:rFonts w:hint="eastAsia" w:ascii="Palatino Linotype" w:hAnsi="Palatino Linotype" w:eastAsia="Times New Roman" w:cs="Times New Roman"/>
          <w:b w:val="0"/>
          <w:bCs/>
          <w:i/>
          <w:iCs/>
          <w:snapToGrid w:val="0"/>
          <w:color w:val="000000"/>
          <w:kern w:val="0"/>
          <w:sz w:val="20"/>
          <w:szCs w:val="22"/>
          <w:lang w:val="en-US" w:eastAsia="zh-CN" w:bidi="en-US"/>
        </w:rPr>
      </w:pPr>
      <w:r>
        <w:rPr>
          <w:rFonts w:hint="eastAsia" w:ascii="Palatino Linotype" w:hAnsi="Palatino Linotype" w:eastAsia="Times New Roman" w:cs="Times New Roman"/>
          <w:b w:val="0"/>
          <w:bCs/>
          <w:i/>
          <w:iCs/>
          <w:snapToGrid w:val="0"/>
          <w:color w:val="000000"/>
          <w:kern w:val="0"/>
          <w:sz w:val="20"/>
          <w:szCs w:val="22"/>
          <w:lang w:val="en-US" w:eastAsia="zh-CN" w:bidi="en-US"/>
        </w:rPr>
        <w:t>1.1 Genetic stability of recombinant virus and growth kinetic</w:t>
      </w:r>
    </w:p>
    <w:p>
      <w:pPr>
        <w:spacing w:line="360" w:lineRule="auto"/>
        <w:ind w:firstLine="400" w:firstLineChars="200"/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de-DE" w:bidi="en-US"/>
        </w:rPr>
      </w:pP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de-DE" w:bidi="en-US"/>
        </w:rPr>
        <w:t>The viruses of PR8NARBD/PR8,PR8NARBD/WSN were propagated in 9-day-old chicken eggs purchased from Merial, at 100 PFU of each virus was injected into egg. After incubation at 37</w:t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>℃</w:t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de-DE" w:bidi="en-US"/>
        </w:rPr>
        <w:t xml:space="preserve"> for 48 h, the virus allantoic fluid was harvested and titrated for TCID50 values. In order to test the genetic stability of recombinant virus, the virus was serially passaged in 9-day-old embryonated eggs five times and collect the allantoic fluid, labeled as E1 to E5 accordingly. </w:t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>T</w:t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de-DE" w:bidi="en-US"/>
        </w:rPr>
        <w:t>he viruses of passage E1 to E5 were extracted using QIAamp Vira RNA Mini Kit (REF:52906) according to the manufacturer’s instruction and converted to cDNA by Superscript® III First- strand kit (Invitrogen).</w:t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>T</w:t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de-DE" w:bidi="en-US"/>
        </w:rPr>
        <w:t>he unit12 primer (5’-AGCA/GAAAGCAGG-3’) were used to amplified the full-genome with QIAGEN One-step RT-PCR kit and visualized by 1% agarose gel electrophoresis. The PR8-NA-RBD specific fragments were amplified with NA universal primer Ba-NA-1/Ba-NA-1413R described by E.Hoffmann</w:t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de-DE" w:bidi="en-US"/>
        </w:rPr>
        <w:fldChar w:fldCharType="begin"/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instrText xml:space="preserve"> ADDIN EN.CITE </w:instrText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fldChar w:fldCharType="begin">
          <w:fldData xml:space="preserve">PEVuZE5vdGU+PENpdGU+PEF1dGhvcj5Ib2ZmbWFubjwvQXV0aG9yPjxZZWFyPjIwMDI8L1llYXI+
PFJlY051bT40Nzc8L1JlY051bT48RGlzcGxheVRleHQ+WzFdPC9EaXNwbGF5VGV4dD48cmVjb3Jk
PjxyZWMtbnVtYmVyPjQ3NzwvcmVjLW51bWJlcj48Zm9yZWlnbi1rZXlzPjxrZXkgYXBwPSJFTiIg
ZGItaWQ9InRlNTVmdnNmMHJkdnIwZXp4ZWw1MmZ4b3Rhc2R6NXhleDU1dCIgdGltZXN0YW1wPSIx
NjgzNDQ1MDc3Ij40Nzc8L2tleT48L2ZvcmVpZ24ta2V5cz48cmVmLXR5cGUgbmFtZT0iSm91cm5h
bCBBcnRpY2xlIj4xNzwvcmVmLXR5cGU+PGNvbnRyaWJ1dG9ycz48YXV0aG9ycz48YXV0aG9yPkhv
ZmZtYW5uLCBFLjwvYXV0aG9yPjxhdXRob3I+S3JhdXNzLCBTLjwvYXV0aG9yPjxhdXRob3I+UGVy
ZXosIEQuPC9hdXRob3I+PGF1dGhvcj5XZWJieSwgUi48L2F1dGhvcj48YXV0aG9yPldlYnN0ZXIs
IFIuIEcuPC9hdXRob3I+PC9hdXRob3JzPjwvY29udHJpYnV0b3JzPjxhdXRoLWFkZHJlc3M+RGVw
YXJ0bWVudCBvZiBWaXJvbG9neSBhbmQgTW9sZWN1bGFyIEJpb2xvZ3ksIFN0LiBKdWRlIENoaWxk
cmVuJmFwb3M7cyBSZXNlYXJjaCBIb3NwaXRhbCwgMzMyIE5vcnRoIExhdWRlcmRhbGUsIE1lbXBo
aXMsIFROIDM4MTA1LTI3OTQsIFVTQS48L2F1dGgtYWRkcmVzcz48dGl0bGVzPjx0aXRsZT5FaWdo
dC1wbGFzbWlkIHN5c3RlbSBmb3IgcmFwaWQgZ2VuZXJhdGlvbiBvZiBpbmZsdWVuemEgdmlydXMg
dmFjY2luZXM8L3RpdGxlPjxzZWNvbmRhcnktdGl0bGU+VmFjY2luZTwvc2Vjb25kYXJ5LXRpdGxl
PjwvdGl0bGVzPjxwZXJpb2RpY2FsPjxmdWxsLXRpdGxlPlZhY2NpbmU8L2Z1bGwtdGl0bGU+PC9w
ZXJpb2RpY2FsPjxwYWdlcz4zMTY1LTcwPC9wYWdlcz48dm9sdW1lPjIwPC92b2x1bWU+PG51bWJl
cj4yNS0yNjwvbnVtYmVyPjxlZGl0aW9uPjIwMDIvMDgvMDc8L2VkaXRpb24+PGtleXdvcmRzPjxr
ZXl3b3JkPkFuaW1hbHM8L2tleXdvcmQ+PGtleXdvcmQ+QW50aWdlbmljIFZhcmlhdGlvbi9nZW5l
dGljczwva2V5d29yZD48a2V5d29yZD5CaXJkcy92aXJvbG9neTwva2V5d29yZD48a2V5d29yZD5D
ZWxsIExpbmU8L2tleXdvcmQ+PGtleXdvcmQ+Q2hpY2sgRW1icnlvPC9rZXl3b3JkPjxrZXl3b3Jk
PkNoaW5hPC9rZXl3b3JkPjxrZXl3b3JkPkN6ZWNob3Nsb3Zha2lhPC9rZXl3b3JkPjxrZXl3b3Jk
PkROQSwgUmVjb21iaW5hbnQvZ2VuZXRpY3M8L2tleXdvcmQ+PGtleXdvcmQ+RG9nczwva2V5d29y
ZD48a2V5d29yZD5HZW5lcywgVmlyYWw8L2tleXdvcmQ+PGtleXdvcmQ+R2VuZXRpYyBWZWN0b3Jz
LypnZW5ldGljczwva2V5d29yZD48a2V5d29yZD5JbmZsdWVuemEgQSB2aXJ1cy8qZ2VuZXRpY3Mv
aW1tdW5vbG9neS9pc29sYXRpb24gJmFtcDsgcHVyaWZpY2F0aW9uPC9rZXl3b3JkPjxrZXl3b3Jk
PkluZmx1ZW56YSBWYWNjaW5lcy8qYmlvc3ludGhlc2lzL2dlbmV0aWNzL2ltbXVub2xvZ3kvaXNv
bGF0aW9uICZhbXA7IHB1cmlmaWNhdGlvbjwva2V5d29yZD48a2V5d29yZD5OZXcgQ2FsZWRvbmlh
PC9rZXl3b3JkPjxrZXl3b3JkPlBhbmFtYTwva2V5d29yZD48a2V5d29yZD5QaGVub3R5cGU8L2tl
eXdvcmQ+PGtleXdvcmQ+UmVhc3NvcnRhbnQgVmlydXNlcy8qZ2VuZXRpY3MvaW1tdW5vbG9neS9p
c29sYXRpb24gJmFtcDsgcHVyaWZpY2F0aW9uPC9rZXl3b3JkPjxrZXl3b3JkPlJlcHJvZHVjaWJp
bGl0eSBvZiBSZXN1bHRzPC9rZXl3b3JkPjxrZXl3b3JkPlJldmVyc2UgVHJhbnNjcmlwdGFzZSBQ
b2x5bWVyYXNlIENoYWluIFJlYWN0aW9uPC9rZXl3b3JkPjxrZXl3b3JkPlRyYW5zZmVjdGlvbjwv
a2V5d29yZD48a2V5d29yZD5WaXJ1cyBDdWx0aXZhdGlvbjwva2V5d29yZD48L2tleXdvcmRzPjxk
YXRlcz48eWVhcj4yMDAyPC95ZWFyPjxwdWItZGF0ZXM+PGRhdGU+QXVnIDE5PC9kYXRlPjwvcHVi
LWRhdGVzPjwvZGF0ZXM+PGlzYm4+MDI2NC00MTBYIChQcmludCkmI3hEOzAyNjQtNDEweDwvaXNi
bj48YWNjZXNzaW9uLW51bT4xMjE2MzI2ODwvYWNjZXNzaW9uLW51bT48dXJscz48L3VybHM+PGVs
ZWN0cm9uaWMtcmVzb3VyY2UtbnVtPjEwLjEwMTYvczAyNjQtNDEweCgwMikwMDI2OC0yPC9lbGVj
dHJvbmljLXJlc291cmNlLW51bT48cmVtb3RlLWRhdGFiYXNlLXByb3ZpZGVyPk5MTTwvcmVtb3Rl
LWRhdGFiYXNlLXByb3ZpZGVyPjxsYW5ndWFnZT5lbmc8L2xhbmd1YWdlPjwvcmVjb3JkPjwvQ2l0
ZT48L0VuZE5vdGU+AA==
</w:fldData>
        </w:fldChar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instrText xml:space="preserve"> ADDIN EN.CITE.DATA </w:instrText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fldChar w:fldCharType="separate"/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fldChar w:fldCharType="end"/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de-DE" w:bidi="en-US"/>
        </w:rPr>
        <w:fldChar w:fldCharType="separate"/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>[1]</w:t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de-DE" w:bidi="en-US"/>
        </w:rPr>
        <w:fldChar w:fldCharType="end"/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de-DE" w:bidi="en-US"/>
        </w:rPr>
        <w:t>.The sequences was further confirmed by Sanger sequencing.</w:t>
      </w:r>
    </w:p>
    <w:p>
      <w:pPr>
        <w:numPr>
          <w:ilvl w:val="0"/>
          <w:numId w:val="0"/>
        </w:numPr>
        <w:spacing w:line="360" w:lineRule="auto"/>
        <w:rPr>
          <w:rFonts w:hint="eastAsia" w:ascii="Palatino Linotype" w:hAnsi="Palatino Linotype" w:eastAsia="Times New Roman" w:cs="Times New Roman"/>
          <w:b w:val="0"/>
          <w:bCs/>
          <w:i/>
          <w:iCs/>
          <w:snapToGrid w:val="0"/>
          <w:color w:val="000000"/>
          <w:kern w:val="0"/>
          <w:sz w:val="20"/>
          <w:szCs w:val="22"/>
          <w:lang w:val="en-US" w:eastAsia="zh-CN" w:bidi="en-US"/>
        </w:rPr>
      </w:pPr>
      <w:r>
        <w:rPr>
          <w:rFonts w:hint="eastAsia" w:ascii="Palatino Linotype" w:hAnsi="Palatino Linotype" w:eastAsia="Times New Roman" w:cs="Times New Roman"/>
          <w:b w:val="0"/>
          <w:bCs/>
          <w:i/>
          <w:iCs/>
          <w:snapToGrid w:val="0"/>
          <w:color w:val="000000"/>
          <w:kern w:val="0"/>
          <w:sz w:val="20"/>
          <w:szCs w:val="22"/>
          <w:lang w:val="en-US" w:eastAsia="zh-CN" w:bidi="en-US"/>
        </w:rPr>
        <w:t xml:space="preserve">1.2 Western blot </w:t>
      </w:r>
    </w:p>
    <w:p>
      <w:pPr>
        <w:spacing w:line="360" w:lineRule="auto"/>
        <w:ind w:firstLine="400" w:firstLineChars="200"/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de-DE" w:bidi="en-US"/>
        </w:rPr>
      </w:pP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de-DE" w:bidi="en-US"/>
        </w:rPr>
        <w:t>The virus allantoic fluid was collected and concentrated purification as previously described</w:t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de-DE" w:bidi="en-US"/>
        </w:rPr>
        <w:fldChar w:fldCharType="begin"/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instrText xml:space="preserve"> ADDIN EN.CITE &lt;EndNote&gt;&lt;Cite&gt;&lt;Author&gt;Gao&lt;/Author&gt;&lt;Year&gt;2021&lt;/Year&gt;&lt;RecNum&gt;454&lt;/RecNum&gt;&lt;DisplayText&gt;[2]&lt;/DisplayText&gt;&lt;record&gt;&lt;rec-number&gt;454&lt;/rec-number&gt;&lt;foreign-keys&gt;&lt;key app="EN" db-id="te55fvsf0rdvr0ezxel52fxotasdz5xex55t" timestamp="1683187879"&gt;454&lt;/key&gt;&lt;/foreign-keys&gt;&lt;ref-type name="Journal Article"&gt;17&lt;/ref-type&gt;&lt;contributors&gt;&lt;authors&gt;&lt;author&gt;Gao, J.&lt;/author&gt;&lt;author&gt;Wan, H.&lt;/author&gt;&lt;author&gt;Li, X.&lt;/author&gt;&lt;author&gt;Rakic Martinez, M.&lt;/author&gt;&lt;author&gt;Klenow, L.&lt;/author&gt;&lt;author&gt;Gao, Y.&lt;/author&gt;&lt;author&gt;Ye, Z.&lt;/author&gt;&lt;author&gt;Daniels, R.&lt;/author&gt;&lt;/authors&gt;&lt;/contributors&gt;&lt;auth-address&gt;Division of Viral Products, Center for Biologics Evaluation and Research, Food and Drug Administration, Silver Spring, Maryland, United States of America.&lt;/auth-address&gt;&lt;titles&gt;&lt;title&gt;Balancing the influenza neuraminidase and hemagglutinin responses by exchanging the vaccine virus backbone&lt;/title&gt;&lt;secondary-title&gt;PLoS Pathog&lt;/secondary-title&gt;&lt;/titles&gt;&lt;periodical&gt;&lt;full-title&gt;PLoS Pathog&lt;/full-title&gt;&lt;/periodical&gt;&lt;pages&gt;e1009171&lt;/pages&gt;&lt;volume&gt;17&lt;/volume&gt;&lt;number&gt;4&lt;/number&gt;&lt;edition&gt;2021/04/20&lt;/edition&gt;&lt;keywords&gt;&lt;keyword&gt;Animals&lt;/keyword&gt;&lt;keyword&gt;Antibodies, Neutralizing/blood&lt;/keyword&gt;&lt;keyword&gt;Antibodies, Viral/*immunology&lt;/keyword&gt;&lt;keyword&gt;Cowpox virus/immunology&lt;/keyword&gt;&lt;keyword&gt;Hemagglutinin Glycoproteins, Influenza Virus/immunology&lt;/keyword&gt;&lt;keyword&gt;Hemagglutinins/*immunology&lt;/keyword&gt;&lt;keyword&gt;Humans&lt;/keyword&gt;&lt;keyword&gt;Influenza A Virus, H1N1 Subtype/immunology&lt;/keyword&gt;&lt;keyword&gt;Influenza Vaccines/*immunology&lt;/keyword&gt;&lt;keyword&gt;Influenza, Human/*virology&lt;/keyword&gt;&lt;keyword&gt;Mice&lt;/keyword&gt;&lt;keyword&gt;Neuraminidase/*genetics&lt;/keyword&gt;&lt;/keywords&gt;&lt;dates&gt;&lt;year&gt;2021&lt;/year&gt;&lt;pub-dates&gt;&lt;date&gt;Apr&lt;/date&gt;&lt;/pub-dates&gt;&lt;/dates&gt;&lt;isbn&gt;1553-7366 (Print)&amp;#xD;1553-7366&lt;/isbn&gt;&lt;accession-num&gt;33872324&lt;/accession-num&gt;&lt;urls&gt;&lt;/urls&gt;&lt;custom2&gt;PMC8084346&lt;/custom2&gt;&lt;electronic-resource-num&gt;10.1371/journal.ppat.1009171&lt;/electronic-resource-num&gt;&lt;remote-database-provider&gt;NLM&lt;/remote-database-provider&gt;&lt;language&gt;eng&lt;/language&gt;&lt;/record&gt;&lt;/Cite&gt;&lt;/EndNote&gt;</w:instrText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de-DE" w:bidi="en-US"/>
        </w:rPr>
        <w:fldChar w:fldCharType="separate"/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>[2]</w:t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de-DE" w:bidi="en-US"/>
        </w:rPr>
        <w:fldChar w:fldCharType="end"/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de-DE" w:bidi="en-US"/>
        </w:rPr>
        <w:t>. Membranes were probed with rabbit anti-Spike RBD (Biodragon, cat:BD-PD400014), mouse anti-influenza A NP (Millipore, MAB 8257) , Goat anti-rabbit IgG-HRP (KPL,MA, USA) and anti-mouse IgG-HRP antibodies were used as secondary antibodies for chemiluminescence detection by AEC substrate set(551951) and imaged using chemiluminescent imager.</w:t>
      </w:r>
    </w:p>
    <w:p>
      <w:pPr>
        <w:numPr>
          <w:ilvl w:val="0"/>
          <w:numId w:val="0"/>
        </w:numPr>
        <w:spacing w:line="360" w:lineRule="auto"/>
        <w:rPr>
          <w:rFonts w:hint="eastAsia" w:ascii="Palatino Linotype" w:hAnsi="Palatino Linotype" w:eastAsia="Times New Roman" w:cs="Times New Roman"/>
          <w:b w:val="0"/>
          <w:bCs/>
          <w:i/>
          <w:iCs/>
          <w:snapToGrid w:val="0"/>
          <w:color w:val="000000"/>
          <w:kern w:val="0"/>
          <w:sz w:val="20"/>
          <w:szCs w:val="22"/>
          <w:lang w:val="en-US" w:eastAsia="zh-CN" w:bidi="en-US"/>
        </w:rPr>
      </w:pPr>
      <w:r>
        <w:rPr>
          <w:rFonts w:hint="eastAsia" w:ascii="Palatino Linotype" w:hAnsi="Palatino Linotype" w:eastAsia="Times New Roman" w:cs="Times New Roman"/>
          <w:b w:val="0"/>
          <w:bCs/>
          <w:i/>
          <w:iCs/>
          <w:snapToGrid w:val="0"/>
          <w:color w:val="000000"/>
          <w:kern w:val="0"/>
          <w:sz w:val="20"/>
          <w:szCs w:val="22"/>
          <w:lang w:val="en-US" w:eastAsia="zh-CN" w:bidi="en-US"/>
        </w:rPr>
        <w:t>1.3 Neuraminidase activity measurements</w:t>
      </w:r>
    </w:p>
    <w:p>
      <w:pPr>
        <w:spacing w:line="360" w:lineRule="auto"/>
        <w:ind w:firstLine="400" w:firstLineChars="200"/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de-DE" w:bidi="en-US"/>
        </w:rPr>
      </w:pP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de-DE" w:bidi="en-US"/>
        </w:rPr>
        <w:t>NA activity was measured by NA-Fluor™ Influenza Neuraminidase Assay Kit. The viruses were performed serially two-fold dilution across the black plate in 1xNA-Fluor buffer. Add 50 µL of 200 µM MUNANA per well and gently tap the plate to mix. Incubate the plate at 37 ℃ for 1 h. Add 100 µL of stop solution per well to terminate the reaction and gently tap the plate to mix. Read the plate using a fluorometer.</w:t>
      </w:r>
    </w:p>
    <w:p>
      <w:pPr>
        <w:numPr>
          <w:ilvl w:val="0"/>
          <w:numId w:val="0"/>
        </w:numPr>
        <w:spacing w:line="360" w:lineRule="auto"/>
        <w:rPr>
          <w:rFonts w:hint="eastAsia" w:ascii="Palatino Linotype" w:hAnsi="Palatino Linotype" w:eastAsia="Times New Roman" w:cs="Times New Roman"/>
          <w:b w:val="0"/>
          <w:bCs/>
          <w:i/>
          <w:iCs/>
          <w:snapToGrid w:val="0"/>
          <w:color w:val="000000"/>
          <w:kern w:val="0"/>
          <w:sz w:val="20"/>
          <w:szCs w:val="22"/>
          <w:lang w:val="en-US" w:eastAsia="zh-CN" w:bidi="en-US"/>
        </w:rPr>
      </w:pPr>
      <w:r>
        <w:rPr>
          <w:rFonts w:hint="eastAsia" w:ascii="Palatino Linotype" w:hAnsi="Palatino Linotype" w:eastAsia="Times New Roman" w:cs="Times New Roman"/>
          <w:b w:val="0"/>
          <w:bCs/>
          <w:i/>
          <w:iCs/>
          <w:snapToGrid w:val="0"/>
          <w:color w:val="000000"/>
          <w:kern w:val="0"/>
          <w:sz w:val="20"/>
          <w:szCs w:val="22"/>
          <w:lang w:val="en-US" w:eastAsia="zh-CN" w:bidi="en-US"/>
        </w:rPr>
        <w:t>1.4 RBD concentration was detected by Enzyme-linked immunosorbent assays (ELISAs)</w:t>
      </w:r>
    </w:p>
    <w:p>
      <w:pPr>
        <w:spacing w:line="360" w:lineRule="auto"/>
        <w:ind w:firstLine="400" w:firstLineChars="200"/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de-DE" w:bidi="en-US"/>
        </w:rPr>
      </w:pP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de-DE" w:bidi="en-US"/>
        </w:rPr>
        <w:t>The RBD concentration of the reassortment viruses PR8NARBD/PR8</w:t>
      </w:r>
      <w:r>
        <w:rPr>
          <w:rFonts w:hint="eastAsia" w:ascii="Palatino Linotype" w:hAnsi="Palatino Linotype" w:eastAsia="宋体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 xml:space="preserve"> </w:t>
      </w: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de-DE" w:bidi="en-US"/>
        </w:rPr>
        <w:t xml:space="preserve">and PR8NARBD/WSN was quantitative by enzyme-linked immunosorbent assay (ELISA) using SARS-COV-2 Spike RBD kit (Sino biological, Cat:KIT40592). It contains recombinant SARS-CoV-2 Coronavirus spike, and antibodies raised against the recombinant RBD protein. Briefly, Prepare serially diluted standard to quantified the concentration of the virus stock. </w:t>
      </w: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>T</w:t>
      </w: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de-DE" w:bidi="en-US"/>
        </w:rPr>
        <w:t>he viruses samples were diluted to the right concentration and does not exceed the standard curve and 100μL of virus sample were added to per well, Incubate for 2 hours at room temperature.Add 100μL of Detection Antibody in working concentration to each well. and incubate for 1 hour at room temperature.Reaction were stopped with stop soulation and read at 450nm.</w:t>
      </w:r>
    </w:p>
    <w:p>
      <w:pPr>
        <w:spacing w:line="360" w:lineRule="auto"/>
        <w:rPr>
          <w:rFonts w:hint="default" w:ascii="Palatino Linotype" w:hAnsi="Palatino Linotype" w:eastAsia="Times New Roman" w:cs="Times New Roman"/>
          <w:b w:val="0"/>
          <w:bCs w:val="0"/>
          <w:i/>
          <w:iCs/>
          <w:snapToGrid w:val="0"/>
          <w:color w:val="000000"/>
          <w:kern w:val="0"/>
          <w:sz w:val="20"/>
          <w:szCs w:val="22"/>
          <w:lang w:val="en-US" w:eastAsia="de-DE" w:bidi="en-US"/>
        </w:rPr>
      </w:pPr>
      <w:r>
        <w:rPr>
          <w:rFonts w:hint="eastAsia" w:ascii="Palatino Linotype" w:hAnsi="Palatino Linotype" w:eastAsia="宋体" w:cs="Times New Roman"/>
          <w:b w:val="0"/>
          <w:bCs w:val="0"/>
          <w:i/>
          <w:iCs/>
          <w:snapToGrid w:val="0"/>
          <w:color w:val="000000"/>
          <w:kern w:val="0"/>
          <w:sz w:val="20"/>
          <w:szCs w:val="22"/>
          <w:lang w:val="en-US" w:eastAsia="zh-CN" w:bidi="en-US"/>
        </w:rPr>
        <w:t xml:space="preserve">1.5 </w:t>
      </w:r>
      <w:r>
        <w:rPr>
          <w:rFonts w:hint="default" w:ascii="Palatino Linotype" w:hAnsi="Palatino Linotype" w:eastAsia="Times New Roman" w:cs="Times New Roman"/>
          <w:b w:val="0"/>
          <w:bCs w:val="0"/>
          <w:i/>
          <w:iCs/>
          <w:snapToGrid w:val="0"/>
          <w:color w:val="000000"/>
          <w:kern w:val="0"/>
          <w:sz w:val="20"/>
          <w:szCs w:val="22"/>
          <w:lang w:val="en-US" w:eastAsia="de-DE" w:bidi="en-US"/>
        </w:rPr>
        <w:t>SARS-COV-2 Pseudotypes Virus Neutralization Assay</w:t>
      </w:r>
    </w:p>
    <w:p>
      <w:pPr>
        <w:spacing w:line="360" w:lineRule="auto"/>
        <w:ind w:firstLine="400" w:firstLineChars="200"/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de-DE" w:bidi="en-US"/>
        </w:rPr>
      </w:pP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de-DE" w:bidi="en-US"/>
        </w:rPr>
        <w:t>Neutralizing antibodies against SARS-COV-2 in serum were detected by Pseudotypes Virus Neutralization Assay based on previous study</w:t>
      </w: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de-DE" w:bidi="en-US"/>
        </w:rPr>
        <w:fldChar w:fldCharType="begin"/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instrText xml:space="preserve"> ADDIN EN.CITE &lt;EndNote&gt;&lt;Cite&gt;&lt;Author&gt;Yang&lt;/Author&gt;&lt;Year&gt;2020&lt;/Year&gt;&lt;RecNum&gt;479&lt;/RecNum&gt;&lt;DisplayText&gt;[3]&lt;/DisplayText&gt;&lt;record&gt;&lt;rec-number&gt;479&lt;/rec-number&gt;&lt;foreign-keys&gt;&lt;key app="EN" db-id="te55fvsf0rdvr0ezxel52fxotasdz5xex55t" timestamp="1683446206"&gt;479&lt;/key&gt;&lt;/foreign-keys&gt;&lt;ref-type name="Journal Article"&gt;17&lt;/ref-type&gt;&lt;contributors&gt;&lt;authors&gt;&lt;author&gt;Yang, R.&lt;/author&gt;&lt;author&gt;Huang, B.&lt;/author&gt;&lt;author&gt;A, R.&lt;/author&gt;&lt;author&gt;Li, W.&lt;/author&gt;&lt;author&gt;Wang, W.&lt;/author&gt;&lt;author&gt;Deng, Y.&lt;/author&gt;&lt;author&gt;Tan, W.&lt;/author&gt;&lt;/authors&gt;&lt;/contributors&gt;&lt;auth-address&gt;NHC Key Laboratory of Biosafety, National Institute for Viral Disease Control and Prevention, Chinese Center for Disease Control and Prevention, Beijing 102206, China.&amp;#xD;National Institute of Biological Sciences, No.7 Science Park Road, ZGC Life Science Park, Changping, Beijing 102206, China.&amp;#xD;Tsinghua Institute of Multidisciplinary Biomedical Research, Tsinghua University, Beijing 102206, China.&lt;/auth-address&gt;&lt;titles&gt;&lt;title&gt;Development and effectiveness of pseudotyped SARS-CoV-2 system as determined by neutralizing efficiency and entry inhibition test in vitro&lt;/title&gt;&lt;secondary-title&gt;Biosaf Health&lt;/secondary-title&gt;&lt;/titles&gt;&lt;periodical&gt;&lt;full-title&gt;Biosaf Health&lt;/full-title&gt;&lt;/periodical&gt;&lt;pages&gt;226-231&lt;/pages&gt;&lt;volume&gt;2&lt;/volume&gt;&lt;number&gt;4&lt;/number&gt;&lt;edition&gt;2020/08/31&lt;/edition&gt;&lt;keywords&gt;&lt;keyword&gt;Covid-19&lt;/keyword&gt;&lt;keyword&gt;Neutralization assay&lt;/keyword&gt;&lt;keyword&gt;Pseudotyped&lt;/keyword&gt;&lt;keyword&gt;Pseudovirus&lt;/keyword&gt;&lt;keyword&gt;SARS-CoV-2&lt;/keyword&gt;&lt;keyword&gt;Viral entry assay&lt;/keyword&gt;&lt;/keywords&gt;&lt;dates&gt;&lt;year&gt;2020&lt;/year&gt;&lt;pub-dates&gt;&lt;date&gt;Dec&lt;/date&gt;&lt;/pub-dates&gt;&lt;/dates&gt;&lt;isbn&gt;2590-0536&lt;/isbn&gt;&lt;accession-num&gt;32864605&lt;/accession-num&gt;&lt;urls&gt;&lt;/urls&gt;&lt;custom2&gt;PMC7442068&lt;/custom2&gt;&lt;electronic-resource-num&gt;10.1016/j.bsheal.2020.08.004&lt;/electronic-resource-num&gt;&lt;remote-database-provider&gt;NLM&lt;/remote-database-provider&gt;&lt;language&gt;eng&lt;/language&gt;&lt;/record&gt;&lt;/Cite&gt;&lt;/EndNote&gt;</w:instrText>
      </w: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de-DE" w:bidi="en-US"/>
        </w:rPr>
        <w:fldChar w:fldCharType="separate"/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>[3]</w:t>
      </w: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de-DE" w:bidi="en-US"/>
        </w:rPr>
        <w:fldChar w:fldCharType="end"/>
      </w: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de-DE" w:bidi="en-US"/>
        </w:rPr>
        <w:t>. Pseudotyped SARS-CoV-2 virus with the Fluc reporter gene were generated and titrated as described previously</w:t>
      </w: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de-DE" w:bidi="en-US"/>
        </w:rPr>
        <w:fldChar w:fldCharType="begin"/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instrText xml:space="preserve"> ADDIN EN.CITE &lt;EndNote&gt;&lt;Cite&gt;&lt;Author&gt;Yang&lt;/Author&gt;&lt;Year&gt;2020&lt;/Year&gt;&lt;RecNum&gt;479&lt;/RecNum&gt;&lt;DisplayText&gt;[3]&lt;/DisplayText&gt;&lt;record&gt;&lt;rec-number&gt;479&lt;/rec-number&gt;&lt;foreign-keys&gt;&lt;key app="EN" db-id="te55fvsf0rdvr0ezxel52fxotasdz5xex55t" timestamp="1683446206"&gt;479&lt;/key&gt;&lt;/foreign-keys&gt;&lt;ref-type name="Journal Article"&gt;17&lt;/ref-type&gt;&lt;contributors&gt;&lt;authors&gt;&lt;author&gt;Yang, R.&lt;/author&gt;&lt;author&gt;Huang, B.&lt;/author&gt;&lt;author&gt;A, R.&lt;/author&gt;&lt;author&gt;Li, W.&lt;/author&gt;&lt;author&gt;Wang, W.&lt;/author&gt;&lt;author&gt;Deng, Y.&lt;/author&gt;&lt;author&gt;Tan, W.&lt;/author&gt;&lt;/authors&gt;&lt;/contributors&gt;&lt;auth-address&gt;NHC Key Laboratory of Biosafety, National Institute for Viral Disease Control and Prevention, Chinese Center for Disease Control and Prevention, Beijing 102206, China.&amp;#xD;National Institute of Biological Sciences, No.7 Science Park Road, ZGC Life Science Park, Changping, Beijing 102206, China.&amp;#xD;Tsinghua Institute of Multidisciplinary Biomedical Research, Tsinghua University, Beijing 102206, China.&lt;/auth-address&gt;&lt;titles&gt;&lt;title&gt;Development and effectiveness of pseudotyped SARS-CoV-2 system as determined by neutralizing efficiency and entry inhibition test in vitro&lt;/title&gt;&lt;secondary-title&gt;Biosaf Health&lt;/secondary-title&gt;&lt;/titles&gt;&lt;periodical&gt;&lt;full-title&gt;Biosaf Health&lt;/full-title&gt;&lt;/periodical&gt;&lt;pages&gt;226-231&lt;/pages&gt;&lt;volume&gt;2&lt;/volume&gt;&lt;number&gt;4&lt;/number&gt;&lt;edition&gt;2020/08/31&lt;/edition&gt;&lt;keywords&gt;&lt;keyword&gt;Covid-19&lt;/keyword&gt;&lt;keyword&gt;Neutralization assay&lt;/keyword&gt;&lt;keyword&gt;Pseudotyped&lt;/keyword&gt;&lt;keyword&gt;Pseudovirus&lt;/keyword&gt;&lt;keyword&gt;SARS-CoV-2&lt;/keyword&gt;&lt;keyword&gt;Viral entry assay&lt;/keyword&gt;&lt;/keywords&gt;&lt;dates&gt;&lt;year&gt;2020&lt;/year&gt;&lt;pub-dates&gt;&lt;date&gt;Dec&lt;/date&gt;&lt;/pub-dates&gt;&lt;/dates&gt;&lt;isbn&gt;2590-0536&lt;/isbn&gt;&lt;accession-num&gt;32864605&lt;/accession-num&gt;&lt;urls&gt;&lt;/urls&gt;&lt;custom2&gt;PMC7442068&lt;/custom2&gt;&lt;electronic-resource-num&gt;10.1016/j.bsheal.2020.08.004&lt;/electronic-resource-num&gt;&lt;remote-database-provider&gt;NLM&lt;/remote-database-provider&gt;&lt;language&gt;eng&lt;/language&gt;&lt;/record&gt;&lt;/Cite&gt;&lt;/EndNote&gt;</w:instrText>
      </w: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de-DE" w:bidi="en-US"/>
        </w:rPr>
        <w:fldChar w:fldCharType="separate"/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>[3]</w:t>
      </w: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de-DE" w:bidi="en-US"/>
        </w:rPr>
        <w:fldChar w:fldCharType="end"/>
      </w: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de-DE" w:bidi="en-US"/>
        </w:rPr>
        <w:t>. Mouse sera were heated inactivated at 56℃ for 30 min and serially 2-fold diluted (starting dilution of (1:20) in 2%FBS in DMEM. Huh7.5 cells were inoculated in a 96-well cell culture plate and 80% confluency.The diluted serum was mixed with equal volume of pseudovirus particles, and the mixture was added into Huh7.5 cells incubated at 37°C for 2h.</w:t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 xml:space="preserve"> </w:t>
      </w: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de-DE" w:bidi="en-US"/>
        </w:rPr>
        <w:t>Cell were washed and overlaid with DMEM containing 2% FBS and incubated at 37℃48 h, the Bright-Glo luciferase assay substrate was added to each well, and the luminescence was measured with GLOMAX luminometer, and the neutralization efficiency was then calculated.</w:t>
      </w:r>
    </w:p>
    <w:p>
      <w:pPr>
        <w:spacing w:line="360" w:lineRule="auto"/>
        <w:rPr>
          <w:rFonts w:hint="default" w:ascii="Palatino Linotype" w:hAnsi="Palatino Linotype" w:eastAsia="Times New Roman" w:cs="Times New Roman"/>
          <w:b w:val="0"/>
          <w:bCs w:val="0"/>
          <w:i/>
          <w:iCs/>
          <w:snapToGrid w:val="0"/>
          <w:color w:val="000000"/>
          <w:kern w:val="0"/>
          <w:sz w:val="20"/>
          <w:szCs w:val="22"/>
          <w:lang w:val="en-US" w:eastAsia="de-DE" w:bidi="en-US"/>
        </w:rPr>
      </w:pPr>
      <w:r>
        <w:rPr>
          <w:rFonts w:hint="eastAsia" w:ascii="Palatino Linotype" w:hAnsi="Palatino Linotype" w:eastAsia="宋体" w:cs="Times New Roman"/>
          <w:b w:val="0"/>
          <w:bCs w:val="0"/>
          <w:i/>
          <w:iCs/>
          <w:snapToGrid w:val="0"/>
          <w:color w:val="000000"/>
          <w:kern w:val="0"/>
          <w:sz w:val="20"/>
          <w:szCs w:val="22"/>
          <w:lang w:val="en-US" w:eastAsia="zh-CN" w:bidi="en-US"/>
        </w:rPr>
        <w:t xml:space="preserve">1.6 </w:t>
      </w:r>
      <w:r>
        <w:rPr>
          <w:rFonts w:hint="default" w:ascii="Palatino Linotype" w:hAnsi="Palatino Linotype" w:eastAsia="Times New Roman" w:cs="Times New Roman"/>
          <w:b w:val="0"/>
          <w:bCs w:val="0"/>
          <w:i/>
          <w:iCs/>
          <w:snapToGrid w:val="0"/>
          <w:color w:val="000000"/>
          <w:kern w:val="0"/>
          <w:sz w:val="20"/>
          <w:szCs w:val="22"/>
          <w:lang w:val="en-US" w:eastAsia="de-DE" w:bidi="en-US"/>
        </w:rPr>
        <w:t>Hemagglutination Inhibition Assays (HAI)</w:t>
      </w:r>
    </w:p>
    <w:p>
      <w:pPr>
        <w:spacing w:line="360" w:lineRule="auto"/>
        <w:ind w:firstLine="400" w:firstLineChars="200"/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de-DE" w:bidi="en-US"/>
        </w:rPr>
      </w:pP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de-DE" w:bidi="en-US"/>
        </w:rPr>
        <w:t xml:space="preserve">To evaluate neutralization antibody against Influenza viruses,the HAI assay were performed as follows. Serum samples from mice were treated with receptor-destroying enzyme (RDE (II); Denka Seiken Co., Ltd, cat # 370013) for 18h at 37 ℃ and heat inactivated for 30 min at 56 ℃. Then, the two-fold serially diluted serum samples were mixed with the PR8NAWSN virues(4 hemagglutinating units,4HAU) and culture 30 min at RT. HAI titers were determined by adding 0.5% turkey red blood cells to the virus-Ab mixtures followed by a 30 min incubation at RT </w:t>
      </w: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de-DE" w:bidi="en-US"/>
        </w:rPr>
        <w:fldChar w:fldCharType="begin"/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instrText xml:space="preserve"> ADDIN EN.CITE &lt;EndNote&gt;&lt;Cite&gt;&lt;RecNum&gt;481&lt;/RecNum&gt;&lt;DisplayText&gt;[4]&lt;/DisplayText&gt;&lt;record&gt;&lt;rec-number&gt;481&lt;/rec-number&gt;&lt;foreign-keys&gt;&lt;key app="EN" db-id="te55fvsf0rdvr0ezxel52fxotasdz5xex55t" timestamp="1683453817"&gt;481&lt;/key&gt;&lt;/foreign-keys&gt;&lt;ref-type name="Journal Article"&gt;17&lt;/ref-type&gt;&lt;contributors&gt;&lt;/contributors&gt;&lt;titles&gt;&lt;title&gt;World Health Organization Manual for the laboratory diagnosis and virological surveillance of influenza / WHO Global Influenza Surveillance Network.&lt;/title&gt;&lt;secondary-title&gt;&lt;style face="underline" font="default" size="100%"&gt;http://whqlibdoc.who.int/ publications/2011/9789241548090_eng.pdf&lt;/style&gt;&lt;/secondary-title&gt;&lt;/titles&gt;&lt;periodical&gt;&lt;full-title&gt;http://whqlibdoc.who.int/ publications/2011/9789241548090_eng.pdf&lt;/full-title&gt;&lt;/periodical&gt;&lt;dates&gt;&lt;/dates&gt;&lt;urls&gt;&lt;/urls&gt;&lt;/record&gt;&lt;/Cite&gt;&lt;/EndNote&gt;</w:instrText>
      </w: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de-DE" w:bidi="en-US"/>
        </w:rPr>
        <w:fldChar w:fldCharType="separate"/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>[4]</w:t>
      </w: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de-DE" w:bidi="en-US"/>
        </w:rPr>
        <w:fldChar w:fldCharType="end"/>
      </w: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de-DE" w:bidi="en-US"/>
        </w:rPr>
        <w:t>. the HAI titers were defined as the reciprocal of the highest serum dilution for complete hemagglutination inhibition.</w:t>
      </w:r>
    </w:p>
    <w:p>
      <w:pPr>
        <w:numPr>
          <w:ilvl w:val="0"/>
          <w:numId w:val="1"/>
        </w:numPr>
        <w:spacing w:line="360" w:lineRule="auto"/>
        <w:rPr>
          <w:rFonts w:hint="default" w:ascii="Palatino Linotype" w:hAnsi="Palatino Linotype" w:eastAsia="Times New Roman" w:cs="Times New Roman"/>
          <w:b/>
          <w:bCs/>
          <w:snapToGrid w:val="0"/>
          <w:color w:val="000000"/>
          <w:kern w:val="0"/>
          <w:sz w:val="20"/>
          <w:szCs w:val="22"/>
          <w:lang w:val="en-US" w:eastAsia="de-DE" w:bidi="en-US"/>
        </w:rPr>
      </w:pPr>
      <w:r>
        <w:rPr>
          <w:rFonts w:hint="default" w:ascii="Palatino Linotype" w:hAnsi="Palatino Linotype" w:eastAsia="Times New Roman" w:cs="Times New Roman"/>
          <w:b/>
          <w:bCs/>
          <w:snapToGrid w:val="0"/>
          <w:color w:val="000000"/>
          <w:kern w:val="0"/>
          <w:sz w:val="20"/>
          <w:szCs w:val="22"/>
          <w:lang w:val="en-US" w:eastAsia="zh-CN" w:bidi="en-US"/>
        </w:rPr>
        <w:t>Supplemental Figure</w:t>
      </w:r>
    </w:p>
    <w:p>
      <w:pPr>
        <w:rPr>
          <w:rFonts w:hint="eastAsia" w:ascii="Times New Roman" w:hAnsi="Times New Roman" w:cs="Times New Roman"/>
          <w:sz w:val="24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39615" cy="3924935"/>
            <wp:effectExtent l="0" t="0" r="6985" b="12065"/>
            <wp:docPr id="1" name="图片 1" descr="pr8narbd p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r8narbd pr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9615" cy="39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</w:pPr>
      <w:bookmarkStart w:id="3" w:name="OLE_LINK1"/>
      <w:r>
        <w:rPr>
          <w:rFonts w:hint="default" w:ascii="Palatino Linotype" w:hAnsi="Palatino Linotype" w:eastAsia="Times New Roman" w:cs="Times New Roman"/>
          <w:b/>
          <w:bCs/>
          <w:snapToGrid w:val="0"/>
          <w:color w:val="000000"/>
          <w:kern w:val="0"/>
          <w:sz w:val="20"/>
          <w:szCs w:val="22"/>
          <w:lang w:val="en-US" w:eastAsia="zh-CN" w:bidi="en-US"/>
        </w:rPr>
        <w:t>Supplemental Figure</w:t>
      </w:r>
      <w:bookmarkEnd w:id="3"/>
      <w:r>
        <w:rPr>
          <w:rFonts w:hint="eastAsia" w:ascii="Palatino Linotype" w:hAnsi="Palatino Linotype" w:eastAsia="Times New Roman" w:cs="Times New Roman"/>
          <w:b/>
          <w:bCs/>
          <w:snapToGrid w:val="0"/>
          <w:color w:val="000000"/>
          <w:kern w:val="0"/>
          <w:sz w:val="20"/>
          <w:szCs w:val="22"/>
          <w:lang w:val="en-US" w:eastAsia="zh-CN" w:bidi="en-US"/>
        </w:rPr>
        <w:t xml:space="preserve"> </w:t>
      </w:r>
      <w:r>
        <w:rPr>
          <w:rFonts w:hint="default" w:ascii="Palatino Linotype" w:hAnsi="Palatino Linotype" w:eastAsia="Times New Roman" w:cs="Times New Roman"/>
          <w:b/>
          <w:bCs/>
          <w:snapToGrid w:val="0"/>
          <w:color w:val="000000"/>
          <w:kern w:val="0"/>
          <w:sz w:val="20"/>
          <w:szCs w:val="22"/>
          <w:lang w:val="en-US" w:eastAsia="zh-CN" w:bidi="en-US"/>
        </w:rPr>
        <w:t>1:</w:t>
      </w: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 xml:space="preserve">. Humoral immune and </w:t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>cellular</w:t>
      </w: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 xml:space="preserve"> immune responses elicited by single dose intranasal immune PR8NARBD/PR8 viruses in BALB/c mice. Serum and Splenocytes were obtained on day 14 after a single intranasal administration of PR8NARBD/PR8,(A) RBD specific binding</w:t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 xml:space="preserve"> antibody</w:t>
      </w: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 xml:space="preserve"> (</w:t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>B</w:t>
      </w: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>) RBD specific neutralization antibody. (</w:t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>C</w:t>
      </w: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>)Serum HAI titers against the PR8</w:t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 xml:space="preserve"> virus</w:t>
      </w: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>. (</w:t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>D</w:t>
      </w: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 xml:space="preserve">)RBD specific </w:t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>cell immunity</w:t>
      </w: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 xml:space="preserve">. (G) </w:t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>NP</w:t>
      </w: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 xml:space="preserve"> specific </w:t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>cell immunity</w:t>
      </w: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>.Statistical significances were analyzed by one-way analysis of variance (ANOVA).The bars plotted show means±SEM. The results represent three independent experiments. (*p &lt; 0.05, **p &lt; 0.01, ***p &lt; 0.001, ****p &lt;0.0001).</w:t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 xml:space="preserve"> 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2535" cy="4812665"/>
            <wp:effectExtent l="0" t="0" r="0" b="0"/>
            <wp:docPr id="2" name="图片 2" descr="over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over all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2535" cy="481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</w:pPr>
      <w:r>
        <w:rPr>
          <w:rFonts w:hint="default" w:ascii="Palatino Linotype" w:hAnsi="Palatino Linotype" w:eastAsia="Times New Roman" w:cs="Times New Roman"/>
          <w:b/>
          <w:bCs/>
          <w:snapToGrid w:val="0"/>
          <w:color w:val="000000"/>
          <w:kern w:val="0"/>
          <w:sz w:val="20"/>
          <w:szCs w:val="22"/>
          <w:lang w:val="en-US" w:eastAsia="zh-CN" w:bidi="en-US"/>
        </w:rPr>
        <w:t>Supplemental Figure</w:t>
      </w:r>
      <w:r>
        <w:rPr>
          <w:rFonts w:hint="eastAsia" w:ascii="Palatino Linotype" w:hAnsi="Palatino Linotype" w:eastAsia="Times New Roman" w:cs="Times New Roman"/>
          <w:b/>
          <w:bCs/>
          <w:snapToGrid w:val="0"/>
          <w:color w:val="000000"/>
          <w:kern w:val="0"/>
          <w:sz w:val="20"/>
          <w:szCs w:val="22"/>
          <w:lang w:val="en-US" w:eastAsia="zh-CN" w:bidi="en-US"/>
        </w:rPr>
        <w:t xml:space="preserve"> 2</w:t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>:Gating strategy for memory T cell phenotypes.Exemplary gating strategy of a lung sample from an PR8NARBD/WSN immunized mouse.</w:t>
      </w: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>lung lymphocytes were collected 14 days later and the expression of memory pneumonocytes was detected (CD8</w:t>
      </w: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vertAlign w:val="superscript"/>
          <w:lang w:val="en-US" w:eastAsia="zh-CN" w:bidi="en-US"/>
        </w:rPr>
        <w:t>+</w:t>
      </w: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>CD44</w:t>
      </w: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vertAlign w:val="superscript"/>
          <w:lang w:val="en-US" w:eastAsia="zh-CN" w:bidi="en-US"/>
        </w:rPr>
        <w:t>+</w:t>
      </w: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>CD62L</w:t>
      </w: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vertAlign w:val="superscript"/>
          <w:lang w:val="en-US" w:eastAsia="zh-CN" w:bidi="en-US"/>
        </w:rPr>
        <w:t>-</w:t>
      </w: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 xml:space="preserve"> CD69</w:t>
      </w: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vertAlign w:val="superscript"/>
          <w:lang w:val="en-US" w:eastAsia="zh-CN" w:bidi="en-US"/>
        </w:rPr>
        <w:t>+</w:t>
      </w: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>CD103</w:t>
      </w: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vertAlign w:val="superscript"/>
          <w:lang w:val="en-US" w:eastAsia="zh-CN" w:bidi="en-US"/>
        </w:rPr>
        <w:t>+</w:t>
      </w:r>
      <w:r>
        <w:rPr>
          <w:rFonts w:hint="default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>) with NP peptides</w:t>
      </w:r>
      <w:r>
        <w:rPr>
          <w:rFonts w:hint="eastAsia" w:ascii="Palatino Linotype" w:hAnsi="Palatino Linotype" w:eastAsia="Times New Roman" w:cs="Times New Roman"/>
          <w:snapToGrid w:val="0"/>
          <w:color w:val="000000"/>
          <w:kern w:val="0"/>
          <w:sz w:val="20"/>
          <w:szCs w:val="22"/>
          <w:lang w:val="en-US" w:eastAsia="zh-CN" w:bidi="en-US"/>
        </w:rPr>
        <w:t>.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Palatino Linotype" w:hAnsi="Palatino Linotype" w:eastAsia="Times New Roman" w:cs="Times New Roman"/>
          <w:b/>
          <w:bCs/>
          <w:snapToGrid w:val="0"/>
          <w:color w:val="000000"/>
          <w:kern w:val="0"/>
          <w:sz w:val="20"/>
          <w:szCs w:val="22"/>
          <w:lang w:val="en-US" w:eastAsia="zh-CN" w:bidi="en-US"/>
        </w:rPr>
      </w:pPr>
      <w:r>
        <w:rPr>
          <w:rFonts w:hint="default" w:ascii="Palatino Linotype" w:hAnsi="Palatino Linotype" w:eastAsia="Times New Roman" w:cs="Times New Roman"/>
          <w:b/>
          <w:bCs/>
          <w:snapToGrid w:val="0"/>
          <w:color w:val="000000"/>
          <w:kern w:val="0"/>
          <w:sz w:val="20"/>
          <w:szCs w:val="22"/>
          <w:lang w:val="en-US" w:eastAsia="zh-CN" w:bidi="en-US"/>
        </w:rPr>
        <w:t>Supplemental</w:t>
      </w:r>
      <w:r>
        <w:rPr>
          <w:rFonts w:hint="eastAsia" w:ascii="Palatino Linotype" w:hAnsi="Palatino Linotype" w:eastAsia="Times New Roman" w:cs="Times New Roman"/>
          <w:b/>
          <w:bCs/>
          <w:snapToGrid w:val="0"/>
          <w:color w:val="000000"/>
          <w:kern w:val="0"/>
          <w:sz w:val="20"/>
          <w:szCs w:val="22"/>
          <w:lang w:val="en-US" w:eastAsia="zh-CN" w:bidi="en-US"/>
        </w:rPr>
        <w:t xml:space="preserve"> R</w:t>
      </w:r>
      <w:r>
        <w:rPr>
          <w:rFonts w:hint="default" w:ascii="Palatino Linotype" w:hAnsi="Palatino Linotype" w:eastAsia="Times New Roman" w:cs="Times New Roman"/>
          <w:b/>
          <w:bCs/>
          <w:snapToGrid w:val="0"/>
          <w:color w:val="000000"/>
          <w:kern w:val="0"/>
          <w:sz w:val="20"/>
          <w:szCs w:val="22"/>
          <w:lang w:val="en-US" w:eastAsia="zh-CN" w:bidi="en-US"/>
        </w:rPr>
        <w:t>eferences</w:t>
      </w:r>
      <w:bookmarkStart w:id="4" w:name="_GoBack"/>
      <w:bookmarkEnd w:id="4"/>
    </w:p>
    <w:p>
      <w:pPr>
        <w:pStyle w:val="9"/>
        <w:bidi w:val="0"/>
        <w:ind w:left="720" w:hanging="720"/>
        <w:rPr>
          <w:rFonts w:ascii="Calibri" w:hAnsi="Calibri" w:cs="Calibri" w:eastAsiaTheme="minorEastAsia"/>
          <w:kern w:val="2"/>
          <w:sz w:val="20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fldChar w:fldCharType="begin"/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instrText xml:space="preserve"> ADDIN EN.REFLIST </w:instrTex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fldChar w:fldCharType="separate"/>
      </w:r>
      <w:r>
        <w:rPr>
          <w:rFonts w:ascii="Calibri" w:hAnsi="Calibri" w:cs="Calibri" w:eastAsiaTheme="minorEastAsia"/>
          <w:kern w:val="2"/>
          <w:sz w:val="20"/>
          <w:szCs w:val="24"/>
          <w:lang w:val="en-US" w:eastAsia="zh-CN" w:bidi="ar-SA"/>
        </w:rPr>
        <w:t>1.</w:t>
      </w:r>
      <w:r>
        <w:rPr>
          <w:rFonts w:ascii="Calibri" w:hAnsi="Calibri" w:cs="Calibri" w:eastAsiaTheme="minorEastAsia"/>
          <w:kern w:val="2"/>
          <w:sz w:val="20"/>
          <w:szCs w:val="24"/>
          <w:lang w:val="en-US" w:eastAsia="zh-CN" w:bidi="ar-SA"/>
        </w:rPr>
        <w:tab/>
      </w:r>
      <w:r>
        <w:rPr>
          <w:rFonts w:ascii="Calibri" w:hAnsi="Calibri" w:cs="Calibri" w:eastAsiaTheme="minorEastAsia"/>
          <w:kern w:val="2"/>
          <w:sz w:val="20"/>
          <w:szCs w:val="24"/>
          <w:lang w:val="en-US" w:eastAsia="zh-CN" w:bidi="ar-SA"/>
        </w:rPr>
        <w:t>Hoffmann E, Krauss S, Perez D, et al. Eight-plasmid system for rapid generation of influenza virus vaccines. Vaccine. 2002 Aug 19;20(25-26):3165-70.</w:t>
      </w:r>
    </w:p>
    <w:p>
      <w:pPr>
        <w:pStyle w:val="9"/>
        <w:bidi w:val="0"/>
        <w:ind w:left="720" w:hanging="720"/>
        <w:rPr>
          <w:rFonts w:ascii="Calibri" w:hAnsi="Calibri" w:cs="Calibri" w:eastAsiaTheme="minorEastAsia"/>
          <w:kern w:val="2"/>
          <w:sz w:val="20"/>
          <w:szCs w:val="24"/>
          <w:lang w:val="en-US" w:eastAsia="zh-CN" w:bidi="ar-SA"/>
        </w:rPr>
      </w:pPr>
      <w:r>
        <w:rPr>
          <w:rFonts w:ascii="Calibri" w:hAnsi="Calibri" w:cs="Calibri" w:eastAsiaTheme="minorEastAsia"/>
          <w:kern w:val="2"/>
          <w:sz w:val="20"/>
          <w:szCs w:val="24"/>
          <w:lang w:val="en-US" w:eastAsia="zh-CN" w:bidi="ar-SA"/>
        </w:rPr>
        <w:t>2.</w:t>
      </w:r>
      <w:r>
        <w:rPr>
          <w:rFonts w:ascii="Calibri" w:hAnsi="Calibri" w:cs="Calibri" w:eastAsiaTheme="minorEastAsia"/>
          <w:kern w:val="2"/>
          <w:sz w:val="20"/>
          <w:szCs w:val="24"/>
          <w:lang w:val="en-US" w:eastAsia="zh-CN" w:bidi="ar-SA"/>
        </w:rPr>
        <w:tab/>
      </w:r>
      <w:r>
        <w:rPr>
          <w:rFonts w:ascii="Calibri" w:hAnsi="Calibri" w:cs="Calibri" w:eastAsiaTheme="minorEastAsia"/>
          <w:kern w:val="2"/>
          <w:sz w:val="20"/>
          <w:szCs w:val="24"/>
          <w:lang w:val="en-US" w:eastAsia="zh-CN" w:bidi="ar-SA"/>
        </w:rPr>
        <w:t>Gao J, Wan H, Li X, et al. Balancing the influenza neuraminidase and hemagglutinin responses by exchanging the vaccine virus backbone. PLoS Pathog. 2021 Apr;17(4):e1009171.</w:t>
      </w:r>
    </w:p>
    <w:p>
      <w:pPr>
        <w:pStyle w:val="9"/>
        <w:bidi w:val="0"/>
        <w:ind w:left="720" w:hanging="720"/>
        <w:rPr>
          <w:rFonts w:ascii="Calibri" w:hAnsi="Calibri" w:cs="Calibri" w:eastAsiaTheme="minorEastAsia"/>
          <w:kern w:val="2"/>
          <w:sz w:val="20"/>
          <w:szCs w:val="24"/>
          <w:lang w:val="en-US" w:eastAsia="zh-CN" w:bidi="ar-SA"/>
        </w:rPr>
      </w:pPr>
      <w:r>
        <w:rPr>
          <w:rFonts w:ascii="Calibri" w:hAnsi="Calibri" w:cs="Calibri" w:eastAsiaTheme="minorEastAsia"/>
          <w:kern w:val="2"/>
          <w:sz w:val="20"/>
          <w:szCs w:val="24"/>
          <w:lang w:val="en-US" w:eastAsia="zh-CN" w:bidi="ar-SA"/>
        </w:rPr>
        <w:t>3.</w:t>
      </w:r>
      <w:r>
        <w:rPr>
          <w:rFonts w:ascii="Calibri" w:hAnsi="Calibri" w:cs="Calibri" w:eastAsiaTheme="minorEastAsia"/>
          <w:kern w:val="2"/>
          <w:sz w:val="20"/>
          <w:szCs w:val="24"/>
          <w:lang w:val="en-US" w:eastAsia="zh-CN" w:bidi="ar-SA"/>
        </w:rPr>
        <w:tab/>
      </w:r>
      <w:r>
        <w:rPr>
          <w:rFonts w:ascii="Calibri" w:hAnsi="Calibri" w:cs="Calibri" w:eastAsiaTheme="minorEastAsia"/>
          <w:kern w:val="2"/>
          <w:sz w:val="20"/>
          <w:szCs w:val="24"/>
          <w:lang w:val="en-US" w:eastAsia="zh-CN" w:bidi="ar-SA"/>
        </w:rPr>
        <w:t>Yang R, Huang B, A R, et al. Development and effectiveness of pseudotyped SARS-CoV-2 system as determined by neutralizing efficiency and entry inhibition test in vitro. Biosaf Health. 2020 Dec;2(4):226-231.</w:t>
      </w:r>
    </w:p>
    <w:p>
      <w:pPr>
        <w:pStyle w:val="9"/>
        <w:bidi w:val="0"/>
        <w:ind w:left="720" w:hanging="720"/>
        <w:rPr>
          <w:rFonts w:ascii="Calibri" w:hAnsi="Calibri" w:cs="Calibri" w:eastAsiaTheme="minorEastAsia"/>
          <w:kern w:val="2"/>
          <w:sz w:val="20"/>
          <w:szCs w:val="24"/>
          <w:lang w:val="en-US" w:eastAsia="zh-CN" w:bidi="ar-SA"/>
        </w:rPr>
      </w:pPr>
      <w:r>
        <w:rPr>
          <w:rFonts w:ascii="Calibri" w:hAnsi="Calibri" w:cs="Calibri" w:eastAsiaTheme="minorEastAsia"/>
          <w:kern w:val="2"/>
          <w:sz w:val="20"/>
          <w:szCs w:val="24"/>
          <w:lang w:val="en-US" w:eastAsia="zh-CN" w:bidi="ar-SA"/>
        </w:rPr>
        <w:t>4.</w:t>
      </w:r>
      <w:r>
        <w:rPr>
          <w:rFonts w:ascii="Calibri" w:hAnsi="Calibri" w:cs="Calibri" w:eastAsiaTheme="minorEastAsia"/>
          <w:kern w:val="2"/>
          <w:sz w:val="20"/>
          <w:szCs w:val="24"/>
          <w:lang w:val="en-US" w:eastAsia="zh-CN" w:bidi="ar-SA"/>
        </w:rPr>
        <w:tab/>
      </w:r>
      <w:r>
        <w:rPr>
          <w:rFonts w:ascii="Calibri" w:hAnsi="Calibri" w:cs="Calibri" w:eastAsiaTheme="minorEastAsia"/>
          <w:kern w:val="2"/>
          <w:sz w:val="20"/>
          <w:szCs w:val="24"/>
          <w:lang w:val="en-US" w:eastAsia="zh-CN" w:bidi="ar-SA"/>
        </w:rPr>
        <w:t xml:space="preserve">World Health Organization Manual for the laboratory diagnosis and virological surveillance of influenza / WHO Global Influenza Surveillance Network. </w:t>
      </w:r>
      <w:r>
        <w:rPr>
          <w:rFonts w:ascii="Calibri" w:hAnsi="Calibri" w:cs="Calibri" w:eastAsiaTheme="minorEastAsia"/>
          <w:kern w:val="2"/>
          <w:sz w:val="20"/>
          <w:szCs w:val="24"/>
          <w:u w:val="single"/>
          <w:lang w:val="en-US" w:eastAsia="zh-CN" w:bidi="ar-SA"/>
        </w:rPr>
        <w:fldChar w:fldCharType="begin"/>
      </w:r>
      <w:r>
        <w:rPr>
          <w:rFonts w:ascii="Calibri" w:hAnsi="Calibri" w:cs="Calibri" w:eastAsiaTheme="minorEastAsia"/>
          <w:kern w:val="2"/>
          <w:sz w:val="20"/>
          <w:szCs w:val="24"/>
          <w:u w:val="single"/>
          <w:lang w:val="en-US" w:eastAsia="zh-CN" w:bidi="ar-SA"/>
        </w:rPr>
        <w:instrText xml:space="preserve"> HYPERLINK "http://whqlibdocwhoint/" </w:instrText>
      </w:r>
      <w:r>
        <w:rPr>
          <w:rFonts w:ascii="Calibri" w:hAnsi="Calibri" w:cs="Calibri" w:eastAsiaTheme="minorEastAsia"/>
          <w:kern w:val="2"/>
          <w:sz w:val="20"/>
          <w:szCs w:val="24"/>
          <w:u w:val="single"/>
          <w:lang w:val="en-US" w:eastAsia="zh-CN" w:bidi="ar-SA"/>
        </w:rPr>
        <w:fldChar w:fldCharType="separate"/>
      </w:r>
      <w:r>
        <w:rPr>
          <w:rStyle w:val="6"/>
          <w:rFonts w:ascii="Calibri" w:hAnsi="Calibri" w:cs="Calibri" w:eastAsiaTheme="minorEastAsia"/>
          <w:kern w:val="2"/>
          <w:sz w:val="20"/>
          <w:szCs w:val="24"/>
          <w:lang w:val="en-US" w:eastAsia="zh-CN" w:bidi="ar-SA"/>
        </w:rPr>
        <w:t>http://whqlibdocwhoint/</w:t>
      </w:r>
      <w:r>
        <w:rPr>
          <w:rFonts w:ascii="Calibri" w:hAnsi="Calibri" w:cs="Calibri" w:eastAsiaTheme="minorEastAsia"/>
          <w:kern w:val="2"/>
          <w:sz w:val="20"/>
          <w:szCs w:val="24"/>
          <w:u w:val="single"/>
          <w:lang w:val="en-US" w:eastAsia="zh-CN" w:bidi="ar-SA"/>
        </w:rPr>
        <w:fldChar w:fldCharType="end"/>
      </w:r>
      <w:r>
        <w:rPr>
          <w:rFonts w:ascii="Calibri" w:hAnsi="Calibri" w:cs="Calibri" w:eastAsiaTheme="minorEastAsia"/>
          <w:kern w:val="2"/>
          <w:sz w:val="20"/>
          <w:szCs w:val="24"/>
          <w:u w:val="single"/>
          <w:lang w:val="en-US" w:eastAsia="zh-CN" w:bidi="ar-SA"/>
        </w:rPr>
        <w:t xml:space="preserve"> publications/2011/9789241548090_engpdf</w:t>
      </w:r>
      <w:r>
        <w:rPr>
          <w:rFonts w:ascii="Calibri" w:hAnsi="Calibri" w:cs="Calibri" w:eastAsiaTheme="minorEastAsia"/>
          <w:kern w:val="2"/>
          <w:sz w:val="20"/>
          <w:szCs w:val="24"/>
          <w:lang w:val="en-US" w:eastAsia="zh-CN" w:bidi="ar-SA"/>
        </w:rPr>
        <w:t>.</w:t>
      </w:r>
    </w:p>
    <w:p>
      <w:pP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drawing>
        <wp:inline distT="0" distB="0" distL="0" distR="0">
          <wp:extent cx="1433830" cy="429260"/>
          <wp:effectExtent l="0" t="0" r="1270" b="254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383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</w:t>
    </w:r>
    <w:r>
      <w:rPr>
        <w:rFonts w:eastAsia="等线"/>
        <w:b/>
        <w:bCs/>
      </w:rPr>
      <w:drawing>
        <wp:inline distT="0" distB="0" distL="0" distR="0">
          <wp:extent cx="539750" cy="359410"/>
          <wp:effectExtent l="0" t="0" r="6350" b="8890"/>
          <wp:docPr id="1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18B0BE"/>
    <w:multiLevelType w:val="singleLevel"/>
    <w:tmpl w:val="6818B0BE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DkwZTFiNzk3Y2U4MDJmZDc3MzExN2YzYTUxMzcifQ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F-Standard NLM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e55fvsf0rdvr0ezxel52fxotasdz5xex55t&quot;&gt;My EndNote Library&lt;record-ids&gt;&lt;item&gt;454&lt;/item&gt;&lt;item&gt;477&lt;/item&gt;&lt;item&gt;479&lt;/item&gt;&lt;item&gt;481&lt;/item&gt;&lt;/record-ids&gt;&lt;/item&gt;&lt;/Libraries&gt;"/>
  </w:docVars>
  <w:rsids>
    <w:rsidRoot w:val="00000000"/>
    <w:rsid w:val="04730E04"/>
    <w:rsid w:val="04B213C1"/>
    <w:rsid w:val="05143E2A"/>
    <w:rsid w:val="06C278B5"/>
    <w:rsid w:val="07091040"/>
    <w:rsid w:val="0DD04666"/>
    <w:rsid w:val="11277FB0"/>
    <w:rsid w:val="183A0CBA"/>
    <w:rsid w:val="252A0A96"/>
    <w:rsid w:val="25FA451E"/>
    <w:rsid w:val="274E68CF"/>
    <w:rsid w:val="278B7B24"/>
    <w:rsid w:val="28746F5A"/>
    <w:rsid w:val="2EB536D8"/>
    <w:rsid w:val="35447564"/>
    <w:rsid w:val="35B21F61"/>
    <w:rsid w:val="371B60A2"/>
    <w:rsid w:val="38471845"/>
    <w:rsid w:val="3E601ADB"/>
    <w:rsid w:val="4A7E09CA"/>
    <w:rsid w:val="4C5A1811"/>
    <w:rsid w:val="521A722A"/>
    <w:rsid w:val="52B15DE1"/>
    <w:rsid w:val="561548D9"/>
    <w:rsid w:val="5A663955"/>
    <w:rsid w:val="69C51D1A"/>
    <w:rsid w:val="6BA53BB1"/>
    <w:rsid w:val="72D03685"/>
    <w:rsid w:val="741B23BF"/>
    <w:rsid w:val="74940C67"/>
    <w:rsid w:val="75037798"/>
    <w:rsid w:val="7B64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styleId="7">
    <w:name w:val="annotation reference"/>
    <w:basedOn w:val="5"/>
    <w:qFormat/>
    <w:uiPriority w:val="0"/>
    <w:rPr>
      <w:sz w:val="21"/>
      <w:szCs w:val="21"/>
    </w:rPr>
  </w:style>
  <w:style w:type="paragraph" w:customStyle="1" w:styleId="8">
    <w:name w:val="EndNote Bibliography Title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center"/>
    </w:pPr>
    <w:rPr>
      <w:rFonts w:ascii="Calibri" w:hAnsi="Calibri" w:cs="Calibri" w:eastAsiaTheme="minorEastAsia"/>
      <w:kern w:val="2"/>
      <w:sz w:val="20"/>
      <w:szCs w:val="24"/>
      <w:lang w:val="en-US" w:eastAsia="zh-CN" w:bidi="ar-SA"/>
    </w:rPr>
  </w:style>
  <w:style w:type="paragraph" w:customStyle="1" w:styleId="9">
    <w:name w:val="EndNote Bibliography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cs="Calibri" w:eastAsiaTheme="minorEastAsia"/>
      <w:kern w:val="2"/>
      <w:sz w:val="20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4.tiff"/><Relationship Id="rId5" Type="http://schemas.openxmlformats.org/officeDocument/2006/relationships/image" Target="media/image3.tif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1040</Words>
  <Characters>6632</Characters>
  <Lines>0</Lines>
  <Paragraphs>0</Paragraphs>
  <TotalTime>11</TotalTime>
  <ScaleCrop>false</ScaleCrop>
  <LinksUpToDate>false</LinksUpToDate>
  <CharactersWithSpaces>7646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2023-05-16T06:44:00Z</dcterms:created>
  <dc:creator>hongzi</dc:creator>
  <cp:lastModifiedBy>WPS_1591407326</cp:lastModifiedBy>
  <dcterms:modified xsi:type="dcterms:W3CDTF">2023-07-25T14:30:22Z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CE8ECC6A64A4444790436DFAC95E4F86_13</vt:lpwstr>
  </property>
</Properties>
</file>