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C6A8" w14:textId="77777777" w:rsidR="00C94DC4" w:rsidRPr="008873CE" w:rsidRDefault="00F46F77" w:rsidP="00F46F77">
      <w:pPr>
        <w:pStyle w:val="MDPI11articletype"/>
      </w:pPr>
      <w:r w:rsidRPr="008873CE">
        <w:t>Article</w:t>
      </w:r>
      <w:r w:rsidR="00C94DC4" w:rsidRPr="008873CE">
        <w:t xml:space="preserve"> – </w:t>
      </w:r>
    </w:p>
    <w:p w14:paraId="2802A55A" w14:textId="0294D911" w:rsidR="00F46F77" w:rsidRPr="008873CE" w:rsidRDefault="00C94DC4" w:rsidP="00F46F77">
      <w:pPr>
        <w:pStyle w:val="MDPI11articletype"/>
      </w:pPr>
      <w:r w:rsidRPr="008873CE">
        <w:t xml:space="preserve">SUPPLEMENTAL FILE I for: </w:t>
      </w:r>
    </w:p>
    <w:p w14:paraId="42DBFB73" w14:textId="77777777" w:rsidR="00C94DC4" w:rsidRPr="008873CE" w:rsidRDefault="00C94DC4" w:rsidP="00F46F77">
      <w:pPr>
        <w:pStyle w:val="MDPI13authornames"/>
        <w:rPr>
          <w:snapToGrid w:val="0"/>
          <w:sz w:val="36"/>
          <w:szCs w:val="20"/>
        </w:rPr>
      </w:pPr>
      <w:r w:rsidRPr="008873CE">
        <w:rPr>
          <w:snapToGrid w:val="0"/>
          <w:sz w:val="36"/>
          <w:szCs w:val="20"/>
        </w:rPr>
        <w:t>Long-term outcomes of breast cancer patients receiving levo-bupivacaine wound infiltration or diclofenac for postoperative pain relief</w:t>
      </w:r>
    </w:p>
    <w:p w14:paraId="535F27DA" w14:textId="77777777" w:rsidR="00C54634" w:rsidRPr="00C54634" w:rsidRDefault="00C54634" w:rsidP="00C54634">
      <w:pPr>
        <w:pStyle w:val="MDPI13authornames"/>
      </w:pPr>
      <w:proofErr w:type="spellStart"/>
      <w:r w:rsidRPr="00C54634">
        <w:t>Josipa</w:t>
      </w:r>
      <w:proofErr w:type="spellEnd"/>
      <w:r w:rsidRPr="00C54634">
        <w:t xml:space="preserve"> Glavas</w:t>
      </w:r>
      <w:r w:rsidRPr="00C54634">
        <w:rPr>
          <w:vertAlign w:val="superscript"/>
        </w:rPr>
        <w:t>1,2</w:t>
      </w:r>
      <w:r w:rsidRPr="00C54634">
        <w:t xml:space="preserve">, </w:t>
      </w:r>
      <w:proofErr w:type="spellStart"/>
      <w:r w:rsidRPr="00C54634">
        <w:t>Dajana</w:t>
      </w:r>
      <w:proofErr w:type="spellEnd"/>
      <w:r w:rsidRPr="00C54634">
        <w:t xml:space="preserve"> Dapic</w:t>
      </w:r>
      <w:r w:rsidRPr="00C54634">
        <w:rPr>
          <w:vertAlign w:val="superscript"/>
        </w:rPr>
        <w:t>1,2</w:t>
      </w:r>
      <w:r w:rsidRPr="00C54634">
        <w:t>, Marina Neferanovic</w:t>
      </w:r>
      <w:r w:rsidRPr="00C54634">
        <w:rPr>
          <w:vertAlign w:val="superscript"/>
        </w:rPr>
        <w:t>2</w:t>
      </w:r>
      <w:r w:rsidRPr="00C54634">
        <w:t>, Jelena Miletic</w:t>
      </w:r>
      <w:r w:rsidRPr="00C54634">
        <w:rPr>
          <w:vertAlign w:val="superscript"/>
        </w:rPr>
        <w:t>2</w:t>
      </w:r>
      <w:r w:rsidRPr="00C54634">
        <w:t>, Marta Milosevic</w:t>
      </w:r>
      <w:r w:rsidRPr="00C54634">
        <w:rPr>
          <w:vertAlign w:val="superscript"/>
        </w:rPr>
        <w:t>2</w:t>
      </w:r>
      <w:r w:rsidRPr="00C54634">
        <w:t>, Kristina Kralik</w:t>
      </w:r>
      <w:r w:rsidRPr="00C54634">
        <w:rPr>
          <w:vertAlign w:val="superscript"/>
        </w:rPr>
        <w:t>2</w:t>
      </w:r>
      <w:r w:rsidRPr="00C54634">
        <w:t>, Nenad Neškovic</w:t>
      </w:r>
      <w:r w:rsidRPr="00C54634">
        <w:rPr>
          <w:vertAlign w:val="superscript"/>
        </w:rPr>
        <w:t>1,2*</w:t>
      </w:r>
      <w:r w:rsidRPr="00C54634">
        <w:t xml:space="preserve">, </w:t>
      </w:r>
      <w:proofErr w:type="spellStart"/>
      <w:r w:rsidRPr="00C54634">
        <w:t>Ilijan</w:t>
      </w:r>
      <w:proofErr w:type="spellEnd"/>
      <w:r w:rsidRPr="00C54634">
        <w:t xml:space="preserve"> Tomas</w:t>
      </w:r>
      <w:r w:rsidRPr="00C54634">
        <w:rPr>
          <w:vertAlign w:val="superscript"/>
        </w:rPr>
        <w:t>2,3</w:t>
      </w:r>
      <w:r w:rsidRPr="00C54634">
        <w:t>, Dora Mesaric</w:t>
      </w:r>
      <w:r w:rsidRPr="00C54634">
        <w:rPr>
          <w:vertAlign w:val="superscript"/>
        </w:rPr>
        <w:t>2,3</w:t>
      </w:r>
      <w:r w:rsidRPr="00C54634">
        <w:t xml:space="preserve">, </w:t>
      </w:r>
      <w:proofErr w:type="spellStart"/>
      <w:r w:rsidRPr="00C54634">
        <w:t>Ksenija</w:t>
      </w:r>
      <w:proofErr w:type="spellEnd"/>
      <w:r w:rsidRPr="00C54634">
        <w:t xml:space="preserve"> Marjanovic</w:t>
      </w:r>
      <w:r w:rsidRPr="00C54634">
        <w:rPr>
          <w:vertAlign w:val="superscript"/>
        </w:rPr>
        <w:t>2,4</w:t>
      </w:r>
      <w:r w:rsidRPr="00C54634">
        <w:t>; Jasmina Rajc</w:t>
      </w:r>
      <w:r w:rsidRPr="00C54634">
        <w:rPr>
          <w:vertAlign w:val="superscript"/>
        </w:rPr>
        <w:t>2,4</w:t>
      </w:r>
      <w:r w:rsidRPr="00C54634">
        <w:t xml:space="preserve">; </w:t>
      </w:r>
      <w:proofErr w:type="spellStart"/>
      <w:r w:rsidRPr="00C54634">
        <w:t>Zelimir</w:t>
      </w:r>
      <w:proofErr w:type="spellEnd"/>
      <w:r w:rsidRPr="00C54634">
        <w:t xml:space="preserve"> Orkic</w:t>
      </w:r>
      <w:r w:rsidRPr="00C54634">
        <w:rPr>
          <w:vertAlign w:val="superscript"/>
        </w:rPr>
        <w:t>2,5</w:t>
      </w:r>
      <w:r w:rsidRPr="00C54634">
        <w:t>, Ana Cicvaric</w:t>
      </w:r>
      <w:r w:rsidRPr="00C54634">
        <w:rPr>
          <w:vertAlign w:val="superscript"/>
        </w:rPr>
        <w:t>1,2</w:t>
      </w:r>
      <w:r w:rsidRPr="00C54634">
        <w:t xml:space="preserve"> and Slavica Kvolik</w:t>
      </w:r>
      <w:r w:rsidRPr="00C54634">
        <w:rPr>
          <w:vertAlign w:val="superscript"/>
        </w:rPr>
        <w:t>1,2*</w:t>
      </w:r>
    </w:p>
    <w:tbl>
      <w:tblPr>
        <w:tblpPr w:leftFromText="198" w:rightFromText="198" w:vertAnchor="page" w:horzAnchor="margin" w:tblpY="11276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A542E4" w:rsidRPr="008873CE" w14:paraId="5F15E66C" w14:textId="77777777" w:rsidTr="0011332D">
        <w:tc>
          <w:tcPr>
            <w:tcW w:w="2410" w:type="dxa"/>
            <w:shd w:val="clear" w:color="auto" w:fill="auto"/>
          </w:tcPr>
          <w:p w14:paraId="0DBF2BAD" w14:textId="77777777" w:rsidR="00A542E4" w:rsidRPr="008873CE" w:rsidRDefault="00A542E4" w:rsidP="0011332D">
            <w:pPr>
              <w:pStyle w:val="MDPI61Citation"/>
              <w:spacing w:after="120" w:line="240" w:lineRule="exact"/>
            </w:pPr>
            <w:r w:rsidRPr="008873CE">
              <w:rPr>
                <w:b/>
              </w:rPr>
              <w:t xml:space="preserve">Citation: </w:t>
            </w:r>
            <w:r w:rsidRPr="008873CE">
              <w:t>To be added by editorial staff during production.</w:t>
            </w:r>
          </w:p>
          <w:p w14:paraId="79FB51AD" w14:textId="77777777" w:rsidR="00A542E4" w:rsidRPr="008873CE" w:rsidRDefault="00A542E4" w:rsidP="0011332D">
            <w:pPr>
              <w:pStyle w:val="MDPI15academiceditor"/>
              <w:spacing w:after="120"/>
            </w:pPr>
            <w:r w:rsidRPr="008873CE">
              <w:t>Academic Editor: Firstname Lastname</w:t>
            </w:r>
          </w:p>
          <w:p w14:paraId="39796524" w14:textId="77777777" w:rsidR="00A542E4" w:rsidRPr="008873CE" w:rsidRDefault="00A542E4" w:rsidP="0011332D">
            <w:pPr>
              <w:pStyle w:val="MDPI14history"/>
              <w:spacing w:before="120"/>
            </w:pPr>
            <w:r w:rsidRPr="008873CE">
              <w:t>Received: date</w:t>
            </w:r>
          </w:p>
          <w:p w14:paraId="0129E355" w14:textId="77777777" w:rsidR="00A542E4" w:rsidRPr="008873CE" w:rsidRDefault="00A542E4" w:rsidP="0011332D">
            <w:pPr>
              <w:pStyle w:val="MDPI14history"/>
            </w:pPr>
            <w:r w:rsidRPr="008873CE">
              <w:t>Revised: date</w:t>
            </w:r>
          </w:p>
          <w:p w14:paraId="3F02F1C5" w14:textId="77777777" w:rsidR="00A542E4" w:rsidRPr="008873CE" w:rsidRDefault="00A542E4" w:rsidP="0011332D">
            <w:pPr>
              <w:pStyle w:val="MDPI14history"/>
            </w:pPr>
            <w:r w:rsidRPr="008873CE">
              <w:t>Accepted: date</w:t>
            </w:r>
          </w:p>
          <w:p w14:paraId="6F01EDC1" w14:textId="77777777" w:rsidR="00A542E4" w:rsidRPr="008873CE" w:rsidRDefault="00A542E4" w:rsidP="0011332D">
            <w:pPr>
              <w:pStyle w:val="MDPI14history"/>
              <w:spacing w:after="120"/>
            </w:pPr>
            <w:r w:rsidRPr="008873CE">
              <w:t>Published: date</w:t>
            </w:r>
          </w:p>
          <w:p w14:paraId="380AEC97" w14:textId="77777777" w:rsidR="00A542E4" w:rsidRPr="008873CE" w:rsidRDefault="00A542E4" w:rsidP="0011332D">
            <w:pPr>
              <w:adjustRightInd w:val="0"/>
              <w:snapToGrid w:val="0"/>
              <w:spacing w:before="120" w:line="240" w:lineRule="atLeast"/>
              <w:ind w:right="113"/>
              <w:jc w:val="left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8873CE">
              <w:rPr>
                <w:rFonts w:eastAsia="DengXian"/>
              </w:rPr>
              <w:drawing>
                <wp:inline distT="0" distB="0" distL="0" distR="0" wp14:anchorId="63DB79AF" wp14:editId="75D807E3">
                  <wp:extent cx="692785" cy="24955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330DA" w14:textId="77777777" w:rsidR="00A542E4" w:rsidRPr="008873CE" w:rsidRDefault="00A542E4" w:rsidP="00D06D4F">
            <w:pPr>
              <w:pStyle w:val="MDPI72Copyright"/>
              <w:rPr>
                <w:rFonts w:eastAsia="DengXian"/>
                <w:lang w:val="en-US" w:bidi="en-US"/>
              </w:rPr>
            </w:pPr>
            <w:r w:rsidRPr="008873CE">
              <w:rPr>
                <w:rFonts w:eastAsia="DengXian"/>
                <w:b/>
                <w:lang w:val="en-US" w:bidi="en-US"/>
              </w:rPr>
              <w:t>Copyright:</w:t>
            </w:r>
            <w:r w:rsidRPr="008873CE">
              <w:rPr>
                <w:rFonts w:eastAsia="DengXian"/>
                <w:lang w:val="en-US" w:bidi="en-US"/>
              </w:rPr>
              <w:t xml:space="preserve"> </w:t>
            </w:r>
            <w:r w:rsidR="00D06D4F" w:rsidRPr="008873CE">
              <w:rPr>
                <w:rFonts w:eastAsia="DengXian"/>
                <w:lang w:val="en-US" w:bidi="en-US"/>
              </w:rPr>
              <w:t>© 2023</w:t>
            </w:r>
            <w:r w:rsidRPr="008873CE">
              <w:rPr>
                <w:rFonts w:eastAsia="DengXian"/>
                <w:lang w:val="en-US" w:bidi="en-US"/>
              </w:rPr>
              <w:t xml:space="preserve"> by the authors. Submitted for possible open access publication under the terms and conditions of the Creative Commons Attribution (CC BY) license (https://creativecommons.org/licenses/by/4.0/).</w:t>
            </w:r>
          </w:p>
        </w:tc>
      </w:tr>
    </w:tbl>
    <w:p w14:paraId="06207D3C" w14:textId="77777777" w:rsidR="005D3453" w:rsidRPr="005D3453" w:rsidRDefault="005D3453" w:rsidP="005D3453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</w:pPr>
      <w:r w:rsidRPr="005D3453">
        <w:rPr>
          <w:rFonts w:eastAsia="Times New Roman" w:cs="Palatino Linotype"/>
          <w:noProof w:val="0"/>
          <w:color w:val="auto"/>
          <w:sz w:val="16"/>
          <w:szCs w:val="18"/>
          <w:vertAlign w:val="superscript"/>
          <w:lang w:eastAsia="de-DE" w:bidi="en-US"/>
        </w:rPr>
        <w:t>1</w:t>
      </w:r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Department of Anesthesiology, resuscitation and Intensive Care, Osijek University Hospital; 31000 Osijek, Croatia</w:t>
      </w:r>
    </w:p>
    <w:p w14:paraId="27711854" w14:textId="77777777" w:rsidR="005D3453" w:rsidRPr="005D3453" w:rsidRDefault="005D3453" w:rsidP="005D3453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</w:pPr>
      <w:r w:rsidRPr="005D3453">
        <w:rPr>
          <w:rFonts w:eastAsia="Times New Roman" w:cs="Palatino Linotype"/>
          <w:noProof w:val="0"/>
          <w:color w:val="auto"/>
          <w:sz w:val="16"/>
          <w:szCs w:val="18"/>
          <w:vertAlign w:val="superscript"/>
          <w:lang w:eastAsia="de-DE" w:bidi="en-US"/>
        </w:rPr>
        <w:t>2</w:t>
      </w:r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 xml:space="preserve">Faculty of Medicine Osijek, Josip </w:t>
      </w:r>
      <w:proofErr w:type="spellStart"/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Juraj</w:t>
      </w:r>
      <w:proofErr w:type="spellEnd"/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 xml:space="preserve"> </w:t>
      </w:r>
      <w:proofErr w:type="spellStart"/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Strossmayer</w:t>
      </w:r>
      <w:proofErr w:type="spellEnd"/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 xml:space="preserve"> University of Osijek, 3100 Osijek, Croatia. </w:t>
      </w:r>
    </w:p>
    <w:p w14:paraId="38BF0477" w14:textId="77777777" w:rsidR="005D3453" w:rsidRPr="005D3453" w:rsidRDefault="005D3453" w:rsidP="005D3453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</w:pPr>
      <w:r w:rsidRPr="005D3453">
        <w:rPr>
          <w:rFonts w:eastAsia="Times New Roman" w:cs="Palatino Linotype"/>
          <w:noProof w:val="0"/>
          <w:color w:val="auto"/>
          <w:sz w:val="16"/>
          <w:szCs w:val="18"/>
          <w:vertAlign w:val="superscript"/>
          <w:lang w:eastAsia="de-DE" w:bidi="en-US"/>
        </w:rPr>
        <w:t>3</w:t>
      </w:r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Department of Oncology and Radiotherapy, Osijek University Hospital;  3100 Osijek, Croatia.</w:t>
      </w:r>
    </w:p>
    <w:p w14:paraId="131B1AAE" w14:textId="77777777" w:rsidR="005D3453" w:rsidRPr="005D3453" w:rsidRDefault="005D3453" w:rsidP="005D3453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</w:pPr>
      <w:r w:rsidRPr="005D3453">
        <w:rPr>
          <w:rFonts w:eastAsia="Times New Roman" w:cs="Palatino Linotype"/>
          <w:noProof w:val="0"/>
          <w:color w:val="auto"/>
          <w:sz w:val="16"/>
          <w:szCs w:val="18"/>
          <w:vertAlign w:val="superscript"/>
          <w:lang w:eastAsia="de-DE" w:bidi="en-US"/>
        </w:rPr>
        <w:t>4</w:t>
      </w:r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Department of Pathology and Forensic Medicine, 3 Osijek University Hospital, 1000 Osijek, Croatia</w:t>
      </w:r>
    </w:p>
    <w:p w14:paraId="11DB49B3" w14:textId="77777777" w:rsidR="005D3453" w:rsidRPr="005D3453" w:rsidRDefault="005D3453" w:rsidP="005D3453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</w:pPr>
      <w:r w:rsidRPr="005D3453">
        <w:rPr>
          <w:rFonts w:eastAsia="Times New Roman" w:cs="Palatino Linotype"/>
          <w:noProof w:val="0"/>
          <w:color w:val="auto"/>
          <w:sz w:val="16"/>
          <w:szCs w:val="18"/>
          <w:vertAlign w:val="superscript"/>
          <w:lang w:eastAsia="de-DE" w:bidi="en-US"/>
        </w:rPr>
        <w:t>5</w:t>
      </w:r>
      <w:r w:rsidRPr="005D3453">
        <w:rPr>
          <w:rFonts w:eastAsia="Times New Roman" w:cs="Palatino Linotype"/>
          <w:noProof w:val="0"/>
          <w:color w:val="auto"/>
          <w:sz w:val="16"/>
          <w:szCs w:val="18"/>
          <w:lang w:eastAsia="de-DE" w:bidi="en-US"/>
        </w:rPr>
        <w:t>Department of Surgery, Osijek University Hospital, 31000 Osijek, Croatia</w:t>
      </w:r>
    </w:p>
    <w:p w14:paraId="5D61DDD2" w14:textId="4657C7BA" w:rsidR="005D3453" w:rsidRPr="005D3453" w:rsidRDefault="005D3453" w:rsidP="005D3453">
      <w:pPr>
        <w:spacing w:line="240" w:lineRule="auto"/>
        <w:ind w:firstLine="2552"/>
        <w:jc w:val="left"/>
        <w:rPr>
          <w:rFonts w:eastAsia="Palatino Linotype" w:cs="Palatino Linotype"/>
          <w:color w:val="auto"/>
          <w:sz w:val="18"/>
          <w:szCs w:val="18"/>
          <w:lang w:eastAsia="hr-HR"/>
        </w:rPr>
      </w:pPr>
      <w:r w:rsidRPr="005D3453">
        <w:rPr>
          <w:rFonts w:eastAsia="Palatino Linotype" w:cs="Palatino Linotype"/>
          <w:b/>
          <w:color w:val="auto"/>
          <w:sz w:val="18"/>
          <w:szCs w:val="18"/>
          <w:lang w:eastAsia="hr-HR"/>
        </w:rPr>
        <w:t>*</w:t>
      </w:r>
      <w:r w:rsidRPr="005D3453">
        <w:rPr>
          <w:rFonts w:eastAsia="Palatino Linotype" w:cs="Palatino Linotype"/>
          <w:color w:val="auto"/>
          <w:sz w:val="18"/>
          <w:szCs w:val="18"/>
          <w:lang w:eastAsia="hr-HR"/>
        </w:rPr>
        <w:t xml:space="preserve">Correspondence: </w:t>
      </w:r>
      <w:r w:rsidRPr="005D3453">
        <w:rPr>
          <w:rFonts w:eastAsia="Palatino Linotype" w:cs="Palatino Linotype"/>
          <w:color w:val="auto"/>
          <w:sz w:val="18"/>
          <w:szCs w:val="18"/>
          <w:vertAlign w:val="superscript"/>
          <w:lang w:eastAsia="hr-HR"/>
        </w:rPr>
        <w:t>*</w:t>
      </w:r>
      <w:r w:rsidRPr="005D3453">
        <w:rPr>
          <w:rFonts w:eastAsia="Palatino Linotype" w:cs="Palatino Linotype"/>
          <w:color w:val="auto"/>
          <w:sz w:val="18"/>
          <w:szCs w:val="18"/>
          <w:lang w:eastAsia="hr-HR"/>
        </w:rPr>
        <w:t xml:space="preserve">SK skvolik@mefos.hr; </w:t>
      </w:r>
      <w:r w:rsidRPr="005D3453">
        <w:rPr>
          <w:rFonts w:eastAsia="Palatino Linotype" w:cs="Palatino Linotype"/>
          <w:color w:val="auto"/>
          <w:sz w:val="18"/>
          <w:szCs w:val="18"/>
          <w:vertAlign w:val="superscript"/>
          <w:lang w:eastAsia="hr-HR"/>
        </w:rPr>
        <w:t>*</w:t>
      </w:r>
      <w:r w:rsidRPr="005D3453">
        <w:rPr>
          <w:rFonts w:eastAsia="Palatino Linotype" w:cs="Palatino Linotype"/>
          <w:color w:val="auto"/>
          <w:sz w:val="18"/>
          <w:szCs w:val="18"/>
          <w:lang w:eastAsia="hr-HR"/>
        </w:rPr>
        <w:t xml:space="preserve">NN nneskov@gmail.com </w:t>
      </w:r>
    </w:p>
    <w:p w14:paraId="7AB41ADE" w14:textId="77777777" w:rsidR="005D3453" w:rsidRDefault="005D3453" w:rsidP="005D3453">
      <w:pPr>
        <w:spacing w:line="240" w:lineRule="auto"/>
        <w:jc w:val="left"/>
        <w:rPr>
          <w:rFonts w:eastAsia="Palatino Linotype" w:cs="Palatino Linotype"/>
          <w:color w:val="auto"/>
          <w:lang w:eastAsia="hr-HR"/>
        </w:rPr>
      </w:pPr>
    </w:p>
    <w:p w14:paraId="4C6F9499" w14:textId="7775BBD7" w:rsidR="0049761B" w:rsidRPr="008873CE" w:rsidRDefault="0049761B" w:rsidP="005D3453">
      <w:pPr>
        <w:spacing w:line="240" w:lineRule="auto"/>
        <w:jc w:val="left"/>
        <w:rPr>
          <w:rFonts w:eastAsia="Times New Roman"/>
          <w:b/>
          <w:noProof w:val="0"/>
          <w:snapToGrid w:val="0"/>
          <w:szCs w:val="22"/>
          <w:lang w:eastAsia="de-DE" w:bidi="en-US"/>
        </w:rPr>
      </w:pPr>
      <w:r w:rsidRPr="008873CE">
        <w:br w:type="page"/>
      </w:r>
    </w:p>
    <w:p w14:paraId="29CB693B" w14:textId="18069CE8" w:rsidR="006F0C09" w:rsidRPr="008873CE" w:rsidRDefault="00FB13F3" w:rsidP="006F0C09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FB13F3"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lastRenderedPageBreak/>
        <w:t>Table S</w:t>
      </w:r>
      <w:r w:rsidR="00434317" w:rsidRPr="008873CE"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t>1</w:t>
      </w:r>
      <w:r w:rsidR="006F0C09" w:rsidRPr="008873CE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– Postoperative pain score through 4 postoperative days in rest and movement measured with </w:t>
      </w:r>
      <w:r w:rsidR="004238E0" w:rsidRPr="004238E0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Numerical Rating Scale (NRS)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314"/>
        <w:gridCol w:w="936"/>
        <w:gridCol w:w="1926"/>
        <w:gridCol w:w="936"/>
        <w:gridCol w:w="1926"/>
        <w:gridCol w:w="936"/>
        <w:gridCol w:w="800"/>
      </w:tblGrid>
      <w:tr w:rsidR="006F0C09" w:rsidRPr="008873CE" w14:paraId="4B35368E" w14:textId="77777777" w:rsidTr="00D01F2F">
        <w:tc>
          <w:tcPr>
            <w:tcW w:w="809" w:type="pct"/>
          </w:tcPr>
          <w:p w14:paraId="7B90D538" w14:textId="77777777" w:rsidR="006F0C09" w:rsidRPr="008873CE" w:rsidRDefault="006F0C09" w:rsidP="00D01F2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Postoperative day</w:t>
            </w:r>
          </w:p>
        </w:tc>
        <w:tc>
          <w:tcPr>
            <w:tcW w:w="628" w:type="pct"/>
            <w:vAlign w:val="center"/>
          </w:tcPr>
          <w:p w14:paraId="7E50CEE9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Calibri" w:hAnsi="Times New Roman"/>
                <w:b/>
                <w:bCs/>
                <w:noProof w:val="0"/>
                <w:sz w:val="22"/>
                <w:szCs w:val="22"/>
                <w:lang w:eastAsia="en-US"/>
              </w:rPr>
              <w:t xml:space="preserve">Diclofenac </w:t>
            </w:r>
            <w:r w:rsidRPr="008873CE">
              <w:rPr>
                <w:rFonts w:ascii="Times New Roman" w:eastAsia="Calibri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 xml:space="preserve"> (N=41)</w:t>
            </w:r>
          </w:p>
        </w:tc>
        <w:tc>
          <w:tcPr>
            <w:tcW w:w="447" w:type="pct"/>
            <w:vAlign w:val="center"/>
          </w:tcPr>
          <w:p w14:paraId="7D1EAD5D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p</w:t>
            </w: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vertAlign w:val="superscript"/>
                <w:lang w:eastAsia="en-US"/>
              </w:rPr>
              <w:t>†</w:t>
            </w:r>
          </w:p>
        </w:tc>
        <w:tc>
          <w:tcPr>
            <w:tcW w:w="920" w:type="pct"/>
            <w:vAlign w:val="center"/>
          </w:tcPr>
          <w:p w14:paraId="1CEDB835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Calibri" w:hAnsi="Times New Roman"/>
                <w:b/>
                <w:bCs/>
                <w:noProof w:val="0"/>
                <w:sz w:val="22"/>
                <w:szCs w:val="22"/>
                <w:lang w:eastAsia="en-US"/>
              </w:rPr>
              <w:t xml:space="preserve">Levobupivacaine bolus </w:t>
            </w:r>
            <w:r w:rsidRPr="008873CE">
              <w:rPr>
                <w:rFonts w:ascii="Times New Roman" w:eastAsia="Calibri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(N=39)</w:t>
            </w:r>
          </w:p>
        </w:tc>
        <w:tc>
          <w:tcPr>
            <w:tcW w:w="447" w:type="pct"/>
            <w:vAlign w:val="center"/>
          </w:tcPr>
          <w:p w14:paraId="66C080A0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p</w:t>
            </w: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vertAlign w:val="superscript"/>
                <w:lang w:eastAsia="en-US"/>
              </w:rPr>
              <w:t>†</w:t>
            </w:r>
          </w:p>
        </w:tc>
        <w:tc>
          <w:tcPr>
            <w:tcW w:w="920" w:type="pct"/>
            <w:vAlign w:val="bottom"/>
          </w:tcPr>
          <w:p w14:paraId="02135CE2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Calibri" w:hAnsi="Times New Roman"/>
                <w:b/>
                <w:bCs/>
                <w:noProof w:val="0"/>
                <w:sz w:val="22"/>
                <w:szCs w:val="22"/>
                <w:lang w:eastAsia="en-US"/>
              </w:rPr>
              <w:t xml:space="preserve">Levobupivacaine PCA </w:t>
            </w:r>
            <w:r w:rsidRPr="008873CE">
              <w:rPr>
                <w:rFonts w:ascii="Times New Roman" w:eastAsia="Calibri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(N=40)</w:t>
            </w:r>
          </w:p>
        </w:tc>
        <w:tc>
          <w:tcPr>
            <w:tcW w:w="447" w:type="pct"/>
            <w:vAlign w:val="center"/>
          </w:tcPr>
          <w:p w14:paraId="3BDF0D0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p</w:t>
            </w:r>
            <w:r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vertAlign w:val="superscript"/>
                <w:lang w:eastAsia="en-US"/>
              </w:rPr>
              <w:t>†</w:t>
            </w:r>
          </w:p>
        </w:tc>
        <w:tc>
          <w:tcPr>
            <w:tcW w:w="382" w:type="pct"/>
          </w:tcPr>
          <w:p w14:paraId="77030DCC" w14:textId="77777777" w:rsidR="006F0C09" w:rsidRPr="008873CE" w:rsidRDefault="006F0C09" w:rsidP="00D01F2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</w:tr>
      <w:tr w:rsidR="006F0C09" w:rsidRPr="008873CE" w14:paraId="0E591B32" w14:textId="77777777" w:rsidTr="00D01F2F">
        <w:tc>
          <w:tcPr>
            <w:tcW w:w="809" w:type="pct"/>
            <w:vAlign w:val="center"/>
          </w:tcPr>
          <w:p w14:paraId="0EF83FC8" w14:textId="1D703678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1-R</w:t>
            </w:r>
          </w:p>
        </w:tc>
        <w:tc>
          <w:tcPr>
            <w:tcW w:w="628" w:type="pct"/>
            <w:vAlign w:val="center"/>
          </w:tcPr>
          <w:p w14:paraId="64B39234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(0 – 2)</w:t>
            </w:r>
          </w:p>
        </w:tc>
        <w:tc>
          <w:tcPr>
            <w:tcW w:w="447" w:type="pct"/>
            <w:vMerge w:val="restart"/>
            <w:vAlign w:val="center"/>
          </w:tcPr>
          <w:p w14:paraId="57FCB7B8" w14:textId="61AEBDC0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920" w:type="pct"/>
            <w:vAlign w:val="center"/>
          </w:tcPr>
          <w:p w14:paraId="1520FE17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(0 – 2)</w:t>
            </w:r>
          </w:p>
        </w:tc>
        <w:tc>
          <w:tcPr>
            <w:tcW w:w="447" w:type="pct"/>
            <w:vMerge w:val="restart"/>
            <w:vAlign w:val="center"/>
          </w:tcPr>
          <w:p w14:paraId="2DC06F94" w14:textId="5E1614D6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920" w:type="pct"/>
            <w:vAlign w:val="center"/>
          </w:tcPr>
          <w:p w14:paraId="4A855596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1)</w:t>
            </w:r>
          </w:p>
        </w:tc>
        <w:tc>
          <w:tcPr>
            <w:tcW w:w="447" w:type="pct"/>
            <w:vMerge w:val="restart"/>
            <w:vAlign w:val="center"/>
          </w:tcPr>
          <w:p w14:paraId="783126A4" w14:textId="3EF16779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382" w:type="pct"/>
            <w:vAlign w:val="center"/>
          </w:tcPr>
          <w:p w14:paraId="10A468E7" w14:textId="09ED8CAF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105</w:t>
            </w:r>
          </w:p>
        </w:tc>
      </w:tr>
      <w:tr w:rsidR="006F0C09" w:rsidRPr="008873CE" w14:paraId="1365DE7B" w14:textId="77777777" w:rsidTr="00D01F2F">
        <w:tc>
          <w:tcPr>
            <w:tcW w:w="809" w:type="pct"/>
            <w:vAlign w:val="center"/>
          </w:tcPr>
          <w:p w14:paraId="0B750643" w14:textId="429A780A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2-R</w:t>
            </w:r>
          </w:p>
        </w:tc>
        <w:tc>
          <w:tcPr>
            <w:tcW w:w="628" w:type="pct"/>
            <w:vAlign w:val="center"/>
          </w:tcPr>
          <w:p w14:paraId="237DFB8D" w14:textId="61287368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5)</w:t>
            </w:r>
          </w:p>
        </w:tc>
        <w:tc>
          <w:tcPr>
            <w:tcW w:w="447" w:type="pct"/>
            <w:vMerge/>
            <w:vAlign w:val="center"/>
          </w:tcPr>
          <w:p w14:paraId="33282771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267DDE0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45BAE94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2E9396D1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6F0DA3D8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79538017" w14:textId="23C99354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138</w:t>
            </w:r>
          </w:p>
        </w:tc>
      </w:tr>
      <w:tr w:rsidR="006F0C09" w:rsidRPr="008873CE" w14:paraId="6B9282E3" w14:textId="77777777" w:rsidTr="00D01F2F">
        <w:tc>
          <w:tcPr>
            <w:tcW w:w="809" w:type="pct"/>
            <w:vAlign w:val="center"/>
          </w:tcPr>
          <w:p w14:paraId="4614CC5B" w14:textId="6CAB14CD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3-R</w:t>
            </w:r>
          </w:p>
        </w:tc>
        <w:tc>
          <w:tcPr>
            <w:tcW w:w="628" w:type="pct"/>
            <w:vAlign w:val="center"/>
          </w:tcPr>
          <w:p w14:paraId="26F0975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76EA23F0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0F71B7C2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18A353D6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4CD401B9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7C52ECE5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14571377" w14:textId="4C2C1022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097</w:t>
            </w:r>
          </w:p>
        </w:tc>
      </w:tr>
      <w:tr w:rsidR="006F0C09" w:rsidRPr="008873CE" w14:paraId="7579EBC2" w14:textId="77777777" w:rsidTr="00D01F2F">
        <w:tc>
          <w:tcPr>
            <w:tcW w:w="809" w:type="pct"/>
            <w:vAlign w:val="center"/>
          </w:tcPr>
          <w:p w14:paraId="6EB42351" w14:textId="01F99B69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4-</w:t>
            </w:r>
            <w:r w:rsidR="00D01F2F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628" w:type="pct"/>
            <w:vAlign w:val="center"/>
          </w:tcPr>
          <w:p w14:paraId="0FBBC726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31D3C5DC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245A6696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3B1E3DEB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123A2768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0)</w:t>
            </w:r>
          </w:p>
        </w:tc>
        <w:tc>
          <w:tcPr>
            <w:tcW w:w="447" w:type="pct"/>
            <w:vMerge/>
            <w:vAlign w:val="center"/>
          </w:tcPr>
          <w:p w14:paraId="5C067BC0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7FC64CB6" w14:textId="63B68366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791</w:t>
            </w:r>
          </w:p>
        </w:tc>
      </w:tr>
      <w:tr w:rsidR="006F0C09" w:rsidRPr="008873CE" w14:paraId="0B99D80C" w14:textId="77777777" w:rsidTr="00D01F2F">
        <w:tc>
          <w:tcPr>
            <w:tcW w:w="809" w:type="pct"/>
            <w:vAlign w:val="center"/>
          </w:tcPr>
          <w:p w14:paraId="49CD7A83" w14:textId="2725E263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1-M</w:t>
            </w:r>
          </w:p>
        </w:tc>
        <w:tc>
          <w:tcPr>
            <w:tcW w:w="628" w:type="pct"/>
            <w:vAlign w:val="center"/>
          </w:tcPr>
          <w:p w14:paraId="6AE1CC3A" w14:textId="697700D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3 (1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5 – 4)</w:t>
            </w:r>
          </w:p>
        </w:tc>
        <w:tc>
          <w:tcPr>
            <w:tcW w:w="447" w:type="pct"/>
            <w:vMerge w:val="restart"/>
            <w:vAlign w:val="center"/>
          </w:tcPr>
          <w:p w14:paraId="7364C8B3" w14:textId="5981892A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920" w:type="pct"/>
            <w:vAlign w:val="center"/>
          </w:tcPr>
          <w:p w14:paraId="7C74702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3 (2 – 4)</w:t>
            </w:r>
          </w:p>
        </w:tc>
        <w:tc>
          <w:tcPr>
            <w:tcW w:w="447" w:type="pct"/>
            <w:vMerge w:val="restart"/>
            <w:vAlign w:val="center"/>
          </w:tcPr>
          <w:p w14:paraId="19FEEB53" w14:textId="6A0BBF5A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920" w:type="pct"/>
            <w:vAlign w:val="center"/>
          </w:tcPr>
          <w:p w14:paraId="63968553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3 (2 – 3)</w:t>
            </w:r>
          </w:p>
        </w:tc>
        <w:tc>
          <w:tcPr>
            <w:tcW w:w="447" w:type="pct"/>
            <w:vMerge w:val="restart"/>
            <w:vAlign w:val="center"/>
          </w:tcPr>
          <w:p w14:paraId="2085A782" w14:textId="51BA5481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&lt;0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382" w:type="pct"/>
            <w:vAlign w:val="center"/>
          </w:tcPr>
          <w:p w14:paraId="4277DE59" w14:textId="23333E1E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783</w:t>
            </w:r>
          </w:p>
        </w:tc>
      </w:tr>
      <w:tr w:rsidR="006F0C09" w:rsidRPr="008873CE" w14:paraId="192742F4" w14:textId="77777777" w:rsidTr="00D01F2F">
        <w:tc>
          <w:tcPr>
            <w:tcW w:w="809" w:type="pct"/>
            <w:vAlign w:val="center"/>
          </w:tcPr>
          <w:p w14:paraId="2802046D" w14:textId="5D719332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2-M</w:t>
            </w:r>
          </w:p>
        </w:tc>
        <w:tc>
          <w:tcPr>
            <w:tcW w:w="628" w:type="pct"/>
            <w:vAlign w:val="center"/>
          </w:tcPr>
          <w:p w14:paraId="707088AF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(1 – 3)</w:t>
            </w:r>
          </w:p>
        </w:tc>
        <w:tc>
          <w:tcPr>
            <w:tcW w:w="447" w:type="pct"/>
            <w:vMerge/>
            <w:vAlign w:val="center"/>
          </w:tcPr>
          <w:p w14:paraId="28389F88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1F4CE4EC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(0 – 2)</w:t>
            </w:r>
          </w:p>
        </w:tc>
        <w:tc>
          <w:tcPr>
            <w:tcW w:w="447" w:type="pct"/>
            <w:vMerge/>
            <w:vAlign w:val="center"/>
          </w:tcPr>
          <w:p w14:paraId="63F6F445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1405E04C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(1 – 2)</w:t>
            </w:r>
          </w:p>
        </w:tc>
        <w:tc>
          <w:tcPr>
            <w:tcW w:w="447" w:type="pct"/>
            <w:vMerge/>
            <w:vAlign w:val="center"/>
          </w:tcPr>
          <w:p w14:paraId="407A864C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377EDE69" w14:textId="3AB36AEC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473</w:t>
            </w:r>
          </w:p>
        </w:tc>
      </w:tr>
      <w:tr w:rsidR="006F0C09" w:rsidRPr="008873CE" w14:paraId="78DDD723" w14:textId="77777777" w:rsidTr="00D01F2F">
        <w:tc>
          <w:tcPr>
            <w:tcW w:w="809" w:type="pct"/>
            <w:vAlign w:val="center"/>
          </w:tcPr>
          <w:p w14:paraId="12405832" w14:textId="5C878BC6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3-M</w:t>
            </w:r>
          </w:p>
        </w:tc>
        <w:tc>
          <w:tcPr>
            <w:tcW w:w="628" w:type="pct"/>
            <w:vAlign w:val="center"/>
          </w:tcPr>
          <w:p w14:paraId="49842991" w14:textId="464D09F0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5 – 2)</w:t>
            </w:r>
          </w:p>
        </w:tc>
        <w:tc>
          <w:tcPr>
            <w:tcW w:w="447" w:type="pct"/>
            <w:vMerge/>
            <w:vAlign w:val="center"/>
          </w:tcPr>
          <w:p w14:paraId="6E3B6A60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786CE8BF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1 (0 – 1)</w:t>
            </w:r>
          </w:p>
        </w:tc>
        <w:tc>
          <w:tcPr>
            <w:tcW w:w="447" w:type="pct"/>
            <w:vMerge/>
            <w:vAlign w:val="center"/>
          </w:tcPr>
          <w:p w14:paraId="0529DB9B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31DA724C" w14:textId="015BB9F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1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8)</w:t>
            </w:r>
          </w:p>
        </w:tc>
        <w:tc>
          <w:tcPr>
            <w:tcW w:w="447" w:type="pct"/>
            <w:vMerge/>
            <w:vAlign w:val="center"/>
          </w:tcPr>
          <w:p w14:paraId="245F8ECD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00F60300" w14:textId="2B27131A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color w:val="auto"/>
                <w:sz w:val="22"/>
                <w:szCs w:val="22"/>
                <w:lang w:eastAsia="en-US"/>
              </w:rPr>
              <w:t>043</w:t>
            </w:r>
          </w:p>
        </w:tc>
      </w:tr>
      <w:tr w:rsidR="006F0C09" w:rsidRPr="008873CE" w14:paraId="1199E59C" w14:textId="77777777" w:rsidTr="00D01F2F">
        <w:tc>
          <w:tcPr>
            <w:tcW w:w="809" w:type="pct"/>
            <w:vAlign w:val="center"/>
          </w:tcPr>
          <w:p w14:paraId="71934622" w14:textId="3831B68C" w:rsidR="006F0C09" w:rsidRPr="008873CE" w:rsidRDefault="004238E0" w:rsidP="00D01F2F">
            <w:pPr>
              <w:spacing w:before="60" w:after="60" w:line="240" w:lineRule="auto"/>
              <w:jc w:val="left"/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NRS</w:t>
            </w:r>
            <w:r w:rsidR="006F0C09" w:rsidRPr="008873CE">
              <w:rPr>
                <w:rFonts w:ascii="Times New Roman" w:eastAsia="Times New Roman" w:hAnsi="Times New Roman"/>
                <w:b/>
                <w:bCs/>
                <w:noProof w:val="0"/>
                <w:color w:val="auto"/>
                <w:sz w:val="22"/>
                <w:szCs w:val="22"/>
                <w:lang w:eastAsia="en-US"/>
              </w:rPr>
              <w:t>4-M</w:t>
            </w:r>
          </w:p>
        </w:tc>
        <w:tc>
          <w:tcPr>
            <w:tcW w:w="628" w:type="pct"/>
            <w:vAlign w:val="center"/>
          </w:tcPr>
          <w:p w14:paraId="39F68BCD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1)</w:t>
            </w:r>
          </w:p>
        </w:tc>
        <w:tc>
          <w:tcPr>
            <w:tcW w:w="447" w:type="pct"/>
            <w:vMerge/>
            <w:vAlign w:val="center"/>
          </w:tcPr>
          <w:p w14:paraId="425DFE48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2AF0DC96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1)</w:t>
            </w:r>
          </w:p>
        </w:tc>
        <w:tc>
          <w:tcPr>
            <w:tcW w:w="447" w:type="pct"/>
            <w:vMerge/>
            <w:vAlign w:val="center"/>
          </w:tcPr>
          <w:p w14:paraId="754B2474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20" w:type="pct"/>
            <w:vAlign w:val="center"/>
          </w:tcPr>
          <w:p w14:paraId="5EC27EA9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 (0 – 1)</w:t>
            </w:r>
          </w:p>
        </w:tc>
        <w:tc>
          <w:tcPr>
            <w:tcW w:w="447" w:type="pct"/>
            <w:vMerge/>
            <w:vAlign w:val="center"/>
          </w:tcPr>
          <w:p w14:paraId="6681F16F" w14:textId="7777777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vAlign w:val="center"/>
          </w:tcPr>
          <w:p w14:paraId="22181993" w14:textId="547E2D37" w:rsidR="006F0C09" w:rsidRPr="008873CE" w:rsidRDefault="006F0C09" w:rsidP="00D01F2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0</w:t>
            </w:r>
            <w:r w:rsidR="00FB13F3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color w:val="auto"/>
                <w:sz w:val="22"/>
                <w:szCs w:val="22"/>
                <w:lang w:eastAsia="en-US"/>
              </w:rPr>
              <w:t>630</w:t>
            </w:r>
          </w:p>
        </w:tc>
      </w:tr>
    </w:tbl>
    <w:p w14:paraId="580A56E8" w14:textId="6065DDD0" w:rsidR="006F0C09" w:rsidRPr="008873CE" w:rsidRDefault="004238E0" w:rsidP="007C3C8A">
      <w:pPr>
        <w:spacing w:after="200" w:line="240" w:lineRule="auto"/>
        <w:rPr>
          <w:rFonts w:ascii="Times New Roman" w:eastAsia="Calibri" w:hAnsi="Times New Roman"/>
          <w:noProof w:val="0"/>
          <w:color w:val="auto"/>
          <w:lang w:eastAsia="en-US"/>
        </w:rPr>
      </w:pPr>
      <w:r>
        <w:rPr>
          <w:rFonts w:ascii="Times New Roman" w:eastAsia="Calibri" w:hAnsi="Times New Roman"/>
          <w:noProof w:val="0"/>
          <w:color w:val="auto"/>
          <w:lang w:eastAsia="en-US"/>
        </w:rPr>
        <w:t>NRS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in the postoperative days 1-4 was measured in rest (</w:t>
      </w:r>
      <w:r>
        <w:rPr>
          <w:rFonts w:ascii="Times New Roman" w:eastAsia="Calibri" w:hAnsi="Times New Roman"/>
          <w:noProof w:val="0"/>
          <w:color w:val="auto"/>
          <w:lang w:eastAsia="en-US"/>
        </w:rPr>
        <w:t>NRS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1-4R)</w:t>
      </w:r>
      <w:r w:rsidR="007C3C8A">
        <w:rPr>
          <w:rFonts w:ascii="Times New Roman" w:eastAsia="Calibri" w:hAnsi="Times New Roman"/>
          <w:noProof w:val="0"/>
          <w:color w:val="auto"/>
          <w:lang w:eastAsia="en-US"/>
        </w:rPr>
        <w:t>,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and in the movement (</w:t>
      </w:r>
      <w:r>
        <w:rPr>
          <w:rFonts w:ascii="Times New Roman" w:eastAsia="Calibri" w:hAnsi="Times New Roman"/>
          <w:noProof w:val="0"/>
          <w:color w:val="auto"/>
          <w:lang w:eastAsia="en-US"/>
        </w:rPr>
        <w:t>NRS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>1-4M), val</w:t>
      </w:r>
      <w:r w:rsidR="00944441">
        <w:rPr>
          <w:rFonts w:ascii="Times New Roman" w:eastAsia="Calibri" w:hAnsi="Times New Roman"/>
          <w:noProof w:val="0"/>
          <w:color w:val="auto"/>
          <w:lang w:eastAsia="en-US"/>
        </w:rPr>
        <w:t>u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>es are presented as</w:t>
      </w:r>
      <w:r w:rsidR="00D01F2F" w:rsidRPr="008873CE">
        <w:rPr>
          <w:rFonts w:ascii="Times New Roman" w:eastAsia="Calibri" w:hAnsi="Times New Roman"/>
          <w:noProof w:val="0"/>
          <w:color w:val="auto"/>
          <w:vertAlign w:val="superscript"/>
          <w:lang w:eastAsia="en-US"/>
        </w:rPr>
        <w:t xml:space="preserve"> 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>m</w:t>
      </w:r>
      <w:r w:rsidR="006F0C09" w:rsidRPr="008873CE">
        <w:rPr>
          <w:rFonts w:ascii="Times New Roman" w:eastAsia="Calibri" w:hAnsi="Times New Roman"/>
          <w:noProof w:val="0"/>
          <w:color w:val="auto"/>
          <w:lang w:eastAsia="en-US"/>
        </w:rPr>
        <w:t>edian (</w:t>
      </w:r>
      <w:r w:rsidR="007C3C8A">
        <w:rPr>
          <w:rFonts w:ascii="Times New Roman" w:eastAsia="Calibri" w:hAnsi="Times New Roman"/>
          <w:noProof w:val="0"/>
          <w:color w:val="auto"/>
          <w:lang w:eastAsia="en-US"/>
        </w:rPr>
        <w:t>interquartile</w:t>
      </w:r>
      <w:r w:rsidR="006F0C09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range);</w:t>
      </w:r>
      <w:r w:rsidR="006F0C09" w:rsidRPr="008873CE">
        <w:rPr>
          <w:rFonts w:ascii="Times New Roman" w:eastAsia="Calibri" w:hAnsi="Times New Roman"/>
          <w:noProof w:val="0"/>
          <w:color w:val="auto"/>
          <w:vertAlign w:val="superscript"/>
          <w:lang w:eastAsia="en-US"/>
        </w:rPr>
        <w:t xml:space="preserve"> †</w:t>
      </w:r>
      <w:r w:rsidR="006F0C09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Friedman’s test; </w:t>
      </w:r>
      <w:r w:rsidR="006F0C09" w:rsidRPr="008873CE">
        <w:rPr>
          <w:rFonts w:ascii="Times New Roman" w:eastAsia="Calibri" w:hAnsi="Times New Roman"/>
          <w:noProof w:val="0"/>
          <w:color w:val="auto"/>
          <w:vertAlign w:val="superscript"/>
          <w:lang w:eastAsia="en-US"/>
        </w:rPr>
        <w:t>‡</w:t>
      </w:r>
      <w:r w:rsidR="006F0C09" w:rsidRPr="008873CE">
        <w:rPr>
          <w:rFonts w:ascii="Times New Roman" w:eastAsia="Calibri" w:hAnsi="Times New Roman"/>
          <w:noProof w:val="0"/>
          <w:color w:val="auto"/>
          <w:lang w:eastAsia="en-US"/>
        </w:rPr>
        <w:t xml:space="preserve"> Kruskal Wallis’s test; p&lt;0.05 was considered statistically </w:t>
      </w:r>
      <w:r w:rsidR="00D01F2F" w:rsidRPr="008873CE">
        <w:rPr>
          <w:rFonts w:ascii="Times New Roman" w:eastAsia="Calibri" w:hAnsi="Times New Roman"/>
          <w:noProof w:val="0"/>
          <w:color w:val="auto"/>
          <w:lang w:eastAsia="en-US"/>
        </w:rPr>
        <w:t>significant.</w:t>
      </w:r>
    </w:p>
    <w:p w14:paraId="24BF20EB" w14:textId="4C9F9C6D" w:rsidR="006F0C09" w:rsidRPr="008873CE" w:rsidRDefault="006F0C09" w:rsidP="00551566">
      <w:pPr>
        <w:pStyle w:val="MDPI41tablecaption"/>
      </w:pPr>
    </w:p>
    <w:p w14:paraId="7EA3555A" w14:textId="1654D61C" w:rsidR="009E6025" w:rsidRPr="00902906" w:rsidRDefault="009E6025" w:rsidP="009E6025">
      <w:pPr>
        <w:spacing w:after="200" w:line="240" w:lineRule="auto"/>
        <w:rPr>
          <w:rFonts w:eastAsia="Calibri"/>
          <w:sz w:val="22"/>
          <w:szCs w:val="22"/>
        </w:rPr>
      </w:pPr>
      <w:r w:rsidRPr="007E16EC">
        <w:rPr>
          <w:rFonts w:eastAsia="Calibri"/>
          <w:b/>
          <w:sz w:val="22"/>
          <w:szCs w:val="22"/>
        </w:rPr>
        <w:t>Table S</w:t>
      </w:r>
      <w:r>
        <w:rPr>
          <w:rFonts w:eastAsia="Calibri"/>
          <w:b/>
          <w:sz w:val="22"/>
          <w:szCs w:val="22"/>
        </w:rPr>
        <w:t>2</w:t>
      </w:r>
      <w:r w:rsidRPr="00902906">
        <w:rPr>
          <w:rFonts w:eastAsia="Calibri"/>
          <w:b/>
          <w:sz w:val="22"/>
          <w:szCs w:val="22"/>
        </w:rPr>
        <w:t xml:space="preserve"> </w:t>
      </w:r>
      <w:bookmarkStart w:id="0" w:name="_Hlk136182728"/>
      <w:r w:rsidRPr="00902906">
        <w:rPr>
          <w:rFonts w:eastAsia="Calibri"/>
          <w:b/>
          <w:sz w:val="22"/>
          <w:szCs w:val="22"/>
        </w:rPr>
        <w:t>Significance of differences in domains of health status before and one year after surgery within groups based on Short Form 36 Health Survey (SF-36)</w:t>
      </w:r>
      <w:bookmarkEnd w:id="0"/>
    </w:p>
    <w:tbl>
      <w:tblPr>
        <w:tblW w:w="9918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4147"/>
        <w:gridCol w:w="1559"/>
        <w:gridCol w:w="1701"/>
        <w:gridCol w:w="1843"/>
      </w:tblGrid>
      <w:tr w:rsidR="009E6025" w:rsidRPr="008873CE" w14:paraId="4B2634FB" w14:textId="77777777" w:rsidTr="00814068">
        <w:trPr>
          <w:jc w:val="center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14:paraId="5B0E6B29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vMerge w:val="restart"/>
            <w:shd w:val="clear" w:color="auto" w:fill="auto"/>
            <w:vAlign w:val="center"/>
          </w:tcPr>
          <w:p w14:paraId="5331DB5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noProof w:val="0"/>
                <w:lang w:eastAsia="hr-HR"/>
              </w:rPr>
              <w:t>D</w:t>
            </w:r>
            <w:r w:rsidRPr="00AC233C">
              <w:rPr>
                <w:rFonts w:ascii="Times New Roman" w:eastAsia="Times New Roman" w:hAnsi="Times New Roman"/>
                <w:b/>
                <w:noProof w:val="0"/>
                <w:lang w:eastAsia="hr-HR"/>
              </w:rPr>
              <w:t>omains of health status</w:t>
            </w:r>
          </w:p>
        </w:tc>
        <w:tc>
          <w:tcPr>
            <w:tcW w:w="5103" w:type="dxa"/>
            <w:gridSpan w:val="3"/>
            <w:vAlign w:val="center"/>
          </w:tcPr>
          <w:p w14:paraId="3AB84B1C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  <w:r w:rsidRPr="00AC233C"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  <w:t xml:space="preserve">Groups of </w:t>
            </w:r>
            <w:r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  <w:t>patients</w:t>
            </w:r>
          </w:p>
        </w:tc>
      </w:tr>
      <w:tr w:rsidR="009E6025" w:rsidRPr="008873CE" w14:paraId="7EC9F20E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14:paraId="13CB69C9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vMerge/>
            <w:shd w:val="clear" w:color="auto" w:fill="auto"/>
            <w:vAlign w:val="center"/>
          </w:tcPr>
          <w:p w14:paraId="7DA60D5F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BEF0B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  <w:t>Diclofenac</w:t>
            </w:r>
          </w:p>
        </w:tc>
        <w:tc>
          <w:tcPr>
            <w:tcW w:w="1701" w:type="dxa"/>
            <w:vAlign w:val="center"/>
          </w:tcPr>
          <w:p w14:paraId="6FEE6ACF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  <w:t>Levobupivacaine bolus</w:t>
            </w:r>
            <w:r w:rsidRPr="008873CE"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8848408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noProof w:val="0"/>
                <w:color w:val="auto"/>
                <w:lang w:eastAsia="en-US"/>
              </w:rPr>
              <w:t>Levobupivacaine PCA</w:t>
            </w:r>
          </w:p>
        </w:tc>
      </w:tr>
      <w:tr w:rsidR="009E6025" w:rsidRPr="008873CE" w14:paraId="16C1DB5D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14:paraId="24580A69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vMerge/>
            <w:shd w:val="clear" w:color="auto" w:fill="auto"/>
            <w:vAlign w:val="center"/>
          </w:tcPr>
          <w:p w14:paraId="6094136B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B9CF55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lang w:eastAsia="hr-HR"/>
              </w:rPr>
              <w:t>p*</w:t>
            </w:r>
          </w:p>
        </w:tc>
        <w:tc>
          <w:tcPr>
            <w:tcW w:w="1701" w:type="dxa"/>
            <w:vAlign w:val="center"/>
          </w:tcPr>
          <w:p w14:paraId="1253B318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lang w:eastAsia="hr-HR"/>
              </w:rPr>
              <w:t>p*</w:t>
            </w:r>
          </w:p>
        </w:tc>
        <w:tc>
          <w:tcPr>
            <w:tcW w:w="1843" w:type="dxa"/>
            <w:vAlign w:val="center"/>
          </w:tcPr>
          <w:p w14:paraId="300A5093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lang w:eastAsia="hr-HR"/>
              </w:rPr>
              <w:t>p*</w:t>
            </w:r>
          </w:p>
        </w:tc>
      </w:tr>
      <w:tr w:rsidR="009E6025" w:rsidRPr="008873CE" w14:paraId="5250CA33" w14:textId="77777777" w:rsidTr="00814068">
        <w:trPr>
          <w:jc w:val="center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14:paraId="26094EF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  <w:r w:rsidRPr="003F57D5"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  <w:t>Physical health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4E26F47B" w14:textId="77777777" w:rsidR="009E6025" w:rsidRPr="00AC233C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bCs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Times New Roman" w:hAnsi="Times New Roman"/>
                <w:bCs/>
                <w:noProof w:val="0"/>
                <w:lang w:eastAsia="hr-HR"/>
              </w:rPr>
              <w:t>Physical functioning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7DE69A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393</w:t>
            </w:r>
          </w:p>
        </w:tc>
        <w:tc>
          <w:tcPr>
            <w:tcW w:w="1701" w:type="dxa"/>
            <w:vAlign w:val="center"/>
          </w:tcPr>
          <w:p w14:paraId="44048C91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003</w:t>
            </w:r>
          </w:p>
        </w:tc>
        <w:tc>
          <w:tcPr>
            <w:tcW w:w="1843" w:type="dxa"/>
            <w:vAlign w:val="center"/>
          </w:tcPr>
          <w:p w14:paraId="7D9182B8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008</w:t>
            </w:r>
          </w:p>
        </w:tc>
      </w:tr>
      <w:tr w:rsidR="009E6025" w:rsidRPr="008873CE" w14:paraId="19F4605B" w14:textId="77777777" w:rsidTr="00814068">
        <w:trPr>
          <w:trHeight w:val="71"/>
          <w:jc w:val="center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14:paraId="0069DC0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82A8F51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Role limitation due to physical problems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C91F0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701" w:type="dxa"/>
            <w:vAlign w:val="center"/>
          </w:tcPr>
          <w:p w14:paraId="25B7F024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082</w:t>
            </w:r>
          </w:p>
        </w:tc>
        <w:tc>
          <w:tcPr>
            <w:tcW w:w="1843" w:type="dxa"/>
            <w:vAlign w:val="center"/>
          </w:tcPr>
          <w:p w14:paraId="1C844915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692</w:t>
            </w:r>
          </w:p>
        </w:tc>
      </w:tr>
      <w:tr w:rsidR="009E6025" w:rsidRPr="008873CE" w14:paraId="159E8D64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14:paraId="4F213F9A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991C7CB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Bodily p</w:t>
            </w: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ain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AA9035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087</w:t>
            </w:r>
          </w:p>
        </w:tc>
        <w:tc>
          <w:tcPr>
            <w:tcW w:w="1701" w:type="dxa"/>
            <w:vAlign w:val="center"/>
          </w:tcPr>
          <w:p w14:paraId="426B3CD0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042</w:t>
            </w:r>
          </w:p>
        </w:tc>
        <w:tc>
          <w:tcPr>
            <w:tcW w:w="1843" w:type="dxa"/>
            <w:vAlign w:val="center"/>
          </w:tcPr>
          <w:p w14:paraId="2708BF45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325</w:t>
            </w:r>
          </w:p>
        </w:tc>
      </w:tr>
      <w:tr w:rsidR="009E6025" w:rsidRPr="008873CE" w14:paraId="0A8F4CE0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14:paraId="7EA2E833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B2F98B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General health perception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C1DA4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508</w:t>
            </w:r>
          </w:p>
        </w:tc>
        <w:tc>
          <w:tcPr>
            <w:tcW w:w="1701" w:type="dxa"/>
            <w:vAlign w:val="center"/>
          </w:tcPr>
          <w:p w14:paraId="04A9F5BF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159</w:t>
            </w:r>
          </w:p>
        </w:tc>
        <w:tc>
          <w:tcPr>
            <w:tcW w:w="1843" w:type="dxa"/>
            <w:vAlign w:val="center"/>
          </w:tcPr>
          <w:p w14:paraId="074559B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365</w:t>
            </w:r>
          </w:p>
        </w:tc>
      </w:tr>
      <w:tr w:rsidR="009E6025" w:rsidRPr="008873CE" w14:paraId="09C7F18A" w14:textId="77777777" w:rsidTr="00814068">
        <w:trPr>
          <w:jc w:val="center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14:paraId="3684D1DE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  <w:r w:rsidRPr="008873CE"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  <w:t>Me</w:t>
            </w:r>
            <w:r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  <w:t>ntal health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2073F6BC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Energy - vitality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CD4FE8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701" w:type="dxa"/>
            <w:vAlign w:val="center"/>
          </w:tcPr>
          <w:p w14:paraId="2E7F474E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084</w:t>
            </w:r>
          </w:p>
        </w:tc>
        <w:tc>
          <w:tcPr>
            <w:tcW w:w="1843" w:type="dxa"/>
            <w:vAlign w:val="center"/>
          </w:tcPr>
          <w:p w14:paraId="63DF54E0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298</w:t>
            </w:r>
          </w:p>
        </w:tc>
      </w:tr>
      <w:tr w:rsidR="009E6025" w:rsidRPr="008873CE" w14:paraId="15CC5968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689FEA4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FACCAC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Social functioning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8A95F5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923</w:t>
            </w:r>
          </w:p>
        </w:tc>
        <w:tc>
          <w:tcPr>
            <w:tcW w:w="1701" w:type="dxa"/>
            <w:vAlign w:val="center"/>
          </w:tcPr>
          <w:p w14:paraId="05A7D00B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096</w:t>
            </w:r>
          </w:p>
        </w:tc>
        <w:tc>
          <w:tcPr>
            <w:tcW w:w="1843" w:type="dxa"/>
            <w:vAlign w:val="center"/>
          </w:tcPr>
          <w:p w14:paraId="11E4E907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eastAsia="hr-HR"/>
              </w:rPr>
              <w:t>046</w:t>
            </w:r>
          </w:p>
        </w:tc>
      </w:tr>
      <w:tr w:rsidR="009E6025" w:rsidRPr="008873CE" w14:paraId="50E59DCB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8EB688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CFD71C0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Role limitation due to emotional problems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018D44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731</w:t>
            </w:r>
          </w:p>
        </w:tc>
        <w:tc>
          <w:tcPr>
            <w:tcW w:w="1701" w:type="dxa"/>
            <w:vAlign w:val="center"/>
          </w:tcPr>
          <w:p w14:paraId="4095649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568</w:t>
            </w:r>
          </w:p>
        </w:tc>
        <w:tc>
          <w:tcPr>
            <w:tcW w:w="1843" w:type="dxa"/>
            <w:vAlign w:val="center"/>
          </w:tcPr>
          <w:p w14:paraId="3E40A423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673</w:t>
            </w:r>
          </w:p>
        </w:tc>
      </w:tr>
      <w:tr w:rsidR="009E6025" w:rsidRPr="008873CE" w14:paraId="454263AF" w14:textId="77777777" w:rsidTr="00814068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3E34EBD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noProof w:val="0"/>
                <w:color w:val="auto"/>
                <w:lang w:eastAsia="en-U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5061E9" w14:textId="77777777" w:rsidR="009E6025" w:rsidRPr="008873CE" w:rsidRDefault="009E6025" w:rsidP="00814068">
            <w:pPr>
              <w:spacing w:before="60" w:after="60" w:line="240" w:lineRule="auto"/>
              <w:jc w:val="left"/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</w:pPr>
            <w:r w:rsidRPr="00AC233C">
              <w:rPr>
                <w:rFonts w:ascii="Times New Roman" w:eastAsia="Calibri" w:hAnsi="Times New Roman"/>
                <w:noProof w:val="0"/>
                <w:color w:val="auto"/>
                <w:sz w:val="22"/>
                <w:szCs w:val="22"/>
                <w:lang w:eastAsia="en-US"/>
              </w:rPr>
              <w:t>General mental health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C8D26E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657</w:t>
            </w:r>
          </w:p>
        </w:tc>
        <w:tc>
          <w:tcPr>
            <w:tcW w:w="1701" w:type="dxa"/>
            <w:vAlign w:val="center"/>
          </w:tcPr>
          <w:p w14:paraId="233D94F0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721</w:t>
            </w:r>
          </w:p>
        </w:tc>
        <w:tc>
          <w:tcPr>
            <w:tcW w:w="1843" w:type="dxa"/>
            <w:vAlign w:val="center"/>
          </w:tcPr>
          <w:p w14:paraId="0C877FE6" w14:textId="77777777" w:rsidR="009E6025" w:rsidRPr="008873CE" w:rsidRDefault="009E6025" w:rsidP="0081406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</w:pP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.</w:t>
            </w:r>
            <w:r w:rsidRPr="008873CE">
              <w:rPr>
                <w:rFonts w:ascii="Times New Roman" w:eastAsia="Times New Roman" w:hAnsi="Times New Roman"/>
                <w:noProof w:val="0"/>
                <w:sz w:val="22"/>
                <w:szCs w:val="22"/>
                <w:lang w:eastAsia="hr-HR"/>
              </w:rPr>
              <w:t>793</w:t>
            </w:r>
          </w:p>
        </w:tc>
      </w:tr>
    </w:tbl>
    <w:p w14:paraId="51BCC3E0" w14:textId="5ABDAD55" w:rsidR="009E6025" w:rsidRDefault="009E6025" w:rsidP="009E6025">
      <w:pPr>
        <w:tabs>
          <w:tab w:val="left" w:pos="3330"/>
        </w:tabs>
        <w:spacing w:before="40" w:after="40" w:line="360" w:lineRule="auto"/>
        <w:ind w:left="708"/>
        <w:rPr>
          <w:rFonts w:ascii="Times New Roman" w:eastAsia="Calibri" w:hAnsi="Times New Roman"/>
          <w:noProof w:val="0"/>
          <w:color w:val="auto"/>
          <w:lang w:eastAsia="en-US"/>
        </w:rPr>
      </w:pPr>
      <w:r w:rsidRPr="008873CE">
        <w:rPr>
          <w:rFonts w:ascii="Times New Roman" w:eastAsia="Calibri" w:hAnsi="Times New Roman"/>
          <w:noProof w:val="0"/>
          <w:color w:val="auto"/>
          <w:lang w:eastAsia="en-US"/>
        </w:rPr>
        <w:t>*Wilcoxon test</w:t>
      </w:r>
      <w:r>
        <w:rPr>
          <w:rFonts w:ascii="Times New Roman" w:eastAsia="Calibri" w:hAnsi="Times New Roman"/>
          <w:noProof w:val="0"/>
          <w:color w:val="auto"/>
          <w:lang w:eastAsia="en-US"/>
        </w:rPr>
        <w:t xml:space="preserve"> </w:t>
      </w:r>
    </w:p>
    <w:p w14:paraId="2CEBC49F" w14:textId="275A3790" w:rsidR="00434317" w:rsidRPr="008873CE" w:rsidRDefault="00FB13F3" w:rsidP="00434317">
      <w:pPr>
        <w:pStyle w:val="MDPI511onefigurecaption"/>
        <w:jc w:val="left"/>
        <w:rPr>
          <w:b/>
          <w:bCs/>
          <w:lang w:eastAsia="en-US"/>
        </w:rPr>
      </w:pPr>
      <w:bookmarkStart w:id="1" w:name="_Hlk132060537"/>
      <w:r w:rsidRPr="00FB13F3">
        <w:rPr>
          <w:b/>
          <w:bCs/>
          <w:lang w:eastAsia="en-US"/>
        </w:rPr>
        <w:t>Table S</w:t>
      </w:r>
      <w:r w:rsidR="00263D9C">
        <w:rPr>
          <w:b/>
          <w:bCs/>
          <w:lang w:eastAsia="en-US"/>
        </w:rPr>
        <w:t>3</w:t>
      </w:r>
      <w:r w:rsidR="00434317" w:rsidRPr="008873CE">
        <w:rPr>
          <w:b/>
          <w:bCs/>
          <w:lang w:eastAsia="en-US"/>
        </w:rPr>
        <w:t xml:space="preserve">. Shoulder pain examined with a shoulder disability questionnaire in </w:t>
      </w:r>
      <w:r w:rsidR="00542909">
        <w:rPr>
          <w:b/>
          <w:bCs/>
          <w:lang w:eastAsia="en-US"/>
        </w:rPr>
        <w:t>patients</w:t>
      </w:r>
      <w:r w:rsidR="00434317" w:rsidRPr="008873CE">
        <w:rPr>
          <w:b/>
          <w:bCs/>
          <w:lang w:eastAsia="en-US"/>
        </w:rPr>
        <w:t xml:space="preserve"> with diclofenac analgesia before and one year after surgery</w:t>
      </w:r>
      <w:bookmarkEnd w:id="1"/>
      <w:r w:rsidR="00434317" w:rsidRPr="008873CE">
        <w:rPr>
          <w:b/>
          <w:bCs/>
          <w:lang w:eastAsia="en-US"/>
        </w:rPr>
        <w:t xml:space="preserve">. </w:t>
      </w:r>
    </w:p>
    <w:tbl>
      <w:tblPr>
        <w:tblStyle w:val="TableGrid1"/>
        <w:tblW w:w="10660" w:type="dxa"/>
        <w:tblInd w:w="1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672"/>
        <w:gridCol w:w="819"/>
        <w:gridCol w:w="1084"/>
        <w:gridCol w:w="690"/>
        <w:gridCol w:w="881"/>
        <w:gridCol w:w="913"/>
        <w:gridCol w:w="1144"/>
      </w:tblGrid>
      <w:tr w:rsidR="00434317" w:rsidRPr="00902906" w14:paraId="5344CDD6" w14:textId="77777777" w:rsidTr="00FB13F3">
        <w:tc>
          <w:tcPr>
            <w:tcW w:w="0" w:type="auto"/>
          </w:tcPr>
          <w:p w14:paraId="6BE2E498" w14:textId="77777777" w:rsidR="00434317" w:rsidRPr="00902906" w:rsidRDefault="00434317" w:rsidP="00F8707E">
            <w:pPr>
              <w:spacing w:line="240" w:lineRule="auto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678" w:type="dxa"/>
            <w:gridSpan w:val="3"/>
            <w:vAlign w:val="center"/>
          </w:tcPr>
          <w:p w14:paraId="7A689D71" w14:textId="77777777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 xml:space="preserve">Before surgery </w:t>
            </w: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br/>
              <w:t>N (%)</w:t>
            </w:r>
          </w:p>
        </w:tc>
        <w:tc>
          <w:tcPr>
            <w:tcW w:w="2484" w:type="dxa"/>
            <w:gridSpan w:val="3"/>
          </w:tcPr>
          <w:p w14:paraId="1A6CEC91" w14:textId="56BECEEF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 xml:space="preserve">One-year </w:t>
            </w:r>
            <w:r w:rsidR="007C3C8A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>follow-up</w:t>
            </w:r>
            <w:r w:rsidR="00C07064"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br/>
            </w: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144" w:type="dxa"/>
            <w:vAlign w:val="center"/>
          </w:tcPr>
          <w:p w14:paraId="5FBC3B89" w14:textId="77777777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</w:p>
        </w:tc>
      </w:tr>
      <w:tr w:rsidR="00544ACC" w:rsidRPr="00902906" w14:paraId="60521BF1" w14:textId="77777777" w:rsidTr="007B0D68">
        <w:tc>
          <w:tcPr>
            <w:tcW w:w="0" w:type="auto"/>
          </w:tcPr>
          <w:p w14:paraId="11996722" w14:textId="77777777" w:rsidR="00544ACC" w:rsidRPr="00902906" w:rsidRDefault="00544ACC" w:rsidP="00544ACC">
            <w:pPr>
              <w:spacing w:line="240" w:lineRule="auto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5163567" w14:textId="77777777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NA </w:t>
            </w:r>
          </w:p>
        </w:tc>
        <w:tc>
          <w:tcPr>
            <w:tcW w:w="0" w:type="auto"/>
            <w:vAlign w:val="center"/>
          </w:tcPr>
          <w:p w14:paraId="000B9726" w14:textId="0E1D9265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No </w:t>
            </w:r>
          </w:p>
        </w:tc>
        <w:tc>
          <w:tcPr>
            <w:tcW w:w="1084" w:type="dxa"/>
            <w:vAlign w:val="center"/>
          </w:tcPr>
          <w:p w14:paraId="57B24167" w14:textId="175D7A10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690" w:type="dxa"/>
            <w:vAlign w:val="center"/>
          </w:tcPr>
          <w:p w14:paraId="6C83F9E3" w14:textId="77777777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NA </w:t>
            </w:r>
          </w:p>
        </w:tc>
        <w:tc>
          <w:tcPr>
            <w:tcW w:w="881" w:type="dxa"/>
            <w:vAlign w:val="center"/>
          </w:tcPr>
          <w:p w14:paraId="1E166F68" w14:textId="29D146D6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No </w:t>
            </w:r>
          </w:p>
        </w:tc>
        <w:tc>
          <w:tcPr>
            <w:tcW w:w="0" w:type="auto"/>
            <w:vAlign w:val="center"/>
          </w:tcPr>
          <w:p w14:paraId="5DBC98A9" w14:textId="733E9160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1144" w:type="dxa"/>
            <w:vAlign w:val="center"/>
          </w:tcPr>
          <w:p w14:paraId="273967DC" w14:textId="77777777" w:rsidR="00544ACC" w:rsidRPr="00902906" w:rsidRDefault="00544ACC" w:rsidP="00544ACC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P</w:t>
            </w:r>
            <w:r w:rsidRPr="00902906">
              <w:rPr>
                <w:noProof w:val="0"/>
                <w:color w:val="auto"/>
                <w:sz w:val="20"/>
                <w:szCs w:val="20"/>
                <w:vertAlign w:val="superscript"/>
                <w:lang w:val="en-US"/>
              </w:rPr>
              <w:t>*</w:t>
            </w:r>
          </w:p>
        </w:tc>
      </w:tr>
      <w:tr w:rsidR="00FB13F3" w:rsidRPr="00902906" w14:paraId="49EAEFA9" w14:textId="77777777" w:rsidTr="007B0D68">
        <w:tc>
          <w:tcPr>
            <w:tcW w:w="0" w:type="auto"/>
          </w:tcPr>
          <w:p w14:paraId="4906CF28" w14:textId="2D4BF231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I wake up at night because of shoulder pain. </w:t>
            </w:r>
          </w:p>
        </w:tc>
        <w:tc>
          <w:tcPr>
            <w:tcW w:w="0" w:type="auto"/>
            <w:vAlign w:val="center"/>
          </w:tcPr>
          <w:p w14:paraId="25460CDF" w14:textId="577D7334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(2.5)</w:t>
            </w:r>
          </w:p>
        </w:tc>
        <w:tc>
          <w:tcPr>
            <w:tcW w:w="0" w:type="auto"/>
            <w:vAlign w:val="center"/>
          </w:tcPr>
          <w:p w14:paraId="0B688A9A" w14:textId="1F85F16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34 (85)</w:t>
            </w:r>
          </w:p>
        </w:tc>
        <w:tc>
          <w:tcPr>
            <w:tcW w:w="1084" w:type="dxa"/>
            <w:vAlign w:val="center"/>
          </w:tcPr>
          <w:p w14:paraId="4499E347" w14:textId="1FD6A60E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(12.5)</w:t>
            </w:r>
          </w:p>
        </w:tc>
        <w:tc>
          <w:tcPr>
            <w:tcW w:w="690" w:type="dxa"/>
            <w:vAlign w:val="center"/>
          </w:tcPr>
          <w:p w14:paraId="5EB0F082" w14:textId="753F9F35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(4.8)</w:t>
            </w:r>
          </w:p>
        </w:tc>
        <w:tc>
          <w:tcPr>
            <w:tcW w:w="881" w:type="dxa"/>
            <w:vAlign w:val="center"/>
          </w:tcPr>
          <w:p w14:paraId="4507A3A3" w14:textId="33CE75B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14 (66.7)</w:t>
            </w:r>
          </w:p>
        </w:tc>
        <w:tc>
          <w:tcPr>
            <w:tcW w:w="0" w:type="auto"/>
            <w:vAlign w:val="center"/>
          </w:tcPr>
          <w:p w14:paraId="511D7A15" w14:textId="732A48F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6 (28.6)</w:t>
            </w:r>
          </w:p>
        </w:tc>
        <w:tc>
          <w:tcPr>
            <w:tcW w:w="1144" w:type="dxa"/>
            <w:vAlign w:val="center"/>
          </w:tcPr>
          <w:p w14:paraId="72E1579C" w14:textId="3FF251FE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0.378</w:t>
            </w:r>
          </w:p>
        </w:tc>
      </w:tr>
      <w:tr w:rsidR="00FB13F3" w:rsidRPr="00902906" w14:paraId="597B628A" w14:textId="77777777" w:rsidTr="007B0D68">
        <w:tc>
          <w:tcPr>
            <w:tcW w:w="0" w:type="auto"/>
          </w:tcPr>
          <w:p w14:paraId="54F90720" w14:textId="2096598E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lie on it. </w:t>
            </w:r>
          </w:p>
        </w:tc>
        <w:tc>
          <w:tcPr>
            <w:tcW w:w="0" w:type="auto"/>
            <w:vAlign w:val="center"/>
          </w:tcPr>
          <w:p w14:paraId="70934391" w14:textId="16EA533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(2.4)</w:t>
            </w:r>
          </w:p>
        </w:tc>
        <w:tc>
          <w:tcPr>
            <w:tcW w:w="0" w:type="auto"/>
            <w:vAlign w:val="center"/>
          </w:tcPr>
          <w:p w14:paraId="5C9415EC" w14:textId="708AC58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32 (78)</w:t>
            </w:r>
          </w:p>
        </w:tc>
        <w:tc>
          <w:tcPr>
            <w:tcW w:w="1084" w:type="dxa"/>
            <w:vAlign w:val="center"/>
          </w:tcPr>
          <w:p w14:paraId="3819EF81" w14:textId="14D4235B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8 (19.5)</w:t>
            </w:r>
          </w:p>
        </w:tc>
        <w:tc>
          <w:tcPr>
            <w:tcW w:w="690" w:type="dxa"/>
            <w:vAlign w:val="center"/>
          </w:tcPr>
          <w:p w14:paraId="5605E980" w14:textId="71223AD8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(4.8)</w:t>
            </w:r>
          </w:p>
        </w:tc>
        <w:tc>
          <w:tcPr>
            <w:tcW w:w="881" w:type="dxa"/>
            <w:vAlign w:val="center"/>
          </w:tcPr>
          <w:p w14:paraId="3BDBB1D6" w14:textId="151C2A19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13 (61.9)</w:t>
            </w:r>
          </w:p>
        </w:tc>
        <w:tc>
          <w:tcPr>
            <w:tcW w:w="0" w:type="auto"/>
            <w:vAlign w:val="center"/>
          </w:tcPr>
          <w:p w14:paraId="76422C84" w14:textId="18991BE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7 (33.3)</w:t>
            </w:r>
          </w:p>
        </w:tc>
        <w:tc>
          <w:tcPr>
            <w:tcW w:w="1144" w:type="dxa"/>
            <w:vAlign w:val="center"/>
          </w:tcPr>
          <w:p w14:paraId="63B2B29F" w14:textId="1C478884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0.295</w:t>
            </w:r>
          </w:p>
        </w:tc>
      </w:tr>
      <w:tr w:rsidR="00FB13F3" w:rsidRPr="00902906" w14:paraId="4AE8E86F" w14:textId="77777777" w:rsidTr="007B0D68">
        <w:tc>
          <w:tcPr>
            <w:tcW w:w="0" w:type="auto"/>
          </w:tcPr>
          <w:p w14:paraId="6D802DBC" w14:textId="00AC0D7E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pain in my shoulder, it is difficult to put on a coat or a sweater</w:t>
            </w:r>
          </w:p>
        </w:tc>
        <w:tc>
          <w:tcPr>
            <w:tcW w:w="0" w:type="auto"/>
            <w:vAlign w:val="center"/>
          </w:tcPr>
          <w:p w14:paraId="69676AD3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F79FF4A" w14:textId="45B7ADDF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36 (87.8)</w:t>
            </w:r>
          </w:p>
        </w:tc>
        <w:tc>
          <w:tcPr>
            <w:tcW w:w="1084" w:type="dxa"/>
            <w:vAlign w:val="center"/>
          </w:tcPr>
          <w:p w14:paraId="46437D2B" w14:textId="4482802D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(12.2)</w:t>
            </w:r>
          </w:p>
        </w:tc>
        <w:tc>
          <w:tcPr>
            <w:tcW w:w="690" w:type="dxa"/>
            <w:vAlign w:val="center"/>
          </w:tcPr>
          <w:p w14:paraId="2625B8CF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102F9D0B" w14:textId="7E39E9C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19 (86.4)</w:t>
            </w:r>
          </w:p>
        </w:tc>
        <w:tc>
          <w:tcPr>
            <w:tcW w:w="0" w:type="auto"/>
            <w:vAlign w:val="center"/>
          </w:tcPr>
          <w:p w14:paraId="0DA8592F" w14:textId="06012FCA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 (13.6)</w:t>
            </w:r>
          </w:p>
        </w:tc>
        <w:tc>
          <w:tcPr>
            <w:tcW w:w="1144" w:type="dxa"/>
            <w:vAlign w:val="center"/>
          </w:tcPr>
          <w:p w14:paraId="0E721DAB" w14:textId="7F6F08CB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0.260</w:t>
            </w:r>
            <w:r w:rsidRPr="00902906">
              <w:rPr>
                <w:noProof w:val="0"/>
                <w:color w:val="auto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FB13F3" w:rsidRPr="00902906" w14:paraId="2B16CF6F" w14:textId="77777777" w:rsidTr="007B0D68">
        <w:tc>
          <w:tcPr>
            <w:tcW w:w="0" w:type="auto"/>
          </w:tcPr>
          <w:p w14:paraId="342310BB" w14:textId="67A444AB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during my usual daily activities</w:t>
            </w:r>
          </w:p>
        </w:tc>
        <w:tc>
          <w:tcPr>
            <w:tcW w:w="0" w:type="auto"/>
            <w:vAlign w:val="center"/>
          </w:tcPr>
          <w:p w14:paraId="404592A0" w14:textId="696D345A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4816E2E9" w14:textId="11D72612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33 (80.5)</w:t>
            </w:r>
          </w:p>
        </w:tc>
        <w:tc>
          <w:tcPr>
            <w:tcW w:w="1084" w:type="dxa"/>
            <w:vAlign w:val="center"/>
          </w:tcPr>
          <w:p w14:paraId="310BD5DE" w14:textId="6B70F2E0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6 (14.6)</w:t>
            </w:r>
          </w:p>
        </w:tc>
        <w:tc>
          <w:tcPr>
            <w:tcW w:w="690" w:type="dxa"/>
            <w:vAlign w:val="center"/>
          </w:tcPr>
          <w:p w14:paraId="2E187B98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7C4A36CE" w14:textId="2BC449CD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17 (77.3)</w:t>
            </w:r>
          </w:p>
        </w:tc>
        <w:tc>
          <w:tcPr>
            <w:tcW w:w="0" w:type="auto"/>
            <w:vAlign w:val="center"/>
          </w:tcPr>
          <w:p w14:paraId="46256CB4" w14:textId="2B8D786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(22.7)</w:t>
            </w:r>
          </w:p>
        </w:tc>
        <w:tc>
          <w:tcPr>
            <w:tcW w:w="1144" w:type="dxa"/>
            <w:vAlign w:val="center"/>
          </w:tcPr>
          <w:p w14:paraId="24C81693" w14:textId="6E4716F6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0.070</w:t>
            </w:r>
          </w:p>
        </w:tc>
      </w:tr>
      <w:tr w:rsidR="00FB13F3" w:rsidRPr="00902906" w14:paraId="5B3CE08B" w14:textId="77777777" w:rsidTr="007B0D68">
        <w:tc>
          <w:tcPr>
            <w:tcW w:w="0" w:type="auto"/>
          </w:tcPr>
          <w:p w14:paraId="25209A7C" w14:textId="1312283A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lean on my elbow or hand </w:t>
            </w:r>
          </w:p>
        </w:tc>
        <w:tc>
          <w:tcPr>
            <w:tcW w:w="0" w:type="auto"/>
            <w:vAlign w:val="center"/>
          </w:tcPr>
          <w:p w14:paraId="6ED3539F" w14:textId="5CCED0C9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3C3BED07" w14:textId="1C2BA7D3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38 (92.7)</w:t>
            </w:r>
          </w:p>
        </w:tc>
        <w:tc>
          <w:tcPr>
            <w:tcW w:w="1084" w:type="dxa"/>
            <w:vAlign w:val="center"/>
          </w:tcPr>
          <w:p w14:paraId="6200FF88" w14:textId="0194F965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(2.4)</w:t>
            </w:r>
          </w:p>
        </w:tc>
        <w:tc>
          <w:tcPr>
            <w:tcW w:w="690" w:type="dxa"/>
            <w:vAlign w:val="center"/>
          </w:tcPr>
          <w:p w14:paraId="5B57E403" w14:textId="16A6A376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(4.5)</w:t>
            </w:r>
          </w:p>
        </w:tc>
        <w:tc>
          <w:tcPr>
            <w:tcW w:w="881" w:type="dxa"/>
            <w:vAlign w:val="center"/>
          </w:tcPr>
          <w:p w14:paraId="55D33E99" w14:textId="655245D4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17 (77.3)</w:t>
            </w:r>
          </w:p>
        </w:tc>
        <w:tc>
          <w:tcPr>
            <w:tcW w:w="0" w:type="auto"/>
            <w:vAlign w:val="center"/>
          </w:tcPr>
          <w:p w14:paraId="241568EC" w14:textId="5F82B4AD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4 (18.2)</w:t>
            </w:r>
          </w:p>
        </w:tc>
        <w:tc>
          <w:tcPr>
            <w:tcW w:w="1144" w:type="dxa"/>
            <w:vAlign w:val="center"/>
          </w:tcPr>
          <w:p w14:paraId="6466EA71" w14:textId="06298551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0.156</w:t>
            </w:r>
          </w:p>
        </w:tc>
      </w:tr>
      <w:tr w:rsidR="00FB13F3" w:rsidRPr="00902906" w14:paraId="773E7BCE" w14:textId="77777777" w:rsidTr="007B0D68">
        <w:tc>
          <w:tcPr>
            <w:tcW w:w="0" w:type="auto"/>
          </w:tcPr>
          <w:p w14:paraId="497F1920" w14:textId="5AC46349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move my arm.</w:t>
            </w:r>
          </w:p>
        </w:tc>
        <w:tc>
          <w:tcPr>
            <w:tcW w:w="0" w:type="auto"/>
            <w:vAlign w:val="center"/>
          </w:tcPr>
          <w:p w14:paraId="2BF3B84B" w14:textId="5911B9A0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3FF1DCA7" w14:textId="7ED06173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39 (95.1)</w:t>
            </w:r>
          </w:p>
        </w:tc>
        <w:tc>
          <w:tcPr>
            <w:tcW w:w="1084" w:type="dxa"/>
            <w:vAlign w:val="center"/>
          </w:tcPr>
          <w:p w14:paraId="3CAAD07B" w14:textId="62CD8898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  <w:vAlign w:val="center"/>
          </w:tcPr>
          <w:p w14:paraId="000CC20C" w14:textId="36DECCE6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(4.5)</w:t>
            </w:r>
          </w:p>
        </w:tc>
        <w:tc>
          <w:tcPr>
            <w:tcW w:w="881" w:type="dxa"/>
            <w:vAlign w:val="center"/>
          </w:tcPr>
          <w:p w14:paraId="047D0527" w14:textId="45DCB8E0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20 (90.9)</w:t>
            </w:r>
          </w:p>
        </w:tc>
        <w:tc>
          <w:tcPr>
            <w:tcW w:w="0" w:type="auto"/>
            <w:vAlign w:val="center"/>
          </w:tcPr>
          <w:p w14:paraId="4B3B64E3" w14:textId="72606486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(4.5)</w:t>
            </w:r>
          </w:p>
        </w:tc>
        <w:tc>
          <w:tcPr>
            <w:tcW w:w="1144" w:type="dxa"/>
            <w:vAlign w:val="center"/>
          </w:tcPr>
          <w:p w14:paraId="409A370B" w14:textId="718B24FC" w:rsidR="00FB13F3" w:rsidRPr="00902906" w:rsidRDefault="00FB13F3" w:rsidP="00FB13F3">
            <w:pPr>
              <w:spacing w:line="240" w:lineRule="auto"/>
              <w:jc w:val="center"/>
              <w:rPr>
                <w:b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>0.005</w:t>
            </w:r>
          </w:p>
        </w:tc>
      </w:tr>
      <w:tr w:rsidR="00FB13F3" w:rsidRPr="00902906" w14:paraId="321B45A4" w14:textId="77777777" w:rsidTr="007B0D68">
        <w:tc>
          <w:tcPr>
            <w:tcW w:w="0" w:type="auto"/>
          </w:tcPr>
          <w:p w14:paraId="332093BC" w14:textId="194E74BC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write or type.</w:t>
            </w:r>
          </w:p>
        </w:tc>
        <w:tc>
          <w:tcPr>
            <w:tcW w:w="0" w:type="auto"/>
            <w:vAlign w:val="center"/>
          </w:tcPr>
          <w:p w14:paraId="03D05D8E" w14:textId="3CCAE743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 (7.3)</w:t>
            </w:r>
          </w:p>
        </w:tc>
        <w:tc>
          <w:tcPr>
            <w:tcW w:w="0" w:type="auto"/>
            <w:vAlign w:val="center"/>
          </w:tcPr>
          <w:p w14:paraId="6BA1C449" w14:textId="39142084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38 (92.7)</w:t>
            </w:r>
          </w:p>
        </w:tc>
        <w:tc>
          <w:tcPr>
            <w:tcW w:w="1084" w:type="dxa"/>
            <w:vAlign w:val="center"/>
          </w:tcPr>
          <w:p w14:paraId="37F40B19" w14:textId="01FE0CCF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  <w:vAlign w:val="center"/>
          </w:tcPr>
          <w:p w14:paraId="285A8B2F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349A6065" w14:textId="5989E3BA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20 (95.2)</w:t>
            </w:r>
          </w:p>
        </w:tc>
        <w:tc>
          <w:tcPr>
            <w:tcW w:w="0" w:type="auto"/>
            <w:vAlign w:val="center"/>
          </w:tcPr>
          <w:p w14:paraId="2170BFC3" w14:textId="7F5F8DF6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(4.8)</w:t>
            </w:r>
          </w:p>
        </w:tc>
        <w:tc>
          <w:tcPr>
            <w:tcW w:w="1144" w:type="dxa"/>
            <w:vAlign w:val="center"/>
          </w:tcPr>
          <w:p w14:paraId="7D7950BC" w14:textId="249120C0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0.143</w:t>
            </w:r>
          </w:p>
        </w:tc>
      </w:tr>
      <w:tr w:rsidR="00FB13F3" w:rsidRPr="00902906" w14:paraId="293980C6" w14:textId="77777777" w:rsidTr="007B0D68">
        <w:tc>
          <w:tcPr>
            <w:tcW w:w="0" w:type="auto"/>
          </w:tcPr>
          <w:p w14:paraId="79F2E3E7" w14:textId="617A07AB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hold the driving wheel of my car or handle bars of my bike.</w:t>
            </w:r>
          </w:p>
        </w:tc>
        <w:tc>
          <w:tcPr>
            <w:tcW w:w="0" w:type="auto"/>
            <w:vAlign w:val="center"/>
          </w:tcPr>
          <w:p w14:paraId="761E0CBA" w14:textId="6090FF7C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 (7.5)</w:t>
            </w:r>
          </w:p>
        </w:tc>
        <w:tc>
          <w:tcPr>
            <w:tcW w:w="0" w:type="auto"/>
            <w:vAlign w:val="center"/>
          </w:tcPr>
          <w:p w14:paraId="79DB267D" w14:textId="2F4F099E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36 (90)</w:t>
            </w:r>
          </w:p>
        </w:tc>
        <w:tc>
          <w:tcPr>
            <w:tcW w:w="1084" w:type="dxa"/>
            <w:vAlign w:val="center"/>
          </w:tcPr>
          <w:p w14:paraId="67609167" w14:textId="408A31CF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 (2.5)</w:t>
            </w:r>
          </w:p>
        </w:tc>
        <w:tc>
          <w:tcPr>
            <w:tcW w:w="690" w:type="dxa"/>
            <w:vAlign w:val="center"/>
          </w:tcPr>
          <w:p w14:paraId="7EB71054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4 (20)</w:t>
            </w:r>
          </w:p>
        </w:tc>
        <w:tc>
          <w:tcPr>
            <w:tcW w:w="881" w:type="dxa"/>
            <w:vAlign w:val="center"/>
          </w:tcPr>
          <w:p w14:paraId="4FFA66A4" w14:textId="445552AA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14 (70)</w:t>
            </w:r>
          </w:p>
        </w:tc>
        <w:tc>
          <w:tcPr>
            <w:tcW w:w="0" w:type="auto"/>
            <w:vAlign w:val="center"/>
          </w:tcPr>
          <w:p w14:paraId="544092CB" w14:textId="69F400C8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 (10)</w:t>
            </w:r>
          </w:p>
        </w:tc>
        <w:tc>
          <w:tcPr>
            <w:tcW w:w="1144" w:type="dxa"/>
            <w:vAlign w:val="center"/>
          </w:tcPr>
          <w:p w14:paraId="4C4C6131" w14:textId="3C6FE834" w:rsidR="00FB13F3" w:rsidRPr="00902906" w:rsidRDefault="00FB13F3" w:rsidP="00FB13F3">
            <w:pPr>
              <w:spacing w:line="240" w:lineRule="auto"/>
              <w:jc w:val="center"/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  <w:t>&lt;0.001</w:t>
            </w:r>
          </w:p>
        </w:tc>
      </w:tr>
      <w:tr w:rsidR="00FB13F3" w:rsidRPr="00902906" w14:paraId="5FBF07D6" w14:textId="77777777" w:rsidTr="007B0D68">
        <w:tc>
          <w:tcPr>
            <w:tcW w:w="0" w:type="auto"/>
          </w:tcPr>
          <w:p w14:paraId="1E0DFBF5" w14:textId="088C127D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When I lift and carry something my shoulder hurts.</w:t>
            </w:r>
          </w:p>
        </w:tc>
        <w:tc>
          <w:tcPr>
            <w:tcW w:w="0" w:type="auto"/>
            <w:vAlign w:val="center"/>
          </w:tcPr>
          <w:p w14:paraId="1987992F" w14:textId="2E0E3D9F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020C55E0" w14:textId="16C935BA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30 (73.2)</w:t>
            </w:r>
          </w:p>
        </w:tc>
        <w:tc>
          <w:tcPr>
            <w:tcW w:w="1084" w:type="dxa"/>
            <w:vAlign w:val="center"/>
          </w:tcPr>
          <w:p w14:paraId="2E4735E3" w14:textId="09EB6B31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9 (22)</w:t>
            </w:r>
          </w:p>
        </w:tc>
        <w:tc>
          <w:tcPr>
            <w:tcW w:w="690" w:type="dxa"/>
            <w:vAlign w:val="center"/>
          </w:tcPr>
          <w:p w14:paraId="7CEB1231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6125D2A4" w14:textId="79E79FF5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13 (59.1)</w:t>
            </w:r>
          </w:p>
        </w:tc>
        <w:tc>
          <w:tcPr>
            <w:tcW w:w="0" w:type="auto"/>
            <w:vAlign w:val="center"/>
          </w:tcPr>
          <w:p w14:paraId="030ECCB3" w14:textId="3719C328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9 (40.9)</w:t>
            </w:r>
          </w:p>
        </w:tc>
        <w:tc>
          <w:tcPr>
            <w:tcW w:w="1144" w:type="dxa"/>
            <w:vAlign w:val="center"/>
          </w:tcPr>
          <w:p w14:paraId="69CFB0D0" w14:textId="7E71AC81" w:rsidR="00FB13F3" w:rsidRPr="00902906" w:rsidRDefault="00FB13F3" w:rsidP="00FB13F3">
            <w:pPr>
              <w:spacing w:line="240" w:lineRule="auto"/>
              <w:jc w:val="center"/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  <w:t>0.043</w:t>
            </w:r>
          </w:p>
        </w:tc>
      </w:tr>
      <w:tr w:rsidR="00FB13F3" w:rsidRPr="00902906" w14:paraId="07A8B10F" w14:textId="77777777" w:rsidTr="007B0D68">
        <w:tc>
          <w:tcPr>
            <w:tcW w:w="0" w:type="auto"/>
          </w:tcPr>
          <w:p w14:paraId="3E9C7947" w14:textId="2E909E5C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During reaching and grasping above shoulder level my shoulder hurts.</w:t>
            </w:r>
          </w:p>
        </w:tc>
        <w:tc>
          <w:tcPr>
            <w:tcW w:w="0" w:type="auto"/>
            <w:vAlign w:val="center"/>
          </w:tcPr>
          <w:p w14:paraId="13E57F26" w14:textId="4985CC79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664B8CED" w14:textId="46FB4064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33 (80.5)</w:t>
            </w:r>
          </w:p>
        </w:tc>
        <w:tc>
          <w:tcPr>
            <w:tcW w:w="1084" w:type="dxa"/>
            <w:vAlign w:val="center"/>
          </w:tcPr>
          <w:p w14:paraId="7B6A3BCE" w14:textId="0E00B23D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6 (14.6)</w:t>
            </w:r>
          </w:p>
        </w:tc>
        <w:tc>
          <w:tcPr>
            <w:tcW w:w="690" w:type="dxa"/>
            <w:vAlign w:val="center"/>
          </w:tcPr>
          <w:p w14:paraId="35855AA1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57F291A7" w14:textId="004D37E2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15 (68.2)</w:t>
            </w:r>
          </w:p>
        </w:tc>
        <w:tc>
          <w:tcPr>
            <w:tcW w:w="0" w:type="auto"/>
            <w:vAlign w:val="center"/>
          </w:tcPr>
          <w:p w14:paraId="0FCA923B" w14:textId="29D7D213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7 (31.8)</w:t>
            </w:r>
          </w:p>
        </w:tc>
        <w:tc>
          <w:tcPr>
            <w:tcW w:w="1144" w:type="dxa"/>
            <w:vAlign w:val="center"/>
          </w:tcPr>
          <w:p w14:paraId="69589DC0" w14:textId="1DF5AE2E" w:rsidR="00FB13F3" w:rsidRPr="00902906" w:rsidRDefault="00FB13F3" w:rsidP="00FB13F3">
            <w:pPr>
              <w:spacing w:line="240" w:lineRule="auto"/>
              <w:jc w:val="center"/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  <w:t>0.023</w:t>
            </w:r>
          </w:p>
        </w:tc>
      </w:tr>
      <w:tr w:rsidR="00FB13F3" w:rsidRPr="00902906" w14:paraId="287E1070" w14:textId="77777777" w:rsidTr="007B0D68">
        <w:tc>
          <w:tcPr>
            <w:tcW w:w="0" w:type="auto"/>
          </w:tcPr>
          <w:p w14:paraId="6D9D4BE9" w14:textId="1D7BB446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is painful when I open or close a door. </w:t>
            </w:r>
          </w:p>
        </w:tc>
        <w:tc>
          <w:tcPr>
            <w:tcW w:w="0" w:type="auto"/>
            <w:vAlign w:val="center"/>
          </w:tcPr>
          <w:p w14:paraId="46762414" w14:textId="13883454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 (4.9)</w:t>
            </w:r>
          </w:p>
        </w:tc>
        <w:tc>
          <w:tcPr>
            <w:tcW w:w="0" w:type="auto"/>
            <w:vAlign w:val="center"/>
          </w:tcPr>
          <w:p w14:paraId="3D52E59D" w14:textId="64A439E9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36 (87.8)</w:t>
            </w:r>
          </w:p>
        </w:tc>
        <w:tc>
          <w:tcPr>
            <w:tcW w:w="1084" w:type="dxa"/>
            <w:vAlign w:val="center"/>
          </w:tcPr>
          <w:p w14:paraId="303F836A" w14:textId="5D5AD2EC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 (7.3)</w:t>
            </w:r>
          </w:p>
        </w:tc>
        <w:tc>
          <w:tcPr>
            <w:tcW w:w="690" w:type="dxa"/>
            <w:vAlign w:val="center"/>
          </w:tcPr>
          <w:p w14:paraId="0FA14903" w14:textId="2F17C8D0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 (4.5)</w:t>
            </w:r>
          </w:p>
        </w:tc>
        <w:tc>
          <w:tcPr>
            <w:tcW w:w="881" w:type="dxa"/>
            <w:vAlign w:val="center"/>
          </w:tcPr>
          <w:p w14:paraId="397AA0DA" w14:textId="3FAB50D3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20 (90.9)</w:t>
            </w:r>
          </w:p>
        </w:tc>
        <w:tc>
          <w:tcPr>
            <w:tcW w:w="0" w:type="auto"/>
            <w:vAlign w:val="center"/>
          </w:tcPr>
          <w:p w14:paraId="30799DD8" w14:textId="3DD6C25B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 (4.5)</w:t>
            </w:r>
          </w:p>
        </w:tc>
        <w:tc>
          <w:tcPr>
            <w:tcW w:w="1144" w:type="dxa"/>
            <w:vAlign w:val="center"/>
          </w:tcPr>
          <w:p w14:paraId="44A9285B" w14:textId="3BE91D66" w:rsidR="00FB13F3" w:rsidRPr="00902906" w:rsidRDefault="00FB13F3" w:rsidP="00FB13F3">
            <w:pPr>
              <w:spacing w:line="240" w:lineRule="auto"/>
              <w:jc w:val="center"/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iCs/>
                <w:noProof w:val="0"/>
                <w:color w:val="auto"/>
                <w:sz w:val="20"/>
                <w:szCs w:val="20"/>
                <w:lang w:val="en-US"/>
              </w:rPr>
              <w:t>&lt;0.001</w:t>
            </w:r>
          </w:p>
        </w:tc>
      </w:tr>
      <w:tr w:rsidR="00FB13F3" w:rsidRPr="00902906" w14:paraId="712A4A31" w14:textId="77777777" w:rsidTr="007B0D68">
        <w:tc>
          <w:tcPr>
            <w:tcW w:w="0" w:type="auto"/>
          </w:tcPr>
          <w:p w14:paraId="07496950" w14:textId="2E71E3E5" w:rsidR="00FB13F3" w:rsidRPr="00902906" w:rsidRDefault="00FB13F3" w:rsidP="00FB13F3">
            <w:pPr>
              <w:pStyle w:val="MDPI42tablebody"/>
              <w:jc w:val="left"/>
              <w:rPr>
                <w:iCs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the back of my head</w:t>
            </w:r>
          </w:p>
        </w:tc>
        <w:tc>
          <w:tcPr>
            <w:tcW w:w="0" w:type="auto"/>
            <w:vAlign w:val="center"/>
          </w:tcPr>
          <w:p w14:paraId="2659E6A0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2 (5)</w:t>
            </w:r>
          </w:p>
        </w:tc>
        <w:tc>
          <w:tcPr>
            <w:tcW w:w="0" w:type="auto"/>
            <w:vAlign w:val="center"/>
          </w:tcPr>
          <w:p w14:paraId="61F14351" w14:textId="67E74D3E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33 (82.5)</w:t>
            </w:r>
          </w:p>
        </w:tc>
        <w:tc>
          <w:tcPr>
            <w:tcW w:w="1084" w:type="dxa"/>
            <w:vAlign w:val="center"/>
          </w:tcPr>
          <w:p w14:paraId="7FB0674B" w14:textId="0981ACF9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5 (12.5)</w:t>
            </w:r>
          </w:p>
        </w:tc>
        <w:tc>
          <w:tcPr>
            <w:tcW w:w="690" w:type="dxa"/>
            <w:vAlign w:val="center"/>
          </w:tcPr>
          <w:p w14:paraId="2D77A587" w14:textId="77777777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6215FA7E" w14:textId="7273E4A5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16 (76.2)</w:t>
            </w:r>
          </w:p>
        </w:tc>
        <w:tc>
          <w:tcPr>
            <w:tcW w:w="0" w:type="auto"/>
            <w:vAlign w:val="center"/>
          </w:tcPr>
          <w:p w14:paraId="0037946F" w14:textId="180006D9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5 (23.8)</w:t>
            </w:r>
          </w:p>
        </w:tc>
        <w:tc>
          <w:tcPr>
            <w:tcW w:w="1144" w:type="dxa"/>
            <w:vAlign w:val="center"/>
          </w:tcPr>
          <w:p w14:paraId="6F4625F0" w14:textId="0A25B566" w:rsidR="00FB13F3" w:rsidRPr="00902906" w:rsidRDefault="00FB13F3" w:rsidP="00FB13F3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0.568</w:t>
            </w:r>
          </w:p>
        </w:tc>
      </w:tr>
      <w:tr w:rsidR="00FB13F3" w:rsidRPr="00902906" w14:paraId="4F2A3EE9" w14:textId="77777777" w:rsidTr="007B0D68">
        <w:tc>
          <w:tcPr>
            <w:tcW w:w="0" w:type="auto"/>
          </w:tcPr>
          <w:p w14:paraId="7E6D3880" w14:textId="651358E3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buttock</w:t>
            </w:r>
          </w:p>
        </w:tc>
        <w:tc>
          <w:tcPr>
            <w:tcW w:w="0" w:type="auto"/>
            <w:vAlign w:val="center"/>
          </w:tcPr>
          <w:p w14:paraId="3F1D8CB2" w14:textId="729CD6D9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(2.4)</w:t>
            </w:r>
          </w:p>
        </w:tc>
        <w:tc>
          <w:tcPr>
            <w:tcW w:w="0" w:type="auto"/>
            <w:vAlign w:val="center"/>
          </w:tcPr>
          <w:p w14:paraId="6BAB6ECA" w14:textId="2902556F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35 (85.4)</w:t>
            </w:r>
          </w:p>
        </w:tc>
        <w:tc>
          <w:tcPr>
            <w:tcW w:w="1084" w:type="dxa"/>
            <w:vAlign w:val="center"/>
          </w:tcPr>
          <w:p w14:paraId="2AC62B54" w14:textId="2BC4060F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(12.2)</w:t>
            </w:r>
          </w:p>
        </w:tc>
        <w:tc>
          <w:tcPr>
            <w:tcW w:w="690" w:type="dxa"/>
            <w:vAlign w:val="center"/>
          </w:tcPr>
          <w:p w14:paraId="0F78F762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2EB7111E" w14:textId="3D2D8D38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18 (81.8)</w:t>
            </w:r>
          </w:p>
        </w:tc>
        <w:tc>
          <w:tcPr>
            <w:tcW w:w="0" w:type="auto"/>
            <w:vAlign w:val="center"/>
          </w:tcPr>
          <w:p w14:paraId="40186D50" w14:textId="7446C9FA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4 (18.2)</w:t>
            </w:r>
          </w:p>
        </w:tc>
        <w:tc>
          <w:tcPr>
            <w:tcW w:w="1144" w:type="dxa"/>
            <w:vAlign w:val="center"/>
          </w:tcPr>
          <w:p w14:paraId="04265F7F" w14:textId="7FCC1AED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0.700</w:t>
            </w:r>
          </w:p>
        </w:tc>
      </w:tr>
      <w:tr w:rsidR="00FB13F3" w:rsidRPr="00902906" w14:paraId="15DA513E" w14:textId="77777777" w:rsidTr="007B0D68">
        <w:tc>
          <w:tcPr>
            <w:tcW w:w="0" w:type="auto"/>
          </w:tcPr>
          <w:p w14:paraId="22BC5E31" w14:textId="2F6A061C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low back.</w:t>
            </w:r>
          </w:p>
        </w:tc>
        <w:tc>
          <w:tcPr>
            <w:tcW w:w="0" w:type="auto"/>
            <w:vAlign w:val="center"/>
          </w:tcPr>
          <w:p w14:paraId="2F7646B5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2 (5)</w:t>
            </w:r>
          </w:p>
        </w:tc>
        <w:tc>
          <w:tcPr>
            <w:tcW w:w="0" w:type="auto"/>
            <w:vAlign w:val="center"/>
          </w:tcPr>
          <w:p w14:paraId="67835D7A" w14:textId="1312B5EB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34 (85)</w:t>
            </w:r>
          </w:p>
        </w:tc>
        <w:tc>
          <w:tcPr>
            <w:tcW w:w="1084" w:type="dxa"/>
            <w:vAlign w:val="center"/>
          </w:tcPr>
          <w:p w14:paraId="35A5F55A" w14:textId="1FF94B64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4 (10)</w:t>
            </w:r>
          </w:p>
        </w:tc>
        <w:tc>
          <w:tcPr>
            <w:tcW w:w="690" w:type="dxa"/>
            <w:vAlign w:val="center"/>
          </w:tcPr>
          <w:p w14:paraId="3AC243FB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49B6B632" w14:textId="1952F5D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16 (72.7)</w:t>
            </w:r>
          </w:p>
        </w:tc>
        <w:tc>
          <w:tcPr>
            <w:tcW w:w="0" w:type="auto"/>
            <w:vAlign w:val="center"/>
          </w:tcPr>
          <w:p w14:paraId="017876FB" w14:textId="31E70AE3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6 (27.3)</w:t>
            </w:r>
          </w:p>
        </w:tc>
        <w:tc>
          <w:tcPr>
            <w:tcW w:w="1144" w:type="dxa"/>
            <w:vAlign w:val="center"/>
          </w:tcPr>
          <w:p w14:paraId="0579345C" w14:textId="24667E55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0.706</w:t>
            </w:r>
          </w:p>
        </w:tc>
      </w:tr>
      <w:tr w:rsidR="00FB13F3" w:rsidRPr="00902906" w14:paraId="38F84680" w14:textId="77777777" w:rsidTr="007B0D68">
        <w:tc>
          <w:tcPr>
            <w:tcW w:w="0" w:type="auto"/>
          </w:tcPr>
          <w:p w14:paraId="736B6FC0" w14:textId="6533564B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I rub my painful shoulder more than once during the day.</w:t>
            </w:r>
          </w:p>
        </w:tc>
        <w:tc>
          <w:tcPr>
            <w:tcW w:w="0" w:type="auto"/>
            <w:vAlign w:val="center"/>
          </w:tcPr>
          <w:p w14:paraId="7BAB0A78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BBD9B65" w14:textId="7E6B10B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38 (92.7)</w:t>
            </w:r>
          </w:p>
        </w:tc>
        <w:tc>
          <w:tcPr>
            <w:tcW w:w="1084" w:type="dxa"/>
            <w:vAlign w:val="center"/>
          </w:tcPr>
          <w:p w14:paraId="63FF70FE" w14:textId="3439C8B5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 (7.3)</w:t>
            </w:r>
          </w:p>
        </w:tc>
        <w:tc>
          <w:tcPr>
            <w:tcW w:w="690" w:type="dxa"/>
            <w:vAlign w:val="center"/>
          </w:tcPr>
          <w:p w14:paraId="599EB17D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380BF3DC" w14:textId="46B9B784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17 (77.3)</w:t>
            </w:r>
          </w:p>
        </w:tc>
        <w:tc>
          <w:tcPr>
            <w:tcW w:w="0" w:type="auto"/>
            <w:vAlign w:val="center"/>
          </w:tcPr>
          <w:p w14:paraId="3D970488" w14:textId="7A5EAED9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(22.7)</w:t>
            </w:r>
          </w:p>
        </w:tc>
        <w:tc>
          <w:tcPr>
            <w:tcW w:w="1144" w:type="dxa"/>
            <w:vAlign w:val="center"/>
          </w:tcPr>
          <w:p w14:paraId="6595A56D" w14:textId="06423B21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0.227</w:t>
            </w:r>
          </w:p>
        </w:tc>
      </w:tr>
      <w:tr w:rsidR="00FB13F3" w:rsidRPr="00902906" w14:paraId="11C8D6C4" w14:textId="77777777" w:rsidTr="007B0D68">
        <w:tc>
          <w:tcPr>
            <w:tcW w:w="0" w:type="auto"/>
          </w:tcPr>
          <w:p w14:paraId="27B578AA" w14:textId="0DEFB425" w:rsidR="00FB13F3" w:rsidRPr="00902906" w:rsidRDefault="00FB13F3" w:rsidP="00FB13F3">
            <w:pPr>
              <w:pStyle w:val="MDPI42tablebody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my shoulder pain I am more irritable and bad tempered with people than usual.</w:t>
            </w:r>
          </w:p>
        </w:tc>
        <w:tc>
          <w:tcPr>
            <w:tcW w:w="0" w:type="auto"/>
            <w:vAlign w:val="center"/>
          </w:tcPr>
          <w:p w14:paraId="77E2D544" w14:textId="61AF20C2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(2.5)</w:t>
            </w:r>
          </w:p>
        </w:tc>
        <w:tc>
          <w:tcPr>
            <w:tcW w:w="0" w:type="auto"/>
            <w:vAlign w:val="center"/>
          </w:tcPr>
          <w:p w14:paraId="541C84CB" w14:textId="6D5D4D18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38 (95)</w:t>
            </w:r>
          </w:p>
        </w:tc>
        <w:tc>
          <w:tcPr>
            <w:tcW w:w="1084" w:type="dxa"/>
            <w:vAlign w:val="center"/>
          </w:tcPr>
          <w:p w14:paraId="651F3995" w14:textId="104DA7A9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 (2.5)</w:t>
            </w:r>
          </w:p>
        </w:tc>
        <w:tc>
          <w:tcPr>
            <w:tcW w:w="690" w:type="dxa"/>
            <w:vAlign w:val="center"/>
          </w:tcPr>
          <w:p w14:paraId="79F10129" w14:textId="77777777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81" w:type="dxa"/>
            <w:vAlign w:val="center"/>
          </w:tcPr>
          <w:p w14:paraId="2DC681A6" w14:textId="57FD1FFC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17 (77.3)</w:t>
            </w:r>
          </w:p>
        </w:tc>
        <w:tc>
          <w:tcPr>
            <w:tcW w:w="0" w:type="auto"/>
            <w:vAlign w:val="center"/>
          </w:tcPr>
          <w:p w14:paraId="33688B9B" w14:textId="16086C2A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5 (22.7)</w:t>
            </w:r>
          </w:p>
        </w:tc>
        <w:tc>
          <w:tcPr>
            <w:tcW w:w="1144" w:type="dxa"/>
            <w:vAlign w:val="center"/>
          </w:tcPr>
          <w:p w14:paraId="4CC08C07" w14:textId="5F68FE6F" w:rsidR="00FB13F3" w:rsidRPr="00902906" w:rsidRDefault="00FB13F3" w:rsidP="00FB13F3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0.151</w:t>
            </w:r>
          </w:p>
        </w:tc>
      </w:tr>
    </w:tbl>
    <w:p w14:paraId="60E3D818" w14:textId="5BB97FCD" w:rsidR="003825F7" w:rsidRPr="008873CE" w:rsidRDefault="00434317" w:rsidP="00434317">
      <w:pPr>
        <w:pStyle w:val="MDPI41tablecaption"/>
        <w:spacing w:before="0"/>
        <w:ind w:left="0"/>
        <w:rPr>
          <w:rFonts w:eastAsia="Calibri"/>
        </w:rPr>
      </w:pPr>
      <w:r w:rsidRPr="008873CE">
        <w:rPr>
          <w:rFonts w:eastAsia="Calibri"/>
        </w:rPr>
        <w:t>* marginal homogeneity test</w:t>
      </w:r>
      <w:r w:rsidR="00902906">
        <w:rPr>
          <w:rFonts w:eastAsia="Calibri"/>
        </w:rPr>
        <w:t xml:space="preserve">. Statistically significant differences in the </w:t>
      </w:r>
      <w:r w:rsidR="00902906" w:rsidRPr="00902906">
        <w:rPr>
          <w:rFonts w:eastAsia="Calibri"/>
        </w:rPr>
        <w:t>shoulder pain during typical movements</w:t>
      </w:r>
      <w:r w:rsidR="00902906">
        <w:rPr>
          <w:rFonts w:eastAsia="Calibri"/>
        </w:rPr>
        <w:t xml:space="preserve"> are bolded</w:t>
      </w:r>
      <w:r w:rsidR="00902906" w:rsidRPr="00902906">
        <w:rPr>
          <w:rFonts w:eastAsia="Calibri"/>
        </w:rPr>
        <w:t>.</w:t>
      </w:r>
    </w:p>
    <w:p w14:paraId="79F132EE" w14:textId="77777777" w:rsidR="003825F7" w:rsidRPr="008873CE" w:rsidRDefault="003825F7">
      <w:pPr>
        <w:spacing w:line="240" w:lineRule="auto"/>
        <w:jc w:val="left"/>
        <w:rPr>
          <w:rFonts w:eastAsia="Calibri" w:cs="Cordia New"/>
          <w:noProof w:val="0"/>
          <w:sz w:val="18"/>
          <w:szCs w:val="22"/>
          <w:lang w:eastAsia="de-DE" w:bidi="en-US"/>
        </w:rPr>
      </w:pPr>
      <w:r w:rsidRPr="008873CE">
        <w:rPr>
          <w:rFonts w:eastAsia="Calibri"/>
        </w:rPr>
        <w:br w:type="page"/>
      </w:r>
    </w:p>
    <w:p w14:paraId="1FE60815" w14:textId="63495905" w:rsidR="00434317" w:rsidRPr="008873CE" w:rsidRDefault="00434317" w:rsidP="00434317">
      <w:pPr>
        <w:spacing w:line="240" w:lineRule="auto"/>
        <w:jc w:val="left"/>
        <w:rPr>
          <w:rFonts w:eastAsia="Calibri" w:cs="Cordia New"/>
          <w:noProof w:val="0"/>
          <w:sz w:val="18"/>
          <w:szCs w:val="22"/>
          <w:lang w:eastAsia="de-DE" w:bidi="en-US"/>
        </w:rPr>
      </w:pPr>
    </w:p>
    <w:p w14:paraId="56D0CEAA" w14:textId="3732248E" w:rsidR="00434317" w:rsidRPr="008873CE" w:rsidRDefault="00FB13F3" w:rsidP="00434317">
      <w:pPr>
        <w:pStyle w:val="MDPI511onefigurecaption"/>
        <w:jc w:val="left"/>
        <w:rPr>
          <w:b/>
          <w:bCs/>
          <w:lang w:eastAsia="en-US"/>
        </w:rPr>
      </w:pPr>
      <w:bookmarkStart w:id="2" w:name="_Hlk129169525"/>
      <w:r w:rsidRPr="009B28CC">
        <w:rPr>
          <w:b/>
          <w:bCs/>
          <w:lang w:eastAsia="en-US"/>
        </w:rPr>
        <w:t>Table S</w:t>
      </w:r>
      <w:r w:rsidR="00263D9C">
        <w:rPr>
          <w:b/>
          <w:bCs/>
          <w:lang w:eastAsia="en-US"/>
        </w:rPr>
        <w:t>4</w:t>
      </w:r>
      <w:r w:rsidR="00434317" w:rsidRPr="008873CE">
        <w:rPr>
          <w:b/>
          <w:bCs/>
          <w:lang w:eastAsia="en-US"/>
        </w:rPr>
        <w:t xml:space="preserve">. Shoulder pain examined with a shoulder disability questionnaire in </w:t>
      </w:r>
      <w:r w:rsidR="00542909">
        <w:rPr>
          <w:b/>
          <w:bCs/>
          <w:lang w:eastAsia="en-US"/>
        </w:rPr>
        <w:t>patients</w:t>
      </w:r>
      <w:r w:rsidR="00434317" w:rsidRPr="008873CE">
        <w:rPr>
          <w:b/>
          <w:bCs/>
          <w:lang w:eastAsia="en-US"/>
        </w:rPr>
        <w:t xml:space="preserve"> with levobupivacaine bolus analgesia before and one year after surgery. </w:t>
      </w:r>
    </w:p>
    <w:bookmarkEnd w:id="2"/>
    <w:tbl>
      <w:tblPr>
        <w:tblStyle w:val="TableGrid1"/>
        <w:tblW w:w="0" w:type="auto"/>
        <w:tblInd w:w="1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779"/>
        <w:gridCol w:w="830"/>
        <w:gridCol w:w="778"/>
        <w:gridCol w:w="800"/>
        <w:gridCol w:w="830"/>
        <w:gridCol w:w="830"/>
        <w:gridCol w:w="726"/>
      </w:tblGrid>
      <w:tr w:rsidR="00434317" w:rsidRPr="00902906" w14:paraId="5615DD11" w14:textId="77777777" w:rsidTr="007B0D68">
        <w:tc>
          <w:tcPr>
            <w:tcW w:w="0" w:type="auto"/>
          </w:tcPr>
          <w:p w14:paraId="23954313" w14:textId="77777777" w:rsidR="00434317" w:rsidRPr="00902906" w:rsidRDefault="00434317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303AF849" w14:textId="77777777" w:rsidR="00434317" w:rsidRPr="00902906" w:rsidRDefault="00434317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b/>
                <w:sz w:val="20"/>
                <w:szCs w:val="20"/>
                <w:lang w:val="en-US"/>
              </w:rPr>
              <w:t xml:space="preserve">Before surgery </w:t>
            </w:r>
            <w:r w:rsidRPr="00902906">
              <w:rPr>
                <w:b/>
                <w:sz w:val="20"/>
                <w:szCs w:val="20"/>
                <w:lang w:val="en-US"/>
              </w:rPr>
              <w:br/>
              <w:t>N (%)</w:t>
            </w:r>
          </w:p>
        </w:tc>
        <w:tc>
          <w:tcPr>
            <w:tcW w:w="0" w:type="auto"/>
            <w:gridSpan w:val="3"/>
          </w:tcPr>
          <w:p w14:paraId="6153CDD4" w14:textId="7E8F5FAF" w:rsidR="00434317" w:rsidRPr="00902906" w:rsidRDefault="00434317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b/>
                <w:sz w:val="20"/>
                <w:szCs w:val="20"/>
                <w:lang w:val="en-US"/>
              </w:rPr>
              <w:t xml:space="preserve">One-year </w:t>
            </w:r>
            <w:r w:rsidR="007C3C8A">
              <w:rPr>
                <w:b/>
                <w:sz w:val="20"/>
                <w:szCs w:val="20"/>
                <w:lang w:val="en-US"/>
              </w:rPr>
              <w:t>follow-up</w:t>
            </w:r>
            <w:r w:rsidRPr="00902906">
              <w:rPr>
                <w:b/>
                <w:sz w:val="20"/>
                <w:szCs w:val="20"/>
                <w:lang w:val="en-US"/>
              </w:rPr>
              <w:t xml:space="preserve"> N (%)</w:t>
            </w:r>
          </w:p>
        </w:tc>
        <w:tc>
          <w:tcPr>
            <w:tcW w:w="0" w:type="auto"/>
            <w:vMerge w:val="restart"/>
            <w:vAlign w:val="center"/>
          </w:tcPr>
          <w:p w14:paraId="670C1887" w14:textId="77777777" w:rsidR="00434317" w:rsidRPr="00902906" w:rsidRDefault="00434317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P</w:t>
            </w:r>
            <w:r w:rsidRPr="00902906">
              <w:rPr>
                <w:sz w:val="20"/>
                <w:szCs w:val="20"/>
                <w:vertAlign w:val="superscript"/>
                <w:lang w:val="en-US"/>
              </w:rPr>
              <w:t>*</w:t>
            </w:r>
          </w:p>
        </w:tc>
      </w:tr>
      <w:tr w:rsidR="007B0D68" w:rsidRPr="00902906" w14:paraId="71851226" w14:textId="77777777" w:rsidTr="007B0D68">
        <w:tc>
          <w:tcPr>
            <w:tcW w:w="0" w:type="auto"/>
          </w:tcPr>
          <w:p w14:paraId="1FCEAFD7" w14:textId="77777777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73C9CB4" w14:textId="77777777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NA </w:t>
            </w:r>
          </w:p>
        </w:tc>
        <w:tc>
          <w:tcPr>
            <w:tcW w:w="0" w:type="auto"/>
            <w:vAlign w:val="center"/>
          </w:tcPr>
          <w:p w14:paraId="4B5477D0" w14:textId="7D17B732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No </w:t>
            </w:r>
          </w:p>
        </w:tc>
        <w:tc>
          <w:tcPr>
            <w:tcW w:w="0" w:type="auto"/>
            <w:vAlign w:val="center"/>
          </w:tcPr>
          <w:p w14:paraId="028538EA" w14:textId="53AB7A2D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0" w:type="auto"/>
            <w:vAlign w:val="center"/>
          </w:tcPr>
          <w:p w14:paraId="4BE50E06" w14:textId="77777777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NA </w:t>
            </w:r>
          </w:p>
        </w:tc>
        <w:tc>
          <w:tcPr>
            <w:tcW w:w="0" w:type="auto"/>
            <w:vAlign w:val="center"/>
          </w:tcPr>
          <w:p w14:paraId="2D57CBAF" w14:textId="587F76D1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No </w:t>
            </w:r>
          </w:p>
        </w:tc>
        <w:tc>
          <w:tcPr>
            <w:tcW w:w="0" w:type="auto"/>
            <w:vAlign w:val="center"/>
          </w:tcPr>
          <w:p w14:paraId="1C2DB857" w14:textId="538041AA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0" w:type="auto"/>
            <w:vMerge/>
            <w:vAlign w:val="center"/>
          </w:tcPr>
          <w:p w14:paraId="2105AB30" w14:textId="77777777" w:rsidR="00165308" w:rsidRPr="00902906" w:rsidRDefault="00165308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</w:p>
        </w:tc>
      </w:tr>
      <w:tr w:rsidR="00FB13F3" w:rsidRPr="00902906" w14:paraId="06EEB23E" w14:textId="77777777" w:rsidTr="007B0D68">
        <w:tc>
          <w:tcPr>
            <w:tcW w:w="0" w:type="auto"/>
          </w:tcPr>
          <w:p w14:paraId="1916211C" w14:textId="2DA688CF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I wake up at night because of shoulder pain. </w:t>
            </w:r>
          </w:p>
        </w:tc>
        <w:tc>
          <w:tcPr>
            <w:tcW w:w="0" w:type="auto"/>
          </w:tcPr>
          <w:p w14:paraId="0100F8D5" w14:textId="5334ABD8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D56A5B3" w14:textId="6B2DFF2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35 (92.1)</w:t>
            </w:r>
          </w:p>
        </w:tc>
        <w:tc>
          <w:tcPr>
            <w:tcW w:w="0" w:type="auto"/>
            <w:vAlign w:val="center"/>
          </w:tcPr>
          <w:p w14:paraId="201F7ED9" w14:textId="29CAC16B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 (7.9)</w:t>
            </w:r>
          </w:p>
        </w:tc>
        <w:tc>
          <w:tcPr>
            <w:tcW w:w="0" w:type="auto"/>
            <w:vAlign w:val="center"/>
          </w:tcPr>
          <w:p w14:paraId="7352205C" w14:textId="7B21CE38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0B06398" w14:textId="0B44E7E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21 (80.8)</w:t>
            </w:r>
          </w:p>
        </w:tc>
        <w:tc>
          <w:tcPr>
            <w:tcW w:w="0" w:type="auto"/>
            <w:vAlign w:val="center"/>
          </w:tcPr>
          <w:p w14:paraId="79E98B51" w14:textId="3D3BEA1C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 (19.2)</w:t>
            </w:r>
          </w:p>
        </w:tc>
        <w:tc>
          <w:tcPr>
            <w:tcW w:w="0" w:type="auto"/>
            <w:vAlign w:val="center"/>
          </w:tcPr>
          <w:p w14:paraId="0F929F1C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0.091</w:t>
            </w:r>
          </w:p>
        </w:tc>
      </w:tr>
      <w:tr w:rsidR="00FB13F3" w:rsidRPr="00902906" w14:paraId="64517A95" w14:textId="77777777" w:rsidTr="007B0D68">
        <w:tc>
          <w:tcPr>
            <w:tcW w:w="0" w:type="auto"/>
          </w:tcPr>
          <w:p w14:paraId="0E38A96D" w14:textId="3BA665D2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lie on it. </w:t>
            </w:r>
          </w:p>
        </w:tc>
        <w:tc>
          <w:tcPr>
            <w:tcW w:w="0" w:type="auto"/>
          </w:tcPr>
          <w:p w14:paraId="2EC87737" w14:textId="26B155F6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(5.3)</w:t>
            </w:r>
          </w:p>
        </w:tc>
        <w:tc>
          <w:tcPr>
            <w:tcW w:w="0" w:type="auto"/>
            <w:vAlign w:val="center"/>
          </w:tcPr>
          <w:p w14:paraId="5B9250CC" w14:textId="5EA2748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30 (78.9)</w:t>
            </w:r>
          </w:p>
        </w:tc>
        <w:tc>
          <w:tcPr>
            <w:tcW w:w="0" w:type="auto"/>
            <w:vAlign w:val="center"/>
          </w:tcPr>
          <w:p w14:paraId="17327775" w14:textId="626AE2B6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6 (15.8)</w:t>
            </w:r>
          </w:p>
        </w:tc>
        <w:tc>
          <w:tcPr>
            <w:tcW w:w="0" w:type="auto"/>
            <w:vAlign w:val="center"/>
          </w:tcPr>
          <w:p w14:paraId="061D72B6" w14:textId="5AF138B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(8)</w:t>
            </w:r>
          </w:p>
        </w:tc>
        <w:tc>
          <w:tcPr>
            <w:tcW w:w="0" w:type="auto"/>
            <w:vAlign w:val="center"/>
          </w:tcPr>
          <w:p w14:paraId="32C6743A" w14:textId="6D821A5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17 (68)</w:t>
            </w:r>
          </w:p>
        </w:tc>
        <w:tc>
          <w:tcPr>
            <w:tcW w:w="0" w:type="auto"/>
            <w:vAlign w:val="center"/>
          </w:tcPr>
          <w:p w14:paraId="0265B32F" w14:textId="3E910E63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6 (24)</w:t>
            </w:r>
          </w:p>
        </w:tc>
        <w:tc>
          <w:tcPr>
            <w:tcW w:w="0" w:type="auto"/>
            <w:vAlign w:val="center"/>
          </w:tcPr>
          <w:p w14:paraId="1297CAF3" w14:textId="5F499C8B" w:rsidR="00FB13F3" w:rsidRPr="00902906" w:rsidRDefault="00FB13F3" w:rsidP="00FB13F3">
            <w:pPr>
              <w:pStyle w:val="MDPI42tablebody"/>
              <w:rPr>
                <w:b/>
                <w:sz w:val="20"/>
                <w:szCs w:val="20"/>
                <w:lang w:val="en-US"/>
              </w:rPr>
            </w:pPr>
            <w:r w:rsidRPr="00902906">
              <w:rPr>
                <w:b/>
                <w:sz w:val="20"/>
                <w:szCs w:val="20"/>
                <w:lang w:val="en-US"/>
              </w:rPr>
              <w:t>0.011</w:t>
            </w:r>
          </w:p>
        </w:tc>
      </w:tr>
      <w:tr w:rsidR="00FB13F3" w:rsidRPr="00902906" w14:paraId="61F8D082" w14:textId="77777777" w:rsidTr="007B0D68">
        <w:tc>
          <w:tcPr>
            <w:tcW w:w="0" w:type="auto"/>
          </w:tcPr>
          <w:p w14:paraId="24D8A0B7" w14:textId="1482DDB6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pain in my shoulder, it is difficult to put on a coat or a sweater</w:t>
            </w:r>
          </w:p>
        </w:tc>
        <w:tc>
          <w:tcPr>
            <w:tcW w:w="0" w:type="auto"/>
          </w:tcPr>
          <w:p w14:paraId="259A4641" w14:textId="7C3B85B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2A85E0D0" w14:textId="195E28F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37 (97.4)</w:t>
            </w:r>
          </w:p>
        </w:tc>
        <w:tc>
          <w:tcPr>
            <w:tcW w:w="0" w:type="auto"/>
            <w:vAlign w:val="center"/>
          </w:tcPr>
          <w:p w14:paraId="6D0E640D" w14:textId="39884CD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5C21346B" w14:textId="731AE1B5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00E4C3B8" w14:textId="3339014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22 (84.6)</w:t>
            </w:r>
          </w:p>
        </w:tc>
        <w:tc>
          <w:tcPr>
            <w:tcW w:w="0" w:type="auto"/>
            <w:vAlign w:val="center"/>
          </w:tcPr>
          <w:p w14:paraId="63350AF6" w14:textId="5DE1BA1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4 (15.4)</w:t>
            </w:r>
          </w:p>
        </w:tc>
        <w:tc>
          <w:tcPr>
            <w:tcW w:w="0" w:type="auto"/>
            <w:vAlign w:val="center"/>
          </w:tcPr>
          <w:p w14:paraId="04F26427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0.656</w:t>
            </w:r>
          </w:p>
        </w:tc>
      </w:tr>
      <w:tr w:rsidR="00FB13F3" w:rsidRPr="00902906" w14:paraId="182C357D" w14:textId="77777777" w:rsidTr="007B0D68">
        <w:tc>
          <w:tcPr>
            <w:tcW w:w="0" w:type="auto"/>
          </w:tcPr>
          <w:p w14:paraId="10E46884" w14:textId="031D0C2B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during my usual daily activities</w:t>
            </w:r>
          </w:p>
        </w:tc>
        <w:tc>
          <w:tcPr>
            <w:tcW w:w="0" w:type="auto"/>
          </w:tcPr>
          <w:p w14:paraId="258A38DE" w14:textId="1284FAD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42B456DE" w14:textId="4C55E96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35 (97.2)</w:t>
            </w:r>
          </w:p>
        </w:tc>
        <w:tc>
          <w:tcPr>
            <w:tcW w:w="0" w:type="auto"/>
            <w:vAlign w:val="center"/>
          </w:tcPr>
          <w:p w14:paraId="1B7561A9" w14:textId="3CF89D16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(2.8)</w:t>
            </w:r>
          </w:p>
        </w:tc>
        <w:tc>
          <w:tcPr>
            <w:tcW w:w="0" w:type="auto"/>
            <w:vAlign w:val="center"/>
          </w:tcPr>
          <w:p w14:paraId="0130502A" w14:textId="6951D34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(7.7)</w:t>
            </w:r>
          </w:p>
        </w:tc>
        <w:tc>
          <w:tcPr>
            <w:tcW w:w="0" w:type="auto"/>
            <w:vAlign w:val="center"/>
          </w:tcPr>
          <w:p w14:paraId="357FFE7A" w14:textId="2CF3B95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18 (69.2)</w:t>
            </w:r>
          </w:p>
        </w:tc>
        <w:tc>
          <w:tcPr>
            <w:tcW w:w="0" w:type="auto"/>
            <w:vAlign w:val="center"/>
          </w:tcPr>
          <w:p w14:paraId="0A52500A" w14:textId="37ADD5A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6 (23.1)</w:t>
            </w:r>
          </w:p>
        </w:tc>
        <w:tc>
          <w:tcPr>
            <w:tcW w:w="0" w:type="auto"/>
            <w:vAlign w:val="center"/>
          </w:tcPr>
          <w:p w14:paraId="12D533AD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0.796</w:t>
            </w:r>
          </w:p>
        </w:tc>
      </w:tr>
      <w:tr w:rsidR="00FB13F3" w:rsidRPr="00902906" w14:paraId="4C47465D" w14:textId="77777777" w:rsidTr="007B0D68">
        <w:tc>
          <w:tcPr>
            <w:tcW w:w="0" w:type="auto"/>
          </w:tcPr>
          <w:p w14:paraId="730CB461" w14:textId="228352DC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lean on my elbow or hand </w:t>
            </w:r>
          </w:p>
        </w:tc>
        <w:tc>
          <w:tcPr>
            <w:tcW w:w="0" w:type="auto"/>
          </w:tcPr>
          <w:p w14:paraId="4970E160" w14:textId="1299049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0A830EB3" w14:textId="16E85A0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35 (92.1)</w:t>
            </w:r>
          </w:p>
        </w:tc>
        <w:tc>
          <w:tcPr>
            <w:tcW w:w="0" w:type="auto"/>
            <w:vAlign w:val="center"/>
          </w:tcPr>
          <w:p w14:paraId="60D78EF0" w14:textId="28AF2BB0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(5.3)</w:t>
            </w:r>
          </w:p>
        </w:tc>
        <w:tc>
          <w:tcPr>
            <w:tcW w:w="0" w:type="auto"/>
            <w:vAlign w:val="center"/>
          </w:tcPr>
          <w:p w14:paraId="489389F1" w14:textId="0323A583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5F1FCCF3" w14:textId="1D194A2B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20 (80)</w:t>
            </w:r>
          </w:p>
        </w:tc>
        <w:tc>
          <w:tcPr>
            <w:tcW w:w="0" w:type="auto"/>
            <w:vAlign w:val="center"/>
          </w:tcPr>
          <w:p w14:paraId="62065D6B" w14:textId="22EB6AA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 (20)</w:t>
            </w:r>
          </w:p>
        </w:tc>
        <w:tc>
          <w:tcPr>
            <w:tcW w:w="0" w:type="auto"/>
            <w:vAlign w:val="center"/>
          </w:tcPr>
          <w:p w14:paraId="293AB53A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0.600</w:t>
            </w:r>
            <w:r w:rsidRPr="00902906">
              <w:rPr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FB13F3" w:rsidRPr="00902906" w14:paraId="773AA243" w14:textId="77777777" w:rsidTr="007B0D68">
        <w:tc>
          <w:tcPr>
            <w:tcW w:w="0" w:type="auto"/>
          </w:tcPr>
          <w:p w14:paraId="656344E2" w14:textId="7E218F95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move my arm.</w:t>
            </w:r>
          </w:p>
        </w:tc>
        <w:tc>
          <w:tcPr>
            <w:tcW w:w="0" w:type="auto"/>
          </w:tcPr>
          <w:p w14:paraId="2C568FE8" w14:textId="13511A6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0FDB9026" w14:textId="6AD1B1A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38 (100)</w:t>
            </w:r>
          </w:p>
        </w:tc>
        <w:tc>
          <w:tcPr>
            <w:tcW w:w="0" w:type="auto"/>
            <w:vAlign w:val="center"/>
          </w:tcPr>
          <w:p w14:paraId="7535C59D" w14:textId="632BB87B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2AEB00A3" w14:textId="09914E16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4843693" w14:textId="6E3F231E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23 (92)</w:t>
            </w:r>
          </w:p>
        </w:tc>
        <w:tc>
          <w:tcPr>
            <w:tcW w:w="0" w:type="auto"/>
            <w:vAlign w:val="center"/>
          </w:tcPr>
          <w:p w14:paraId="2F2E5236" w14:textId="3C6828FE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2(8)</w:t>
            </w:r>
          </w:p>
        </w:tc>
        <w:tc>
          <w:tcPr>
            <w:tcW w:w="0" w:type="auto"/>
            <w:vAlign w:val="center"/>
          </w:tcPr>
          <w:p w14:paraId="1F14ACEC" w14:textId="77777777" w:rsidR="00FB13F3" w:rsidRPr="00902906" w:rsidRDefault="00FB13F3" w:rsidP="00FB13F3">
            <w:pPr>
              <w:pStyle w:val="MDPI42tablebody"/>
              <w:rPr>
                <w:b/>
                <w:sz w:val="20"/>
                <w:szCs w:val="20"/>
                <w:lang w:val="en-US"/>
              </w:rPr>
            </w:pPr>
            <w:r w:rsidRPr="00902906"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FB13F3" w:rsidRPr="00902906" w14:paraId="57534DED" w14:textId="77777777" w:rsidTr="007B0D68">
        <w:tc>
          <w:tcPr>
            <w:tcW w:w="0" w:type="auto"/>
          </w:tcPr>
          <w:p w14:paraId="1F6FDDF3" w14:textId="35E1A343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write or type.</w:t>
            </w:r>
          </w:p>
        </w:tc>
        <w:tc>
          <w:tcPr>
            <w:tcW w:w="0" w:type="auto"/>
          </w:tcPr>
          <w:p w14:paraId="21A285A0" w14:textId="296F82B8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2ED1680" w14:textId="099A2779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38 (100)</w:t>
            </w:r>
          </w:p>
        </w:tc>
        <w:tc>
          <w:tcPr>
            <w:tcW w:w="0" w:type="auto"/>
            <w:vAlign w:val="center"/>
          </w:tcPr>
          <w:p w14:paraId="0C85225E" w14:textId="1F5133B5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A8418FB" w14:textId="266D5E04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8BF5529" w14:textId="07332B64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23 (95.8)</w:t>
            </w:r>
          </w:p>
        </w:tc>
        <w:tc>
          <w:tcPr>
            <w:tcW w:w="0" w:type="auto"/>
            <w:vAlign w:val="center"/>
          </w:tcPr>
          <w:p w14:paraId="0F32E907" w14:textId="02F97051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(4.2)</w:t>
            </w:r>
          </w:p>
        </w:tc>
        <w:tc>
          <w:tcPr>
            <w:tcW w:w="0" w:type="auto"/>
            <w:vAlign w:val="center"/>
          </w:tcPr>
          <w:p w14:paraId="2F2270EF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-</w:t>
            </w:r>
          </w:p>
        </w:tc>
      </w:tr>
      <w:tr w:rsidR="00FB13F3" w:rsidRPr="00902906" w14:paraId="1FBC9D64" w14:textId="77777777" w:rsidTr="007B0D68">
        <w:tc>
          <w:tcPr>
            <w:tcW w:w="0" w:type="auto"/>
          </w:tcPr>
          <w:p w14:paraId="2C49ECF0" w14:textId="58692922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hold the driving wheel of my car or handle bars of my bike.</w:t>
            </w:r>
          </w:p>
        </w:tc>
        <w:tc>
          <w:tcPr>
            <w:tcW w:w="0" w:type="auto"/>
          </w:tcPr>
          <w:p w14:paraId="2B138E74" w14:textId="35F68C6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 (13.2)</w:t>
            </w:r>
          </w:p>
        </w:tc>
        <w:tc>
          <w:tcPr>
            <w:tcW w:w="0" w:type="auto"/>
            <w:vAlign w:val="center"/>
          </w:tcPr>
          <w:p w14:paraId="284CB4C2" w14:textId="79E8F68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33 (86.8)</w:t>
            </w:r>
          </w:p>
        </w:tc>
        <w:tc>
          <w:tcPr>
            <w:tcW w:w="0" w:type="auto"/>
            <w:vAlign w:val="center"/>
          </w:tcPr>
          <w:p w14:paraId="21BF4E4B" w14:textId="2464F4C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2B6897" w14:textId="4CBC768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5(20.8)</w:t>
            </w:r>
          </w:p>
        </w:tc>
        <w:tc>
          <w:tcPr>
            <w:tcW w:w="0" w:type="auto"/>
            <w:vAlign w:val="center"/>
          </w:tcPr>
          <w:p w14:paraId="73583E6C" w14:textId="5114479C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14 (58.3)</w:t>
            </w:r>
          </w:p>
        </w:tc>
        <w:tc>
          <w:tcPr>
            <w:tcW w:w="0" w:type="auto"/>
            <w:vAlign w:val="center"/>
          </w:tcPr>
          <w:p w14:paraId="1B5F9FB6" w14:textId="36569750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 (20.8)</w:t>
            </w:r>
          </w:p>
        </w:tc>
        <w:tc>
          <w:tcPr>
            <w:tcW w:w="0" w:type="auto"/>
            <w:vAlign w:val="center"/>
          </w:tcPr>
          <w:p w14:paraId="3E7EC0F0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0.233</w:t>
            </w:r>
          </w:p>
        </w:tc>
      </w:tr>
      <w:tr w:rsidR="00FB13F3" w:rsidRPr="00902906" w14:paraId="52D167BD" w14:textId="77777777" w:rsidTr="007B0D68">
        <w:tc>
          <w:tcPr>
            <w:tcW w:w="0" w:type="auto"/>
          </w:tcPr>
          <w:p w14:paraId="21EED5E1" w14:textId="3FF39D9E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When I lift and carry something my shoulder hurts.</w:t>
            </w:r>
          </w:p>
        </w:tc>
        <w:tc>
          <w:tcPr>
            <w:tcW w:w="0" w:type="auto"/>
          </w:tcPr>
          <w:p w14:paraId="628FD654" w14:textId="4E7466A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(5.4)</w:t>
            </w:r>
          </w:p>
        </w:tc>
        <w:tc>
          <w:tcPr>
            <w:tcW w:w="0" w:type="auto"/>
            <w:vAlign w:val="center"/>
          </w:tcPr>
          <w:p w14:paraId="431E3A32" w14:textId="79470510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29 (78.4)</w:t>
            </w:r>
          </w:p>
        </w:tc>
        <w:tc>
          <w:tcPr>
            <w:tcW w:w="0" w:type="auto"/>
            <w:vAlign w:val="center"/>
          </w:tcPr>
          <w:p w14:paraId="79AB564B" w14:textId="0939653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6 (16.2)</w:t>
            </w:r>
          </w:p>
        </w:tc>
        <w:tc>
          <w:tcPr>
            <w:tcW w:w="0" w:type="auto"/>
            <w:vAlign w:val="center"/>
          </w:tcPr>
          <w:p w14:paraId="3D1A7C0C" w14:textId="751B83F3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(3.8)</w:t>
            </w:r>
          </w:p>
        </w:tc>
        <w:tc>
          <w:tcPr>
            <w:tcW w:w="0" w:type="auto"/>
            <w:vAlign w:val="center"/>
          </w:tcPr>
          <w:p w14:paraId="3C15BB7D" w14:textId="120C12E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13 (50)</w:t>
            </w:r>
          </w:p>
        </w:tc>
        <w:tc>
          <w:tcPr>
            <w:tcW w:w="0" w:type="auto"/>
            <w:vAlign w:val="center"/>
          </w:tcPr>
          <w:p w14:paraId="28C6902A" w14:textId="32F7A145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12 (46.2)</w:t>
            </w:r>
          </w:p>
        </w:tc>
        <w:tc>
          <w:tcPr>
            <w:tcW w:w="0" w:type="auto"/>
            <w:vAlign w:val="center"/>
          </w:tcPr>
          <w:p w14:paraId="6495685B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0.807</w:t>
            </w:r>
          </w:p>
        </w:tc>
      </w:tr>
      <w:tr w:rsidR="00FB13F3" w:rsidRPr="00902906" w14:paraId="4B3E1DFD" w14:textId="77777777" w:rsidTr="007B0D68">
        <w:tc>
          <w:tcPr>
            <w:tcW w:w="0" w:type="auto"/>
          </w:tcPr>
          <w:p w14:paraId="4685A117" w14:textId="1946524E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During reaching and grasping above shoulder level my shoulder hurts.</w:t>
            </w:r>
          </w:p>
        </w:tc>
        <w:tc>
          <w:tcPr>
            <w:tcW w:w="0" w:type="auto"/>
          </w:tcPr>
          <w:p w14:paraId="0F81CA9F" w14:textId="62926FA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(5.3)</w:t>
            </w:r>
          </w:p>
        </w:tc>
        <w:tc>
          <w:tcPr>
            <w:tcW w:w="0" w:type="auto"/>
            <w:vAlign w:val="center"/>
          </w:tcPr>
          <w:p w14:paraId="0146F262" w14:textId="349A3D9C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32 (84.2)</w:t>
            </w:r>
          </w:p>
        </w:tc>
        <w:tc>
          <w:tcPr>
            <w:tcW w:w="0" w:type="auto"/>
            <w:vAlign w:val="center"/>
          </w:tcPr>
          <w:p w14:paraId="19CD4B0F" w14:textId="79EDE81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4 (10.5)</w:t>
            </w:r>
          </w:p>
        </w:tc>
        <w:tc>
          <w:tcPr>
            <w:tcW w:w="0" w:type="auto"/>
            <w:vAlign w:val="center"/>
          </w:tcPr>
          <w:p w14:paraId="73C52D6D" w14:textId="3BA1E94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E6CB607" w14:textId="743ECD1C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17 (68)</w:t>
            </w:r>
          </w:p>
        </w:tc>
        <w:tc>
          <w:tcPr>
            <w:tcW w:w="0" w:type="auto"/>
            <w:vAlign w:val="center"/>
          </w:tcPr>
          <w:p w14:paraId="5B9023B3" w14:textId="60F2B04D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8 (32)</w:t>
            </w:r>
          </w:p>
        </w:tc>
        <w:tc>
          <w:tcPr>
            <w:tcW w:w="0" w:type="auto"/>
            <w:vAlign w:val="center"/>
          </w:tcPr>
          <w:p w14:paraId="43B67F4A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0.779</w:t>
            </w:r>
          </w:p>
        </w:tc>
      </w:tr>
      <w:tr w:rsidR="00FB13F3" w:rsidRPr="00902906" w14:paraId="4C7A1B02" w14:textId="77777777" w:rsidTr="007B0D68">
        <w:tc>
          <w:tcPr>
            <w:tcW w:w="0" w:type="auto"/>
          </w:tcPr>
          <w:p w14:paraId="2911402A" w14:textId="06E6E349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is painful when I open or close a door. </w:t>
            </w:r>
          </w:p>
        </w:tc>
        <w:tc>
          <w:tcPr>
            <w:tcW w:w="0" w:type="auto"/>
          </w:tcPr>
          <w:p w14:paraId="15D74927" w14:textId="26D23DD9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F1E11FD" w14:textId="1C3A5AD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37 (97.4)</w:t>
            </w:r>
          </w:p>
        </w:tc>
        <w:tc>
          <w:tcPr>
            <w:tcW w:w="0" w:type="auto"/>
            <w:vAlign w:val="center"/>
          </w:tcPr>
          <w:p w14:paraId="3FA51949" w14:textId="36EDC220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3BC7E175" w14:textId="4D7F2721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E211A78" w14:textId="284FA229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25 (96.2)</w:t>
            </w:r>
          </w:p>
        </w:tc>
        <w:tc>
          <w:tcPr>
            <w:tcW w:w="0" w:type="auto"/>
            <w:vAlign w:val="center"/>
          </w:tcPr>
          <w:p w14:paraId="57016D0C" w14:textId="59626AD0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(3.8)</w:t>
            </w:r>
          </w:p>
        </w:tc>
        <w:tc>
          <w:tcPr>
            <w:tcW w:w="0" w:type="auto"/>
            <w:vAlign w:val="center"/>
          </w:tcPr>
          <w:p w14:paraId="6CC13E26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0.835</w:t>
            </w:r>
          </w:p>
        </w:tc>
      </w:tr>
      <w:tr w:rsidR="00FB13F3" w:rsidRPr="00902906" w14:paraId="3D5CC1AB" w14:textId="77777777" w:rsidTr="007B0D68">
        <w:tc>
          <w:tcPr>
            <w:tcW w:w="0" w:type="auto"/>
          </w:tcPr>
          <w:p w14:paraId="036B0874" w14:textId="30EC108E" w:rsidR="00FB13F3" w:rsidRPr="00902906" w:rsidRDefault="00FB13F3" w:rsidP="00FB13F3">
            <w:pPr>
              <w:pStyle w:val="MDPI42tablebody"/>
              <w:jc w:val="left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the back of my head</w:t>
            </w:r>
          </w:p>
        </w:tc>
        <w:tc>
          <w:tcPr>
            <w:tcW w:w="0" w:type="auto"/>
          </w:tcPr>
          <w:p w14:paraId="3C2FECC2" w14:textId="6A9B820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59AA52C" w14:textId="05BAF94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34 (89.5)</w:t>
            </w:r>
          </w:p>
        </w:tc>
        <w:tc>
          <w:tcPr>
            <w:tcW w:w="0" w:type="auto"/>
            <w:vAlign w:val="center"/>
          </w:tcPr>
          <w:p w14:paraId="68BF4287" w14:textId="5A3D248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4 (10.5)</w:t>
            </w:r>
          </w:p>
        </w:tc>
        <w:tc>
          <w:tcPr>
            <w:tcW w:w="0" w:type="auto"/>
            <w:vAlign w:val="center"/>
          </w:tcPr>
          <w:p w14:paraId="0C682211" w14:textId="220CEAC4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1EFA4AB" w14:textId="120CC375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19 (73.1)</w:t>
            </w:r>
          </w:p>
        </w:tc>
        <w:tc>
          <w:tcPr>
            <w:tcW w:w="0" w:type="auto"/>
            <w:vAlign w:val="center"/>
          </w:tcPr>
          <w:p w14:paraId="318CFA55" w14:textId="2FA89C88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7 (26.9)</w:t>
            </w:r>
          </w:p>
        </w:tc>
        <w:tc>
          <w:tcPr>
            <w:tcW w:w="0" w:type="auto"/>
            <w:vAlign w:val="center"/>
          </w:tcPr>
          <w:p w14:paraId="086C49ED" w14:textId="77777777" w:rsidR="00FB13F3" w:rsidRPr="00902906" w:rsidRDefault="00FB13F3" w:rsidP="00FB13F3">
            <w:pPr>
              <w:pStyle w:val="MDPI42tablebody"/>
              <w:rPr>
                <w:iCs/>
                <w:sz w:val="20"/>
                <w:szCs w:val="20"/>
                <w:lang w:val="en-US"/>
              </w:rPr>
            </w:pPr>
            <w:r w:rsidRPr="00902906">
              <w:rPr>
                <w:iCs/>
                <w:sz w:val="20"/>
                <w:szCs w:val="20"/>
                <w:lang w:val="en-US"/>
              </w:rPr>
              <w:t>0.540</w:t>
            </w:r>
          </w:p>
        </w:tc>
      </w:tr>
      <w:tr w:rsidR="00FB13F3" w:rsidRPr="00902906" w14:paraId="06A16D67" w14:textId="77777777" w:rsidTr="007B0D68">
        <w:tc>
          <w:tcPr>
            <w:tcW w:w="0" w:type="auto"/>
          </w:tcPr>
          <w:p w14:paraId="2A7E9C48" w14:textId="257E17B5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buttock</w:t>
            </w:r>
          </w:p>
        </w:tc>
        <w:tc>
          <w:tcPr>
            <w:tcW w:w="0" w:type="auto"/>
          </w:tcPr>
          <w:p w14:paraId="563E43DB" w14:textId="6AD90CD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2DBE1043" w14:textId="70F96A69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36 (94.7)</w:t>
            </w:r>
          </w:p>
        </w:tc>
        <w:tc>
          <w:tcPr>
            <w:tcW w:w="0" w:type="auto"/>
            <w:vAlign w:val="center"/>
          </w:tcPr>
          <w:p w14:paraId="6F829CCC" w14:textId="76B0611B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00C642BD" w14:textId="6497298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50FAED41" w14:textId="0EB31AB3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21 (80.8)</w:t>
            </w:r>
          </w:p>
        </w:tc>
        <w:tc>
          <w:tcPr>
            <w:tcW w:w="0" w:type="auto"/>
            <w:vAlign w:val="center"/>
          </w:tcPr>
          <w:p w14:paraId="456CB0FA" w14:textId="7289E79E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5 (19.2)</w:t>
            </w:r>
          </w:p>
        </w:tc>
        <w:tc>
          <w:tcPr>
            <w:tcW w:w="0" w:type="auto"/>
            <w:vAlign w:val="center"/>
          </w:tcPr>
          <w:p w14:paraId="75CE4E5E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0.061</w:t>
            </w:r>
          </w:p>
        </w:tc>
      </w:tr>
      <w:tr w:rsidR="00FB13F3" w:rsidRPr="00902906" w14:paraId="4708A0F2" w14:textId="77777777" w:rsidTr="007B0D68">
        <w:tc>
          <w:tcPr>
            <w:tcW w:w="0" w:type="auto"/>
          </w:tcPr>
          <w:p w14:paraId="79EEC8A1" w14:textId="6E1DE5F6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low back.</w:t>
            </w:r>
          </w:p>
        </w:tc>
        <w:tc>
          <w:tcPr>
            <w:tcW w:w="0" w:type="auto"/>
          </w:tcPr>
          <w:p w14:paraId="5893BBE0" w14:textId="23CF091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(5.3)</w:t>
            </w:r>
          </w:p>
        </w:tc>
        <w:tc>
          <w:tcPr>
            <w:tcW w:w="0" w:type="auto"/>
            <w:vAlign w:val="center"/>
          </w:tcPr>
          <w:p w14:paraId="369B7617" w14:textId="2B742DA4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34 (89.5)</w:t>
            </w:r>
          </w:p>
        </w:tc>
        <w:tc>
          <w:tcPr>
            <w:tcW w:w="0" w:type="auto"/>
            <w:vAlign w:val="center"/>
          </w:tcPr>
          <w:p w14:paraId="050E118C" w14:textId="678A3CD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2 (5.3)</w:t>
            </w:r>
          </w:p>
        </w:tc>
        <w:tc>
          <w:tcPr>
            <w:tcW w:w="0" w:type="auto"/>
            <w:vAlign w:val="center"/>
          </w:tcPr>
          <w:p w14:paraId="07C3DC63" w14:textId="162044E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FEA821A" w14:textId="08140B8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19 (73.1)</w:t>
            </w:r>
          </w:p>
        </w:tc>
        <w:tc>
          <w:tcPr>
            <w:tcW w:w="0" w:type="auto"/>
            <w:vAlign w:val="center"/>
          </w:tcPr>
          <w:p w14:paraId="628E0BDD" w14:textId="2F878CE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7 (26.9)</w:t>
            </w:r>
          </w:p>
        </w:tc>
        <w:tc>
          <w:tcPr>
            <w:tcW w:w="0" w:type="auto"/>
            <w:vAlign w:val="center"/>
          </w:tcPr>
          <w:p w14:paraId="7E6A1731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0.503</w:t>
            </w:r>
          </w:p>
        </w:tc>
      </w:tr>
      <w:tr w:rsidR="00FB13F3" w:rsidRPr="00902906" w14:paraId="213FA130" w14:textId="77777777" w:rsidTr="007B0D68">
        <w:tc>
          <w:tcPr>
            <w:tcW w:w="0" w:type="auto"/>
          </w:tcPr>
          <w:p w14:paraId="31133E5B" w14:textId="5836A64A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I rub my painful shoulder more than once during the day.</w:t>
            </w:r>
          </w:p>
        </w:tc>
        <w:tc>
          <w:tcPr>
            <w:tcW w:w="0" w:type="auto"/>
          </w:tcPr>
          <w:p w14:paraId="4A4BE5C0" w14:textId="589DC2E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5CB9D588" w14:textId="2307AAD8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36 (94.7)</w:t>
            </w:r>
          </w:p>
        </w:tc>
        <w:tc>
          <w:tcPr>
            <w:tcW w:w="0" w:type="auto"/>
            <w:vAlign w:val="center"/>
          </w:tcPr>
          <w:p w14:paraId="6041B9FD" w14:textId="3D4E1ECA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54891B37" w14:textId="6F013D18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(4)</w:t>
            </w:r>
          </w:p>
        </w:tc>
        <w:tc>
          <w:tcPr>
            <w:tcW w:w="0" w:type="auto"/>
            <w:vAlign w:val="center"/>
          </w:tcPr>
          <w:p w14:paraId="2AE5F3EF" w14:textId="040B5DB1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17 (68)</w:t>
            </w:r>
          </w:p>
        </w:tc>
        <w:tc>
          <w:tcPr>
            <w:tcW w:w="0" w:type="auto"/>
            <w:vAlign w:val="center"/>
          </w:tcPr>
          <w:p w14:paraId="52CBE154" w14:textId="7E35B1DD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7 (28)</w:t>
            </w:r>
          </w:p>
        </w:tc>
        <w:tc>
          <w:tcPr>
            <w:tcW w:w="0" w:type="auto"/>
            <w:vAlign w:val="center"/>
          </w:tcPr>
          <w:p w14:paraId="7290349F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0.563</w:t>
            </w:r>
          </w:p>
        </w:tc>
      </w:tr>
      <w:tr w:rsidR="00FB13F3" w:rsidRPr="00902906" w14:paraId="22ACE58E" w14:textId="77777777" w:rsidTr="007B0D68">
        <w:tc>
          <w:tcPr>
            <w:tcW w:w="0" w:type="auto"/>
          </w:tcPr>
          <w:p w14:paraId="211777CB" w14:textId="795529D2" w:rsidR="00FB13F3" w:rsidRPr="00902906" w:rsidRDefault="00FB13F3" w:rsidP="00FB13F3">
            <w:pPr>
              <w:pStyle w:val="MDPI42tablebody"/>
              <w:jc w:val="left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my shoulder pain I am more irritable and bad tempered with people than usual.</w:t>
            </w:r>
          </w:p>
        </w:tc>
        <w:tc>
          <w:tcPr>
            <w:tcW w:w="0" w:type="auto"/>
          </w:tcPr>
          <w:p w14:paraId="1C5B79EB" w14:textId="374AED30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C60F7AC" w14:textId="7831F822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37 (97.4)</w:t>
            </w:r>
          </w:p>
        </w:tc>
        <w:tc>
          <w:tcPr>
            <w:tcW w:w="0" w:type="auto"/>
            <w:vAlign w:val="center"/>
          </w:tcPr>
          <w:p w14:paraId="2F0A7061" w14:textId="78FFF4C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3E860C7C" w14:textId="1D91AB5F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 (3.8)</w:t>
            </w:r>
          </w:p>
        </w:tc>
        <w:tc>
          <w:tcPr>
            <w:tcW w:w="0" w:type="auto"/>
            <w:vAlign w:val="center"/>
          </w:tcPr>
          <w:p w14:paraId="3799C352" w14:textId="4315F763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17 (65.4)</w:t>
            </w:r>
          </w:p>
        </w:tc>
        <w:tc>
          <w:tcPr>
            <w:tcW w:w="0" w:type="auto"/>
            <w:vAlign w:val="center"/>
          </w:tcPr>
          <w:p w14:paraId="20E6E533" w14:textId="6CF568B6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8 (30.8)</w:t>
            </w:r>
          </w:p>
        </w:tc>
        <w:tc>
          <w:tcPr>
            <w:tcW w:w="0" w:type="auto"/>
            <w:vAlign w:val="center"/>
          </w:tcPr>
          <w:p w14:paraId="54F3A925" w14:textId="77777777" w:rsidR="00FB13F3" w:rsidRPr="00902906" w:rsidRDefault="00FB13F3" w:rsidP="00FB13F3">
            <w:pPr>
              <w:pStyle w:val="MDPI42tablebody"/>
              <w:rPr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  <w:lang w:val="en-US"/>
              </w:rPr>
              <w:t>0.331</w:t>
            </w:r>
          </w:p>
        </w:tc>
      </w:tr>
    </w:tbl>
    <w:p w14:paraId="5DEF4EC1" w14:textId="4BBCCBB7" w:rsidR="00434317" w:rsidRPr="008873CE" w:rsidRDefault="00434317" w:rsidP="00434317">
      <w:pPr>
        <w:pStyle w:val="MDPI41tablecaption"/>
        <w:spacing w:before="0"/>
        <w:ind w:left="0"/>
        <w:rPr>
          <w:rFonts w:eastAsia="Calibri"/>
        </w:rPr>
      </w:pPr>
      <w:r w:rsidRPr="008873CE">
        <w:rPr>
          <w:rFonts w:eastAsia="Calibri"/>
        </w:rPr>
        <w:t>* marginal homogeneity test</w:t>
      </w:r>
      <w:r w:rsidR="00902906">
        <w:rPr>
          <w:rFonts w:eastAsia="Calibri"/>
        </w:rPr>
        <w:t>.</w:t>
      </w:r>
      <w:r w:rsidR="00902906" w:rsidRPr="00902906">
        <w:t xml:space="preserve"> </w:t>
      </w:r>
      <w:r w:rsidR="00902906" w:rsidRPr="00902906">
        <w:rPr>
          <w:rFonts w:eastAsia="Calibri"/>
        </w:rPr>
        <w:t xml:space="preserve">Pain is unchanged in almost all questions of the SDQ, and </w:t>
      </w:r>
      <w:r w:rsidR="007E16EC">
        <w:rPr>
          <w:rFonts w:eastAsia="Calibri"/>
        </w:rPr>
        <w:t>more</w:t>
      </w:r>
      <w:r w:rsidR="00902906" w:rsidRPr="00902906">
        <w:rPr>
          <w:rFonts w:eastAsia="Calibri"/>
        </w:rPr>
        <w:t xml:space="preserve"> present when lying on the shoulder.</w:t>
      </w:r>
      <w:r w:rsidR="00902906">
        <w:rPr>
          <w:rFonts w:eastAsia="Calibri"/>
        </w:rPr>
        <w:t xml:space="preserve"> </w:t>
      </w:r>
    </w:p>
    <w:p w14:paraId="40AD179B" w14:textId="2B58DF96" w:rsidR="00902906" w:rsidRDefault="00902906">
      <w:pPr>
        <w:spacing w:line="240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br w:type="page"/>
      </w:r>
    </w:p>
    <w:p w14:paraId="0B864A5F" w14:textId="77777777" w:rsidR="00434317" w:rsidRPr="008873CE" w:rsidRDefault="00434317" w:rsidP="00434317">
      <w:pPr>
        <w:spacing w:before="40" w:after="40" w:line="240" w:lineRule="auto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</w:p>
    <w:p w14:paraId="4B6F78D0" w14:textId="5E436CC6" w:rsidR="00434317" w:rsidRPr="00902906" w:rsidRDefault="00FB13F3" w:rsidP="00434317">
      <w:pPr>
        <w:pStyle w:val="MDPI511onefigurecaption"/>
        <w:jc w:val="left"/>
        <w:rPr>
          <w:b/>
          <w:bCs/>
          <w:szCs w:val="18"/>
          <w:lang w:eastAsia="en-US"/>
        </w:rPr>
      </w:pPr>
      <w:bookmarkStart w:id="3" w:name="_Hlk132060633"/>
      <w:r w:rsidRPr="009B28CC">
        <w:rPr>
          <w:b/>
          <w:bCs/>
          <w:lang w:eastAsia="en-US"/>
        </w:rPr>
        <w:t xml:space="preserve">Table </w:t>
      </w:r>
      <w:r w:rsidRPr="00902906">
        <w:rPr>
          <w:b/>
          <w:bCs/>
          <w:szCs w:val="18"/>
          <w:lang w:eastAsia="en-US"/>
        </w:rPr>
        <w:t>S</w:t>
      </w:r>
      <w:r w:rsidR="00263D9C">
        <w:rPr>
          <w:rFonts w:eastAsia="Calibri"/>
          <w:b/>
          <w:noProof w:val="0"/>
          <w:color w:val="auto"/>
          <w:szCs w:val="18"/>
          <w:lang w:eastAsia="en-US"/>
        </w:rPr>
        <w:t>5</w:t>
      </w:r>
      <w:r w:rsidR="00434317" w:rsidRPr="00902906">
        <w:rPr>
          <w:b/>
          <w:bCs/>
          <w:szCs w:val="18"/>
          <w:lang w:eastAsia="en-US"/>
        </w:rPr>
        <w:t xml:space="preserve">. Shoulder pain examined with a shoulder disability questionnaire (SDQ) in </w:t>
      </w:r>
      <w:r w:rsidR="00542909">
        <w:rPr>
          <w:b/>
          <w:bCs/>
          <w:szCs w:val="18"/>
          <w:lang w:eastAsia="en-US"/>
        </w:rPr>
        <w:t>patients</w:t>
      </w:r>
      <w:r w:rsidR="00434317" w:rsidRPr="00902906">
        <w:rPr>
          <w:b/>
          <w:bCs/>
          <w:szCs w:val="18"/>
          <w:lang w:eastAsia="en-US"/>
        </w:rPr>
        <w:t xml:space="preserve"> with continuous levobupivacaine analgesia before and one year after surgery</w:t>
      </w:r>
      <w:r w:rsidR="00542909">
        <w:rPr>
          <w:b/>
          <w:bCs/>
          <w:szCs w:val="18"/>
          <w:lang w:eastAsia="en-US"/>
        </w:rPr>
        <w:t>.</w:t>
      </w:r>
    </w:p>
    <w:tbl>
      <w:tblPr>
        <w:tblStyle w:val="TableGrid1"/>
        <w:tblW w:w="0" w:type="auto"/>
        <w:tblInd w:w="1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681"/>
        <w:gridCol w:w="836"/>
        <w:gridCol w:w="781"/>
        <w:gridCol w:w="690"/>
        <w:gridCol w:w="846"/>
        <w:gridCol w:w="791"/>
        <w:gridCol w:w="666"/>
      </w:tblGrid>
      <w:tr w:rsidR="00434317" w:rsidRPr="00902906" w14:paraId="36817A1E" w14:textId="77777777" w:rsidTr="00902906">
        <w:tc>
          <w:tcPr>
            <w:tcW w:w="0" w:type="auto"/>
          </w:tcPr>
          <w:p w14:paraId="0E7AA5CC" w14:textId="77777777" w:rsidR="00434317" w:rsidRPr="00902906" w:rsidRDefault="00434317" w:rsidP="00F8707E">
            <w:pPr>
              <w:spacing w:line="240" w:lineRule="auto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bookmarkStart w:id="4" w:name="_Hlk129164221"/>
            <w:bookmarkEnd w:id="3"/>
          </w:p>
        </w:tc>
        <w:tc>
          <w:tcPr>
            <w:tcW w:w="0" w:type="auto"/>
            <w:gridSpan w:val="3"/>
            <w:vAlign w:val="center"/>
          </w:tcPr>
          <w:p w14:paraId="12373B9C" w14:textId="77777777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 xml:space="preserve">Before surgery </w:t>
            </w: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br/>
              <w:t>N (%)</w:t>
            </w:r>
          </w:p>
        </w:tc>
        <w:tc>
          <w:tcPr>
            <w:tcW w:w="0" w:type="auto"/>
            <w:gridSpan w:val="3"/>
          </w:tcPr>
          <w:p w14:paraId="6BF6817F" w14:textId="7A976BFE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 xml:space="preserve">One-year </w:t>
            </w:r>
            <w:r w:rsidR="007C3C8A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>follow-up</w:t>
            </w: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 xml:space="preserve"> N (%)</w:t>
            </w:r>
          </w:p>
        </w:tc>
        <w:tc>
          <w:tcPr>
            <w:tcW w:w="0" w:type="auto"/>
            <w:vMerge w:val="restart"/>
            <w:vAlign w:val="center"/>
          </w:tcPr>
          <w:p w14:paraId="6AD2DD52" w14:textId="77777777" w:rsidR="00434317" w:rsidRPr="00902906" w:rsidRDefault="00434317" w:rsidP="00F8707E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P*</w:t>
            </w:r>
          </w:p>
        </w:tc>
      </w:tr>
      <w:bookmarkEnd w:id="4"/>
      <w:tr w:rsidR="00165308" w:rsidRPr="00902906" w14:paraId="6F63A2A9" w14:textId="77777777" w:rsidTr="00902906">
        <w:tc>
          <w:tcPr>
            <w:tcW w:w="0" w:type="auto"/>
          </w:tcPr>
          <w:p w14:paraId="203696F5" w14:textId="77777777" w:rsidR="00165308" w:rsidRPr="00902906" w:rsidRDefault="00165308" w:rsidP="00165308">
            <w:pPr>
              <w:spacing w:line="240" w:lineRule="auto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94A0879" w14:textId="77777777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NA</w:t>
            </w:r>
          </w:p>
        </w:tc>
        <w:tc>
          <w:tcPr>
            <w:tcW w:w="0" w:type="auto"/>
            <w:vAlign w:val="center"/>
          </w:tcPr>
          <w:p w14:paraId="5833F122" w14:textId="523DDCD2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No</w:t>
            </w:r>
          </w:p>
        </w:tc>
        <w:tc>
          <w:tcPr>
            <w:tcW w:w="0" w:type="auto"/>
            <w:vAlign w:val="center"/>
          </w:tcPr>
          <w:p w14:paraId="5BB683C3" w14:textId="09F773F3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Yes</w:t>
            </w:r>
          </w:p>
        </w:tc>
        <w:tc>
          <w:tcPr>
            <w:tcW w:w="0" w:type="auto"/>
            <w:vAlign w:val="center"/>
          </w:tcPr>
          <w:p w14:paraId="03E9A496" w14:textId="77777777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NA </w:t>
            </w:r>
          </w:p>
        </w:tc>
        <w:tc>
          <w:tcPr>
            <w:tcW w:w="0" w:type="auto"/>
          </w:tcPr>
          <w:p w14:paraId="355BD2AE" w14:textId="69E6ADEE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No</w:t>
            </w:r>
          </w:p>
        </w:tc>
        <w:tc>
          <w:tcPr>
            <w:tcW w:w="0" w:type="auto"/>
            <w:vAlign w:val="center"/>
          </w:tcPr>
          <w:p w14:paraId="1EAE1BEE" w14:textId="485ECA6B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0" w:type="auto"/>
            <w:vMerge/>
            <w:vAlign w:val="center"/>
          </w:tcPr>
          <w:p w14:paraId="18722E37" w14:textId="77777777" w:rsidR="00165308" w:rsidRPr="00902906" w:rsidRDefault="00165308" w:rsidP="00165308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</w:p>
        </w:tc>
      </w:tr>
      <w:tr w:rsidR="00902906" w:rsidRPr="00902906" w14:paraId="3327CC3A" w14:textId="77777777" w:rsidTr="00902906">
        <w:tc>
          <w:tcPr>
            <w:tcW w:w="0" w:type="auto"/>
          </w:tcPr>
          <w:p w14:paraId="5C640D74" w14:textId="466293F6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I wake up at night because of shoulder pain. </w:t>
            </w:r>
          </w:p>
        </w:tc>
        <w:tc>
          <w:tcPr>
            <w:tcW w:w="0" w:type="auto"/>
            <w:vAlign w:val="center"/>
          </w:tcPr>
          <w:p w14:paraId="0564EFE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0C539BA7" w14:textId="2A4D40E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33 (84.6)</w:t>
            </w:r>
          </w:p>
        </w:tc>
        <w:tc>
          <w:tcPr>
            <w:tcW w:w="0" w:type="auto"/>
            <w:vAlign w:val="center"/>
          </w:tcPr>
          <w:p w14:paraId="7E871461" w14:textId="7527F0F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6 (15.4)</w:t>
            </w:r>
          </w:p>
        </w:tc>
        <w:tc>
          <w:tcPr>
            <w:tcW w:w="0" w:type="auto"/>
            <w:vAlign w:val="center"/>
          </w:tcPr>
          <w:p w14:paraId="1F25CEB7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(4.2)</w:t>
            </w:r>
          </w:p>
        </w:tc>
        <w:tc>
          <w:tcPr>
            <w:tcW w:w="0" w:type="auto"/>
            <w:vAlign w:val="center"/>
          </w:tcPr>
          <w:p w14:paraId="08781787" w14:textId="51AB7ECB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18 (75)</w:t>
            </w:r>
          </w:p>
        </w:tc>
        <w:tc>
          <w:tcPr>
            <w:tcW w:w="0" w:type="auto"/>
            <w:vAlign w:val="center"/>
          </w:tcPr>
          <w:p w14:paraId="022B4FBE" w14:textId="778839B1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5 (20.8)</w:t>
            </w:r>
          </w:p>
        </w:tc>
        <w:tc>
          <w:tcPr>
            <w:tcW w:w="0" w:type="auto"/>
            <w:vAlign w:val="center"/>
          </w:tcPr>
          <w:p w14:paraId="529EDA41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0.291</w:t>
            </w:r>
          </w:p>
        </w:tc>
      </w:tr>
      <w:tr w:rsidR="00902906" w:rsidRPr="00902906" w14:paraId="4150B3D7" w14:textId="77777777" w:rsidTr="00902906">
        <w:tc>
          <w:tcPr>
            <w:tcW w:w="0" w:type="auto"/>
          </w:tcPr>
          <w:p w14:paraId="18D2AB08" w14:textId="12ADFAC7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lie on it. </w:t>
            </w:r>
          </w:p>
        </w:tc>
        <w:tc>
          <w:tcPr>
            <w:tcW w:w="0" w:type="auto"/>
            <w:vAlign w:val="center"/>
          </w:tcPr>
          <w:p w14:paraId="64F82334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1E6B5ECE" w14:textId="70BFA4DF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33 (84.6)</w:t>
            </w:r>
          </w:p>
        </w:tc>
        <w:tc>
          <w:tcPr>
            <w:tcW w:w="0" w:type="auto"/>
            <w:vAlign w:val="center"/>
          </w:tcPr>
          <w:p w14:paraId="1820C14E" w14:textId="18541CB5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5 (12.8)</w:t>
            </w:r>
          </w:p>
        </w:tc>
        <w:tc>
          <w:tcPr>
            <w:tcW w:w="0" w:type="auto"/>
            <w:vAlign w:val="center"/>
          </w:tcPr>
          <w:p w14:paraId="3BA49737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449F691" w14:textId="3B2C0AD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18 (78.3)</w:t>
            </w:r>
          </w:p>
        </w:tc>
        <w:tc>
          <w:tcPr>
            <w:tcW w:w="0" w:type="auto"/>
            <w:vAlign w:val="center"/>
          </w:tcPr>
          <w:p w14:paraId="1484ED7F" w14:textId="401A3ECD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5 (21.7)</w:t>
            </w:r>
          </w:p>
        </w:tc>
        <w:tc>
          <w:tcPr>
            <w:tcW w:w="0" w:type="auto"/>
            <w:vAlign w:val="center"/>
          </w:tcPr>
          <w:p w14:paraId="4A97EC4A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0.839</w:t>
            </w:r>
          </w:p>
        </w:tc>
      </w:tr>
      <w:tr w:rsidR="00902906" w:rsidRPr="00902906" w14:paraId="6F57441D" w14:textId="77777777" w:rsidTr="00902906">
        <w:tc>
          <w:tcPr>
            <w:tcW w:w="0" w:type="auto"/>
          </w:tcPr>
          <w:p w14:paraId="50101A98" w14:textId="6A71FEA7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pain in my shoulder, it is difficult to put on a coat or a sweater</w:t>
            </w:r>
          </w:p>
        </w:tc>
        <w:tc>
          <w:tcPr>
            <w:tcW w:w="0" w:type="auto"/>
            <w:vAlign w:val="center"/>
          </w:tcPr>
          <w:p w14:paraId="14D90ABE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657DE679" w14:textId="0324FFB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37 (94.9)</w:t>
            </w:r>
          </w:p>
        </w:tc>
        <w:tc>
          <w:tcPr>
            <w:tcW w:w="0" w:type="auto"/>
            <w:vAlign w:val="center"/>
          </w:tcPr>
          <w:p w14:paraId="29FFACCA" w14:textId="6DDE11A9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50948C6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DDA84FC" w14:textId="23A88C7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22 (91.7)</w:t>
            </w:r>
          </w:p>
        </w:tc>
        <w:tc>
          <w:tcPr>
            <w:tcW w:w="0" w:type="auto"/>
            <w:vAlign w:val="center"/>
          </w:tcPr>
          <w:p w14:paraId="732C9B46" w14:textId="49E80FEB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 (8.3)</w:t>
            </w:r>
          </w:p>
        </w:tc>
        <w:tc>
          <w:tcPr>
            <w:tcW w:w="0" w:type="auto"/>
            <w:vAlign w:val="center"/>
          </w:tcPr>
          <w:p w14:paraId="114DC3A5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0.901</w:t>
            </w:r>
          </w:p>
        </w:tc>
      </w:tr>
      <w:tr w:rsidR="00902906" w:rsidRPr="00902906" w14:paraId="27B6C2B7" w14:textId="77777777" w:rsidTr="00902906">
        <w:tc>
          <w:tcPr>
            <w:tcW w:w="0" w:type="auto"/>
          </w:tcPr>
          <w:p w14:paraId="18979C7A" w14:textId="56E3C6FB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during my usual daily activities</w:t>
            </w:r>
          </w:p>
        </w:tc>
        <w:tc>
          <w:tcPr>
            <w:tcW w:w="0" w:type="auto"/>
            <w:vAlign w:val="center"/>
          </w:tcPr>
          <w:p w14:paraId="0B5AA8A0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003C45D" w14:textId="3D73D1E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33 (84.6)</w:t>
            </w:r>
          </w:p>
        </w:tc>
        <w:tc>
          <w:tcPr>
            <w:tcW w:w="0" w:type="auto"/>
            <w:vAlign w:val="center"/>
          </w:tcPr>
          <w:p w14:paraId="1B90ED24" w14:textId="7B586C4A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6 (15.4)</w:t>
            </w:r>
          </w:p>
        </w:tc>
        <w:tc>
          <w:tcPr>
            <w:tcW w:w="0" w:type="auto"/>
            <w:vAlign w:val="center"/>
          </w:tcPr>
          <w:p w14:paraId="21E65140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BC7CF8E" w14:textId="142140B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20 (83.3)</w:t>
            </w:r>
          </w:p>
        </w:tc>
        <w:tc>
          <w:tcPr>
            <w:tcW w:w="0" w:type="auto"/>
            <w:vAlign w:val="center"/>
          </w:tcPr>
          <w:p w14:paraId="5B72431D" w14:textId="66B7953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4 (16.7)</w:t>
            </w:r>
          </w:p>
        </w:tc>
        <w:tc>
          <w:tcPr>
            <w:tcW w:w="0" w:type="auto"/>
            <w:vAlign w:val="center"/>
          </w:tcPr>
          <w:p w14:paraId="4985A925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0.453</w:t>
            </w:r>
          </w:p>
        </w:tc>
      </w:tr>
      <w:tr w:rsidR="00902906" w:rsidRPr="00902906" w14:paraId="63DD0DAF" w14:textId="77777777" w:rsidTr="00902906">
        <w:tc>
          <w:tcPr>
            <w:tcW w:w="0" w:type="auto"/>
          </w:tcPr>
          <w:p w14:paraId="2958AAE4" w14:textId="18A0CB5E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hurts when I lean on my elbow or hand </w:t>
            </w:r>
          </w:p>
        </w:tc>
        <w:tc>
          <w:tcPr>
            <w:tcW w:w="0" w:type="auto"/>
            <w:vAlign w:val="center"/>
          </w:tcPr>
          <w:p w14:paraId="49A0C07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703CA87" w14:textId="1F482F0A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35 (89.7)</w:t>
            </w:r>
          </w:p>
        </w:tc>
        <w:tc>
          <w:tcPr>
            <w:tcW w:w="0" w:type="auto"/>
            <w:vAlign w:val="center"/>
          </w:tcPr>
          <w:p w14:paraId="277D7336" w14:textId="0A3F424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4 (10.3)</w:t>
            </w:r>
          </w:p>
        </w:tc>
        <w:tc>
          <w:tcPr>
            <w:tcW w:w="0" w:type="auto"/>
            <w:vAlign w:val="center"/>
          </w:tcPr>
          <w:p w14:paraId="12B9B41D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93F79AC" w14:textId="5ABD8380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21 (87.5)</w:t>
            </w:r>
          </w:p>
        </w:tc>
        <w:tc>
          <w:tcPr>
            <w:tcW w:w="0" w:type="auto"/>
            <w:vAlign w:val="center"/>
          </w:tcPr>
          <w:p w14:paraId="132BC415" w14:textId="2BE45FEF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 (12.5)</w:t>
            </w:r>
          </w:p>
        </w:tc>
        <w:tc>
          <w:tcPr>
            <w:tcW w:w="0" w:type="auto"/>
            <w:vAlign w:val="center"/>
          </w:tcPr>
          <w:p w14:paraId="110E1234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0.648</w:t>
            </w:r>
          </w:p>
        </w:tc>
      </w:tr>
      <w:tr w:rsidR="00902906" w:rsidRPr="00902906" w14:paraId="33CF4088" w14:textId="77777777" w:rsidTr="00902906">
        <w:tc>
          <w:tcPr>
            <w:tcW w:w="0" w:type="auto"/>
          </w:tcPr>
          <w:p w14:paraId="3262E6A4" w14:textId="71B412B0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move my arm.</w:t>
            </w:r>
          </w:p>
        </w:tc>
        <w:tc>
          <w:tcPr>
            <w:tcW w:w="0" w:type="auto"/>
            <w:vAlign w:val="center"/>
          </w:tcPr>
          <w:p w14:paraId="1736E2EB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2FAC13D5" w14:textId="2F414BE1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36 (92.3)</w:t>
            </w:r>
          </w:p>
        </w:tc>
        <w:tc>
          <w:tcPr>
            <w:tcW w:w="0" w:type="auto"/>
            <w:vAlign w:val="center"/>
          </w:tcPr>
          <w:p w14:paraId="7781B0A3" w14:textId="37DF61B5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 (7.7)</w:t>
            </w:r>
          </w:p>
        </w:tc>
        <w:tc>
          <w:tcPr>
            <w:tcW w:w="0" w:type="auto"/>
            <w:vAlign w:val="center"/>
          </w:tcPr>
          <w:p w14:paraId="45624A6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6CC8477" w14:textId="336AB47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24 (100)</w:t>
            </w:r>
          </w:p>
        </w:tc>
        <w:tc>
          <w:tcPr>
            <w:tcW w:w="0" w:type="auto"/>
            <w:vAlign w:val="center"/>
          </w:tcPr>
          <w:p w14:paraId="4F02B487" w14:textId="73411E73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5D47D14" w14:textId="77777777" w:rsidR="00902906" w:rsidRPr="00902906" w:rsidRDefault="00902906" w:rsidP="00902906">
            <w:pPr>
              <w:spacing w:line="240" w:lineRule="auto"/>
              <w:jc w:val="center"/>
              <w:rPr>
                <w:b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b/>
                <w:noProof w:val="0"/>
                <w:color w:val="auto"/>
                <w:sz w:val="20"/>
                <w:szCs w:val="20"/>
                <w:lang w:val="en-US"/>
              </w:rPr>
              <w:t>-</w:t>
            </w:r>
          </w:p>
        </w:tc>
      </w:tr>
      <w:tr w:rsidR="00902906" w:rsidRPr="00902906" w14:paraId="06F2DDE1" w14:textId="77777777" w:rsidTr="00902906">
        <w:tc>
          <w:tcPr>
            <w:tcW w:w="0" w:type="auto"/>
          </w:tcPr>
          <w:p w14:paraId="30EB7A33" w14:textId="7360DA72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hurts when I write or type.</w:t>
            </w:r>
          </w:p>
        </w:tc>
        <w:tc>
          <w:tcPr>
            <w:tcW w:w="0" w:type="auto"/>
            <w:vAlign w:val="center"/>
          </w:tcPr>
          <w:p w14:paraId="54BBB35E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FDD09DF" w14:textId="7708C7E2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38 (97.4)</w:t>
            </w:r>
          </w:p>
        </w:tc>
        <w:tc>
          <w:tcPr>
            <w:tcW w:w="0" w:type="auto"/>
            <w:vAlign w:val="center"/>
          </w:tcPr>
          <w:p w14:paraId="1DD078FF" w14:textId="0FB43F83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61BE7EF7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419A9A3" w14:textId="1F9A39CF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22 (91.7)</w:t>
            </w:r>
          </w:p>
        </w:tc>
        <w:tc>
          <w:tcPr>
            <w:tcW w:w="0" w:type="auto"/>
            <w:vAlign w:val="center"/>
          </w:tcPr>
          <w:p w14:paraId="478DBF3C" w14:textId="243A1EAF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 (8.3)</w:t>
            </w:r>
          </w:p>
        </w:tc>
        <w:tc>
          <w:tcPr>
            <w:tcW w:w="0" w:type="auto"/>
            <w:vAlign w:val="center"/>
          </w:tcPr>
          <w:p w14:paraId="23EE45A7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-</w:t>
            </w:r>
          </w:p>
        </w:tc>
      </w:tr>
      <w:tr w:rsidR="00902906" w:rsidRPr="00902906" w14:paraId="0629A78D" w14:textId="77777777" w:rsidTr="00902906">
        <w:tc>
          <w:tcPr>
            <w:tcW w:w="0" w:type="auto"/>
          </w:tcPr>
          <w:p w14:paraId="04CEC698" w14:textId="2ABFE3A0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hold the driving wheel of my car or handle bars of my bike.</w:t>
            </w:r>
          </w:p>
        </w:tc>
        <w:tc>
          <w:tcPr>
            <w:tcW w:w="0" w:type="auto"/>
            <w:vAlign w:val="center"/>
          </w:tcPr>
          <w:p w14:paraId="0BA56E05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(2.6)</w:t>
            </w:r>
          </w:p>
        </w:tc>
        <w:tc>
          <w:tcPr>
            <w:tcW w:w="0" w:type="auto"/>
            <w:vAlign w:val="center"/>
          </w:tcPr>
          <w:p w14:paraId="647A5D27" w14:textId="26E91E71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36 (92.3)</w:t>
            </w:r>
          </w:p>
        </w:tc>
        <w:tc>
          <w:tcPr>
            <w:tcW w:w="0" w:type="auto"/>
            <w:vAlign w:val="center"/>
          </w:tcPr>
          <w:p w14:paraId="455488DE" w14:textId="10F54781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 (5.1)</w:t>
            </w:r>
          </w:p>
        </w:tc>
        <w:tc>
          <w:tcPr>
            <w:tcW w:w="0" w:type="auto"/>
            <w:vAlign w:val="center"/>
          </w:tcPr>
          <w:p w14:paraId="57139579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6 (25)</w:t>
            </w:r>
          </w:p>
        </w:tc>
        <w:tc>
          <w:tcPr>
            <w:tcW w:w="0" w:type="auto"/>
            <w:vAlign w:val="center"/>
          </w:tcPr>
          <w:p w14:paraId="255A2138" w14:textId="7AA88859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15 (62.5)</w:t>
            </w:r>
          </w:p>
        </w:tc>
        <w:tc>
          <w:tcPr>
            <w:tcW w:w="0" w:type="auto"/>
            <w:vAlign w:val="center"/>
          </w:tcPr>
          <w:p w14:paraId="0DB92828" w14:textId="64B7F19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 (12.5)</w:t>
            </w:r>
          </w:p>
        </w:tc>
        <w:tc>
          <w:tcPr>
            <w:tcW w:w="0" w:type="auto"/>
            <w:vAlign w:val="center"/>
          </w:tcPr>
          <w:p w14:paraId="13462C99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0.109</w:t>
            </w:r>
          </w:p>
        </w:tc>
      </w:tr>
      <w:tr w:rsidR="00902906" w:rsidRPr="00902906" w14:paraId="6A6D76CB" w14:textId="77777777" w:rsidTr="00902906">
        <w:tc>
          <w:tcPr>
            <w:tcW w:w="0" w:type="auto"/>
          </w:tcPr>
          <w:p w14:paraId="070D8805" w14:textId="0669DFD0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When I lift and carry something my shoulder hurts.</w:t>
            </w:r>
          </w:p>
        </w:tc>
        <w:tc>
          <w:tcPr>
            <w:tcW w:w="0" w:type="auto"/>
            <w:vAlign w:val="center"/>
          </w:tcPr>
          <w:p w14:paraId="2D27D958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CC9E147" w14:textId="584199E9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31 (79.5)</w:t>
            </w:r>
          </w:p>
        </w:tc>
        <w:tc>
          <w:tcPr>
            <w:tcW w:w="0" w:type="auto"/>
            <w:vAlign w:val="center"/>
          </w:tcPr>
          <w:p w14:paraId="17D4589B" w14:textId="2CC4DB35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8 (20.5)</w:t>
            </w:r>
          </w:p>
        </w:tc>
        <w:tc>
          <w:tcPr>
            <w:tcW w:w="0" w:type="auto"/>
            <w:vAlign w:val="center"/>
          </w:tcPr>
          <w:p w14:paraId="4857F6DE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 (8.3)</w:t>
            </w:r>
          </w:p>
        </w:tc>
        <w:tc>
          <w:tcPr>
            <w:tcW w:w="0" w:type="auto"/>
            <w:vAlign w:val="center"/>
          </w:tcPr>
          <w:p w14:paraId="71A68434" w14:textId="2E83A97B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17 (70.8)</w:t>
            </w:r>
          </w:p>
        </w:tc>
        <w:tc>
          <w:tcPr>
            <w:tcW w:w="0" w:type="auto"/>
            <w:vAlign w:val="center"/>
          </w:tcPr>
          <w:p w14:paraId="1C2AABC4" w14:textId="7FBD36A0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5 (20.8)</w:t>
            </w:r>
          </w:p>
        </w:tc>
        <w:tc>
          <w:tcPr>
            <w:tcW w:w="0" w:type="auto"/>
            <w:vAlign w:val="center"/>
          </w:tcPr>
          <w:p w14:paraId="2C0C2ED5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0.153</w:t>
            </w:r>
          </w:p>
        </w:tc>
      </w:tr>
      <w:tr w:rsidR="00902906" w:rsidRPr="00902906" w14:paraId="107C9EF9" w14:textId="77777777" w:rsidTr="00902906">
        <w:tc>
          <w:tcPr>
            <w:tcW w:w="0" w:type="auto"/>
          </w:tcPr>
          <w:p w14:paraId="04734CA6" w14:textId="10B04D3F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During reaching and grasping above shoulder level my shoulder hurts.</w:t>
            </w:r>
          </w:p>
        </w:tc>
        <w:tc>
          <w:tcPr>
            <w:tcW w:w="0" w:type="auto"/>
            <w:vAlign w:val="center"/>
          </w:tcPr>
          <w:p w14:paraId="56503C4B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5F25E7BB" w14:textId="67BA56B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32 (82.1)</w:t>
            </w:r>
          </w:p>
        </w:tc>
        <w:tc>
          <w:tcPr>
            <w:tcW w:w="0" w:type="auto"/>
            <w:vAlign w:val="center"/>
          </w:tcPr>
          <w:p w14:paraId="4C37CCA5" w14:textId="171A54B3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7 (17.9)</w:t>
            </w:r>
          </w:p>
        </w:tc>
        <w:tc>
          <w:tcPr>
            <w:tcW w:w="0" w:type="auto"/>
            <w:vAlign w:val="center"/>
          </w:tcPr>
          <w:p w14:paraId="13B2BC5F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4AF1479A" w14:textId="0C09A3EF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20 (87)</w:t>
            </w:r>
          </w:p>
        </w:tc>
        <w:tc>
          <w:tcPr>
            <w:tcW w:w="0" w:type="auto"/>
            <w:vAlign w:val="center"/>
          </w:tcPr>
          <w:p w14:paraId="2554B68A" w14:textId="18E59E79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 (13)</w:t>
            </w:r>
          </w:p>
        </w:tc>
        <w:tc>
          <w:tcPr>
            <w:tcW w:w="0" w:type="auto"/>
            <w:vAlign w:val="center"/>
          </w:tcPr>
          <w:p w14:paraId="3DEB8C92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0.260</w:t>
            </w:r>
          </w:p>
        </w:tc>
      </w:tr>
      <w:tr w:rsidR="00902906" w:rsidRPr="00902906" w14:paraId="12AEDBE3" w14:textId="77777777" w:rsidTr="00902906">
        <w:tc>
          <w:tcPr>
            <w:tcW w:w="0" w:type="auto"/>
          </w:tcPr>
          <w:p w14:paraId="17EB7972" w14:textId="7535C2C0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 xml:space="preserve">My shoulder is painful when I open or close a door. </w:t>
            </w:r>
          </w:p>
        </w:tc>
        <w:tc>
          <w:tcPr>
            <w:tcW w:w="0" w:type="auto"/>
            <w:vAlign w:val="center"/>
          </w:tcPr>
          <w:p w14:paraId="3F9ECCBA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4A20CBE5" w14:textId="729D6080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37 (94.9)</w:t>
            </w:r>
          </w:p>
        </w:tc>
        <w:tc>
          <w:tcPr>
            <w:tcW w:w="0" w:type="auto"/>
            <w:vAlign w:val="center"/>
          </w:tcPr>
          <w:p w14:paraId="673ADF3D" w14:textId="683025B3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 (5.1)</w:t>
            </w:r>
          </w:p>
        </w:tc>
        <w:tc>
          <w:tcPr>
            <w:tcW w:w="0" w:type="auto"/>
            <w:vAlign w:val="center"/>
          </w:tcPr>
          <w:p w14:paraId="58931933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E3AA4E7" w14:textId="68E2CFE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24 (100)</w:t>
            </w:r>
          </w:p>
        </w:tc>
        <w:tc>
          <w:tcPr>
            <w:tcW w:w="0" w:type="auto"/>
            <w:vAlign w:val="center"/>
          </w:tcPr>
          <w:p w14:paraId="4AD4F08F" w14:textId="3BFD55A9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661D7217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-</w:t>
            </w:r>
          </w:p>
        </w:tc>
      </w:tr>
      <w:tr w:rsidR="00902906" w:rsidRPr="00902906" w14:paraId="1A1FBE39" w14:textId="77777777" w:rsidTr="00902906">
        <w:tc>
          <w:tcPr>
            <w:tcW w:w="0" w:type="auto"/>
          </w:tcPr>
          <w:p w14:paraId="59364CC9" w14:textId="2219A4AB" w:rsidR="00902906" w:rsidRPr="00902906" w:rsidRDefault="00902906" w:rsidP="00902906">
            <w:pPr>
              <w:spacing w:line="240" w:lineRule="auto"/>
              <w:ind w:left="-18"/>
              <w:jc w:val="left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the back of my head</w:t>
            </w:r>
          </w:p>
        </w:tc>
        <w:tc>
          <w:tcPr>
            <w:tcW w:w="0" w:type="auto"/>
            <w:vAlign w:val="center"/>
          </w:tcPr>
          <w:p w14:paraId="132C932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0157092" w14:textId="1A8C0D4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32 (82.1)</w:t>
            </w:r>
          </w:p>
        </w:tc>
        <w:tc>
          <w:tcPr>
            <w:tcW w:w="0" w:type="auto"/>
            <w:vAlign w:val="center"/>
          </w:tcPr>
          <w:p w14:paraId="418C5620" w14:textId="1A23399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7 (17.9)</w:t>
            </w:r>
          </w:p>
        </w:tc>
        <w:tc>
          <w:tcPr>
            <w:tcW w:w="0" w:type="auto"/>
            <w:vAlign w:val="center"/>
          </w:tcPr>
          <w:p w14:paraId="3FD0CF3C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(4.3)</w:t>
            </w:r>
          </w:p>
        </w:tc>
        <w:tc>
          <w:tcPr>
            <w:tcW w:w="0" w:type="auto"/>
            <w:vAlign w:val="center"/>
          </w:tcPr>
          <w:p w14:paraId="48AB00D2" w14:textId="604EC714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21 (91.3)</w:t>
            </w:r>
          </w:p>
        </w:tc>
        <w:tc>
          <w:tcPr>
            <w:tcW w:w="0" w:type="auto"/>
            <w:vAlign w:val="center"/>
          </w:tcPr>
          <w:p w14:paraId="634B51D4" w14:textId="00CBF5BC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(4.3)</w:t>
            </w:r>
          </w:p>
        </w:tc>
        <w:tc>
          <w:tcPr>
            <w:tcW w:w="0" w:type="auto"/>
            <w:vAlign w:val="center"/>
          </w:tcPr>
          <w:p w14:paraId="5B8F0E2D" w14:textId="77777777" w:rsidR="00902906" w:rsidRPr="00902906" w:rsidRDefault="00902906" w:rsidP="00902906">
            <w:pPr>
              <w:spacing w:line="240" w:lineRule="auto"/>
              <w:jc w:val="center"/>
              <w:rPr>
                <w:iCs/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iCs/>
                <w:noProof w:val="0"/>
                <w:color w:val="auto"/>
                <w:sz w:val="20"/>
                <w:szCs w:val="20"/>
                <w:lang w:val="en-US"/>
              </w:rPr>
              <w:t>0.629</w:t>
            </w:r>
          </w:p>
        </w:tc>
      </w:tr>
      <w:tr w:rsidR="00902906" w:rsidRPr="00902906" w14:paraId="08CFCFDB" w14:textId="77777777" w:rsidTr="00902906">
        <w:tc>
          <w:tcPr>
            <w:tcW w:w="0" w:type="auto"/>
          </w:tcPr>
          <w:p w14:paraId="4ED15D6F" w14:textId="3B2FAC61" w:rsidR="00902906" w:rsidRPr="00902906" w:rsidRDefault="00902906" w:rsidP="00902906">
            <w:pPr>
              <w:spacing w:line="240" w:lineRule="auto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buttock</w:t>
            </w:r>
          </w:p>
        </w:tc>
        <w:tc>
          <w:tcPr>
            <w:tcW w:w="0" w:type="auto"/>
            <w:vAlign w:val="center"/>
          </w:tcPr>
          <w:p w14:paraId="50FA452A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2C3C2DEE" w14:textId="09E6438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35 (89.7)</w:t>
            </w:r>
          </w:p>
        </w:tc>
        <w:tc>
          <w:tcPr>
            <w:tcW w:w="0" w:type="auto"/>
            <w:vAlign w:val="center"/>
          </w:tcPr>
          <w:p w14:paraId="1BBADCDA" w14:textId="54652F7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4 (10.3)</w:t>
            </w:r>
          </w:p>
        </w:tc>
        <w:tc>
          <w:tcPr>
            <w:tcW w:w="0" w:type="auto"/>
            <w:vAlign w:val="center"/>
          </w:tcPr>
          <w:p w14:paraId="6AB7656B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(4.2)</w:t>
            </w:r>
          </w:p>
        </w:tc>
        <w:tc>
          <w:tcPr>
            <w:tcW w:w="0" w:type="auto"/>
            <w:vAlign w:val="center"/>
          </w:tcPr>
          <w:p w14:paraId="18BAABFD" w14:textId="49383543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22 (91.7)</w:t>
            </w:r>
          </w:p>
        </w:tc>
        <w:tc>
          <w:tcPr>
            <w:tcW w:w="0" w:type="auto"/>
            <w:vAlign w:val="center"/>
          </w:tcPr>
          <w:p w14:paraId="4C64D4E3" w14:textId="2B9EEFC3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(4.2)</w:t>
            </w:r>
          </w:p>
        </w:tc>
        <w:tc>
          <w:tcPr>
            <w:tcW w:w="0" w:type="auto"/>
            <w:vAlign w:val="center"/>
          </w:tcPr>
          <w:p w14:paraId="5347E959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0.752</w:t>
            </w:r>
          </w:p>
        </w:tc>
      </w:tr>
      <w:tr w:rsidR="00902906" w:rsidRPr="00902906" w14:paraId="4966259C" w14:textId="77777777" w:rsidTr="00902906">
        <w:tc>
          <w:tcPr>
            <w:tcW w:w="0" w:type="auto"/>
          </w:tcPr>
          <w:p w14:paraId="2765B3D7" w14:textId="041EA86E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My shoulder is painful when I bring my hand to my low back.</w:t>
            </w:r>
          </w:p>
        </w:tc>
        <w:tc>
          <w:tcPr>
            <w:tcW w:w="0" w:type="auto"/>
            <w:vAlign w:val="center"/>
          </w:tcPr>
          <w:p w14:paraId="03B10A30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9E08710" w14:textId="61B9204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34 (87.2)</w:t>
            </w:r>
          </w:p>
        </w:tc>
        <w:tc>
          <w:tcPr>
            <w:tcW w:w="0" w:type="auto"/>
            <w:vAlign w:val="center"/>
          </w:tcPr>
          <w:p w14:paraId="75AA506B" w14:textId="48DAF1B9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5 (12.8)</w:t>
            </w:r>
          </w:p>
        </w:tc>
        <w:tc>
          <w:tcPr>
            <w:tcW w:w="0" w:type="auto"/>
            <w:vAlign w:val="center"/>
          </w:tcPr>
          <w:p w14:paraId="21DC1062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(4.2)</w:t>
            </w:r>
          </w:p>
        </w:tc>
        <w:tc>
          <w:tcPr>
            <w:tcW w:w="0" w:type="auto"/>
            <w:vAlign w:val="center"/>
          </w:tcPr>
          <w:p w14:paraId="126D4EA7" w14:textId="0C6033D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23 (95.8)</w:t>
            </w:r>
          </w:p>
        </w:tc>
        <w:tc>
          <w:tcPr>
            <w:tcW w:w="0" w:type="auto"/>
            <w:vAlign w:val="center"/>
          </w:tcPr>
          <w:p w14:paraId="066F2859" w14:textId="0B60C3BE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16BA357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-</w:t>
            </w:r>
          </w:p>
        </w:tc>
      </w:tr>
      <w:tr w:rsidR="00902906" w:rsidRPr="00902906" w14:paraId="1C90B465" w14:textId="77777777" w:rsidTr="00902906">
        <w:tc>
          <w:tcPr>
            <w:tcW w:w="0" w:type="auto"/>
          </w:tcPr>
          <w:p w14:paraId="6EBDA5D0" w14:textId="0241190B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I rub my painful shoulder more than once during the day.</w:t>
            </w:r>
          </w:p>
        </w:tc>
        <w:tc>
          <w:tcPr>
            <w:tcW w:w="0" w:type="auto"/>
            <w:vAlign w:val="center"/>
          </w:tcPr>
          <w:p w14:paraId="7C8F1C16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9357E31" w14:textId="16183144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35 (89.7)</w:t>
            </w:r>
          </w:p>
        </w:tc>
        <w:tc>
          <w:tcPr>
            <w:tcW w:w="0" w:type="auto"/>
            <w:vAlign w:val="center"/>
          </w:tcPr>
          <w:p w14:paraId="3436DD91" w14:textId="12782BF6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4 (10.3)</w:t>
            </w:r>
          </w:p>
        </w:tc>
        <w:tc>
          <w:tcPr>
            <w:tcW w:w="0" w:type="auto"/>
            <w:vAlign w:val="center"/>
          </w:tcPr>
          <w:p w14:paraId="37DECD42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9751EAF" w14:textId="61B28E0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21 (87.5)</w:t>
            </w:r>
          </w:p>
        </w:tc>
        <w:tc>
          <w:tcPr>
            <w:tcW w:w="0" w:type="auto"/>
            <w:vAlign w:val="center"/>
          </w:tcPr>
          <w:p w14:paraId="1D272B3E" w14:textId="1A41FBF9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 (12.5)</w:t>
            </w:r>
          </w:p>
        </w:tc>
        <w:tc>
          <w:tcPr>
            <w:tcW w:w="0" w:type="auto"/>
            <w:vAlign w:val="center"/>
          </w:tcPr>
          <w:p w14:paraId="02B2B32F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0.567</w:t>
            </w:r>
          </w:p>
        </w:tc>
      </w:tr>
      <w:tr w:rsidR="00902906" w:rsidRPr="00902906" w14:paraId="1A7147D0" w14:textId="77777777" w:rsidTr="00902906">
        <w:tc>
          <w:tcPr>
            <w:tcW w:w="0" w:type="auto"/>
          </w:tcPr>
          <w:p w14:paraId="76654182" w14:textId="09066D33" w:rsidR="00902906" w:rsidRPr="00902906" w:rsidRDefault="00902906" w:rsidP="00902906">
            <w:pPr>
              <w:spacing w:line="240" w:lineRule="auto"/>
              <w:ind w:left="-18"/>
              <w:jc w:val="left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sz w:val="20"/>
                <w:szCs w:val="20"/>
              </w:rPr>
              <w:t>Because of my shoulder pain I am more irritable and bad tempered with people than usual.</w:t>
            </w:r>
          </w:p>
        </w:tc>
        <w:tc>
          <w:tcPr>
            <w:tcW w:w="0" w:type="auto"/>
            <w:vAlign w:val="center"/>
          </w:tcPr>
          <w:p w14:paraId="258F1FA0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EBCF94A" w14:textId="3926BFA4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35 (89.7)</w:t>
            </w:r>
          </w:p>
        </w:tc>
        <w:tc>
          <w:tcPr>
            <w:tcW w:w="0" w:type="auto"/>
            <w:vAlign w:val="center"/>
          </w:tcPr>
          <w:p w14:paraId="32B4869E" w14:textId="273B4978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4 (10.3)</w:t>
            </w:r>
          </w:p>
        </w:tc>
        <w:tc>
          <w:tcPr>
            <w:tcW w:w="0" w:type="auto"/>
            <w:vAlign w:val="center"/>
          </w:tcPr>
          <w:p w14:paraId="529D2341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15E55DE" w14:textId="19FFC690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22 (95.7)</w:t>
            </w:r>
          </w:p>
        </w:tc>
        <w:tc>
          <w:tcPr>
            <w:tcW w:w="0" w:type="auto"/>
            <w:vAlign w:val="center"/>
          </w:tcPr>
          <w:p w14:paraId="4B111D02" w14:textId="706C342B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sz w:val="20"/>
                <w:szCs w:val="20"/>
                <w:lang w:val="en-US"/>
              </w:rPr>
            </w:pPr>
            <w:r w:rsidRPr="00902906">
              <w:rPr>
                <w:noProof w:val="0"/>
                <w:sz w:val="20"/>
                <w:szCs w:val="20"/>
                <w:lang w:val="en-US"/>
              </w:rPr>
              <w:t>1 (4.3)</w:t>
            </w:r>
          </w:p>
        </w:tc>
        <w:tc>
          <w:tcPr>
            <w:tcW w:w="0" w:type="auto"/>
            <w:vAlign w:val="center"/>
          </w:tcPr>
          <w:p w14:paraId="6A92BD33" w14:textId="77777777" w:rsidR="00902906" w:rsidRPr="00902906" w:rsidRDefault="00902906" w:rsidP="00902906">
            <w:pPr>
              <w:spacing w:line="240" w:lineRule="auto"/>
              <w:jc w:val="center"/>
              <w:rPr>
                <w:noProof w:val="0"/>
                <w:color w:val="auto"/>
                <w:sz w:val="20"/>
                <w:szCs w:val="20"/>
                <w:lang w:val="en-US"/>
              </w:rPr>
            </w:pPr>
            <w:r w:rsidRPr="00902906">
              <w:rPr>
                <w:noProof w:val="0"/>
                <w:color w:val="auto"/>
                <w:sz w:val="20"/>
                <w:szCs w:val="20"/>
                <w:lang w:val="en-US"/>
              </w:rPr>
              <w:t>0.746</w:t>
            </w:r>
          </w:p>
        </w:tc>
      </w:tr>
    </w:tbl>
    <w:p w14:paraId="06DCBAD3" w14:textId="519D7685" w:rsidR="00434317" w:rsidRPr="008873CE" w:rsidRDefault="00434317" w:rsidP="00434317">
      <w:pPr>
        <w:pStyle w:val="MDPI41tablecaption"/>
        <w:spacing w:before="0"/>
        <w:ind w:left="0"/>
        <w:rPr>
          <w:rFonts w:eastAsia="Calibri"/>
        </w:rPr>
      </w:pPr>
      <w:r w:rsidRPr="008873CE">
        <w:rPr>
          <w:rFonts w:eastAsia="Calibri"/>
        </w:rPr>
        <w:t>* marginal homogeneity test</w:t>
      </w:r>
      <w:r w:rsidR="007E16EC">
        <w:rPr>
          <w:rFonts w:eastAsia="Calibri"/>
        </w:rPr>
        <w:t xml:space="preserve">. </w:t>
      </w:r>
      <w:r w:rsidR="007E16EC" w:rsidRPr="007E16EC">
        <w:rPr>
          <w:rFonts w:eastAsia="Calibri"/>
        </w:rPr>
        <w:t>No statistically significant differences were found between the groups.</w:t>
      </w:r>
    </w:p>
    <w:p w14:paraId="45A76684" w14:textId="77777777" w:rsidR="00644F4D" w:rsidRPr="008873CE" w:rsidRDefault="00644F4D" w:rsidP="00D63BF3">
      <w:pPr>
        <w:spacing w:line="240" w:lineRule="auto"/>
        <w:jc w:val="left"/>
        <w:rPr>
          <w:rFonts w:ascii="Calibri" w:eastAsia="Calibri" w:hAnsi="Calibri"/>
          <w:b/>
          <w:noProof w:val="0"/>
          <w:color w:val="auto"/>
          <w:sz w:val="32"/>
          <w:szCs w:val="22"/>
          <w:lang w:eastAsia="en-US"/>
        </w:rPr>
      </w:pPr>
    </w:p>
    <w:p w14:paraId="359284D7" w14:textId="6435D4C8" w:rsidR="00644F4D" w:rsidRPr="00902906" w:rsidRDefault="00902906" w:rsidP="00644F4D">
      <w:pPr>
        <w:spacing w:line="240" w:lineRule="auto"/>
        <w:rPr>
          <w:rFonts w:eastAsia="Calibri"/>
          <w:b/>
          <w:bCs/>
        </w:rPr>
      </w:pPr>
      <w:bookmarkStart w:id="5" w:name="_Hlk131969768"/>
      <w:bookmarkStart w:id="6" w:name="_Hlk132060661"/>
      <w:r w:rsidRPr="00902906">
        <w:rPr>
          <w:b/>
          <w:bCs/>
          <w:lang w:eastAsia="en-US"/>
        </w:rPr>
        <w:t>Table S</w:t>
      </w:r>
      <w:bookmarkEnd w:id="5"/>
      <w:r w:rsidR="00263D9C">
        <w:rPr>
          <w:rFonts w:eastAsia="Calibri"/>
          <w:b/>
          <w:bCs/>
        </w:rPr>
        <w:t>6</w:t>
      </w:r>
      <w:r w:rsidR="004D12B4" w:rsidRPr="00902906">
        <w:rPr>
          <w:rFonts w:eastAsia="Calibri"/>
          <w:b/>
          <w:bCs/>
        </w:rPr>
        <w:t xml:space="preserve"> </w:t>
      </w:r>
      <w:r w:rsidR="00644F4D" w:rsidRPr="00902906">
        <w:rPr>
          <w:rFonts w:eastAsia="Calibri"/>
          <w:b/>
          <w:bCs/>
        </w:rPr>
        <w:t xml:space="preserve">– Hand grip strength before </w:t>
      </w:r>
      <w:r w:rsidR="00D05F91" w:rsidRPr="00902906">
        <w:rPr>
          <w:rFonts w:eastAsia="Calibri"/>
          <w:b/>
          <w:bCs/>
        </w:rPr>
        <w:t>surgery</w:t>
      </w:r>
      <w:r w:rsidR="00644F4D" w:rsidRPr="00902906">
        <w:rPr>
          <w:rFonts w:eastAsia="Calibri"/>
          <w:b/>
          <w:bCs/>
        </w:rPr>
        <w:t>, 4 days</w:t>
      </w:r>
      <w:r w:rsidR="007C3C8A">
        <w:rPr>
          <w:rFonts w:eastAsia="Calibri"/>
          <w:b/>
          <w:bCs/>
        </w:rPr>
        <w:t>,</w:t>
      </w:r>
      <w:r w:rsidR="00644F4D" w:rsidRPr="00902906">
        <w:rPr>
          <w:rFonts w:eastAsia="Calibri"/>
          <w:b/>
          <w:bCs/>
        </w:rPr>
        <w:t xml:space="preserve"> and one year after </w:t>
      </w:r>
      <w:r w:rsidR="00D05F91" w:rsidRPr="00902906">
        <w:rPr>
          <w:rFonts w:eastAsia="Calibri"/>
          <w:b/>
          <w:bCs/>
        </w:rPr>
        <w:t>surgery</w:t>
      </w:r>
      <w:r w:rsidR="00542909">
        <w:rPr>
          <w:rFonts w:eastAsia="Calibri"/>
          <w:b/>
          <w:bCs/>
        </w:rPr>
        <w:t>.</w:t>
      </w:r>
    </w:p>
    <w:tbl>
      <w:tblPr>
        <w:tblStyle w:val="MDPI41threelinetable"/>
        <w:tblW w:w="10485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1579"/>
        <w:gridCol w:w="847"/>
        <w:gridCol w:w="1983"/>
        <w:gridCol w:w="756"/>
        <w:gridCol w:w="1949"/>
        <w:gridCol w:w="756"/>
        <w:gridCol w:w="839"/>
      </w:tblGrid>
      <w:tr w:rsidR="002A6163" w:rsidRPr="00902906" w14:paraId="38A9FE8F" w14:textId="77777777" w:rsidTr="00D05F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76" w:type="dxa"/>
            <w:tcBorders>
              <w:bottom w:val="none" w:sz="0" w:space="0" w:color="auto"/>
            </w:tcBorders>
          </w:tcPr>
          <w:bookmarkEnd w:id="6"/>
          <w:p w14:paraId="4F4F3C35" w14:textId="0FF31F2F" w:rsidR="002A6163" w:rsidRPr="00902906" w:rsidRDefault="002A6163" w:rsidP="00073DBD">
            <w:pPr>
              <w:spacing w:line="240" w:lineRule="auto"/>
              <w:jc w:val="left"/>
              <w:rPr>
                <w:rFonts w:eastAsia="Calibri"/>
                <w:bCs/>
              </w:rPr>
            </w:pPr>
            <w:r w:rsidRPr="00902906">
              <w:rPr>
                <w:rFonts w:eastAsia="Calibri"/>
                <w:bCs/>
              </w:rPr>
              <w:t xml:space="preserve">Hand grip strength </w:t>
            </w:r>
            <w:r w:rsidR="00073DBD" w:rsidRPr="00902906">
              <w:rPr>
                <w:rFonts w:eastAsia="Calibri"/>
                <w:bCs/>
              </w:rPr>
              <w:t>on</w:t>
            </w:r>
            <w:r w:rsidRPr="00902906">
              <w:rPr>
                <w:rFonts w:eastAsia="Calibri"/>
                <w:bCs/>
              </w:rPr>
              <w:t xml:space="preserve"> operated side</w:t>
            </w:r>
          </w:p>
        </w:tc>
        <w:tc>
          <w:tcPr>
            <w:tcW w:w="1579" w:type="dxa"/>
            <w:tcBorders>
              <w:bottom w:val="none" w:sz="0" w:space="0" w:color="auto"/>
            </w:tcBorders>
          </w:tcPr>
          <w:p w14:paraId="2DC5A94D" w14:textId="28D16075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Calibri"/>
                <w:bCs/>
              </w:rPr>
              <w:t>Diclofenac  (N=41)</w:t>
            </w:r>
          </w:p>
        </w:tc>
        <w:tc>
          <w:tcPr>
            <w:tcW w:w="847" w:type="dxa"/>
            <w:tcBorders>
              <w:bottom w:val="none" w:sz="0" w:space="0" w:color="auto"/>
            </w:tcBorders>
          </w:tcPr>
          <w:p w14:paraId="12FCC5F8" w14:textId="634643F7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Times New Roman"/>
                <w:bCs/>
                <w:noProof w:val="0"/>
                <w:color w:val="auto"/>
                <w:lang w:eastAsia="en-US"/>
              </w:rPr>
              <w:t>p</w:t>
            </w:r>
            <w:r w:rsidRPr="00902906">
              <w:rPr>
                <w:rFonts w:eastAsia="Times New Roman"/>
                <w:bCs/>
                <w:noProof w:val="0"/>
                <w:color w:val="auto"/>
                <w:vertAlign w:val="superscript"/>
                <w:lang w:eastAsia="en-US"/>
              </w:rPr>
              <w:t>†</w:t>
            </w:r>
          </w:p>
        </w:tc>
        <w:tc>
          <w:tcPr>
            <w:tcW w:w="1983" w:type="dxa"/>
            <w:tcBorders>
              <w:bottom w:val="none" w:sz="0" w:space="0" w:color="auto"/>
            </w:tcBorders>
          </w:tcPr>
          <w:p w14:paraId="06436A27" w14:textId="6B2156E4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Calibri"/>
                <w:bCs/>
              </w:rPr>
              <w:t>Levobupivacaine bolus (N=39)</w:t>
            </w:r>
          </w:p>
        </w:tc>
        <w:tc>
          <w:tcPr>
            <w:tcW w:w="756" w:type="dxa"/>
            <w:tcBorders>
              <w:bottom w:val="none" w:sz="0" w:space="0" w:color="auto"/>
            </w:tcBorders>
          </w:tcPr>
          <w:p w14:paraId="634C1057" w14:textId="14D5C8EA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Times New Roman"/>
                <w:bCs/>
                <w:noProof w:val="0"/>
                <w:color w:val="auto"/>
                <w:lang w:eastAsia="en-US"/>
              </w:rPr>
              <w:t>p</w:t>
            </w:r>
            <w:r w:rsidRPr="00902906">
              <w:rPr>
                <w:rFonts w:eastAsia="Times New Roman"/>
                <w:bCs/>
                <w:noProof w:val="0"/>
                <w:color w:val="auto"/>
                <w:vertAlign w:val="superscript"/>
                <w:lang w:eastAsia="en-US"/>
              </w:rPr>
              <w:t>†</w:t>
            </w:r>
          </w:p>
        </w:tc>
        <w:tc>
          <w:tcPr>
            <w:tcW w:w="1949" w:type="dxa"/>
            <w:tcBorders>
              <w:bottom w:val="none" w:sz="0" w:space="0" w:color="auto"/>
            </w:tcBorders>
          </w:tcPr>
          <w:p w14:paraId="781BBFF4" w14:textId="1F3EBF00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Calibri"/>
                <w:bCs/>
                <w:noProof w:val="0"/>
                <w:lang w:eastAsia="en-US"/>
              </w:rPr>
              <w:t xml:space="preserve">Levobupivacaine PCA </w:t>
            </w:r>
            <w:r w:rsidRPr="00902906">
              <w:rPr>
                <w:rFonts w:eastAsia="Calibri"/>
                <w:bCs/>
                <w:noProof w:val="0"/>
                <w:color w:val="auto"/>
                <w:lang w:eastAsia="en-US"/>
              </w:rPr>
              <w:t>(N=40)</w:t>
            </w:r>
          </w:p>
        </w:tc>
        <w:tc>
          <w:tcPr>
            <w:tcW w:w="756" w:type="dxa"/>
            <w:tcBorders>
              <w:bottom w:val="none" w:sz="0" w:space="0" w:color="auto"/>
            </w:tcBorders>
          </w:tcPr>
          <w:p w14:paraId="5B9FF87D" w14:textId="0D38741E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Times New Roman"/>
                <w:bCs/>
                <w:noProof w:val="0"/>
                <w:color w:val="auto"/>
                <w:lang w:eastAsia="en-US"/>
              </w:rPr>
              <w:t>p</w:t>
            </w:r>
            <w:r w:rsidRPr="00902906">
              <w:rPr>
                <w:rFonts w:eastAsia="Times New Roman"/>
                <w:bCs/>
                <w:noProof w:val="0"/>
                <w:color w:val="auto"/>
                <w:vertAlign w:val="superscript"/>
                <w:lang w:eastAsia="en-US"/>
              </w:rPr>
              <w:t>†</w:t>
            </w:r>
          </w:p>
        </w:tc>
        <w:tc>
          <w:tcPr>
            <w:tcW w:w="839" w:type="dxa"/>
            <w:tcBorders>
              <w:bottom w:val="none" w:sz="0" w:space="0" w:color="auto"/>
            </w:tcBorders>
          </w:tcPr>
          <w:p w14:paraId="230CAF33" w14:textId="304A1592" w:rsidR="002A6163" w:rsidRPr="00902906" w:rsidRDefault="002A6163" w:rsidP="00630886">
            <w:pPr>
              <w:spacing w:line="240" w:lineRule="auto"/>
              <w:jc w:val="center"/>
              <w:rPr>
                <w:rFonts w:eastAsia="Calibri"/>
                <w:bCs/>
              </w:rPr>
            </w:pPr>
            <w:r w:rsidRPr="00902906">
              <w:rPr>
                <w:rFonts w:eastAsia="Calibri"/>
                <w:bCs/>
              </w:rPr>
              <w:t>p</w:t>
            </w:r>
            <w:r w:rsidRPr="00902906">
              <w:rPr>
                <w:rFonts w:eastAsia="Calibri"/>
                <w:bCs/>
                <w:vertAlign w:val="superscript"/>
              </w:rPr>
              <w:t>‡</w:t>
            </w:r>
          </w:p>
        </w:tc>
      </w:tr>
      <w:tr w:rsidR="00D05F91" w:rsidRPr="00902906" w14:paraId="73468232" w14:textId="77777777" w:rsidTr="00D05F91">
        <w:tc>
          <w:tcPr>
            <w:tcW w:w="1776" w:type="dxa"/>
          </w:tcPr>
          <w:p w14:paraId="29C64F8D" w14:textId="5263C8B9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 xml:space="preserve">before </w:t>
            </w:r>
            <w:r w:rsidR="002A6163" w:rsidRPr="00902906">
              <w:rPr>
                <w:rFonts w:eastAsia="Calibri"/>
              </w:rPr>
              <w:t>surgery</w:t>
            </w:r>
          </w:p>
        </w:tc>
        <w:tc>
          <w:tcPr>
            <w:tcW w:w="1579" w:type="dxa"/>
          </w:tcPr>
          <w:p w14:paraId="37E691B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 xml:space="preserve">0.38 </w:t>
            </w:r>
          </w:p>
          <w:p w14:paraId="2371DE5F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(0.34 – 0.44)</w:t>
            </w:r>
          </w:p>
        </w:tc>
        <w:tc>
          <w:tcPr>
            <w:tcW w:w="847" w:type="dxa"/>
            <w:vMerge w:val="restart"/>
          </w:tcPr>
          <w:p w14:paraId="626CACC4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0.125</w:t>
            </w:r>
          </w:p>
        </w:tc>
        <w:tc>
          <w:tcPr>
            <w:tcW w:w="1983" w:type="dxa"/>
          </w:tcPr>
          <w:p w14:paraId="7E2CB543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0.37</w:t>
            </w:r>
          </w:p>
          <w:p w14:paraId="1432D848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(0.31 – 0.44)</w:t>
            </w:r>
          </w:p>
        </w:tc>
        <w:tc>
          <w:tcPr>
            <w:tcW w:w="756" w:type="dxa"/>
            <w:vMerge w:val="restart"/>
          </w:tcPr>
          <w:p w14:paraId="7DA00F4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0.263</w:t>
            </w:r>
          </w:p>
        </w:tc>
        <w:tc>
          <w:tcPr>
            <w:tcW w:w="1949" w:type="dxa"/>
          </w:tcPr>
          <w:p w14:paraId="00762D4C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0.40</w:t>
            </w:r>
          </w:p>
          <w:p w14:paraId="50B479A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(0.34 – 0.47)</w:t>
            </w:r>
          </w:p>
        </w:tc>
        <w:tc>
          <w:tcPr>
            <w:tcW w:w="756" w:type="dxa"/>
            <w:vMerge w:val="restart"/>
          </w:tcPr>
          <w:p w14:paraId="36ACBD1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  <w:b/>
              </w:rPr>
            </w:pPr>
            <w:r w:rsidRPr="00902906">
              <w:rPr>
                <w:rFonts w:eastAsia="Calibri"/>
                <w:b/>
              </w:rPr>
              <w:t>0.022</w:t>
            </w:r>
          </w:p>
        </w:tc>
        <w:tc>
          <w:tcPr>
            <w:tcW w:w="839" w:type="dxa"/>
          </w:tcPr>
          <w:p w14:paraId="1BDFC99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0.452</w:t>
            </w:r>
          </w:p>
        </w:tc>
      </w:tr>
      <w:tr w:rsidR="00D05F91" w:rsidRPr="00902906" w14:paraId="4DB71479" w14:textId="77777777" w:rsidTr="00D05F91">
        <w:tc>
          <w:tcPr>
            <w:tcW w:w="1776" w:type="dxa"/>
          </w:tcPr>
          <w:p w14:paraId="72FDA329" w14:textId="77777777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>4 days after</w:t>
            </w:r>
          </w:p>
        </w:tc>
        <w:tc>
          <w:tcPr>
            <w:tcW w:w="1579" w:type="dxa"/>
          </w:tcPr>
          <w:p w14:paraId="0769446C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0.37</w:t>
            </w:r>
          </w:p>
          <w:p w14:paraId="6C72A5B2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(0.30 – 0.43)</w:t>
            </w:r>
          </w:p>
        </w:tc>
        <w:tc>
          <w:tcPr>
            <w:tcW w:w="847" w:type="dxa"/>
            <w:vMerge/>
          </w:tcPr>
          <w:p w14:paraId="054B7BE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3" w:type="dxa"/>
          </w:tcPr>
          <w:p w14:paraId="3BDDFA0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0.35</w:t>
            </w:r>
          </w:p>
          <w:p w14:paraId="4DCEC573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(0.27 – 0.46)</w:t>
            </w:r>
          </w:p>
        </w:tc>
        <w:tc>
          <w:tcPr>
            <w:tcW w:w="756" w:type="dxa"/>
            <w:vMerge/>
          </w:tcPr>
          <w:p w14:paraId="1079A8D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49" w:type="dxa"/>
          </w:tcPr>
          <w:p w14:paraId="2650093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0.38</w:t>
            </w:r>
          </w:p>
          <w:p w14:paraId="677D6DA5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(0.30 – 0.41)</w:t>
            </w:r>
          </w:p>
        </w:tc>
        <w:tc>
          <w:tcPr>
            <w:tcW w:w="756" w:type="dxa"/>
            <w:vMerge/>
          </w:tcPr>
          <w:p w14:paraId="51E452C5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839" w:type="dxa"/>
          </w:tcPr>
          <w:p w14:paraId="3F4824C3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0.778</w:t>
            </w:r>
          </w:p>
        </w:tc>
      </w:tr>
      <w:tr w:rsidR="00D05F91" w:rsidRPr="00902906" w14:paraId="30C4B19F" w14:textId="77777777" w:rsidTr="00D05F91">
        <w:tc>
          <w:tcPr>
            <w:tcW w:w="1776" w:type="dxa"/>
          </w:tcPr>
          <w:p w14:paraId="03993250" w14:textId="77777777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>1 year after</w:t>
            </w:r>
          </w:p>
        </w:tc>
        <w:tc>
          <w:tcPr>
            <w:tcW w:w="1579" w:type="dxa"/>
          </w:tcPr>
          <w:p w14:paraId="272BDE10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0.32</w:t>
            </w:r>
          </w:p>
          <w:p w14:paraId="58F2CBBA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(0.25 – 0.43)</w:t>
            </w:r>
          </w:p>
        </w:tc>
        <w:tc>
          <w:tcPr>
            <w:tcW w:w="847" w:type="dxa"/>
            <w:vMerge/>
          </w:tcPr>
          <w:p w14:paraId="757E7615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3" w:type="dxa"/>
          </w:tcPr>
          <w:p w14:paraId="0F8509D4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0.34</w:t>
            </w:r>
          </w:p>
          <w:p w14:paraId="7DD6C9C7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(0.30 – 0.40)</w:t>
            </w:r>
          </w:p>
        </w:tc>
        <w:tc>
          <w:tcPr>
            <w:tcW w:w="756" w:type="dxa"/>
            <w:vMerge/>
          </w:tcPr>
          <w:p w14:paraId="3407C73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49" w:type="dxa"/>
          </w:tcPr>
          <w:p w14:paraId="29733106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0.39</w:t>
            </w:r>
          </w:p>
          <w:p w14:paraId="432C800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0.51)</w:t>
            </w:r>
          </w:p>
        </w:tc>
        <w:tc>
          <w:tcPr>
            <w:tcW w:w="756" w:type="dxa"/>
            <w:vMerge/>
          </w:tcPr>
          <w:p w14:paraId="1D3980D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839" w:type="dxa"/>
          </w:tcPr>
          <w:p w14:paraId="421167B7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0.161</w:t>
            </w:r>
          </w:p>
        </w:tc>
      </w:tr>
      <w:tr w:rsidR="00644F4D" w:rsidRPr="00902906" w14:paraId="7674F7D1" w14:textId="77777777" w:rsidTr="00073DBD">
        <w:tc>
          <w:tcPr>
            <w:tcW w:w="10485" w:type="dxa"/>
            <w:gridSpan w:val="8"/>
          </w:tcPr>
          <w:p w14:paraId="04DEE7F3" w14:textId="5955DA49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  <w:b/>
              </w:rPr>
              <w:t>Hand grip strength – non</w:t>
            </w:r>
            <w:r w:rsidR="002A6163" w:rsidRPr="00902906">
              <w:rPr>
                <w:rFonts w:eastAsia="Calibri"/>
                <w:b/>
              </w:rPr>
              <w:t>-operated</w:t>
            </w:r>
            <w:r w:rsidRPr="00902906">
              <w:rPr>
                <w:rFonts w:eastAsia="Calibri"/>
                <w:b/>
              </w:rPr>
              <w:t xml:space="preserve"> side</w:t>
            </w:r>
          </w:p>
        </w:tc>
      </w:tr>
      <w:tr w:rsidR="00D05F91" w:rsidRPr="00902906" w14:paraId="669E8065" w14:textId="77777777" w:rsidTr="00D05F91">
        <w:tc>
          <w:tcPr>
            <w:tcW w:w="1776" w:type="dxa"/>
          </w:tcPr>
          <w:p w14:paraId="00540304" w14:textId="209AA66E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 xml:space="preserve">before </w:t>
            </w:r>
            <w:r w:rsidR="002A6163" w:rsidRPr="00902906">
              <w:rPr>
                <w:rFonts w:eastAsia="Calibri"/>
              </w:rPr>
              <w:t>surgery</w:t>
            </w:r>
          </w:p>
        </w:tc>
        <w:tc>
          <w:tcPr>
            <w:tcW w:w="1579" w:type="dxa"/>
          </w:tcPr>
          <w:p w14:paraId="32046E1F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 xml:space="preserve">0.37 </w:t>
            </w:r>
          </w:p>
          <w:p w14:paraId="6F01618B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0.46)</w:t>
            </w:r>
          </w:p>
        </w:tc>
        <w:tc>
          <w:tcPr>
            <w:tcW w:w="847" w:type="dxa"/>
            <w:vMerge w:val="restart"/>
          </w:tcPr>
          <w:p w14:paraId="23080842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0.269</w:t>
            </w:r>
          </w:p>
        </w:tc>
        <w:tc>
          <w:tcPr>
            <w:tcW w:w="1983" w:type="dxa"/>
          </w:tcPr>
          <w:p w14:paraId="0631A213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0.38</w:t>
            </w:r>
          </w:p>
          <w:p w14:paraId="39235B1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(0.30 – 0.43)</w:t>
            </w:r>
          </w:p>
        </w:tc>
        <w:tc>
          <w:tcPr>
            <w:tcW w:w="756" w:type="dxa"/>
            <w:vMerge w:val="restart"/>
          </w:tcPr>
          <w:p w14:paraId="1C695C7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0.734</w:t>
            </w:r>
          </w:p>
        </w:tc>
        <w:tc>
          <w:tcPr>
            <w:tcW w:w="1949" w:type="dxa"/>
          </w:tcPr>
          <w:p w14:paraId="110C168C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0.39</w:t>
            </w:r>
          </w:p>
          <w:p w14:paraId="17C9B4E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(0.33 – 0.46)</w:t>
            </w:r>
          </w:p>
        </w:tc>
        <w:tc>
          <w:tcPr>
            <w:tcW w:w="756" w:type="dxa"/>
            <w:vMerge w:val="restart"/>
          </w:tcPr>
          <w:p w14:paraId="302CE22C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0.145</w:t>
            </w:r>
          </w:p>
        </w:tc>
        <w:tc>
          <w:tcPr>
            <w:tcW w:w="839" w:type="dxa"/>
          </w:tcPr>
          <w:p w14:paraId="44ED81EF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0.686</w:t>
            </w:r>
          </w:p>
        </w:tc>
      </w:tr>
      <w:tr w:rsidR="00D05F91" w:rsidRPr="00902906" w14:paraId="50713C4B" w14:textId="77777777" w:rsidTr="00D05F91">
        <w:tc>
          <w:tcPr>
            <w:tcW w:w="1776" w:type="dxa"/>
          </w:tcPr>
          <w:p w14:paraId="69B082F9" w14:textId="1250A43A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 xml:space="preserve">4 days </w:t>
            </w:r>
            <w:r w:rsidR="002A6163" w:rsidRPr="00902906">
              <w:rPr>
                <w:rFonts w:eastAsia="Calibri"/>
              </w:rPr>
              <w:t>after</w:t>
            </w:r>
          </w:p>
        </w:tc>
        <w:tc>
          <w:tcPr>
            <w:tcW w:w="1579" w:type="dxa"/>
          </w:tcPr>
          <w:p w14:paraId="339D73F5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0.37</w:t>
            </w:r>
          </w:p>
          <w:p w14:paraId="3A764E4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0.48)</w:t>
            </w:r>
          </w:p>
        </w:tc>
        <w:tc>
          <w:tcPr>
            <w:tcW w:w="847" w:type="dxa"/>
            <w:vMerge/>
          </w:tcPr>
          <w:p w14:paraId="67A4DBB1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3" w:type="dxa"/>
          </w:tcPr>
          <w:p w14:paraId="3A8D0B77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0.40</w:t>
            </w:r>
          </w:p>
          <w:p w14:paraId="4FFD98D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0.44)</w:t>
            </w:r>
          </w:p>
        </w:tc>
        <w:tc>
          <w:tcPr>
            <w:tcW w:w="756" w:type="dxa"/>
            <w:vMerge/>
          </w:tcPr>
          <w:p w14:paraId="4EDE3ECF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49" w:type="dxa"/>
          </w:tcPr>
          <w:p w14:paraId="3F1C73F3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0.40</w:t>
            </w:r>
          </w:p>
          <w:p w14:paraId="41990892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0.45)</w:t>
            </w:r>
          </w:p>
        </w:tc>
        <w:tc>
          <w:tcPr>
            <w:tcW w:w="756" w:type="dxa"/>
            <w:vMerge/>
          </w:tcPr>
          <w:p w14:paraId="26EA93F8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839" w:type="dxa"/>
          </w:tcPr>
          <w:p w14:paraId="103B5D26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0.888</w:t>
            </w:r>
          </w:p>
        </w:tc>
      </w:tr>
      <w:tr w:rsidR="00D05F91" w:rsidRPr="00902906" w14:paraId="706D618D" w14:textId="77777777" w:rsidTr="00D05F91">
        <w:tc>
          <w:tcPr>
            <w:tcW w:w="1776" w:type="dxa"/>
          </w:tcPr>
          <w:p w14:paraId="2322D9A5" w14:textId="77777777" w:rsidR="00644F4D" w:rsidRPr="00902906" w:rsidRDefault="00644F4D" w:rsidP="00630886">
            <w:pPr>
              <w:spacing w:line="240" w:lineRule="auto"/>
              <w:rPr>
                <w:rFonts w:eastAsia="Calibri"/>
              </w:rPr>
            </w:pPr>
            <w:r w:rsidRPr="00902906">
              <w:rPr>
                <w:rFonts w:eastAsia="Calibri"/>
              </w:rPr>
              <w:t>1 year after</w:t>
            </w:r>
          </w:p>
        </w:tc>
        <w:tc>
          <w:tcPr>
            <w:tcW w:w="1579" w:type="dxa"/>
          </w:tcPr>
          <w:p w14:paraId="0B0464F6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0.35</w:t>
            </w:r>
          </w:p>
          <w:p w14:paraId="42A1F8E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(0.27 – 0.44)</w:t>
            </w:r>
          </w:p>
        </w:tc>
        <w:tc>
          <w:tcPr>
            <w:tcW w:w="847" w:type="dxa"/>
            <w:vMerge/>
          </w:tcPr>
          <w:p w14:paraId="5AD7617B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3" w:type="dxa"/>
          </w:tcPr>
          <w:p w14:paraId="13C38D2B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0.38</w:t>
            </w:r>
          </w:p>
          <w:p w14:paraId="500B6A29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(0.29 – 0.42)</w:t>
            </w:r>
          </w:p>
        </w:tc>
        <w:tc>
          <w:tcPr>
            <w:tcW w:w="756" w:type="dxa"/>
            <w:vMerge/>
          </w:tcPr>
          <w:p w14:paraId="60F481EE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949" w:type="dxa"/>
          </w:tcPr>
          <w:p w14:paraId="1F297BE7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0.40</w:t>
            </w:r>
          </w:p>
          <w:p w14:paraId="15830ABD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(0.32 – 0.49)</w:t>
            </w:r>
          </w:p>
        </w:tc>
        <w:tc>
          <w:tcPr>
            <w:tcW w:w="756" w:type="dxa"/>
            <w:vMerge/>
          </w:tcPr>
          <w:p w14:paraId="5F3FA284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839" w:type="dxa"/>
          </w:tcPr>
          <w:p w14:paraId="274A8217" w14:textId="77777777" w:rsidR="00644F4D" w:rsidRPr="00902906" w:rsidRDefault="00644F4D" w:rsidP="00630886">
            <w:pPr>
              <w:spacing w:line="240" w:lineRule="auto"/>
              <w:jc w:val="center"/>
              <w:rPr>
                <w:rFonts w:eastAsia="Calibri"/>
              </w:rPr>
            </w:pPr>
            <w:r w:rsidRPr="00902906">
              <w:rPr>
                <w:rFonts w:eastAsia="Calibri"/>
              </w:rPr>
              <w:t>0.457</w:t>
            </w:r>
          </w:p>
        </w:tc>
      </w:tr>
    </w:tbl>
    <w:p w14:paraId="2F445D14" w14:textId="309D3433" w:rsidR="00644F4D" w:rsidRPr="008873CE" w:rsidRDefault="00644F4D" w:rsidP="00644F4D">
      <w:pPr>
        <w:spacing w:after="200" w:line="360" w:lineRule="auto"/>
        <w:rPr>
          <w:rFonts w:ascii="Times New Roman" w:eastAsia="Calibri" w:hAnsi="Times New Roman"/>
        </w:rPr>
      </w:pPr>
      <w:r w:rsidRPr="008873CE">
        <w:rPr>
          <w:rFonts w:ascii="Times New Roman" w:eastAsia="Calibri" w:hAnsi="Times New Roman"/>
          <w:vertAlign w:val="superscript"/>
        </w:rPr>
        <w:t>*</w:t>
      </w:r>
      <w:r w:rsidRPr="008873CE">
        <w:rPr>
          <w:rFonts w:ascii="Times New Roman" w:eastAsia="Calibri" w:hAnsi="Times New Roman"/>
        </w:rPr>
        <w:t>Median (interquartile range);</w:t>
      </w:r>
      <w:r w:rsidRPr="008873CE">
        <w:rPr>
          <w:rFonts w:ascii="Times New Roman" w:eastAsia="Calibri" w:hAnsi="Times New Roman"/>
          <w:vertAlign w:val="superscript"/>
        </w:rPr>
        <w:t xml:space="preserve"> †</w:t>
      </w:r>
      <w:r w:rsidRPr="008873CE">
        <w:rPr>
          <w:rFonts w:ascii="Times New Roman" w:eastAsia="Calibri" w:hAnsi="Times New Roman"/>
        </w:rPr>
        <w:t xml:space="preserve"> Friedman's test; </w:t>
      </w:r>
      <w:r w:rsidRPr="008873CE">
        <w:rPr>
          <w:rFonts w:ascii="Times New Roman" w:eastAsia="Calibri" w:hAnsi="Times New Roman"/>
          <w:vertAlign w:val="superscript"/>
        </w:rPr>
        <w:t>‡</w:t>
      </w:r>
      <w:r w:rsidRPr="008873CE">
        <w:rPr>
          <w:rFonts w:ascii="Times New Roman" w:eastAsia="Calibri" w:hAnsi="Times New Roman"/>
        </w:rPr>
        <w:t xml:space="preserve"> Kruskal Wallis test</w:t>
      </w:r>
    </w:p>
    <w:p w14:paraId="4B645A29" w14:textId="77777777" w:rsidR="003C13CF" w:rsidRPr="008873CE" w:rsidRDefault="003C13CF" w:rsidP="00D63BF3">
      <w:pPr>
        <w:spacing w:line="240" w:lineRule="auto"/>
        <w:jc w:val="left"/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</w:pPr>
    </w:p>
    <w:p w14:paraId="68D32989" w14:textId="5496B1D8" w:rsidR="003C13CF" w:rsidRPr="00902906" w:rsidRDefault="007E16EC" w:rsidP="003C13CF">
      <w:pPr>
        <w:spacing w:after="160" w:line="259" w:lineRule="auto"/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</w:pPr>
      <w:bookmarkStart w:id="7" w:name="_Hlk132060688"/>
      <w:r w:rsidRPr="007E16EC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>Table S</w:t>
      </w:r>
      <w:r w:rsidR="000B3CAA" w:rsidRPr="00902906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>7</w:t>
      </w:r>
      <w:r w:rsidR="003C13CF" w:rsidRPr="00902906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 xml:space="preserve">. </w:t>
      </w:r>
      <w:r w:rsidR="008873CE" w:rsidRPr="00902906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>Survival of patients operated on for breast cancer after 10 years related to body mass index, ASA status</w:t>
      </w:r>
      <w:r w:rsidR="007C3C8A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>,</w:t>
      </w:r>
      <w:r w:rsidR="008873CE" w:rsidRPr="00902906">
        <w:rPr>
          <w:rFonts w:ascii="Times New Roman" w:eastAsia="Calibri" w:hAnsi="Times New Roman"/>
          <w:b/>
          <w:bCs/>
          <w:noProof w:val="0"/>
          <w:color w:val="212121"/>
          <w:sz w:val="22"/>
          <w:szCs w:val="22"/>
          <w:shd w:val="clear" w:color="auto" w:fill="FFFFFF"/>
          <w:lang w:eastAsia="en-US"/>
        </w:rPr>
        <w:t xml:space="preserve"> and type of postoperative analgesia.</w:t>
      </w:r>
    </w:p>
    <w:bookmarkEnd w:id="7"/>
    <w:tbl>
      <w:tblPr>
        <w:tblW w:w="513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3"/>
        <w:gridCol w:w="1420"/>
        <w:gridCol w:w="1420"/>
        <w:gridCol w:w="992"/>
        <w:gridCol w:w="1072"/>
        <w:gridCol w:w="1800"/>
        <w:gridCol w:w="1061"/>
      </w:tblGrid>
      <w:tr w:rsidR="002C45B6" w:rsidRPr="008873CE" w14:paraId="65DF0138" w14:textId="77777777" w:rsidTr="002C45B6">
        <w:trPr>
          <w:trHeight w:val="779"/>
        </w:trPr>
        <w:tc>
          <w:tcPr>
            <w:tcW w:w="1385" w:type="pct"/>
            <w:shd w:val="clear" w:color="auto" w:fill="auto"/>
            <w:noWrap/>
            <w:vAlign w:val="center"/>
          </w:tcPr>
          <w:p w14:paraId="07ED5885" w14:textId="77777777" w:rsidR="002566BE" w:rsidRPr="008873CE" w:rsidRDefault="002566BE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661" w:type="pct"/>
            <w:shd w:val="clear" w:color="auto" w:fill="auto"/>
            <w:noWrap/>
          </w:tcPr>
          <w:p w14:paraId="6A630539" w14:textId="77A3217A" w:rsidR="002566BE" w:rsidRPr="008873CE" w:rsidRDefault="002566BE" w:rsidP="002C45B6">
            <w:pPr>
              <w:pStyle w:val="MDPI42tablebody"/>
              <w:rPr>
                <w:sz w:val="18"/>
                <w:lang w:eastAsia="hr-HR"/>
              </w:rPr>
            </w:pPr>
            <w:r w:rsidRPr="00EE05B7">
              <w:t xml:space="preserve">Number (%) of </w:t>
            </w:r>
            <w:r>
              <w:t>deceased</w:t>
            </w:r>
          </w:p>
        </w:tc>
        <w:tc>
          <w:tcPr>
            <w:tcW w:w="661" w:type="pct"/>
          </w:tcPr>
          <w:p w14:paraId="021CC940" w14:textId="54A93BB6" w:rsidR="002566BE" w:rsidRPr="008873CE" w:rsidRDefault="002566BE" w:rsidP="002C45B6">
            <w:pPr>
              <w:pStyle w:val="MDPI42tablebody"/>
              <w:rPr>
                <w:sz w:val="18"/>
                <w:lang w:eastAsia="hr-HR"/>
              </w:rPr>
            </w:pPr>
            <w:r w:rsidRPr="00EE05B7">
              <w:t>Number (%) of survivors</w:t>
            </w:r>
          </w:p>
        </w:tc>
        <w:tc>
          <w:tcPr>
            <w:tcW w:w="462" w:type="pct"/>
            <w:vAlign w:val="center"/>
          </w:tcPr>
          <w:p w14:paraId="25615A38" w14:textId="3F908BC5" w:rsidR="002566BE" w:rsidRPr="008873CE" w:rsidRDefault="002566BE" w:rsidP="002C45B6">
            <w:pPr>
              <w:pStyle w:val="MDPI42tablebody"/>
              <w:rPr>
                <w:sz w:val="18"/>
                <w:lang w:eastAsia="hr-HR"/>
              </w:rPr>
            </w:pPr>
            <w:r>
              <w:rPr>
                <w:sz w:val="18"/>
                <w:lang w:eastAsia="hr-HR"/>
              </w:rPr>
              <w:t>Total</w:t>
            </w:r>
          </w:p>
        </w:tc>
        <w:tc>
          <w:tcPr>
            <w:tcW w:w="499" w:type="pct"/>
            <w:vAlign w:val="center"/>
          </w:tcPr>
          <w:p w14:paraId="22CED224" w14:textId="0B04B00D" w:rsidR="002566BE" w:rsidRPr="008873CE" w:rsidRDefault="002566BE" w:rsidP="002C45B6">
            <w:pPr>
              <w:pStyle w:val="MDPI42tablebody"/>
              <w:rPr>
                <w:lang w:eastAsia="hr-HR"/>
              </w:rPr>
            </w:pPr>
            <w:r w:rsidRPr="002566BE">
              <w:rPr>
                <w:lang w:eastAsia="hr-HR"/>
              </w:rPr>
              <w:t>Survival</w:t>
            </w:r>
          </w:p>
        </w:tc>
        <w:tc>
          <w:tcPr>
            <w:tcW w:w="838" w:type="pct"/>
            <w:vAlign w:val="center"/>
          </w:tcPr>
          <w:p w14:paraId="7360779B" w14:textId="1D5FD3E1" w:rsidR="002566BE" w:rsidRPr="008873CE" w:rsidRDefault="007C3C8A" w:rsidP="002C45B6">
            <w:pPr>
              <w:pStyle w:val="MDPI42tablebody"/>
              <w:rPr>
                <w:lang w:eastAsia="hr-HR"/>
              </w:rPr>
            </w:pPr>
            <w:r>
              <w:rPr>
                <w:lang w:eastAsia="hr-HR"/>
              </w:rPr>
              <w:t>The arithmetic</w:t>
            </w:r>
            <w:r w:rsidR="002566BE" w:rsidRPr="002566BE">
              <w:rPr>
                <w:lang w:eastAsia="hr-HR"/>
              </w:rPr>
              <w:t xml:space="preserve"> mean of months </w:t>
            </w:r>
            <w:r w:rsidR="002566BE" w:rsidRPr="008873CE">
              <w:rPr>
                <w:lang w:eastAsia="hr-HR"/>
              </w:rPr>
              <w:t>(95% CI)</w:t>
            </w:r>
          </w:p>
        </w:tc>
        <w:tc>
          <w:tcPr>
            <w:tcW w:w="494" w:type="pct"/>
            <w:vAlign w:val="center"/>
          </w:tcPr>
          <w:p w14:paraId="6E80FFB7" w14:textId="188850D0" w:rsidR="002566BE" w:rsidRPr="008873CE" w:rsidRDefault="002566BE" w:rsidP="002C45B6">
            <w:pPr>
              <w:pStyle w:val="MDPI42tablebody"/>
              <w:rPr>
                <w:lang w:eastAsia="hr-HR"/>
              </w:rPr>
            </w:pPr>
            <w:r w:rsidRPr="008873CE">
              <w:rPr>
                <w:lang w:eastAsia="hr-HR"/>
              </w:rPr>
              <w:t>Logrank</w:t>
            </w:r>
            <w:r>
              <w:rPr>
                <w:lang w:eastAsia="hr-HR"/>
              </w:rPr>
              <w:t xml:space="preserve"> </w:t>
            </w:r>
            <w:r w:rsidRPr="008873CE">
              <w:rPr>
                <w:lang w:eastAsia="hr-HR"/>
              </w:rPr>
              <w:t>test (P)</w:t>
            </w:r>
          </w:p>
        </w:tc>
      </w:tr>
      <w:tr w:rsidR="002C45B6" w:rsidRPr="008873CE" w14:paraId="181D3BB8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373EB75B" w14:textId="0172A655" w:rsidR="003C13CF" w:rsidRPr="008873CE" w:rsidRDefault="000A7463" w:rsidP="002C45B6">
            <w:pPr>
              <w:pStyle w:val="MDPI42tablebody"/>
              <w:jc w:val="left"/>
              <w:rPr>
                <w:rFonts w:eastAsia="Calibri"/>
              </w:rPr>
            </w:pPr>
            <w:r w:rsidRPr="000A7463">
              <w:rPr>
                <w:rFonts w:eastAsia="Calibri"/>
              </w:rPr>
              <w:t>The survival rate after 10 years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C0CFB1E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18 (15)</w:t>
            </w:r>
          </w:p>
        </w:tc>
        <w:tc>
          <w:tcPr>
            <w:tcW w:w="661" w:type="pct"/>
            <w:vAlign w:val="center"/>
          </w:tcPr>
          <w:p w14:paraId="190A9EAB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102 (85)</w:t>
            </w:r>
          </w:p>
        </w:tc>
        <w:tc>
          <w:tcPr>
            <w:tcW w:w="462" w:type="pct"/>
            <w:vAlign w:val="center"/>
          </w:tcPr>
          <w:p w14:paraId="4775C7D5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120</w:t>
            </w:r>
          </w:p>
        </w:tc>
        <w:tc>
          <w:tcPr>
            <w:tcW w:w="499" w:type="pct"/>
            <w:vAlign w:val="center"/>
          </w:tcPr>
          <w:p w14:paraId="0C801BAF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85 %</w:t>
            </w:r>
          </w:p>
        </w:tc>
        <w:tc>
          <w:tcPr>
            <w:tcW w:w="838" w:type="pct"/>
            <w:vAlign w:val="center"/>
          </w:tcPr>
          <w:p w14:paraId="29B2D23B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110 (104 – 115)</w:t>
            </w:r>
          </w:p>
        </w:tc>
        <w:tc>
          <w:tcPr>
            <w:tcW w:w="494" w:type="pct"/>
            <w:vAlign w:val="center"/>
          </w:tcPr>
          <w:p w14:paraId="4C37EA1D" w14:textId="77777777" w:rsidR="003C13CF" w:rsidRPr="008873CE" w:rsidRDefault="003C13CF" w:rsidP="002C45B6">
            <w:pPr>
              <w:pStyle w:val="MDPI42tablebody"/>
              <w:rPr>
                <w:color w:val="FF0000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-</w:t>
            </w:r>
          </w:p>
        </w:tc>
      </w:tr>
      <w:tr w:rsidR="002566BE" w:rsidRPr="008873CE" w14:paraId="71998889" w14:textId="77777777" w:rsidTr="002C45B6">
        <w:trPr>
          <w:trHeight w:val="300"/>
        </w:trPr>
        <w:tc>
          <w:tcPr>
            <w:tcW w:w="2707" w:type="pct"/>
            <w:gridSpan w:val="3"/>
            <w:shd w:val="clear" w:color="auto" w:fill="auto"/>
            <w:noWrap/>
            <w:vAlign w:val="bottom"/>
          </w:tcPr>
          <w:p w14:paraId="3488CBE0" w14:textId="5C82CB26" w:rsidR="003C13CF" w:rsidRPr="008873CE" w:rsidRDefault="002C45B6" w:rsidP="002C45B6">
            <w:pPr>
              <w:pStyle w:val="MDPI42tablebody"/>
              <w:jc w:val="left"/>
              <w:rPr>
                <w:rFonts w:eastAsia="Calibri"/>
              </w:rPr>
            </w:pPr>
            <w:r w:rsidRPr="00B111BB">
              <w:t>The survival rate after 10 years</w:t>
            </w:r>
          </w:p>
        </w:tc>
        <w:tc>
          <w:tcPr>
            <w:tcW w:w="462" w:type="pct"/>
            <w:vAlign w:val="center"/>
          </w:tcPr>
          <w:p w14:paraId="7F021588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499" w:type="pct"/>
            <w:vAlign w:val="center"/>
          </w:tcPr>
          <w:p w14:paraId="0E00F55A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838" w:type="pct"/>
            <w:vAlign w:val="center"/>
          </w:tcPr>
          <w:p w14:paraId="55D12362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494" w:type="pct"/>
            <w:vAlign w:val="center"/>
          </w:tcPr>
          <w:p w14:paraId="53474E74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2AE33FB2" w14:textId="77777777" w:rsidTr="002C45B6">
        <w:trPr>
          <w:trHeight w:val="300"/>
        </w:trPr>
        <w:tc>
          <w:tcPr>
            <w:tcW w:w="138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17EC27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BMI (&lt; 20)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CB5BB9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 (25)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14:paraId="7E8AB3F3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 (75)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2A267946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14:paraId="21073FFC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75 %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14:paraId="2E2E59F3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120 (120 – 120)</w:t>
            </w:r>
          </w:p>
        </w:tc>
        <w:tc>
          <w:tcPr>
            <w:tcW w:w="494" w:type="pct"/>
            <w:vMerge w:val="restart"/>
            <w:vAlign w:val="center"/>
          </w:tcPr>
          <w:p w14:paraId="433D89FB" w14:textId="7FEBF074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 w:rsidR="009D197B"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72</w:t>
            </w:r>
          </w:p>
        </w:tc>
      </w:tr>
      <w:tr w:rsidR="002C45B6" w:rsidRPr="008873CE" w14:paraId="7443161A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6B0F5D83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BMI (20 – 35)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783603A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15 (14)</w:t>
            </w:r>
          </w:p>
        </w:tc>
        <w:tc>
          <w:tcPr>
            <w:tcW w:w="661" w:type="pct"/>
            <w:vAlign w:val="center"/>
          </w:tcPr>
          <w:p w14:paraId="160F71CE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91 (86)</w:t>
            </w:r>
          </w:p>
        </w:tc>
        <w:tc>
          <w:tcPr>
            <w:tcW w:w="462" w:type="pct"/>
            <w:vAlign w:val="center"/>
          </w:tcPr>
          <w:p w14:paraId="698DB26B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106</w:t>
            </w:r>
          </w:p>
        </w:tc>
        <w:tc>
          <w:tcPr>
            <w:tcW w:w="499" w:type="pct"/>
            <w:vAlign w:val="center"/>
          </w:tcPr>
          <w:p w14:paraId="7C0290C1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86 %</w:t>
            </w:r>
          </w:p>
        </w:tc>
        <w:tc>
          <w:tcPr>
            <w:tcW w:w="838" w:type="pct"/>
          </w:tcPr>
          <w:p w14:paraId="09782CCF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110 (105 – 116)</w:t>
            </w:r>
          </w:p>
        </w:tc>
        <w:tc>
          <w:tcPr>
            <w:tcW w:w="494" w:type="pct"/>
            <w:vMerge/>
            <w:vAlign w:val="center"/>
          </w:tcPr>
          <w:p w14:paraId="625BBBDE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63290338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4CB3D736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BMI (&gt; 35)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A53FE85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 (22)</w:t>
            </w:r>
          </w:p>
        </w:tc>
        <w:tc>
          <w:tcPr>
            <w:tcW w:w="661" w:type="pct"/>
            <w:vAlign w:val="center"/>
          </w:tcPr>
          <w:p w14:paraId="73580E3A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 (78)</w:t>
            </w:r>
          </w:p>
        </w:tc>
        <w:tc>
          <w:tcPr>
            <w:tcW w:w="462" w:type="pct"/>
            <w:vAlign w:val="center"/>
          </w:tcPr>
          <w:p w14:paraId="1426C614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</w:t>
            </w:r>
          </w:p>
        </w:tc>
        <w:tc>
          <w:tcPr>
            <w:tcW w:w="499" w:type="pct"/>
            <w:vAlign w:val="center"/>
          </w:tcPr>
          <w:p w14:paraId="2E899C3F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78 %</w:t>
            </w:r>
          </w:p>
        </w:tc>
        <w:tc>
          <w:tcPr>
            <w:tcW w:w="838" w:type="pct"/>
          </w:tcPr>
          <w:p w14:paraId="703BF274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103 (79 – 126)</w:t>
            </w:r>
          </w:p>
        </w:tc>
        <w:tc>
          <w:tcPr>
            <w:tcW w:w="494" w:type="pct"/>
            <w:vMerge/>
          </w:tcPr>
          <w:p w14:paraId="46D1369D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566BE" w:rsidRPr="008873CE" w14:paraId="538A48DC" w14:textId="77777777" w:rsidTr="002C45B6">
        <w:trPr>
          <w:trHeight w:val="300"/>
        </w:trPr>
        <w:tc>
          <w:tcPr>
            <w:tcW w:w="2707" w:type="pct"/>
            <w:gridSpan w:val="3"/>
            <w:shd w:val="clear" w:color="auto" w:fill="auto"/>
            <w:noWrap/>
            <w:vAlign w:val="bottom"/>
          </w:tcPr>
          <w:p w14:paraId="376D618C" w14:textId="61E3521A" w:rsidR="003C13CF" w:rsidRPr="008873CE" w:rsidRDefault="000A7463" w:rsidP="002C45B6">
            <w:pPr>
              <w:pStyle w:val="MDPI42tablebody"/>
              <w:jc w:val="left"/>
              <w:rPr>
                <w:rFonts w:eastAsia="Calibri"/>
              </w:rPr>
            </w:pPr>
            <w:r w:rsidRPr="000A7463">
              <w:rPr>
                <w:rFonts w:eastAsia="Calibri"/>
              </w:rPr>
              <w:t>The survival rate after 10 years</w:t>
            </w:r>
          </w:p>
        </w:tc>
        <w:tc>
          <w:tcPr>
            <w:tcW w:w="462" w:type="pct"/>
            <w:vAlign w:val="center"/>
          </w:tcPr>
          <w:p w14:paraId="7A440867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499" w:type="pct"/>
            <w:vAlign w:val="center"/>
          </w:tcPr>
          <w:p w14:paraId="1F0361BD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838" w:type="pct"/>
            <w:vAlign w:val="center"/>
          </w:tcPr>
          <w:p w14:paraId="5FC94F1F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494" w:type="pct"/>
            <w:vAlign w:val="center"/>
          </w:tcPr>
          <w:p w14:paraId="48ED52B2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5B2FF114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7B1A03B9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ASA 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00DCE50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 (10)</w:t>
            </w:r>
          </w:p>
        </w:tc>
        <w:tc>
          <w:tcPr>
            <w:tcW w:w="661" w:type="pct"/>
            <w:vAlign w:val="center"/>
          </w:tcPr>
          <w:p w14:paraId="1CB0A184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 (90)</w:t>
            </w:r>
          </w:p>
        </w:tc>
        <w:tc>
          <w:tcPr>
            <w:tcW w:w="462" w:type="pct"/>
            <w:vAlign w:val="center"/>
          </w:tcPr>
          <w:p w14:paraId="3F30FF3F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</w:t>
            </w:r>
          </w:p>
        </w:tc>
        <w:tc>
          <w:tcPr>
            <w:tcW w:w="499" w:type="pct"/>
            <w:vAlign w:val="center"/>
          </w:tcPr>
          <w:p w14:paraId="55BCF9DD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90 %</w:t>
            </w:r>
          </w:p>
        </w:tc>
        <w:tc>
          <w:tcPr>
            <w:tcW w:w="838" w:type="pct"/>
            <w:vAlign w:val="center"/>
          </w:tcPr>
          <w:p w14:paraId="4DCA754A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120 (120 – 120)</w:t>
            </w:r>
          </w:p>
        </w:tc>
        <w:tc>
          <w:tcPr>
            <w:tcW w:w="494" w:type="pct"/>
            <w:vMerge w:val="restart"/>
            <w:vAlign w:val="center"/>
          </w:tcPr>
          <w:p w14:paraId="6B028833" w14:textId="2A32D3B8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 w:rsidR="009D197B"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45</w:t>
            </w:r>
          </w:p>
        </w:tc>
      </w:tr>
      <w:tr w:rsidR="002C45B6" w:rsidRPr="008873CE" w14:paraId="5C3BAC7A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5940837A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ASA 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B00B8CA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12 (13)</w:t>
            </w:r>
          </w:p>
        </w:tc>
        <w:tc>
          <w:tcPr>
            <w:tcW w:w="661" w:type="pct"/>
            <w:vAlign w:val="center"/>
          </w:tcPr>
          <w:p w14:paraId="05BDCC38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77 (87)</w:t>
            </w:r>
          </w:p>
        </w:tc>
        <w:tc>
          <w:tcPr>
            <w:tcW w:w="462" w:type="pct"/>
            <w:vAlign w:val="center"/>
          </w:tcPr>
          <w:p w14:paraId="5D50219C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89</w:t>
            </w:r>
          </w:p>
        </w:tc>
        <w:tc>
          <w:tcPr>
            <w:tcW w:w="499" w:type="pct"/>
            <w:vAlign w:val="center"/>
          </w:tcPr>
          <w:p w14:paraId="66265063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86 %</w:t>
            </w:r>
          </w:p>
        </w:tc>
        <w:tc>
          <w:tcPr>
            <w:tcW w:w="838" w:type="pct"/>
            <w:vAlign w:val="center"/>
          </w:tcPr>
          <w:p w14:paraId="66E6C353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110 (104 – 115)</w:t>
            </w:r>
          </w:p>
        </w:tc>
        <w:tc>
          <w:tcPr>
            <w:tcW w:w="494" w:type="pct"/>
            <w:vMerge/>
            <w:vAlign w:val="center"/>
          </w:tcPr>
          <w:p w14:paraId="3DE02D6E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00E25D82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  <w:vAlign w:val="bottom"/>
          </w:tcPr>
          <w:p w14:paraId="7854A427" w14:textId="77777777" w:rsidR="003C13CF" w:rsidRPr="008873CE" w:rsidRDefault="003C13CF" w:rsidP="002C45B6">
            <w:pPr>
              <w:pStyle w:val="MDPI42tablebody"/>
              <w:jc w:val="left"/>
              <w:rPr>
                <w:rFonts w:eastAsia="Calibri"/>
              </w:rPr>
            </w:pPr>
            <w:r w:rsidRPr="008873CE">
              <w:rPr>
                <w:rFonts w:eastAsia="Calibri"/>
              </w:rPr>
              <w:t>ASA 3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22A5238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5 (24)</w:t>
            </w:r>
          </w:p>
        </w:tc>
        <w:tc>
          <w:tcPr>
            <w:tcW w:w="661" w:type="pct"/>
            <w:vAlign w:val="center"/>
          </w:tcPr>
          <w:p w14:paraId="0CA11779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16 (76)</w:t>
            </w:r>
          </w:p>
        </w:tc>
        <w:tc>
          <w:tcPr>
            <w:tcW w:w="462" w:type="pct"/>
            <w:vAlign w:val="center"/>
          </w:tcPr>
          <w:p w14:paraId="1B0E2A5E" w14:textId="77777777" w:rsidR="003C13CF" w:rsidRPr="008873CE" w:rsidRDefault="003C13CF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21</w:t>
            </w:r>
          </w:p>
        </w:tc>
        <w:tc>
          <w:tcPr>
            <w:tcW w:w="499" w:type="pct"/>
            <w:vAlign w:val="center"/>
          </w:tcPr>
          <w:p w14:paraId="097C0E7A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76 %</w:t>
            </w:r>
          </w:p>
        </w:tc>
        <w:tc>
          <w:tcPr>
            <w:tcW w:w="838" w:type="pct"/>
            <w:vAlign w:val="center"/>
          </w:tcPr>
          <w:p w14:paraId="774405E1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107 (92 – 122)</w:t>
            </w:r>
          </w:p>
        </w:tc>
        <w:tc>
          <w:tcPr>
            <w:tcW w:w="494" w:type="pct"/>
            <w:vMerge/>
          </w:tcPr>
          <w:p w14:paraId="07A28559" w14:textId="77777777" w:rsidR="003C13CF" w:rsidRPr="008873CE" w:rsidRDefault="003C13CF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0D916818" w14:textId="77777777" w:rsidTr="002C45B6">
        <w:trPr>
          <w:trHeight w:val="300"/>
        </w:trPr>
        <w:tc>
          <w:tcPr>
            <w:tcW w:w="2707" w:type="pct"/>
            <w:gridSpan w:val="3"/>
            <w:shd w:val="clear" w:color="auto" w:fill="auto"/>
            <w:noWrap/>
          </w:tcPr>
          <w:p w14:paraId="072A0438" w14:textId="0CE95CE4" w:rsidR="002C45B6" w:rsidRPr="008873CE" w:rsidRDefault="002C45B6" w:rsidP="002C45B6">
            <w:pPr>
              <w:pStyle w:val="MDPI42tablebody"/>
              <w:jc w:val="left"/>
              <w:rPr>
                <w:rFonts w:eastAsia="Calibri"/>
              </w:rPr>
            </w:pPr>
            <w:r w:rsidRPr="00B111BB">
              <w:t>The survival rate after 10 years</w:t>
            </w:r>
          </w:p>
        </w:tc>
        <w:tc>
          <w:tcPr>
            <w:tcW w:w="462" w:type="pct"/>
            <w:vAlign w:val="center"/>
          </w:tcPr>
          <w:p w14:paraId="71F09077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499" w:type="pct"/>
            <w:vAlign w:val="center"/>
          </w:tcPr>
          <w:p w14:paraId="34E30C72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838" w:type="pct"/>
            <w:vAlign w:val="center"/>
          </w:tcPr>
          <w:p w14:paraId="0561402B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494" w:type="pct"/>
            <w:vAlign w:val="center"/>
          </w:tcPr>
          <w:p w14:paraId="7EE7616C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16229E89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</w:tcPr>
          <w:p w14:paraId="1E531DF0" w14:textId="013278C3" w:rsidR="002C45B6" w:rsidRPr="008873CE" w:rsidRDefault="002C45B6" w:rsidP="002C45B6">
            <w:pPr>
              <w:pStyle w:val="MDPI42tablebody"/>
              <w:jc w:val="left"/>
              <w:rPr>
                <w:rFonts w:eastAsia="Calibri"/>
              </w:rPr>
            </w:pPr>
            <w:r w:rsidRPr="00B111BB">
              <w:t>Diclofenac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5B04305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6 (15)</w:t>
            </w:r>
          </w:p>
        </w:tc>
        <w:tc>
          <w:tcPr>
            <w:tcW w:w="661" w:type="pct"/>
            <w:vAlign w:val="center"/>
          </w:tcPr>
          <w:p w14:paraId="060817EC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35 (85)</w:t>
            </w:r>
          </w:p>
        </w:tc>
        <w:tc>
          <w:tcPr>
            <w:tcW w:w="462" w:type="pct"/>
            <w:vAlign w:val="center"/>
          </w:tcPr>
          <w:p w14:paraId="7F8A6B02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41</w:t>
            </w:r>
          </w:p>
        </w:tc>
        <w:tc>
          <w:tcPr>
            <w:tcW w:w="499" w:type="pct"/>
            <w:vAlign w:val="center"/>
          </w:tcPr>
          <w:p w14:paraId="7C38275B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85 %</w:t>
            </w:r>
          </w:p>
        </w:tc>
        <w:tc>
          <w:tcPr>
            <w:tcW w:w="838" w:type="pct"/>
            <w:vAlign w:val="center"/>
          </w:tcPr>
          <w:p w14:paraId="114AC32D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107 (96 – 117)</w:t>
            </w:r>
          </w:p>
        </w:tc>
        <w:tc>
          <w:tcPr>
            <w:tcW w:w="494" w:type="pct"/>
            <w:vMerge w:val="restart"/>
            <w:vAlign w:val="center"/>
          </w:tcPr>
          <w:p w14:paraId="7C2E4539" w14:textId="0876CCD6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 w:rsidR="009D197B"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36</w:t>
            </w:r>
          </w:p>
        </w:tc>
      </w:tr>
      <w:tr w:rsidR="002C45B6" w:rsidRPr="008873CE" w14:paraId="632F2EBA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</w:tcPr>
          <w:p w14:paraId="4928A6F1" w14:textId="6B88C0A2" w:rsidR="002C45B6" w:rsidRPr="008873CE" w:rsidRDefault="002C45B6" w:rsidP="002C45B6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B111BB">
              <w:t>Levobupivacaine bolus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79935BB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 (8)</w:t>
            </w:r>
          </w:p>
        </w:tc>
        <w:tc>
          <w:tcPr>
            <w:tcW w:w="661" w:type="pct"/>
            <w:vAlign w:val="center"/>
          </w:tcPr>
          <w:p w14:paraId="0BAF1A08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36 (92)</w:t>
            </w:r>
          </w:p>
        </w:tc>
        <w:tc>
          <w:tcPr>
            <w:tcW w:w="462" w:type="pct"/>
            <w:vAlign w:val="center"/>
          </w:tcPr>
          <w:p w14:paraId="5786693D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39</w:t>
            </w:r>
          </w:p>
        </w:tc>
        <w:tc>
          <w:tcPr>
            <w:tcW w:w="499" w:type="pct"/>
            <w:vAlign w:val="center"/>
          </w:tcPr>
          <w:p w14:paraId="5A803C2C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92 %</w:t>
            </w:r>
          </w:p>
        </w:tc>
        <w:tc>
          <w:tcPr>
            <w:tcW w:w="838" w:type="pct"/>
            <w:vAlign w:val="center"/>
          </w:tcPr>
          <w:p w14:paraId="04915D39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117 (113 – 121)</w:t>
            </w:r>
          </w:p>
        </w:tc>
        <w:tc>
          <w:tcPr>
            <w:tcW w:w="494" w:type="pct"/>
            <w:vMerge/>
            <w:vAlign w:val="center"/>
          </w:tcPr>
          <w:p w14:paraId="57B20323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4D379CF4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</w:tcPr>
          <w:p w14:paraId="24208DAF" w14:textId="2355508B" w:rsidR="002C45B6" w:rsidRPr="008873CE" w:rsidRDefault="002C45B6" w:rsidP="002C45B6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B111BB">
              <w:t>Levobupivacaine PCA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FE82C92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 (23)</w:t>
            </w:r>
          </w:p>
        </w:tc>
        <w:tc>
          <w:tcPr>
            <w:tcW w:w="661" w:type="pct"/>
            <w:vAlign w:val="center"/>
          </w:tcPr>
          <w:p w14:paraId="5902A724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31 (77)</w:t>
            </w:r>
          </w:p>
        </w:tc>
        <w:tc>
          <w:tcPr>
            <w:tcW w:w="462" w:type="pct"/>
            <w:vAlign w:val="center"/>
          </w:tcPr>
          <w:p w14:paraId="55D30291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40</w:t>
            </w:r>
          </w:p>
        </w:tc>
        <w:tc>
          <w:tcPr>
            <w:tcW w:w="499" w:type="pct"/>
            <w:vAlign w:val="center"/>
          </w:tcPr>
          <w:p w14:paraId="1B16637F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77 %</w:t>
            </w:r>
          </w:p>
        </w:tc>
        <w:tc>
          <w:tcPr>
            <w:tcW w:w="838" w:type="pct"/>
            <w:vAlign w:val="center"/>
          </w:tcPr>
          <w:p w14:paraId="44F3CB6A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107 (97 – 117)</w:t>
            </w:r>
          </w:p>
        </w:tc>
        <w:tc>
          <w:tcPr>
            <w:tcW w:w="494" w:type="pct"/>
            <w:vMerge/>
          </w:tcPr>
          <w:p w14:paraId="57CF77E6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05B4B053" w14:textId="77777777" w:rsidTr="002C45B6">
        <w:trPr>
          <w:trHeight w:val="300"/>
        </w:trPr>
        <w:tc>
          <w:tcPr>
            <w:tcW w:w="2707" w:type="pct"/>
            <w:gridSpan w:val="3"/>
            <w:shd w:val="clear" w:color="auto" w:fill="auto"/>
            <w:noWrap/>
          </w:tcPr>
          <w:p w14:paraId="698D13C8" w14:textId="5B2DF4DA" w:rsidR="002C45B6" w:rsidRPr="008873CE" w:rsidRDefault="002C45B6" w:rsidP="002C45B6">
            <w:pPr>
              <w:pStyle w:val="MDPI42tablebody"/>
              <w:jc w:val="left"/>
              <w:rPr>
                <w:rFonts w:eastAsia="Calibri"/>
              </w:rPr>
            </w:pPr>
            <w:r w:rsidRPr="00B111BB">
              <w:t>The survival rate after 10 years</w:t>
            </w:r>
          </w:p>
        </w:tc>
        <w:tc>
          <w:tcPr>
            <w:tcW w:w="462" w:type="pct"/>
            <w:vAlign w:val="center"/>
          </w:tcPr>
          <w:p w14:paraId="643CC302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499" w:type="pct"/>
            <w:vAlign w:val="center"/>
          </w:tcPr>
          <w:p w14:paraId="0A121E63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838" w:type="pct"/>
            <w:vAlign w:val="center"/>
          </w:tcPr>
          <w:p w14:paraId="74247CB3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494" w:type="pct"/>
            <w:vAlign w:val="center"/>
          </w:tcPr>
          <w:p w14:paraId="36D0DCD5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2C45B6" w:rsidRPr="008873CE" w14:paraId="02B8F60E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</w:tcPr>
          <w:p w14:paraId="7FDD0490" w14:textId="4B1EEB7C" w:rsidR="002C45B6" w:rsidRPr="008873CE" w:rsidRDefault="00902906" w:rsidP="002C45B6">
            <w:pPr>
              <w:pStyle w:val="MDPI42tablebody"/>
              <w:jc w:val="left"/>
              <w:rPr>
                <w:rFonts w:eastAsia="Calibri"/>
              </w:rPr>
            </w:pPr>
            <w:r>
              <w:t>Diclofenac</w:t>
            </w:r>
            <w:r w:rsidR="002C45B6" w:rsidRPr="00B111BB">
              <w:t xml:space="preserve"> 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D051327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6 (15)</w:t>
            </w:r>
          </w:p>
        </w:tc>
        <w:tc>
          <w:tcPr>
            <w:tcW w:w="661" w:type="pct"/>
            <w:vAlign w:val="center"/>
          </w:tcPr>
          <w:p w14:paraId="26BCAF56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35 (85)</w:t>
            </w:r>
          </w:p>
        </w:tc>
        <w:tc>
          <w:tcPr>
            <w:tcW w:w="462" w:type="pct"/>
            <w:vAlign w:val="center"/>
          </w:tcPr>
          <w:p w14:paraId="2F9F4CDC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41</w:t>
            </w:r>
          </w:p>
        </w:tc>
        <w:tc>
          <w:tcPr>
            <w:tcW w:w="499" w:type="pct"/>
            <w:vAlign w:val="center"/>
          </w:tcPr>
          <w:p w14:paraId="0D546CDD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85 %</w:t>
            </w:r>
          </w:p>
        </w:tc>
        <w:tc>
          <w:tcPr>
            <w:tcW w:w="838" w:type="pct"/>
            <w:vAlign w:val="center"/>
          </w:tcPr>
          <w:p w14:paraId="7AE1250F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106 (96 – 117)</w:t>
            </w:r>
          </w:p>
        </w:tc>
        <w:tc>
          <w:tcPr>
            <w:tcW w:w="494" w:type="pct"/>
            <w:vMerge w:val="restart"/>
            <w:vAlign w:val="center"/>
          </w:tcPr>
          <w:p w14:paraId="2A57BB4B" w14:textId="2B794A0A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 w:rsidR="009D197B"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99</w:t>
            </w:r>
          </w:p>
        </w:tc>
      </w:tr>
      <w:tr w:rsidR="002C45B6" w:rsidRPr="008873CE" w14:paraId="32A132AD" w14:textId="77777777" w:rsidTr="002C45B6">
        <w:trPr>
          <w:trHeight w:val="300"/>
        </w:trPr>
        <w:tc>
          <w:tcPr>
            <w:tcW w:w="1385" w:type="pct"/>
            <w:shd w:val="clear" w:color="auto" w:fill="auto"/>
            <w:noWrap/>
          </w:tcPr>
          <w:p w14:paraId="0CC42758" w14:textId="2D653C8A" w:rsidR="002C45B6" w:rsidRPr="008873CE" w:rsidRDefault="002C45B6" w:rsidP="002C45B6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B111BB">
              <w:t>Any levobupivacaine group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C260D8C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12 (15)</w:t>
            </w:r>
          </w:p>
        </w:tc>
        <w:tc>
          <w:tcPr>
            <w:tcW w:w="661" w:type="pct"/>
            <w:vAlign w:val="center"/>
          </w:tcPr>
          <w:p w14:paraId="3AE295A2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67 (85)</w:t>
            </w:r>
          </w:p>
        </w:tc>
        <w:tc>
          <w:tcPr>
            <w:tcW w:w="462" w:type="pct"/>
            <w:vAlign w:val="center"/>
          </w:tcPr>
          <w:p w14:paraId="219333FB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79</w:t>
            </w:r>
          </w:p>
        </w:tc>
        <w:tc>
          <w:tcPr>
            <w:tcW w:w="499" w:type="pct"/>
            <w:vAlign w:val="center"/>
          </w:tcPr>
          <w:p w14:paraId="273DECA4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85 %</w:t>
            </w:r>
          </w:p>
        </w:tc>
        <w:tc>
          <w:tcPr>
            <w:tcW w:w="838" w:type="pct"/>
            <w:vAlign w:val="center"/>
          </w:tcPr>
          <w:p w14:paraId="0DAC1BDC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112 (107 – 117)</w:t>
            </w:r>
          </w:p>
        </w:tc>
        <w:tc>
          <w:tcPr>
            <w:tcW w:w="494" w:type="pct"/>
            <w:vMerge/>
            <w:vAlign w:val="center"/>
          </w:tcPr>
          <w:p w14:paraId="1EB576F4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</w:p>
        </w:tc>
      </w:tr>
    </w:tbl>
    <w:p w14:paraId="38324B2F" w14:textId="77777777" w:rsidR="002C45B6" w:rsidRPr="008873CE" w:rsidRDefault="002C45B6" w:rsidP="002C45B6">
      <w:pPr>
        <w:pStyle w:val="MDPI43tablefooter"/>
        <w:ind w:hanging="2608"/>
      </w:pPr>
      <w:r>
        <w:t>BMI body mass index, ASA American Society of Anesthesiologists</w:t>
      </w:r>
      <w:r w:rsidRPr="008873CE">
        <w:t>.</w:t>
      </w:r>
    </w:p>
    <w:p w14:paraId="6D21EDFD" w14:textId="77777777" w:rsidR="003C13CF" w:rsidRPr="008873CE" w:rsidRDefault="003C13CF" w:rsidP="003C13CF">
      <w:pPr>
        <w:spacing w:after="160" w:line="259" w:lineRule="auto"/>
        <w:rPr>
          <w:rFonts w:ascii="Times New Roman" w:eastAsia="Calibri" w:hAnsi="Times New Roman"/>
          <w:noProof w:val="0"/>
          <w:color w:val="212121"/>
          <w:sz w:val="22"/>
          <w:szCs w:val="22"/>
          <w:shd w:val="clear" w:color="auto" w:fill="FFFFFF"/>
          <w:lang w:eastAsia="en-US"/>
        </w:rPr>
      </w:pPr>
    </w:p>
    <w:p w14:paraId="510F63B5" w14:textId="77777777" w:rsidR="003C13CF" w:rsidRPr="008873CE" w:rsidRDefault="003C13CF" w:rsidP="00D63BF3">
      <w:pPr>
        <w:spacing w:line="240" w:lineRule="auto"/>
        <w:jc w:val="left"/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</w:pPr>
    </w:p>
    <w:p w14:paraId="106DC9C3" w14:textId="5E16C43F" w:rsidR="002C45B6" w:rsidRDefault="002C45B6">
      <w:pPr>
        <w:spacing w:line="240" w:lineRule="auto"/>
        <w:jc w:val="left"/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br w:type="page"/>
      </w:r>
    </w:p>
    <w:p w14:paraId="2A73809A" w14:textId="77777777" w:rsidR="003C13CF" w:rsidRPr="008873CE" w:rsidRDefault="003C13CF" w:rsidP="00D63BF3">
      <w:pPr>
        <w:spacing w:line="240" w:lineRule="auto"/>
        <w:jc w:val="left"/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</w:pPr>
    </w:p>
    <w:p w14:paraId="58AAB930" w14:textId="72BADB4E" w:rsidR="00D63BF3" w:rsidRPr="00540D5E" w:rsidRDefault="007E16EC" w:rsidP="00D63BF3">
      <w:pPr>
        <w:spacing w:line="240" w:lineRule="auto"/>
        <w:jc w:val="left"/>
        <w:rPr>
          <w:rFonts w:eastAsia="Calibri"/>
          <w:b/>
          <w:noProof w:val="0"/>
          <w:color w:val="auto"/>
          <w:sz w:val="22"/>
          <w:szCs w:val="22"/>
          <w:lang w:eastAsia="en-US"/>
        </w:rPr>
      </w:pPr>
      <w:bookmarkStart w:id="8" w:name="_Hlk132060742"/>
      <w:r w:rsidRPr="00540D5E">
        <w:rPr>
          <w:rFonts w:eastAsia="Calibri"/>
          <w:b/>
          <w:noProof w:val="0"/>
          <w:color w:val="auto"/>
          <w:sz w:val="22"/>
          <w:szCs w:val="22"/>
          <w:lang w:eastAsia="en-US"/>
        </w:rPr>
        <w:t>Table S</w:t>
      </w:r>
      <w:r w:rsidR="00DE2A2F" w:rsidRPr="00540D5E">
        <w:rPr>
          <w:rFonts w:eastAsia="Calibri"/>
          <w:b/>
          <w:noProof w:val="0"/>
          <w:color w:val="auto"/>
          <w:sz w:val="22"/>
          <w:szCs w:val="22"/>
          <w:lang w:eastAsia="en-US"/>
        </w:rPr>
        <w:t>8</w:t>
      </w:r>
      <w:r w:rsidR="00073DBD" w:rsidRPr="00540D5E">
        <w:rPr>
          <w:rFonts w:eastAsia="Calibri"/>
          <w:b/>
          <w:noProof w:val="0"/>
          <w:color w:val="auto"/>
          <w:sz w:val="22"/>
          <w:szCs w:val="22"/>
          <w:lang w:eastAsia="en-US"/>
        </w:rPr>
        <w:t xml:space="preserve"> </w:t>
      </w:r>
      <w:r w:rsidR="009D0BB7" w:rsidRPr="00540D5E">
        <w:rPr>
          <w:rFonts w:eastAsia="Calibri"/>
          <w:b/>
          <w:noProof w:val="0"/>
          <w:color w:val="auto"/>
          <w:sz w:val="22"/>
          <w:szCs w:val="22"/>
          <w:lang w:eastAsia="en-US"/>
        </w:rPr>
        <w:t xml:space="preserve">A survival rate </w:t>
      </w:r>
      <w:r w:rsidR="000A7463" w:rsidRPr="00540D5E">
        <w:rPr>
          <w:rFonts w:eastAsia="Calibri"/>
          <w:b/>
          <w:noProof w:val="0"/>
          <w:color w:val="auto"/>
          <w:sz w:val="22"/>
          <w:szCs w:val="22"/>
          <w:lang w:eastAsia="en-US"/>
        </w:rPr>
        <w:t>of patients operated on for breast cancer until analysis related to body mass index, ASA status and type of postoperative analgesia.</w:t>
      </w:r>
    </w:p>
    <w:bookmarkEnd w:id="8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887"/>
        <w:gridCol w:w="1542"/>
        <w:gridCol w:w="1414"/>
        <w:gridCol w:w="578"/>
        <w:gridCol w:w="779"/>
        <w:gridCol w:w="2037"/>
        <w:gridCol w:w="1229"/>
      </w:tblGrid>
      <w:tr w:rsidR="000A7463" w:rsidRPr="008873CE" w14:paraId="7A5F422F" w14:textId="77777777" w:rsidTr="002C45B6">
        <w:trPr>
          <w:trHeight w:val="779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8F5B7A" w14:textId="77777777" w:rsidR="000A7463" w:rsidRPr="008873CE" w:rsidRDefault="000A7463" w:rsidP="002C45B6">
            <w:pPr>
              <w:pStyle w:val="MDPI42tablebody"/>
              <w:rPr>
                <w:rFonts w:eastAsia="Calibr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269395EF" w14:textId="38E68804" w:rsidR="000A7463" w:rsidRPr="008873CE" w:rsidRDefault="000A7463" w:rsidP="002C45B6">
            <w:pPr>
              <w:pStyle w:val="MDPI42tablebody"/>
              <w:rPr>
                <w:lang w:eastAsia="hr-HR"/>
              </w:rPr>
            </w:pPr>
            <w:r w:rsidRPr="00EE05B7">
              <w:t xml:space="preserve">Number (%) of </w:t>
            </w:r>
            <w:r>
              <w:br/>
              <w:t>deceased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95BC9C" w14:textId="3A48C27B" w:rsidR="000A7463" w:rsidRPr="008873CE" w:rsidRDefault="000A7463" w:rsidP="002C45B6">
            <w:pPr>
              <w:pStyle w:val="MDPI42tablebody"/>
              <w:rPr>
                <w:lang w:eastAsia="hr-HR"/>
              </w:rPr>
            </w:pPr>
            <w:r w:rsidRPr="000A7463">
              <w:rPr>
                <w:lang w:eastAsia="hr-HR"/>
              </w:rPr>
              <w:t>Number (%) of survivors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7179C5" w14:textId="15A52D78" w:rsidR="000A7463" w:rsidRPr="008873CE" w:rsidRDefault="000A7463" w:rsidP="002C45B6">
            <w:pPr>
              <w:pStyle w:val="MDPI42tablebody"/>
              <w:rPr>
                <w:lang w:eastAsia="hr-HR"/>
              </w:rPr>
            </w:pPr>
            <w:r w:rsidRPr="001D693F"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5597740" w14:textId="06E1CEAC" w:rsidR="000A7463" w:rsidRPr="008873CE" w:rsidRDefault="000A7463" w:rsidP="002C45B6">
            <w:pPr>
              <w:pStyle w:val="MDPI42tablebody"/>
              <w:rPr>
                <w:lang w:eastAsia="hr-HR"/>
              </w:rPr>
            </w:pPr>
            <w:r w:rsidRPr="001D693F">
              <w:t>Survival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408F51" w14:textId="4FF195EB" w:rsidR="000A7463" w:rsidRPr="008873CE" w:rsidRDefault="004238E0" w:rsidP="002C45B6">
            <w:pPr>
              <w:pStyle w:val="MDPI42tablebody"/>
              <w:rPr>
                <w:lang w:eastAsia="hr-HR"/>
              </w:rPr>
            </w:pPr>
            <w:r>
              <w:rPr>
                <w:lang w:eastAsia="hr-HR"/>
              </w:rPr>
              <w:t>The arithmetic</w:t>
            </w:r>
            <w:r w:rsidR="000A7463" w:rsidRPr="000A7463">
              <w:rPr>
                <w:lang w:eastAsia="hr-HR"/>
              </w:rPr>
              <w:t xml:space="preserve"> mean of months (95% CI)</w:t>
            </w:r>
          </w:p>
        </w:tc>
        <w:tc>
          <w:tcPr>
            <w:tcW w:w="0" w:type="auto"/>
            <w:vAlign w:val="center"/>
          </w:tcPr>
          <w:p w14:paraId="2A32CFEB" w14:textId="37660408" w:rsidR="000A7463" w:rsidRPr="008873CE" w:rsidRDefault="000A7463" w:rsidP="002C45B6">
            <w:pPr>
              <w:pStyle w:val="MDPI42tablebody"/>
              <w:rPr>
                <w:lang w:eastAsia="hr-HR"/>
              </w:rPr>
            </w:pPr>
            <w:r w:rsidRPr="008873CE">
              <w:rPr>
                <w:lang w:eastAsia="hr-HR"/>
              </w:rPr>
              <w:t>Logrank</w:t>
            </w:r>
            <w:r>
              <w:rPr>
                <w:lang w:eastAsia="hr-HR"/>
              </w:rPr>
              <w:t xml:space="preserve"> </w:t>
            </w:r>
            <w:r w:rsidRPr="008873CE">
              <w:rPr>
                <w:lang w:eastAsia="hr-HR"/>
              </w:rPr>
              <w:t>test (P)</w:t>
            </w:r>
          </w:p>
        </w:tc>
      </w:tr>
      <w:tr w:rsidR="002C45B6" w:rsidRPr="008873CE" w14:paraId="6F90BDFF" w14:textId="77777777" w:rsidTr="00BF06D7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337B00C8" w14:textId="222C13D7" w:rsidR="002C45B6" w:rsidRPr="008873CE" w:rsidRDefault="009D0BB7" w:rsidP="002C45B6">
            <w:pPr>
              <w:pStyle w:val="MDPI42tablebody"/>
              <w:jc w:val="left"/>
              <w:rPr>
                <w:rFonts w:eastAsia="Calibri"/>
              </w:rPr>
            </w:pPr>
            <w:r w:rsidRPr="009D0BB7">
              <w:t xml:space="preserve">Overall survival </w:t>
            </w:r>
            <w:r>
              <w:t>until</w:t>
            </w:r>
            <w:r w:rsidRPr="009D0BB7">
              <w:t xml:space="preserve"> analysis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D9CE4D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23 (19)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CC2B0E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97 (81)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99C6BB6" w14:textId="77777777" w:rsidR="002C45B6" w:rsidRPr="008873CE" w:rsidRDefault="002C45B6" w:rsidP="002C45B6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0DD04BB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80 %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A0B24B9" w14:textId="77777777" w:rsidR="002C45B6" w:rsidRPr="008873CE" w:rsidRDefault="002C45B6" w:rsidP="002C45B6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159 (150 – 168)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88C75D1" w14:textId="77777777" w:rsidR="002C45B6" w:rsidRPr="008873CE" w:rsidRDefault="002C45B6" w:rsidP="002C45B6">
            <w:pPr>
              <w:pStyle w:val="MDPI42tablebody"/>
              <w:rPr>
                <w:color w:val="FF0000"/>
                <w:lang w:eastAsia="hr-HR"/>
              </w:rPr>
            </w:pPr>
          </w:p>
        </w:tc>
      </w:tr>
      <w:tr w:rsidR="009D0BB7" w:rsidRPr="008873CE" w14:paraId="23CBCAEA" w14:textId="77777777" w:rsidTr="002C45B6">
        <w:trPr>
          <w:trHeight w:val="30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1ED5CF22" w14:textId="302031E9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9D0BB7">
              <w:t xml:space="preserve">Overall survival </w:t>
            </w:r>
            <w:r>
              <w:t>until</w:t>
            </w:r>
            <w:r w:rsidRPr="009D0BB7">
              <w:t xml:space="preserve"> analysis</w:t>
            </w:r>
            <w:r>
              <w:t xml:space="preserve"> &amp;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B78099F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715CA11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9F5B595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2243F2F1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625978D6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C3431CC" w14:textId="5A9FD626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BMI (&lt; 20)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674130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 (25)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C5B9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 (75)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A2AA3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2A6A6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75 %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801CAC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156 (136 – 176)</w:t>
            </w:r>
          </w:p>
        </w:tc>
        <w:tc>
          <w:tcPr>
            <w:tcW w:w="0" w:type="auto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73D8E1C0" w14:textId="01EBE610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94</w:t>
            </w:r>
          </w:p>
        </w:tc>
      </w:tr>
      <w:tr w:rsidR="009D0BB7" w:rsidRPr="008873CE" w14:paraId="0F4E886A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D7D8DC6" w14:textId="05FDD9BA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BMI (20 – 35)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B4AB36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20 (19)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91EFE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86 (81)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D12A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2F865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81 %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10271E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159 (150 – 168)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5716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2AE21F20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2D40C17" w14:textId="02FD07B7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BMI (&gt; 35)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E09DE0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 (22)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561A1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 (78)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F53BA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D22C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78 %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3CAC664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140 (105 – 175)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29AD18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538A7DB1" w14:textId="77777777" w:rsidTr="002C45B6">
        <w:trPr>
          <w:trHeight w:val="30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3FD0EB50" w14:textId="03205E3D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9D0BB7">
              <w:t xml:space="preserve">Overall survival </w:t>
            </w:r>
            <w:r>
              <w:t>until</w:t>
            </w:r>
            <w:r w:rsidRPr="009D0BB7">
              <w:t xml:space="preserve"> analysis</w:t>
            </w:r>
            <w:r>
              <w:t xml:space="preserve"> &amp;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CE029FD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EB7A527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47A5A0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35A9F0DF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04D53B53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304D19C" w14:textId="38B87AD5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ASA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EA0D22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 (10)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6CBCA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 (90)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4C74C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69F5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90 %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38A16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163 (154 – 172)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56653CAA" w14:textId="6FAC11F2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43</w:t>
            </w:r>
          </w:p>
        </w:tc>
      </w:tr>
      <w:tr w:rsidR="009D0BB7" w:rsidRPr="008873CE" w14:paraId="7DB4FA7E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3519268" w14:textId="5D81138B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ASA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6A5C8C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16 (18)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D4C9D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73 (82)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10736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E9D33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82 %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18DA9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159 (149 – 169)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462467F5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30EB3EE9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2FAA178" w14:textId="5C62C98E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ASA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114F71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6 (29)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1432C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15 (71)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AD66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B07A9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67 %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19D8F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144 (122 – 167)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</w:tcPr>
          <w:p w14:paraId="40665582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6D219200" w14:textId="77777777" w:rsidTr="002C45B6">
        <w:trPr>
          <w:trHeight w:val="30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4BD92C96" w14:textId="2ECD0070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9D0BB7">
              <w:t xml:space="preserve">Overall survival </w:t>
            </w:r>
            <w:r>
              <w:t>until</w:t>
            </w:r>
            <w:r w:rsidRPr="009D0BB7">
              <w:t xml:space="preserve"> analysis</w:t>
            </w:r>
            <w:r>
              <w:t xml:space="preserve"> &amp;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905C51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E3289DB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3DF8F1F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528255C7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3C02A006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BEAFA9E" w14:textId="6D1402AE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C023C7">
              <w:t>Diclofenac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9D598A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 (22)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0CA50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32 (78)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E4E55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FE2AD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78 %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7F1D8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154 (137 – 171)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70E5D3FE" w14:textId="30BE28C5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22</w:t>
            </w:r>
          </w:p>
        </w:tc>
      </w:tr>
      <w:tr w:rsidR="009D0BB7" w:rsidRPr="008873CE" w14:paraId="52837B47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BC1DD9F" w14:textId="29455BD0" w:rsidR="009D0BB7" w:rsidRPr="008873CE" w:rsidRDefault="009D0BB7" w:rsidP="009D0BB7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C023C7">
              <w:t>Levobupivacaine bolus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5FF5A0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 (10)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EE54C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35 (90)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F7D36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349F9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 xml:space="preserve">85 %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9A8A0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162 (154 – 170)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13C6F3CB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5FB76376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91D260A" w14:textId="0292AF92" w:rsidR="009D0BB7" w:rsidRPr="008873CE" w:rsidRDefault="009D0BB7" w:rsidP="009D0BB7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C023C7">
              <w:t>Levobupivacaine PCA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491FE8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10 (25)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9CBB1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30 (75)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818EB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0E47C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75 %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3F37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141 (126 – 157)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</w:tcPr>
          <w:p w14:paraId="4CF7F679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3A216118" w14:textId="77777777" w:rsidTr="002C45B6">
        <w:trPr>
          <w:trHeight w:val="30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196F881A" w14:textId="4C2260A6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 w:rsidRPr="009D0BB7">
              <w:t xml:space="preserve">Overall survival </w:t>
            </w:r>
            <w:r>
              <w:t>until</w:t>
            </w:r>
            <w:r w:rsidRPr="009D0BB7">
              <w:t xml:space="preserve"> analysis</w:t>
            </w:r>
            <w:r>
              <w:t xml:space="preserve"> &amp;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6C505F0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F81C6BE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0B238D9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03B9DCB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  <w:tr w:rsidR="009D0BB7" w:rsidRPr="008873CE" w14:paraId="2B32D2AC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96A25F" w14:textId="43A7CFA7" w:rsidR="009D0BB7" w:rsidRPr="008873CE" w:rsidRDefault="009D0BB7" w:rsidP="009D0BB7">
            <w:pPr>
              <w:pStyle w:val="MDPI42tablebody"/>
              <w:jc w:val="left"/>
              <w:rPr>
                <w:rFonts w:eastAsia="Calibri"/>
              </w:rPr>
            </w:pPr>
            <w:r>
              <w:t>Diclofenac</w:t>
            </w:r>
            <w:r w:rsidRPr="00C023C7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DFE963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9 (22)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92A65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32 (78)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3DB6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1A81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78 %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D80DC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154 (137 – 171)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19354207" w14:textId="410959A4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0</w:t>
            </w:r>
            <w:r>
              <w:rPr>
                <w:color w:val="auto"/>
                <w:lang w:eastAsia="hr-HR"/>
              </w:rPr>
              <w:t>.</w:t>
            </w:r>
            <w:r w:rsidRPr="008873CE">
              <w:rPr>
                <w:color w:val="auto"/>
                <w:lang w:eastAsia="hr-HR"/>
              </w:rPr>
              <w:t>52</w:t>
            </w:r>
          </w:p>
        </w:tc>
      </w:tr>
      <w:tr w:rsidR="009D0BB7" w:rsidRPr="008873CE" w14:paraId="7C064D0D" w14:textId="77777777" w:rsidTr="002C45B6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14:paraId="57C8D8F0" w14:textId="1BF5642C" w:rsidR="009D0BB7" w:rsidRPr="008873CE" w:rsidRDefault="009D0BB7" w:rsidP="009D0BB7">
            <w:pPr>
              <w:pStyle w:val="MDPI42tablebody"/>
              <w:jc w:val="left"/>
              <w:rPr>
                <w:rFonts w:eastAsia="Calibri"/>
                <w:color w:val="auto"/>
              </w:rPr>
            </w:pPr>
            <w:r w:rsidRPr="00C023C7">
              <w:t>Any levobupivacaine group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3761D4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14 (18)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B0D869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65 (82)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D6AF82F" w14:textId="77777777" w:rsidR="009D0BB7" w:rsidRPr="008873CE" w:rsidRDefault="009D0BB7" w:rsidP="009D0BB7">
            <w:pPr>
              <w:pStyle w:val="MDPI42tablebody"/>
              <w:rPr>
                <w:rFonts w:eastAsia="Calibri"/>
              </w:rPr>
            </w:pPr>
            <w:r w:rsidRPr="008873CE">
              <w:rPr>
                <w:rFonts w:eastAsia="Calibri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BFD3DA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81 %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2F358C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  <w:r w:rsidRPr="008873CE">
              <w:rPr>
                <w:color w:val="auto"/>
                <w:lang w:eastAsia="hr-HR"/>
              </w:rPr>
              <w:t>151 (142 – 161)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53263684" w14:textId="77777777" w:rsidR="009D0BB7" w:rsidRPr="008873CE" w:rsidRDefault="009D0BB7" w:rsidP="009D0BB7">
            <w:pPr>
              <w:pStyle w:val="MDPI42tablebody"/>
              <w:rPr>
                <w:color w:val="auto"/>
                <w:lang w:eastAsia="hr-HR"/>
              </w:rPr>
            </w:pPr>
          </w:p>
        </w:tc>
      </w:tr>
    </w:tbl>
    <w:p w14:paraId="2814C390" w14:textId="6C7BB50F" w:rsidR="002A6163" w:rsidRPr="008873CE" w:rsidRDefault="000A7463" w:rsidP="002A6163">
      <w:pPr>
        <w:pStyle w:val="MDPI43tablefooter"/>
        <w:ind w:hanging="2608"/>
      </w:pPr>
      <w:r>
        <w:t xml:space="preserve">BMI body mass index, ASA </w:t>
      </w:r>
      <w:r w:rsidR="002C45B6">
        <w:t>American</w:t>
      </w:r>
      <w:r>
        <w:t xml:space="preserve"> </w:t>
      </w:r>
      <w:r w:rsidR="002C45B6">
        <w:t>S</w:t>
      </w:r>
      <w:r>
        <w:t xml:space="preserve">ociety of </w:t>
      </w:r>
      <w:r w:rsidR="002C45B6">
        <w:t>Anesthesiologists</w:t>
      </w:r>
      <w:r w:rsidR="002A6163" w:rsidRPr="008873CE">
        <w:t>.</w:t>
      </w:r>
    </w:p>
    <w:sectPr w:rsidR="002A6163" w:rsidRPr="008873CE" w:rsidSect="002725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B0D7E" w14:textId="77777777" w:rsidR="00A105CD" w:rsidRDefault="00A105CD">
      <w:pPr>
        <w:spacing w:line="240" w:lineRule="auto"/>
      </w:pPr>
      <w:r>
        <w:separator/>
      </w:r>
    </w:p>
  </w:endnote>
  <w:endnote w:type="continuationSeparator" w:id="0">
    <w:p w14:paraId="0ADFC023" w14:textId="77777777" w:rsidR="00A105CD" w:rsidRDefault="00A105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9606" w14:textId="77777777" w:rsidR="00FE126B" w:rsidRPr="00623F7A" w:rsidRDefault="00FE126B" w:rsidP="00FE126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A73F" w14:textId="77777777" w:rsidR="00273262" w:rsidRDefault="00273262" w:rsidP="007D3642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08370504" w14:textId="77777777" w:rsidR="00FE126B" w:rsidRPr="00372FCD" w:rsidRDefault="00FE126B" w:rsidP="00366008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A44E35">
      <w:rPr>
        <w:i/>
        <w:sz w:val="16"/>
        <w:szCs w:val="16"/>
      </w:rPr>
      <w:t>Pharmaceutics</w:t>
    </w:r>
    <w:r>
      <w:rPr>
        <w:i/>
        <w:sz w:val="16"/>
        <w:szCs w:val="16"/>
      </w:rPr>
      <w:t xml:space="preserve"> </w:t>
    </w:r>
    <w:r w:rsidR="00FA4231">
      <w:rPr>
        <w:b/>
        <w:bCs/>
        <w:iCs/>
        <w:sz w:val="16"/>
        <w:szCs w:val="16"/>
      </w:rPr>
      <w:t>2023</w:t>
    </w:r>
    <w:r w:rsidR="005F63C5" w:rsidRPr="005F63C5">
      <w:rPr>
        <w:bCs/>
        <w:iCs/>
        <w:sz w:val="16"/>
        <w:szCs w:val="16"/>
      </w:rPr>
      <w:t>,</w:t>
    </w:r>
    <w:r w:rsidR="00FA4231">
      <w:rPr>
        <w:bCs/>
        <w:i/>
        <w:iCs/>
        <w:sz w:val="16"/>
        <w:szCs w:val="16"/>
      </w:rPr>
      <w:t xml:space="preserve"> 15</w:t>
    </w:r>
    <w:r w:rsidR="005F63C5" w:rsidRPr="005F63C5">
      <w:rPr>
        <w:bCs/>
        <w:iCs/>
        <w:sz w:val="16"/>
        <w:szCs w:val="16"/>
      </w:rPr>
      <w:t xml:space="preserve">, </w:t>
    </w:r>
    <w:r w:rsidR="00061CCA">
      <w:rPr>
        <w:bCs/>
        <w:iCs/>
        <w:sz w:val="16"/>
        <w:szCs w:val="16"/>
      </w:rPr>
      <w:t>x</w:t>
    </w:r>
    <w:r w:rsidR="00273262">
      <w:rPr>
        <w:bCs/>
        <w:iCs/>
        <w:sz w:val="16"/>
        <w:szCs w:val="16"/>
      </w:rPr>
      <w:t>. https://doi.org/10.3390/xxxxx</w:t>
    </w:r>
    <w:r w:rsidR="00366008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002864">
      <w:rPr>
        <w:sz w:val="16"/>
        <w:szCs w:val="16"/>
      </w:rPr>
      <w:t>pharmaceutics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9BFDB" w14:textId="77777777" w:rsidR="00A105CD" w:rsidRDefault="00A105CD">
      <w:pPr>
        <w:spacing w:line="240" w:lineRule="auto"/>
      </w:pPr>
      <w:r>
        <w:separator/>
      </w:r>
    </w:p>
  </w:footnote>
  <w:footnote w:type="continuationSeparator" w:id="0">
    <w:p w14:paraId="71F5DED2" w14:textId="77777777" w:rsidR="00A105CD" w:rsidRDefault="00A105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CE48" w14:textId="77777777" w:rsidR="00FE126B" w:rsidRDefault="00FE126B" w:rsidP="00FE12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DC8C1" w14:textId="77777777" w:rsidR="00273262" w:rsidRDefault="00FE126B" w:rsidP="0036600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Pharmaceutics </w:t>
    </w:r>
    <w:r w:rsidR="00FA4231">
      <w:rPr>
        <w:b/>
        <w:sz w:val="16"/>
      </w:rPr>
      <w:t>2023</w:t>
    </w:r>
    <w:r w:rsidR="005F63C5" w:rsidRPr="005F63C5">
      <w:rPr>
        <w:sz w:val="16"/>
      </w:rPr>
      <w:t>,</w:t>
    </w:r>
    <w:r w:rsidR="00FA4231">
      <w:rPr>
        <w:i/>
        <w:sz w:val="16"/>
      </w:rPr>
      <w:t xml:space="preserve"> 15</w:t>
    </w:r>
    <w:r w:rsidR="00061CCA">
      <w:rPr>
        <w:sz w:val="16"/>
      </w:rPr>
      <w:t>, x FOR PEER REVIEW</w:t>
    </w:r>
    <w:r w:rsidR="00366008">
      <w:rPr>
        <w:sz w:val="16"/>
      </w:rPr>
      <w:tab/>
    </w:r>
    <w:r w:rsidR="00061CCA">
      <w:rPr>
        <w:sz w:val="16"/>
      </w:rPr>
      <w:fldChar w:fldCharType="begin"/>
    </w:r>
    <w:r w:rsidR="00061CCA">
      <w:rPr>
        <w:sz w:val="16"/>
      </w:rPr>
      <w:instrText xml:space="preserve"> PAGE   \* MERGEFORMAT </w:instrText>
    </w:r>
    <w:r w:rsidR="00061CCA">
      <w:rPr>
        <w:sz w:val="16"/>
      </w:rPr>
      <w:fldChar w:fldCharType="separate"/>
    </w:r>
    <w:r w:rsidR="00450EB0">
      <w:rPr>
        <w:sz w:val="16"/>
      </w:rPr>
      <w:t>5</w:t>
    </w:r>
    <w:r w:rsidR="00061CCA">
      <w:rPr>
        <w:sz w:val="16"/>
      </w:rPr>
      <w:fldChar w:fldCharType="end"/>
    </w:r>
    <w:r w:rsidR="00061CCA">
      <w:rPr>
        <w:sz w:val="16"/>
      </w:rPr>
      <w:t xml:space="preserve"> of </w:t>
    </w:r>
    <w:r w:rsidR="00061CCA">
      <w:rPr>
        <w:sz w:val="16"/>
      </w:rPr>
      <w:fldChar w:fldCharType="begin"/>
    </w:r>
    <w:r w:rsidR="00061CCA">
      <w:rPr>
        <w:sz w:val="16"/>
      </w:rPr>
      <w:instrText xml:space="preserve"> NUMPAGES   \* MERGEFORMAT </w:instrText>
    </w:r>
    <w:r w:rsidR="00061CCA">
      <w:rPr>
        <w:sz w:val="16"/>
      </w:rPr>
      <w:fldChar w:fldCharType="separate"/>
    </w:r>
    <w:r w:rsidR="00450EB0">
      <w:rPr>
        <w:sz w:val="16"/>
      </w:rPr>
      <w:t>5</w:t>
    </w:r>
    <w:r w:rsidR="00061CCA">
      <w:rPr>
        <w:sz w:val="16"/>
      </w:rPr>
      <w:fldChar w:fldCharType="end"/>
    </w:r>
  </w:p>
  <w:p w14:paraId="763B4749" w14:textId="77777777" w:rsidR="00FE126B" w:rsidRPr="00A53D46" w:rsidRDefault="00FE126B" w:rsidP="007D3642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273262" w:rsidRPr="00366008" w14:paraId="2538E1CE" w14:textId="77777777" w:rsidTr="00BD216E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8F0F848" w14:textId="77777777" w:rsidR="00273262" w:rsidRPr="00E87375" w:rsidRDefault="00C24143" w:rsidP="00366008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E87375">
            <w:rPr>
              <w:rFonts w:eastAsia="DengXian"/>
              <w:b/>
              <w:bCs/>
            </w:rPr>
            <w:drawing>
              <wp:inline distT="0" distB="0" distL="0" distR="0" wp14:anchorId="3E9DAB7D" wp14:editId="41C8B107">
                <wp:extent cx="1669415" cy="436245"/>
                <wp:effectExtent l="0" t="0" r="0" b="0"/>
                <wp:docPr id="1" name="Picture 3" descr="C:\Users\home\AppData\Local\Temp\HZ$D.082.3360\Pharmaceut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60\Pharmaceut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F71B4A7" w14:textId="77777777" w:rsidR="00273262" w:rsidRPr="00E87375" w:rsidRDefault="00273262" w:rsidP="00366008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82C43FC" w14:textId="77777777" w:rsidR="00273262" w:rsidRPr="00E87375" w:rsidRDefault="00BD216E" w:rsidP="00BD216E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4B3C327C" wp14:editId="5F6989D3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23B6BB6" w14:textId="77777777" w:rsidR="00FE126B" w:rsidRPr="00273262" w:rsidRDefault="00FE126B" w:rsidP="007D3642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E07"/>
    <w:multiLevelType w:val="hybridMultilevel"/>
    <w:tmpl w:val="AB485CEC"/>
    <w:lvl w:ilvl="0" w:tplc="016E410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5401"/>
    <w:multiLevelType w:val="hybridMultilevel"/>
    <w:tmpl w:val="49BAB8E8"/>
    <w:lvl w:ilvl="0" w:tplc="2B0A8C14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72F6A462"/>
    <w:lvl w:ilvl="0" w:tplc="9A38013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300AB"/>
    <w:multiLevelType w:val="hybridMultilevel"/>
    <w:tmpl w:val="8F6EDA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3327F3"/>
    <w:multiLevelType w:val="hybridMultilevel"/>
    <w:tmpl w:val="C038C9C6"/>
    <w:lvl w:ilvl="0" w:tplc="C686B53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074105">
    <w:abstractNumId w:val="5"/>
  </w:num>
  <w:num w:numId="2" w16cid:durableId="563761736">
    <w:abstractNumId w:val="8"/>
  </w:num>
  <w:num w:numId="3" w16cid:durableId="1792745174">
    <w:abstractNumId w:val="4"/>
  </w:num>
  <w:num w:numId="4" w16cid:durableId="2008365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2373760">
    <w:abstractNumId w:val="6"/>
  </w:num>
  <w:num w:numId="6" w16cid:durableId="2133666320">
    <w:abstractNumId w:val="10"/>
  </w:num>
  <w:num w:numId="7" w16cid:durableId="1582913596">
    <w:abstractNumId w:val="3"/>
  </w:num>
  <w:num w:numId="8" w16cid:durableId="1500928006">
    <w:abstractNumId w:val="10"/>
  </w:num>
  <w:num w:numId="9" w16cid:durableId="805662647">
    <w:abstractNumId w:val="3"/>
  </w:num>
  <w:num w:numId="10" w16cid:durableId="1609045197">
    <w:abstractNumId w:val="10"/>
  </w:num>
  <w:num w:numId="11" w16cid:durableId="1151099981">
    <w:abstractNumId w:val="3"/>
  </w:num>
  <w:num w:numId="12" w16cid:durableId="1925066309">
    <w:abstractNumId w:val="12"/>
  </w:num>
  <w:num w:numId="13" w16cid:durableId="1315065304">
    <w:abstractNumId w:val="10"/>
  </w:num>
  <w:num w:numId="14" w16cid:durableId="1620650893">
    <w:abstractNumId w:val="3"/>
  </w:num>
  <w:num w:numId="15" w16cid:durableId="1770151922">
    <w:abstractNumId w:val="2"/>
  </w:num>
  <w:num w:numId="16" w16cid:durableId="1243565579">
    <w:abstractNumId w:val="9"/>
  </w:num>
  <w:num w:numId="17" w16cid:durableId="305208486">
    <w:abstractNumId w:val="0"/>
  </w:num>
  <w:num w:numId="18" w16cid:durableId="480467754">
    <w:abstractNumId w:val="10"/>
  </w:num>
  <w:num w:numId="19" w16cid:durableId="1786731317">
    <w:abstractNumId w:val="3"/>
  </w:num>
  <w:num w:numId="20" w16cid:durableId="1952131132">
    <w:abstractNumId w:val="2"/>
  </w:num>
  <w:num w:numId="21" w16cid:durableId="1026365955">
    <w:abstractNumId w:val="0"/>
  </w:num>
  <w:num w:numId="22" w16cid:durableId="286593605">
    <w:abstractNumId w:val="11"/>
  </w:num>
  <w:num w:numId="23" w16cid:durableId="1727797610">
    <w:abstractNumId w:val="1"/>
  </w:num>
  <w:num w:numId="24" w16cid:durableId="4466984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2"/>
    <w:rsid w:val="00027081"/>
    <w:rsid w:val="0004039F"/>
    <w:rsid w:val="00060CE0"/>
    <w:rsid w:val="00061CCA"/>
    <w:rsid w:val="00073DBD"/>
    <w:rsid w:val="00085F66"/>
    <w:rsid w:val="00094333"/>
    <w:rsid w:val="000A077C"/>
    <w:rsid w:val="000A7463"/>
    <w:rsid w:val="000B3CAA"/>
    <w:rsid w:val="0010564E"/>
    <w:rsid w:val="00113516"/>
    <w:rsid w:val="00130465"/>
    <w:rsid w:val="00135B7B"/>
    <w:rsid w:val="00141B78"/>
    <w:rsid w:val="00150063"/>
    <w:rsid w:val="001520BF"/>
    <w:rsid w:val="00153557"/>
    <w:rsid w:val="00165308"/>
    <w:rsid w:val="00166B8F"/>
    <w:rsid w:val="0017210D"/>
    <w:rsid w:val="0017723A"/>
    <w:rsid w:val="00186784"/>
    <w:rsid w:val="001A7302"/>
    <w:rsid w:val="001B6703"/>
    <w:rsid w:val="001B72FB"/>
    <w:rsid w:val="001D0E86"/>
    <w:rsid w:val="001D5E96"/>
    <w:rsid w:val="001E2AEB"/>
    <w:rsid w:val="001E57EA"/>
    <w:rsid w:val="001F0D9A"/>
    <w:rsid w:val="00233690"/>
    <w:rsid w:val="002472A9"/>
    <w:rsid w:val="0025486E"/>
    <w:rsid w:val="002566BE"/>
    <w:rsid w:val="00260670"/>
    <w:rsid w:val="00263D9C"/>
    <w:rsid w:val="00272513"/>
    <w:rsid w:val="00273262"/>
    <w:rsid w:val="00281762"/>
    <w:rsid w:val="00284F8A"/>
    <w:rsid w:val="002910B4"/>
    <w:rsid w:val="002914EF"/>
    <w:rsid w:val="002975D2"/>
    <w:rsid w:val="002A6163"/>
    <w:rsid w:val="002A6FDB"/>
    <w:rsid w:val="002C45B6"/>
    <w:rsid w:val="002C72C7"/>
    <w:rsid w:val="002E527E"/>
    <w:rsid w:val="002F0AC0"/>
    <w:rsid w:val="003252CE"/>
    <w:rsid w:val="00326141"/>
    <w:rsid w:val="003302A3"/>
    <w:rsid w:val="003578D2"/>
    <w:rsid w:val="00366008"/>
    <w:rsid w:val="00371EB4"/>
    <w:rsid w:val="003825F7"/>
    <w:rsid w:val="003827A8"/>
    <w:rsid w:val="003B2CEE"/>
    <w:rsid w:val="003C13CF"/>
    <w:rsid w:val="003C42BB"/>
    <w:rsid w:val="003C61F8"/>
    <w:rsid w:val="003D0EFF"/>
    <w:rsid w:val="003D3C4E"/>
    <w:rsid w:val="003F57D5"/>
    <w:rsid w:val="00401D30"/>
    <w:rsid w:val="00402273"/>
    <w:rsid w:val="004238E0"/>
    <w:rsid w:val="00426352"/>
    <w:rsid w:val="00434317"/>
    <w:rsid w:val="00434768"/>
    <w:rsid w:val="0044407C"/>
    <w:rsid w:val="00444E19"/>
    <w:rsid w:val="00450EB0"/>
    <w:rsid w:val="004643CC"/>
    <w:rsid w:val="00466F83"/>
    <w:rsid w:val="00483868"/>
    <w:rsid w:val="0049761B"/>
    <w:rsid w:val="004D12B4"/>
    <w:rsid w:val="004E19B0"/>
    <w:rsid w:val="004E499D"/>
    <w:rsid w:val="004E4D6B"/>
    <w:rsid w:val="004F373E"/>
    <w:rsid w:val="004F611E"/>
    <w:rsid w:val="0051795B"/>
    <w:rsid w:val="00517A11"/>
    <w:rsid w:val="00540D5E"/>
    <w:rsid w:val="00540E44"/>
    <w:rsid w:val="00542909"/>
    <w:rsid w:val="00543A26"/>
    <w:rsid w:val="00544ACC"/>
    <w:rsid w:val="00551566"/>
    <w:rsid w:val="005873B0"/>
    <w:rsid w:val="0058760E"/>
    <w:rsid w:val="00591535"/>
    <w:rsid w:val="00594AA7"/>
    <w:rsid w:val="005A3115"/>
    <w:rsid w:val="005B529D"/>
    <w:rsid w:val="005C224E"/>
    <w:rsid w:val="005C3BEA"/>
    <w:rsid w:val="005D3453"/>
    <w:rsid w:val="005F63C5"/>
    <w:rsid w:val="005F6A3E"/>
    <w:rsid w:val="00601F3F"/>
    <w:rsid w:val="00604B59"/>
    <w:rsid w:val="00635915"/>
    <w:rsid w:val="00644F4D"/>
    <w:rsid w:val="006565AD"/>
    <w:rsid w:val="006603BE"/>
    <w:rsid w:val="00672B5C"/>
    <w:rsid w:val="00676B84"/>
    <w:rsid w:val="00692393"/>
    <w:rsid w:val="00697FDB"/>
    <w:rsid w:val="006A095B"/>
    <w:rsid w:val="006C7E7C"/>
    <w:rsid w:val="006D18F2"/>
    <w:rsid w:val="006F0C09"/>
    <w:rsid w:val="006F1FFE"/>
    <w:rsid w:val="006F3AA5"/>
    <w:rsid w:val="006F6323"/>
    <w:rsid w:val="00714C82"/>
    <w:rsid w:val="007229D1"/>
    <w:rsid w:val="00762D3E"/>
    <w:rsid w:val="00765F28"/>
    <w:rsid w:val="00785205"/>
    <w:rsid w:val="007907AD"/>
    <w:rsid w:val="007B0D68"/>
    <w:rsid w:val="007B2861"/>
    <w:rsid w:val="007C3C8A"/>
    <w:rsid w:val="007D3642"/>
    <w:rsid w:val="007E16EC"/>
    <w:rsid w:val="007F0A98"/>
    <w:rsid w:val="007F3E78"/>
    <w:rsid w:val="007F797E"/>
    <w:rsid w:val="0080700D"/>
    <w:rsid w:val="008078D9"/>
    <w:rsid w:val="00810A2C"/>
    <w:rsid w:val="00824509"/>
    <w:rsid w:val="00832517"/>
    <w:rsid w:val="008431B7"/>
    <w:rsid w:val="008873CE"/>
    <w:rsid w:val="008F1639"/>
    <w:rsid w:val="009013EF"/>
    <w:rsid w:val="00902906"/>
    <w:rsid w:val="0092690F"/>
    <w:rsid w:val="00944441"/>
    <w:rsid w:val="00961463"/>
    <w:rsid w:val="0096345F"/>
    <w:rsid w:val="00967858"/>
    <w:rsid w:val="009703F5"/>
    <w:rsid w:val="00973D6F"/>
    <w:rsid w:val="00974329"/>
    <w:rsid w:val="00983FFA"/>
    <w:rsid w:val="009863DB"/>
    <w:rsid w:val="009A76E4"/>
    <w:rsid w:val="009B59FA"/>
    <w:rsid w:val="009D0BB7"/>
    <w:rsid w:val="009D197B"/>
    <w:rsid w:val="009D2A3D"/>
    <w:rsid w:val="009D6BAC"/>
    <w:rsid w:val="009E0A1F"/>
    <w:rsid w:val="009E309E"/>
    <w:rsid w:val="009E3C6B"/>
    <w:rsid w:val="009E6025"/>
    <w:rsid w:val="009F70E6"/>
    <w:rsid w:val="00A105CD"/>
    <w:rsid w:val="00A10917"/>
    <w:rsid w:val="00A150ED"/>
    <w:rsid w:val="00A20AED"/>
    <w:rsid w:val="00A400BB"/>
    <w:rsid w:val="00A465EE"/>
    <w:rsid w:val="00A53A95"/>
    <w:rsid w:val="00A542E4"/>
    <w:rsid w:val="00A678A3"/>
    <w:rsid w:val="00A83F87"/>
    <w:rsid w:val="00A944FF"/>
    <w:rsid w:val="00AB577E"/>
    <w:rsid w:val="00AB6C06"/>
    <w:rsid w:val="00AC233C"/>
    <w:rsid w:val="00AD55AC"/>
    <w:rsid w:val="00AF4A29"/>
    <w:rsid w:val="00AF679C"/>
    <w:rsid w:val="00B031CE"/>
    <w:rsid w:val="00B239D8"/>
    <w:rsid w:val="00B24C1A"/>
    <w:rsid w:val="00B26FB9"/>
    <w:rsid w:val="00B272EB"/>
    <w:rsid w:val="00B3485A"/>
    <w:rsid w:val="00B40C50"/>
    <w:rsid w:val="00B41055"/>
    <w:rsid w:val="00B415BD"/>
    <w:rsid w:val="00B506F0"/>
    <w:rsid w:val="00B70FE2"/>
    <w:rsid w:val="00B73E24"/>
    <w:rsid w:val="00B836BC"/>
    <w:rsid w:val="00B872AB"/>
    <w:rsid w:val="00B91867"/>
    <w:rsid w:val="00B922D9"/>
    <w:rsid w:val="00B93B82"/>
    <w:rsid w:val="00B96E4C"/>
    <w:rsid w:val="00BA0055"/>
    <w:rsid w:val="00BA1B4E"/>
    <w:rsid w:val="00BD216E"/>
    <w:rsid w:val="00BD5767"/>
    <w:rsid w:val="00BE1869"/>
    <w:rsid w:val="00BE3F2F"/>
    <w:rsid w:val="00C07064"/>
    <w:rsid w:val="00C173CF"/>
    <w:rsid w:val="00C24143"/>
    <w:rsid w:val="00C24BAA"/>
    <w:rsid w:val="00C35138"/>
    <w:rsid w:val="00C36C5E"/>
    <w:rsid w:val="00C43C51"/>
    <w:rsid w:val="00C46756"/>
    <w:rsid w:val="00C54634"/>
    <w:rsid w:val="00C62865"/>
    <w:rsid w:val="00C73B10"/>
    <w:rsid w:val="00C87AB0"/>
    <w:rsid w:val="00C94DC4"/>
    <w:rsid w:val="00CA4566"/>
    <w:rsid w:val="00CA7781"/>
    <w:rsid w:val="00CB1162"/>
    <w:rsid w:val="00CB22D1"/>
    <w:rsid w:val="00CD3576"/>
    <w:rsid w:val="00CE0105"/>
    <w:rsid w:val="00CF3A4C"/>
    <w:rsid w:val="00CF785F"/>
    <w:rsid w:val="00D01F2F"/>
    <w:rsid w:val="00D05F91"/>
    <w:rsid w:val="00D06D4F"/>
    <w:rsid w:val="00D1483A"/>
    <w:rsid w:val="00D25AE8"/>
    <w:rsid w:val="00D52273"/>
    <w:rsid w:val="00D63BF3"/>
    <w:rsid w:val="00D712DD"/>
    <w:rsid w:val="00DA28DD"/>
    <w:rsid w:val="00DC2607"/>
    <w:rsid w:val="00DC6E39"/>
    <w:rsid w:val="00DE1599"/>
    <w:rsid w:val="00DE2A2F"/>
    <w:rsid w:val="00E14019"/>
    <w:rsid w:val="00E2775C"/>
    <w:rsid w:val="00E54C6F"/>
    <w:rsid w:val="00E62E60"/>
    <w:rsid w:val="00E677EB"/>
    <w:rsid w:val="00E865C5"/>
    <w:rsid w:val="00E87375"/>
    <w:rsid w:val="00ED1BA2"/>
    <w:rsid w:val="00EE6653"/>
    <w:rsid w:val="00F07511"/>
    <w:rsid w:val="00F2293C"/>
    <w:rsid w:val="00F23205"/>
    <w:rsid w:val="00F318B0"/>
    <w:rsid w:val="00F46F77"/>
    <w:rsid w:val="00F5492A"/>
    <w:rsid w:val="00F81686"/>
    <w:rsid w:val="00F85D63"/>
    <w:rsid w:val="00FA2FA0"/>
    <w:rsid w:val="00FA4231"/>
    <w:rsid w:val="00FB13F3"/>
    <w:rsid w:val="00FD25F8"/>
    <w:rsid w:val="00FE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B10A15"/>
  <w15:chartTrackingRefBased/>
  <w15:docId w15:val="{F5417A99-B846-46E4-8A56-E99604AB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F77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F46F77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46F77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46F77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46F7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F46F77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46F7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46F7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46F77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B415B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F46F77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46F77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F46F77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F46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F46F77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F46F77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46F77"/>
    <w:pPr>
      <w:ind w:firstLine="0"/>
    </w:pPr>
  </w:style>
  <w:style w:type="paragraph" w:customStyle="1" w:styleId="MDPI31text">
    <w:name w:val="MDPI_3.1_text"/>
    <w:qFormat/>
    <w:rsid w:val="004E499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F46F77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F46F7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F46F77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D216E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D216E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F46F77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F46F77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F46F77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3252C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F46F7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F46F77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F46F77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F46F77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46F7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46F7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A10917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F46F77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F46F77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27251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F46F77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F46F77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9E3C6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F63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F46F77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F46F7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F46F7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F46F77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F46F77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F46F77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DC2607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F46F77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F46F77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F46F77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D06D4F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F46F77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F46F77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F46F77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F46F77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F46F7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F46F77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F46F77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F46F77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F46F77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F46F7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F46F77"/>
  </w:style>
  <w:style w:type="paragraph" w:styleId="Bibliography">
    <w:name w:val="Bibliography"/>
    <w:basedOn w:val="Normal"/>
    <w:next w:val="Normal"/>
    <w:uiPriority w:val="37"/>
    <w:semiHidden/>
    <w:unhideWhenUsed/>
    <w:rsid w:val="00F46F77"/>
  </w:style>
  <w:style w:type="paragraph" w:styleId="BodyText">
    <w:name w:val="Body Text"/>
    <w:link w:val="BodyTextChar"/>
    <w:rsid w:val="00F46F77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46F77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F46F77"/>
    <w:rPr>
      <w:sz w:val="21"/>
      <w:szCs w:val="21"/>
    </w:rPr>
  </w:style>
  <w:style w:type="paragraph" w:styleId="CommentText">
    <w:name w:val="annotation text"/>
    <w:basedOn w:val="Normal"/>
    <w:link w:val="CommentTextChar"/>
    <w:rsid w:val="00F46F77"/>
  </w:style>
  <w:style w:type="character" w:customStyle="1" w:styleId="CommentTextChar">
    <w:name w:val="Comment Text Char"/>
    <w:link w:val="CommentText"/>
    <w:rsid w:val="00F46F77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F46F77"/>
    <w:rPr>
      <w:b/>
      <w:bCs/>
    </w:rPr>
  </w:style>
  <w:style w:type="character" w:customStyle="1" w:styleId="CommentSubjectChar">
    <w:name w:val="Comment Subject Char"/>
    <w:link w:val="CommentSubject"/>
    <w:rsid w:val="00F46F77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F46F77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46F77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F46F77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F46F77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46F77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F46F77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F46F77"/>
    <w:rPr>
      <w:szCs w:val="24"/>
    </w:rPr>
  </w:style>
  <w:style w:type="paragraph" w:customStyle="1" w:styleId="MsoFootnoteText0">
    <w:name w:val="MsoFootnoteText"/>
    <w:basedOn w:val="NormalWeb"/>
    <w:qFormat/>
    <w:rsid w:val="00F46F77"/>
    <w:rPr>
      <w:rFonts w:ascii="Times New Roman" w:hAnsi="Times New Roman"/>
    </w:rPr>
  </w:style>
  <w:style w:type="character" w:styleId="PageNumber">
    <w:name w:val="page number"/>
    <w:rsid w:val="00F46F77"/>
  </w:style>
  <w:style w:type="character" w:styleId="PlaceholderText">
    <w:name w:val="Placeholder Text"/>
    <w:uiPriority w:val="99"/>
    <w:semiHidden/>
    <w:rsid w:val="00F46F77"/>
    <w:rPr>
      <w:color w:val="808080"/>
    </w:rPr>
  </w:style>
  <w:style w:type="paragraph" w:customStyle="1" w:styleId="MDPI71FootNotes">
    <w:name w:val="MDPI_7.1_FootNotes"/>
    <w:qFormat/>
    <w:rsid w:val="00D712DD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table" w:customStyle="1" w:styleId="TableGrid1">
    <w:name w:val="Table Grid1"/>
    <w:basedOn w:val="TableNormal"/>
    <w:next w:val="TableGrid"/>
    <w:uiPriority w:val="59"/>
    <w:rsid w:val="00434317"/>
    <w:rPr>
      <w:rFonts w:eastAsia="Calibr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4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KATEDRA\STUDENTSKA%20SEKCIJA\BC_survival\pharmaceutic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BC4DFE-4C72-4E6C-B180-2DDE074A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pharmaceutics-template.dot</Template>
  <TotalTime>91</TotalTime>
  <Pages>7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SK</dc:creator>
  <cp:keywords/>
  <dc:description/>
  <cp:lastModifiedBy>Slavica Kvolik</cp:lastModifiedBy>
  <cp:revision>4</cp:revision>
  <dcterms:created xsi:type="dcterms:W3CDTF">2023-06-21T20:41:00Z</dcterms:created>
  <dcterms:modified xsi:type="dcterms:W3CDTF">2023-06-22T16:35:00Z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b376fd992aad85d61f190625cf66290325561c1fa6874a89f6fdf74e9373fde9</vt:lpwstr>
  </property>
</Properties>
</file>