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98A3" w14:textId="77777777" w:rsidR="00A52750" w:rsidRPr="008634D7" w:rsidRDefault="00A52750" w:rsidP="00A52750">
      <w:pPr>
        <w:pStyle w:val="MDPI12title"/>
        <w:jc w:val="center"/>
        <w:rPr>
          <w:bCs/>
        </w:rPr>
      </w:pPr>
      <w:r>
        <w:t xml:space="preserve">Title: </w:t>
      </w:r>
      <w:r w:rsidRPr="008634D7">
        <w:rPr>
          <w:bCs/>
        </w:rPr>
        <w:t>Immunological misfiring and sex differences/similarities in early COVID-19 studies: missed opportunities of making a real IMPACT</w:t>
      </w:r>
    </w:p>
    <w:p w14:paraId="43DE540C" w14:textId="77777777" w:rsidR="00A52750" w:rsidRDefault="00A52750" w:rsidP="00A52750">
      <w:pPr>
        <w:pStyle w:val="MDPI13authornames"/>
      </w:pPr>
      <w:r>
        <w:t>Aditi Bhargava</w:t>
      </w:r>
      <w:r w:rsidRPr="001F31D1">
        <w:rPr>
          <w:vertAlign w:val="superscript"/>
        </w:rPr>
        <w:t>1</w:t>
      </w:r>
      <w:r>
        <w:rPr>
          <w:vertAlign w:val="superscript"/>
        </w:rPr>
        <w:t>,</w:t>
      </w:r>
      <w:r w:rsidRPr="008634D7">
        <w:rPr>
          <w:vertAlign w:val="superscript"/>
        </w:rPr>
        <w:t xml:space="preserve"> </w:t>
      </w:r>
      <w:proofErr w:type="gramStart"/>
      <w:r w:rsidRPr="001F31D1">
        <w:rPr>
          <w:vertAlign w:val="superscript"/>
        </w:rPr>
        <w:t>2,</w:t>
      </w:r>
      <w:r w:rsidRPr="00331633">
        <w:t>*</w:t>
      </w:r>
      <w:proofErr w:type="gramEnd"/>
      <w:r w:rsidRPr="00D945EC">
        <w:t xml:space="preserve">, </w:t>
      </w:r>
      <w:r>
        <w:t>Johannes D Knapp</w:t>
      </w:r>
      <w:r w:rsidRPr="001F31D1">
        <w:rPr>
          <w:vertAlign w:val="superscript"/>
        </w:rPr>
        <w:t>2</w:t>
      </w:r>
      <w:r w:rsidRPr="00D945EC">
        <w:t xml:space="preserve"> </w:t>
      </w:r>
    </w:p>
    <w:p w14:paraId="3B1462F6" w14:textId="77777777" w:rsidR="00A52750" w:rsidRPr="00D945EC" w:rsidRDefault="00A52750" w:rsidP="00A52750">
      <w:pPr>
        <w:pStyle w:val="MDPI16affiliation"/>
      </w:pPr>
      <w:r w:rsidRPr="00E84202">
        <w:rPr>
          <w:vertAlign w:val="superscript"/>
        </w:rPr>
        <w:t>1</w:t>
      </w:r>
      <w:r w:rsidRPr="00D945EC">
        <w:tab/>
        <w:t>Affiliation 1</w:t>
      </w:r>
      <w:r w:rsidRPr="008634D7">
        <w:t xml:space="preserve"> Center for Reproductive Sciences and Department of </w:t>
      </w:r>
      <w:proofErr w:type="spellStart"/>
      <w:r w:rsidRPr="008634D7">
        <w:t>ObGyn</w:t>
      </w:r>
      <w:proofErr w:type="spellEnd"/>
      <w:r w:rsidRPr="008634D7">
        <w:t>, University of California San Francisco, San Francisco, CA 94143</w:t>
      </w:r>
      <w:r w:rsidRPr="00D945EC">
        <w:t xml:space="preserve">; </w:t>
      </w:r>
      <w:r>
        <w:t>aditi.bhargava@ucsf.edu</w:t>
      </w:r>
    </w:p>
    <w:p w14:paraId="1825466B" w14:textId="77777777" w:rsidR="00A52750" w:rsidRPr="00D945EC" w:rsidRDefault="00A52750" w:rsidP="00A52750">
      <w:pPr>
        <w:pStyle w:val="MDPI16affiliation"/>
      </w:pPr>
      <w:r w:rsidRPr="00D945EC">
        <w:rPr>
          <w:vertAlign w:val="superscript"/>
        </w:rPr>
        <w:t>2</w:t>
      </w:r>
      <w:r w:rsidRPr="00D945EC">
        <w:tab/>
        <w:t>Affiliation 2</w:t>
      </w:r>
      <w:r>
        <w:t>: Aseesa Inc., CA, USA</w:t>
      </w:r>
      <w:r w:rsidRPr="00D945EC">
        <w:t xml:space="preserve">; </w:t>
      </w:r>
      <w:r>
        <w:t>jk@aseesa.com</w:t>
      </w:r>
    </w:p>
    <w:p w14:paraId="690B428C" w14:textId="77777777" w:rsidR="00A52750" w:rsidRPr="00550626" w:rsidRDefault="00A52750" w:rsidP="00A52750">
      <w:pPr>
        <w:pStyle w:val="MDPI16affiliation"/>
      </w:pPr>
      <w:r w:rsidRPr="006834F1">
        <w:rPr>
          <w:b/>
        </w:rPr>
        <w:t>*</w:t>
      </w:r>
      <w:r w:rsidRPr="00D945EC">
        <w:tab/>
        <w:t xml:space="preserve">Correspondence: </w:t>
      </w:r>
      <w:r>
        <w:t>Aditi.bhargava@ucsf.edu</w:t>
      </w:r>
      <w:r w:rsidRPr="00D945EC">
        <w:t xml:space="preserve"> </w:t>
      </w:r>
    </w:p>
    <w:p w14:paraId="3B9E125F" w14:textId="54B6AD5F" w:rsidR="00A52750" w:rsidRPr="00A52750" w:rsidRDefault="00A52750" w:rsidP="00A52750">
      <w:pPr>
        <w:rPr>
          <w:rFonts w:ascii="Palatino Linotype" w:hAnsi="Palatino Linotype"/>
          <w:b/>
          <w:bCs/>
          <w:sz w:val="22"/>
          <w:szCs w:val="22"/>
        </w:rPr>
      </w:pPr>
      <w:r w:rsidRPr="00A52750">
        <w:rPr>
          <w:rFonts w:ascii="Palatino Linotype" w:hAnsi="Palatino Linotype"/>
          <w:b/>
          <w:bCs/>
          <w:sz w:val="22"/>
          <w:szCs w:val="22"/>
        </w:rPr>
        <w:t>Supplementary Figures S1-4</w:t>
      </w:r>
      <w:r w:rsidRPr="00A52750">
        <w:rPr>
          <w:rFonts w:ascii="Palatino Linotype" w:hAnsi="Palatino Linotype"/>
          <w:sz w:val="22"/>
          <w:szCs w:val="22"/>
        </w:rPr>
        <w:t xml:space="preserve">. </w:t>
      </w:r>
      <w:r w:rsidRPr="00A52750">
        <w:rPr>
          <w:rFonts w:ascii="Palatino Linotype" w:hAnsi="Palatino Linotype"/>
          <w:b/>
          <w:bCs/>
          <w:sz w:val="22"/>
          <w:szCs w:val="22"/>
        </w:rPr>
        <w:t>Changed immunological and biological measures in COVID-19 patients.</w:t>
      </w:r>
    </w:p>
    <w:p w14:paraId="717DF1C6" w14:textId="77777777" w:rsidR="00A52750" w:rsidRDefault="00A52750" w:rsidP="00A52750">
      <w:pPr>
        <w:rPr>
          <w:rFonts w:ascii="Palatino Linotype" w:hAnsi="Palatino Linotype"/>
          <w:b/>
          <w:bCs/>
          <w:sz w:val="22"/>
          <w:szCs w:val="22"/>
        </w:rPr>
      </w:pPr>
    </w:p>
    <w:p w14:paraId="3A338839" w14:textId="411264D6" w:rsidR="00A52750" w:rsidRPr="00A52750" w:rsidRDefault="00A52750" w:rsidP="00A52750">
      <w:pPr>
        <w:rPr>
          <w:rFonts w:ascii="Palatino Linotype" w:hAnsi="Palatino Linotype"/>
          <w:b/>
          <w:bCs/>
          <w:sz w:val="22"/>
          <w:szCs w:val="22"/>
        </w:rPr>
      </w:pPr>
      <w:r w:rsidRPr="00A52750">
        <w:rPr>
          <w:rFonts w:ascii="Palatino Linotype" w:hAnsi="Palatino Linotype"/>
          <w:b/>
          <w:bCs/>
          <w:sz w:val="22"/>
          <w:szCs w:val="22"/>
        </w:rPr>
        <w:t>Fig</w:t>
      </w:r>
      <w:r>
        <w:rPr>
          <w:rFonts w:ascii="Palatino Linotype" w:hAnsi="Palatino Linotype"/>
          <w:b/>
          <w:bCs/>
          <w:sz w:val="22"/>
          <w:szCs w:val="22"/>
        </w:rPr>
        <w:t>ure</w:t>
      </w:r>
      <w:r w:rsidRPr="00A52750">
        <w:rPr>
          <w:rFonts w:ascii="Palatino Linotype" w:hAnsi="Palatino Linotype"/>
          <w:b/>
          <w:bCs/>
          <w:sz w:val="22"/>
          <w:szCs w:val="22"/>
        </w:rPr>
        <w:t>. S1</w:t>
      </w:r>
    </w:p>
    <w:p w14:paraId="65FDD802" w14:textId="7187E774" w:rsidR="00A52750" w:rsidRPr="00014E38" w:rsidRDefault="00A52750" w:rsidP="00A52750">
      <w:pPr>
        <w:rPr>
          <w:rFonts w:ascii="Cambria" w:hAnsi="Cambria"/>
          <w:sz w:val="22"/>
          <w:szCs w:val="22"/>
        </w:rPr>
      </w:pPr>
      <w:r w:rsidRPr="00A52750">
        <w:rPr>
          <w:rFonts w:ascii="Palatino Linotype" w:hAnsi="Palatino Linotype"/>
          <w:sz w:val="22"/>
          <w:szCs w:val="22"/>
        </w:rPr>
        <w:t xml:space="preserve">Scatter plots (left) and bar charts (right) for cytokines that exhibited stronger correlations in females than in males, including between IFNα2 and </w:t>
      </w:r>
      <w:proofErr w:type="spellStart"/>
      <w:r w:rsidRPr="00A52750">
        <w:rPr>
          <w:rFonts w:ascii="Palatino Linotype" w:hAnsi="Palatino Linotype"/>
          <w:sz w:val="22"/>
          <w:szCs w:val="22"/>
        </w:rPr>
        <w:t>IFNγ</w:t>
      </w:r>
      <w:proofErr w:type="spellEnd"/>
      <w:r w:rsidRPr="00A52750">
        <w:rPr>
          <w:rFonts w:ascii="Palatino Linotype" w:hAnsi="Palatino Linotype"/>
          <w:sz w:val="22"/>
          <w:szCs w:val="22"/>
        </w:rPr>
        <w:t xml:space="preserve">, for CCL21 with CCL1 and fractalkine, </w:t>
      </w:r>
      <w:r>
        <w:rPr>
          <w:rFonts w:ascii="Palatino Linotype" w:hAnsi="Palatino Linotype"/>
          <w:sz w:val="22"/>
          <w:szCs w:val="22"/>
        </w:rPr>
        <w:t xml:space="preserve">and for CCL8 </w:t>
      </w:r>
      <w:r w:rsidRPr="00A52750">
        <w:rPr>
          <w:rFonts w:ascii="Palatino Linotype" w:hAnsi="Palatino Linotype"/>
          <w:sz w:val="22"/>
          <w:szCs w:val="22"/>
        </w:rPr>
        <w:t xml:space="preserve">with </w:t>
      </w:r>
      <w:r w:rsidR="007B693E">
        <w:rPr>
          <w:rFonts w:ascii="Palatino Linotype" w:hAnsi="Palatino Linotype"/>
          <w:sz w:val="22"/>
          <w:szCs w:val="22"/>
        </w:rPr>
        <w:t>CCL1. G</w:t>
      </w:r>
      <w:r w:rsidRPr="00A52750">
        <w:rPr>
          <w:rFonts w:ascii="Palatino Linotype" w:hAnsi="Palatino Linotype"/>
          <w:sz w:val="22"/>
          <w:szCs w:val="22"/>
        </w:rPr>
        <w:t>oodness-of-fit (R</w:t>
      </w:r>
      <w:r w:rsidRPr="00A52750">
        <w:rPr>
          <w:rFonts w:ascii="Palatino Linotype" w:hAnsi="Palatino Linotype"/>
          <w:sz w:val="22"/>
          <w:szCs w:val="22"/>
          <w:vertAlign w:val="superscript"/>
        </w:rPr>
        <w:t>2</w:t>
      </w:r>
      <w:r w:rsidRPr="00A52750">
        <w:rPr>
          <w:rFonts w:ascii="Palatino Linotype" w:hAnsi="Palatino Linotype"/>
          <w:sz w:val="22"/>
          <w:szCs w:val="22"/>
        </w:rPr>
        <w:t>), Person’s r, and p-values shown for each group.</w:t>
      </w:r>
      <w:r>
        <w:rPr>
          <w:rFonts w:ascii="Palatino Linotype" w:hAnsi="Palatino Linotype"/>
          <w:sz w:val="22"/>
          <w:szCs w:val="22"/>
        </w:rPr>
        <w:t xml:space="preserve"> CCL1, CC</w:t>
      </w:r>
      <w:r w:rsidR="007B693E">
        <w:rPr>
          <w:rFonts w:ascii="Palatino Linotype" w:hAnsi="Palatino Linotype"/>
          <w:sz w:val="22"/>
          <w:szCs w:val="22"/>
        </w:rPr>
        <w:t>L</w:t>
      </w:r>
      <w:r>
        <w:rPr>
          <w:rFonts w:ascii="Palatino Linotype" w:hAnsi="Palatino Linotype"/>
          <w:sz w:val="22"/>
          <w:szCs w:val="22"/>
        </w:rPr>
        <w:t>21, and CXCL10 appear in several correlations between different measures in this cohort and may be significant for predicting disease progression.</w:t>
      </w:r>
      <w:r w:rsidR="00014E38">
        <w:rPr>
          <w:rFonts w:ascii="Palatino Linotype" w:hAnsi="Palatino Linotype"/>
          <w:sz w:val="22"/>
          <w:szCs w:val="22"/>
        </w:rPr>
        <w:t xml:space="preserve"> Number next to the groups denote actual numbers of patients in which each measure was detected. N/group: </w:t>
      </w:r>
      <w:r w:rsidR="00014E38" w:rsidRPr="00014E38">
        <w:rPr>
          <w:rFonts w:ascii="Palatino Linotype" w:hAnsi="Palatino Linotype"/>
          <w:sz w:val="22"/>
          <w:szCs w:val="22"/>
        </w:rPr>
        <w:t>HCW</w:t>
      </w:r>
      <w:r w:rsidR="00014E38" w:rsidRPr="00014E38">
        <w:rPr>
          <w:rFonts w:ascii="Apple Color Emoji" w:hAnsi="Apple Color Emoji" w:cs="Apple Color Emoji"/>
          <w:sz w:val="22"/>
          <w:szCs w:val="22"/>
        </w:rPr>
        <w:t>♀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 xml:space="preserve">: 87; </w:t>
      </w:r>
      <w:proofErr w:type="gramStart"/>
      <w:r w:rsidR="00014E38" w:rsidRPr="00014E38">
        <w:rPr>
          <w:rFonts w:ascii="Palatino Linotype" w:hAnsi="Palatino Linotype" w:cs="Apple Color Emoji"/>
          <w:sz w:val="22"/>
          <w:szCs w:val="22"/>
        </w:rPr>
        <w:t>Non-ICU</w:t>
      </w:r>
      <w:proofErr w:type="gramEnd"/>
      <w:r w:rsidR="00014E38" w:rsidRPr="00014E38">
        <w:rPr>
          <w:rFonts w:ascii="Apple Color Emoji" w:hAnsi="Apple Color Emoji" w:cs="Apple Color Emoji"/>
          <w:sz w:val="22"/>
          <w:szCs w:val="22"/>
        </w:rPr>
        <w:t>♀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 xml:space="preserve">: 30; 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>ICU</w:t>
      </w:r>
      <w:r w:rsidR="00014E38" w:rsidRPr="00014E38">
        <w:rPr>
          <w:rFonts w:ascii="Apple Color Emoji" w:hAnsi="Apple Color Emoji" w:cs="Apple Color Emoji"/>
          <w:sz w:val="22"/>
          <w:szCs w:val="22"/>
        </w:rPr>
        <w:t>♀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 xml:space="preserve">: 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 xml:space="preserve">16; 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>Non-ICU</w:t>
      </w:r>
      <w:r w:rsidR="00014E38" w:rsidRPr="00014E38">
        <w:rPr>
          <w:rFonts w:ascii="Apple Color Emoji" w:hAnsi="Apple Color Emoji" w:cs="Apple Color Emoji"/>
          <w:sz w:val="22"/>
          <w:szCs w:val="22"/>
        </w:rPr>
        <w:t>♂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>: 3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>3; ICU</w:t>
      </w:r>
      <w:r w:rsidR="00014E38" w:rsidRPr="00014E38">
        <w:rPr>
          <w:rFonts w:ascii="Apple Color Emoji" w:hAnsi="Apple Color Emoji" w:cs="Apple Color Emoji"/>
          <w:sz w:val="22"/>
          <w:szCs w:val="22"/>
        </w:rPr>
        <w:t>♂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 xml:space="preserve">: 14; </w:t>
      </w:r>
      <w:r w:rsidR="00014E38" w:rsidRPr="00014E38">
        <w:rPr>
          <w:rFonts w:ascii="Palatino Linotype" w:hAnsi="Palatino Linotype"/>
          <w:sz w:val="22"/>
          <w:szCs w:val="22"/>
        </w:rPr>
        <w:t>HCW</w:t>
      </w:r>
      <w:r w:rsidR="00014E38" w:rsidRPr="00014E38">
        <w:rPr>
          <w:rFonts w:ascii="Apple Color Emoji" w:hAnsi="Apple Color Emoji" w:cs="Apple Color Emoji"/>
          <w:sz w:val="22"/>
          <w:szCs w:val="22"/>
        </w:rPr>
        <w:t>♂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 xml:space="preserve">: </w:t>
      </w:r>
      <w:r w:rsidR="00014E38" w:rsidRPr="00014E38">
        <w:rPr>
          <w:rFonts w:ascii="Palatino Linotype" w:hAnsi="Palatino Linotype" w:cs="Apple Color Emoji"/>
          <w:sz w:val="22"/>
          <w:szCs w:val="22"/>
        </w:rPr>
        <w:t>27</w:t>
      </w:r>
      <w:r w:rsidR="00014E38">
        <w:rPr>
          <w:rFonts w:ascii="Palatino Linotype" w:hAnsi="Palatino Linotype" w:cs="Apple Color Emoji"/>
          <w:sz w:val="22"/>
          <w:szCs w:val="22"/>
        </w:rPr>
        <w:t>.</w:t>
      </w:r>
    </w:p>
    <w:p w14:paraId="280E7966" w14:textId="77777777" w:rsidR="00A52750" w:rsidRPr="00A52750" w:rsidRDefault="00A52750" w:rsidP="00A52750">
      <w:pPr>
        <w:rPr>
          <w:rFonts w:ascii="Palatino Linotype" w:hAnsi="Palatino Linotype"/>
          <w:sz w:val="22"/>
          <w:szCs w:val="22"/>
        </w:rPr>
      </w:pPr>
    </w:p>
    <w:p w14:paraId="5654B4BE" w14:textId="05F799C3" w:rsidR="00A52750" w:rsidRPr="00A52750" w:rsidRDefault="00A52750" w:rsidP="00A52750">
      <w:pPr>
        <w:rPr>
          <w:rFonts w:ascii="Palatino Linotype" w:hAnsi="Palatino Linotype"/>
          <w:b/>
          <w:bCs/>
          <w:sz w:val="22"/>
          <w:szCs w:val="22"/>
        </w:rPr>
      </w:pPr>
      <w:r w:rsidRPr="00A52750">
        <w:rPr>
          <w:rFonts w:ascii="Palatino Linotype" w:hAnsi="Palatino Linotype"/>
          <w:b/>
          <w:bCs/>
          <w:sz w:val="22"/>
          <w:szCs w:val="22"/>
        </w:rPr>
        <w:t>Fig</w:t>
      </w:r>
      <w:r>
        <w:rPr>
          <w:rFonts w:ascii="Palatino Linotype" w:hAnsi="Palatino Linotype"/>
          <w:b/>
          <w:bCs/>
          <w:sz w:val="22"/>
          <w:szCs w:val="22"/>
        </w:rPr>
        <w:t>ure</w:t>
      </w:r>
      <w:r w:rsidRPr="00A52750">
        <w:rPr>
          <w:rFonts w:ascii="Palatino Linotype" w:hAnsi="Palatino Linotype"/>
          <w:b/>
          <w:bCs/>
          <w:sz w:val="22"/>
          <w:szCs w:val="22"/>
        </w:rPr>
        <w:t>. S2</w:t>
      </w:r>
    </w:p>
    <w:p w14:paraId="0AA6CC12" w14:textId="06D28AFC" w:rsidR="00A52750" w:rsidRDefault="00A52750" w:rsidP="00A52750">
      <w:pPr>
        <w:rPr>
          <w:rFonts w:ascii="Palatino Linotype" w:hAnsi="Palatino Linotype"/>
          <w:sz w:val="22"/>
          <w:szCs w:val="22"/>
        </w:rPr>
      </w:pPr>
      <w:r w:rsidRPr="00A52750">
        <w:rPr>
          <w:rFonts w:ascii="Palatino Linotype" w:hAnsi="Palatino Linotype"/>
          <w:sz w:val="22"/>
          <w:szCs w:val="22"/>
        </w:rPr>
        <w:t xml:space="preserve">PCAs for significantly changed symbols in non-ICU </w:t>
      </w:r>
      <w:r w:rsidRPr="00A52750">
        <w:rPr>
          <w:rFonts w:ascii="Palatino Linotype" w:hAnsi="Palatino Linotype"/>
          <w:b/>
          <w:bCs/>
          <w:sz w:val="22"/>
          <w:szCs w:val="22"/>
        </w:rPr>
        <w:t>(a)</w:t>
      </w:r>
      <w:r w:rsidRPr="00A52750">
        <w:rPr>
          <w:rFonts w:ascii="Palatino Linotype" w:hAnsi="Palatino Linotype"/>
          <w:sz w:val="22"/>
          <w:szCs w:val="22"/>
        </w:rPr>
        <w:t xml:space="preserve">, ICU </w:t>
      </w:r>
      <w:r w:rsidRPr="00A52750">
        <w:rPr>
          <w:rFonts w:ascii="Palatino Linotype" w:hAnsi="Palatino Linotype"/>
          <w:b/>
          <w:bCs/>
          <w:sz w:val="22"/>
          <w:szCs w:val="22"/>
        </w:rPr>
        <w:t>(b)</w:t>
      </w:r>
      <w:r w:rsidRPr="00A52750">
        <w:rPr>
          <w:rFonts w:ascii="Palatino Linotype" w:hAnsi="Palatino Linotype"/>
          <w:sz w:val="22"/>
          <w:szCs w:val="22"/>
        </w:rPr>
        <w:t xml:space="preserve">, deceased </w:t>
      </w:r>
      <w:r w:rsidRPr="00A52750">
        <w:rPr>
          <w:rFonts w:ascii="Palatino Linotype" w:hAnsi="Palatino Linotype"/>
          <w:b/>
          <w:bCs/>
          <w:sz w:val="22"/>
          <w:szCs w:val="22"/>
        </w:rPr>
        <w:t>(d)</w:t>
      </w:r>
      <w:r w:rsidRPr="00A52750">
        <w:rPr>
          <w:rFonts w:ascii="Palatino Linotype" w:hAnsi="Palatino Linotype"/>
          <w:sz w:val="22"/>
          <w:szCs w:val="22"/>
        </w:rPr>
        <w:t xml:space="preserve"> and coagulopathy-affected </w:t>
      </w:r>
      <w:r w:rsidRPr="00A52750">
        <w:rPr>
          <w:rFonts w:ascii="Palatino Linotype" w:hAnsi="Palatino Linotype"/>
          <w:b/>
          <w:bCs/>
          <w:sz w:val="22"/>
          <w:szCs w:val="22"/>
        </w:rPr>
        <w:t>(f)</w:t>
      </w:r>
      <w:r w:rsidRPr="00A52750">
        <w:rPr>
          <w:rFonts w:ascii="Palatino Linotype" w:hAnsi="Palatino Linotype"/>
          <w:sz w:val="22"/>
          <w:szCs w:val="22"/>
        </w:rPr>
        <w:t xml:space="preserve"> COVID-19 patients versus healthy controls, and in ICU </w:t>
      </w:r>
      <w:r w:rsidRPr="00A52750">
        <w:rPr>
          <w:rFonts w:ascii="Palatino Linotype" w:hAnsi="Palatino Linotype"/>
          <w:b/>
          <w:bCs/>
          <w:sz w:val="22"/>
          <w:szCs w:val="22"/>
        </w:rPr>
        <w:t>(c)</w:t>
      </w:r>
      <w:r w:rsidRPr="00A52750">
        <w:rPr>
          <w:rFonts w:ascii="Palatino Linotype" w:hAnsi="Palatino Linotype"/>
          <w:sz w:val="22"/>
          <w:szCs w:val="22"/>
        </w:rPr>
        <w:t xml:space="preserve">, deceased </w:t>
      </w:r>
      <w:r w:rsidRPr="00A52750">
        <w:rPr>
          <w:rFonts w:ascii="Palatino Linotype" w:hAnsi="Palatino Linotype"/>
          <w:b/>
          <w:bCs/>
          <w:sz w:val="22"/>
          <w:szCs w:val="22"/>
        </w:rPr>
        <w:t>(e)</w:t>
      </w:r>
      <w:r w:rsidRPr="00A52750">
        <w:rPr>
          <w:rFonts w:ascii="Palatino Linotype" w:hAnsi="Palatino Linotype"/>
          <w:sz w:val="22"/>
          <w:szCs w:val="22"/>
        </w:rPr>
        <w:t xml:space="preserve"> and coagulopathy-affected </w:t>
      </w:r>
      <w:r w:rsidRPr="00A52750">
        <w:rPr>
          <w:rFonts w:ascii="Palatino Linotype" w:hAnsi="Palatino Linotype"/>
          <w:b/>
          <w:bCs/>
          <w:sz w:val="22"/>
          <w:szCs w:val="22"/>
        </w:rPr>
        <w:t>(g)</w:t>
      </w:r>
      <w:r w:rsidRPr="00A52750">
        <w:rPr>
          <w:rFonts w:ascii="Palatino Linotype" w:hAnsi="Palatino Linotype"/>
          <w:sz w:val="22"/>
          <w:szCs w:val="22"/>
        </w:rPr>
        <w:t xml:space="preserve"> COVID-19 patients versus non-ICU patients: donut plots showing the primary components necessary to explain at least 90% of the group’s variance, and the 9 symbols most correlated with each of the first four primary components (left), and PCA biplots for the first two components (right), with the color of points denoting log</w:t>
      </w:r>
      <w:r w:rsidRPr="00A52750">
        <w:rPr>
          <w:rFonts w:ascii="Palatino Linotype" w:hAnsi="Palatino Linotype"/>
          <w:sz w:val="22"/>
          <w:szCs w:val="22"/>
          <w:vertAlign w:val="subscript"/>
        </w:rPr>
        <w:t>2</w:t>
      </w:r>
      <w:r w:rsidRPr="00A52750">
        <w:rPr>
          <w:rFonts w:ascii="Palatino Linotype" w:hAnsi="Palatino Linotype"/>
          <w:sz w:val="22"/>
          <w:szCs w:val="22"/>
        </w:rPr>
        <w:t xml:space="preserve"> fold change versus the respective control group.</w:t>
      </w:r>
    </w:p>
    <w:p w14:paraId="3C7F3E5E" w14:textId="77777777" w:rsidR="00A52750" w:rsidRPr="00A52750" w:rsidRDefault="00A52750" w:rsidP="00A52750">
      <w:pPr>
        <w:rPr>
          <w:rFonts w:ascii="Palatino Linotype" w:hAnsi="Palatino Linotype"/>
          <w:sz w:val="22"/>
          <w:szCs w:val="22"/>
        </w:rPr>
      </w:pPr>
    </w:p>
    <w:p w14:paraId="3BEF895C" w14:textId="4137E659" w:rsidR="00A52750" w:rsidRPr="00A52750" w:rsidRDefault="00A52750" w:rsidP="00A52750">
      <w:pPr>
        <w:rPr>
          <w:rFonts w:ascii="Palatino Linotype" w:hAnsi="Palatino Linotype"/>
          <w:b/>
          <w:bCs/>
          <w:sz w:val="22"/>
          <w:szCs w:val="22"/>
        </w:rPr>
      </w:pPr>
      <w:r w:rsidRPr="00A52750">
        <w:rPr>
          <w:rFonts w:ascii="Palatino Linotype" w:hAnsi="Palatino Linotype"/>
          <w:b/>
          <w:bCs/>
          <w:sz w:val="22"/>
          <w:szCs w:val="22"/>
        </w:rPr>
        <w:t>Fig</w:t>
      </w:r>
      <w:r w:rsidR="009E2E0E">
        <w:rPr>
          <w:rFonts w:ascii="Palatino Linotype" w:hAnsi="Palatino Linotype"/>
          <w:b/>
          <w:bCs/>
          <w:sz w:val="22"/>
          <w:szCs w:val="22"/>
        </w:rPr>
        <w:t>ure</w:t>
      </w:r>
      <w:r w:rsidRPr="00A52750">
        <w:rPr>
          <w:rFonts w:ascii="Palatino Linotype" w:hAnsi="Palatino Linotype"/>
          <w:b/>
          <w:bCs/>
          <w:sz w:val="22"/>
          <w:szCs w:val="22"/>
        </w:rPr>
        <w:t>.</w:t>
      </w:r>
      <w:r w:rsidR="009E2E0E">
        <w:rPr>
          <w:rFonts w:ascii="Palatino Linotype" w:hAnsi="Palatino Linotype"/>
          <w:b/>
          <w:bCs/>
          <w:sz w:val="22"/>
          <w:szCs w:val="22"/>
        </w:rPr>
        <w:t xml:space="preserve"> S</w:t>
      </w:r>
      <w:r w:rsidRPr="00A52750">
        <w:rPr>
          <w:rFonts w:ascii="Palatino Linotype" w:hAnsi="Palatino Linotype"/>
          <w:b/>
          <w:bCs/>
          <w:sz w:val="22"/>
          <w:szCs w:val="22"/>
        </w:rPr>
        <w:t>3</w:t>
      </w:r>
    </w:p>
    <w:p w14:paraId="6F755873" w14:textId="77777777" w:rsidR="00A52750" w:rsidRDefault="00A52750" w:rsidP="00A52750">
      <w:pPr>
        <w:rPr>
          <w:rFonts w:ascii="Palatino Linotype" w:hAnsi="Palatino Linotype"/>
          <w:sz w:val="22"/>
          <w:szCs w:val="22"/>
        </w:rPr>
      </w:pPr>
      <w:r w:rsidRPr="00A52750">
        <w:rPr>
          <w:rFonts w:ascii="Palatino Linotype" w:hAnsi="Palatino Linotype"/>
          <w:sz w:val="22"/>
          <w:szCs w:val="22"/>
        </w:rPr>
        <w:t xml:space="preserve">Volcano plots for non-ICU </w:t>
      </w:r>
      <w:r w:rsidRPr="00A52750">
        <w:rPr>
          <w:rFonts w:ascii="Palatino Linotype" w:hAnsi="Palatino Linotype"/>
          <w:b/>
          <w:bCs/>
          <w:sz w:val="22"/>
          <w:szCs w:val="22"/>
        </w:rPr>
        <w:t>(a)</w:t>
      </w:r>
      <w:r w:rsidRPr="00A52750">
        <w:rPr>
          <w:rFonts w:ascii="Palatino Linotype" w:hAnsi="Palatino Linotype"/>
          <w:sz w:val="22"/>
          <w:szCs w:val="22"/>
        </w:rPr>
        <w:t xml:space="preserve">, ICU </w:t>
      </w:r>
      <w:r w:rsidRPr="00A52750">
        <w:rPr>
          <w:rFonts w:ascii="Palatino Linotype" w:hAnsi="Palatino Linotype"/>
          <w:b/>
          <w:bCs/>
          <w:sz w:val="22"/>
          <w:szCs w:val="22"/>
        </w:rPr>
        <w:t>(b)</w:t>
      </w:r>
      <w:r w:rsidRPr="00A52750">
        <w:rPr>
          <w:rFonts w:ascii="Palatino Linotype" w:hAnsi="Palatino Linotype"/>
          <w:sz w:val="22"/>
          <w:szCs w:val="22"/>
        </w:rPr>
        <w:t xml:space="preserve"> and deceased </w:t>
      </w:r>
      <w:r w:rsidRPr="00A52750">
        <w:rPr>
          <w:rFonts w:ascii="Palatino Linotype" w:hAnsi="Palatino Linotype"/>
          <w:b/>
          <w:bCs/>
          <w:sz w:val="22"/>
          <w:szCs w:val="22"/>
        </w:rPr>
        <w:t>(c)</w:t>
      </w:r>
      <w:r w:rsidRPr="00A52750">
        <w:rPr>
          <w:rFonts w:ascii="Palatino Linotype" w:hAnsi="Palatino Linotype"/>
          <w:sz w:val="22"/>
          <w:szCs w:val="22"/>
        </w:rPr>
        <w:t xml:space="preserve"> COVID-19 patients versus healthy controls, and for ICU </w:t>
      </w:r>
      <w:r w:rsidRPr="00A52750">
        <w:rPr>
          <w:rFonts w:ascii="Palatino Linotype" w:hAnsi="Palatino Linotype"/>
          <w:b/>
          <w:bCs/>
          <w:sz w:val="22"/>
          <w:szCs w:val="22"/>
        </w:rPr>
        <w:t>(d)</w:t>
      </w:r>
      <w:r w:rsidRPr="00A52750">
        <w:rPr>
          <w:rFonts w:ascii="Palatino Linotype" w:hAnsi="Palatino Linotype"/>
          <w:sz w:val="22"/>
          <w:szCs w:val="22"/>
        </w:rPr>
        <w:t xml:space="preserve"> and deceased </w:t>
      </w:r>
      <w:r w:rsidRPr="00A52750">
        <w:rPr>
          <w:rFonts w:ascii="Palatino Linotype" w:hAnsi="Palatino Linotype"/>
          <w:b/>
          <w:bCs/>
          <w:sz w:val="22"/>
          <w:szCs w:val="22"/>
        </w:rPr>
        <w:t>(e)</w:t>
      </w:r>
      <w:r w:rsidRPr="00A52750">
        <w:rPr>
          <w:rFonts w:ascii="Palatino Linotype" w:hAnsi="Palatino Linotype"/>
          <w:sz w:val="22"/>
          <w:szCs w:val="22"/>
        </w:rPr>
        <w:t xml:space="preserve"> COVID-19 patients versus non-ICU patients; Venn diagram contrasting significantly changed measures between non-ICU and ICU patients compared to healthy controls </w:t>
      </w:r>
      <w:r w:rsidRPr="00A52750">
        <w:rPr>
          <w:rFonts w:ascii="Palatino Linotype" w:hAnsi="Palatino Linotype"/>
          <w:b/>
          <w:bCs/>
          <w:sz w:val="22"/>
          <w:szCs w:val="22"/>
        </w:rPr>
        <w:t>(f)</w:t>
      </w:r>
      <w:r w:rsidRPr="00A52750">
        <w:rPr>
          <w:rFonts w:ascii="Palatino Linotype" w:hAnsi="Palatino Linotype"/>
          <w:sz w:val="22"/>
          <w:szCs w:val="22"/>
        </w:rPr>
        <w:t xml:space="preserve">, and between ICU and deceased patients compared to non-ICU patients </w:t>
      </w:r>
      <w:r w:rsidRPr="00A52750">
        <w:rPr>
          <w:rFonts w:ascii="Palatino Linotype" w:hAnsi="Palatino Linotype"/>
          <w:b/>
          <w:bCs/>
          <w:sz w:val="22"/>
          <w:szCs w:val="22"/>
        </w:rPr>
        <w:t>(g)</w:t>
      </w:r>
      <w:r w:rsidRPr="00A52750">
        <w:rPr>
          <w:rFonts w:ascii="Palatino Linotype" w:hAnsi="Palatino Linotype"/>
          <w:sz w:val="22"/>
          <w:szCs w:val="22"/>
        </w:rPr>
        <w:t>.</w:t>
      </w:r>
    </w:p>
    <w:p w14:paraId="68ADC392" w14:textId="77777777" w:rsidR="009E2E0E" w:rsidRPr="00A52750" w:rsidRDefault="009E2E0E" w:rsidP="00A52750">
      <w:pPr>
        <w:rPr>
          <w:rFonts w:ascii="Palatino Linotype" w:hAnsi="Palatino Linotype"/>
          <w:sz w:val="22"/>
          <w:szCs w:val="22"/>
        </w:rPr>
      </w:pPr>
    </w:p>
    <w:p w14:paraId="03CF1F4E" w14:textId="4A7DB5CB" w:rsidR="00A52750" w:rsidRPr="00A52750" w:rsidRDefault="00A52750" w:rsidP="00A52750">
      <w:pPr>
        <w:rPr>
          <w:rFonts w:ascii="Palatino Linotype" w:hAnsi="Palatino Linotype"/>
          <w:b/>
          <w:bCs/>
          <w:sz w:val="22"/>
          <w:szCs w:val="22"/>
        </w:rPr>
      </w:pPr>
      <w:r w:rsidRPr="00A52750">
        <w:rPr>
          <w:rFonts w:ascii="Palatino Linotype" w:hAnsi="Palatino Linotype"/>
          <w:b/>
          <w:bCs/>
          <w:sz w:val="22"/>
          <w:szCs w:val="22"/>
        </w:rPr>
        <w:t>Fig</w:t>
      </w:r>
      <w:r w:rsidR="009E2E0E">
        <w:rPr>
          <w:rFonts w:ascii="Palatino Linotype" w:hAnsi="Palatino Linotype"/>
          <w:b/>
          <w:bCs/>
          <w:sz w:val="22"/>
          <w:szCs w:val="22"/>
        </w:rPr>
        <w:t>ure</w:t>
      </w:r>
      <w:r w:rsidRPr="00A52750">
        <w:rPr>
          <w:rFonts w:ascii="Palatino Linotype" w:hAnsi="Palatino Linotype"/>
          <w:b/>
          <w:bCs/>
          <w:sz w:val="22"/>
          <w:szCs w:val="22"/>
        </w:rPr>
        <w:t>. S4</w:t>
      </w:r>
    </w:p>
    <w:p w14:paraId="70B66C86" w14:textId="3BF099A0" w:rsidR="00D312B1" w:rsidRDefault="00A52750" w:rsidP="00A52750">
      <w:pPr>
        <w:rPr>
          <w:rFonts w:ascii="Palatino Linotype" w:hAnsi="Palatino Linotype"/>
          <w:sz w:val="22"/>
          <w:szCs w:val="22"/>
        </w:rPr>
      </w:pPr>
      <w:r w:rsidRPr="00A52750">
        <w:rPr>
          <w:rFonts w:ascii="Palatino Linotype" w:hAnsi="Palatino Linotype"/>
          <w:sz w:val="22"/>
          <w:szCs w:val="22"/>
        </w:rPr>
        <w:t>Scatter plots showing correlations for IL6 with ICU admission, treatment count and clinical score; plasmacytoid dendritic cells (</w:t>
      </w:r>
      <w:proofErr w:type="spellStart"/>
      <w:r w:rsidRPr="00A52750">
        <w:rPr>
          <w:rFonts w:ascii="Palatino Linotype" w:hAnsi="Palatino Linotype"/>
          <w:sz w:val="22"/>
          <w:szCs w:val="22"/>
        </w:rPr>
        <w:t>pDCs</w:t>
      </w:r>
      <w:proofErr w:type="spellEnd"/>
      <w:r w:rsidRPr="00A52750">
        <w:rPr>
          <w:rFonts w:ascii="Palatino Linotype" w:hAnsi="Palatino Linotype"/>
          <w:sz w:val="22"/>
          <w:szCs w:val="22"/>
        </w:rPr>
        <w:t xml:space="preserve">) with clinical score and treatment count, and </w:t>
      </w:r>
      <w:r w:rsidRPr="00A52750">
        <w:rPr>
          <w:rFonts w:ascii="Palatino Linotype" w:hAnsi="Palatino Linotype"/>
          <w:sz w:val="22"/>
          <w:szCs w:val="22"/>
        </w:rPr>
        <w:lastRenderedPageBreak/>
        <w:t>nonclassical monocytes (</w:t>
      </w:r>
      <w:proofErr w:type="spellStart"/>
      <w:r w:rsidRPr="00A52750">
        <w:rPr>
          <w:rFonts w:ascii="Palatino Linotype" w:hAnsi="Palatino Linotype"/>
          <w:sz w:val="22"/>
          <w:szCs w:val="22"/>
        </w:rPr>
        <w:t>ncMono</w:t>
      </w:r>
      <w:proofErr w:type="spellEnd"/>
      <w:r w:rsidRPr="00A52750">
        <w:rPr>
          <w:rFonts w:ascii="Palatino Linotype" w:hAnsi="Palatino Linotype"/>
          <w:sz w:val="22"/>
          <w:szCs w:val="22"/>
        </w:rPr>
        <w:t>) with clinical score and treatment count, with goodness-of-fit (R</w:t>
      </w:r>
      <w:r w:rsidRPr="00A52750">
        <w:rPr>
          <w:rFonts w:ascii="Palatino Linotype" w:hAnsi="Palatino Linotype"/>
          <w:sz w:val="22"/>
          <w:szCs w:val="22"/>
          <w:vertAlign w:val="superscript"/>
        </w:rPr>
        <w:t>2</w:t>
      </w:r>
      <w:r w:rsidRPr="00A52750">
        <w:rPr>
          <w:rFonts w:ascii="Palatino Linotype" w:hAnsi="Palatino Linotype"/>
          <w:sz w:val="22"/>
          <w:szCs w:val="22"/>
        </w:rPr>
        <w:t>), Person’s r, and p-values shown for each group.</w:t>
      </w:r>
    </w:p>
    <w:p w14:paraId="0A978AD7" w14:textId="77777777" w:rsidR="00C239EF" w:rsidRDefault="00C239EF" w:rsidP="00A52750">
      <w:pPr>
        <w:rPr>
          <w:rFonts w:ascii="Palatino Linotype" w:hAnsi="Palatino Linotype"/>
          <w:sz w:val="22"/>
          <w:szCs w:val="22"/>
        </w:rPr>
      </w:pPr>
    </w:p>
    <w:p w14:paraId="5013BDB1" w14:textId="173D506A" w:rsidR="00C239EF" w:rsidRPr="00C239EF" w:rsidRDefault="00C239EF" w:rsidP="00A52750">
      <w:pPr>
        <w:rPr>
          <w:rFonts w:ascii="Palatino Linotype" w:hAnsi="Palatino Linotype"/>
          <w:b/>
          <w:bCs/>
          <w:sz w:val="22"/>
          <w:szCs w:val="22"/>
        </w:rPr>
      </w:pPr>
      <w:r w:rsidRPr="00C239EF">
        <w:rPr>
          <w:rFonts w:ascii="Palatino Linotype" w:hAnsi="Palatino Linotype"/>
          <w:b/>
          <w:bCs/>
          <w:sz w:val="22"/>
          <w:szCs w:val="22"/>
        </w:rPr>
        <w:t>Supplementary Tables S1-4 Legends:</w:t>
      </w:r>
    </w:p>
    <w:p w14:paraId="1CA12679" w14:textId="77777777" w:rsidR="00C239EF" w:rsidRDefault="00C239EF" w:rsidP="00A52750">
      <w:pPr>
        <w:rPr>
          <w:rFonts w:ascii="Palatino Linotype" w:hAnsi="Palatino Linotype"/>
          <w:sz w:val="22"/>
          <w:szCs w:val="22"/>
        </w:rPr>
      </w:pPr>
    </w:p>
    <w:p w14:paraId="7C958796" w14:textId="77777777" w:rsidR="00C239EF" w:rsidRP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  <w:r w:rsidRPr="00C239EF">
        <w:rPr>
          <w:rFonts w:ascii="Palatino Linotype" w:hAnsi="Palatino Linotype" w:cs="Times New Roman"/>
          <w:b/>
          <w:bCs/>
          <w:sz w:val="20"/>
          <w:szCs w:val="20"/>
        </w:rPr>
        <w:t>Table S1</w:t>
      </w:r>
      <w:r w:rsidRPr="00C239EF">
        <w:rPr>
          <w:rFonts w:ascii="Palatino Linotype" w:hAnsi="Palatino Linotype" w:cs="Times New Roman"/>
          <w:sz w:val="20"/>
          <w:szCs w:val="20"/>
        </w:rPr>
        <w:t>. SARS-CoV-2 viral load in nasopharyngeal (Np) and saliva samples in IMPACT Cohort patients.</w:t>
      </w:r>
    </w:p>
    <w:p w14:paraId="0F7F7523" w14:textId="4BC2B576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  <w:r w:rsidRPr="000C7104">
        <w:rPr>
          <w:rFonts w:ascii="Palatino Linotype" w:hAnsi="Palatino Linotype" w:cs="Times New Roman"/>
          <w:sz w:val="20"/>
          <w:szCs w:val="20"/>
        </w:rPr>
        <w:t>Breakdown of a total of 179* data points from a total of 98 patients. Two or more longitudinal data points were collected from a total of 59 patients that were hospitalized in Yale between March and May of 2020. *: DFSO for a few patients were missing/not reported and hence those patients were not included in our analysis for DFSO. Numbers in parenthesis (</w:t>
      </w:r>
      <w:r w:rsidRPr="000C7104">
        <w:rPr>
          <w:rFonts w:ascii="Palatino Linotype" w:hAnsi="Palatino Linotype" w:cs="Times New Roman"/>
          <w:color w:val="FF0000"/>
          <w:sz w:val="20"/>
          <w:szCs w:val="20"/>
        </w:rPr>
        <w:t>0</w:t>
      </w:r>
      <w:r w:rsidRPr="000C7104">
        <w:rPr>
          <w:rFonts w:ascii="Palatino Linotype" w:hAnsi="Palatino Linotype" w:cs="Times New Roman"/>
          <w:sz w:val="20"/>
          <w:szCs w:val="20"/>
        </w:rPr>
        <w:t>) indicates patients with confirmed 0 values for viral load in both saliva and Np samples.</w:t>
      </w:r>
      <w:r>
        <w:rPr>
          <w:rFonts w:ascii="Palatino Linotype" w:hAnsi="Palatino Linotype" w:cs="Times New Roman"/>
          <w:sz w:val="20"/>
          <w:szCs w:val="20"/>
        </w:rPr>
        <w:t xml:space="preserve"> Missing values represent samples was not collected and/or tested. The numbers of datapoints/patients shown in the middle column were used in our reanalysis.</w:t>
      </w:r>
    </w:p>
    <w:p w14:paraId="5877D47E" w14:textId="77777777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</w:p>
    <w:p w14:paraId="46BBA80D" w14:textId="4BCFE949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  <w:r w:rsidRPr="00C239EF">
        <w:rPr>
          <w:rFonts w:ascii="Palatino Linotype" w:hAnsi="Palatino Linotype" w:cs="Times New Roman"/>
          <w:b/>
          <w:bCs/>
          <w:sz w:val="20"/>
          <w:szCs w:val="20"/>
        </w:rPr>
        <w:t>Table S2</w:t>
      </w:r>
      <w:r>
        <w:rPr>
          <w:rFonts w:ascii="Palatino Linotype" w:hAnsi="Palatino Linotype" w:cs="Times New Roman"/>
          <w:sz w:val="20"/>
          <w:szCs w:val="20"/>
        </w:rPr>
        <w:t>. All Characteristics. All biological and clinical measures’ correlations of COVID-19</w:t>
      </w:r>
      <w:r w:rsidRPr="00C239EF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>
        <w:rPr>
          <w:rFonts w:ascii="Palatino Linotype" w:hAnsi="Palatino Linotype" w:cs="Times New Roman"/>
          <w:sz w:val="20"/>
          <w:szCs w:val="20"/>
        </w:rPr>
        <w:t xml:space="preserve"> patients (sex aggregated) with each other using heath care workers (HCW) as comparison group.</w:t>
      </w:r>
    </w:p>
    <w:p w14:paraId="42AEBE19" w14:textId="77777777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</w:p>
    <w:p w14:paraId="311731B4" w14:textId="44E9BDEE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  <w:r w:rsidRPr="00C239EF">
        <w:rPr>
          <w:rFonts w:ascii="Palatino Linotype" w:hAnsi="Palatino Linotype" w:cs="Times New Roman"/>
          <w:b/>
          <w:bCs/>
          <w:sz w:val="20"/>
          <w:szCs w:val="20"/>
        </w:rPr>
        <w:t>Table S3</w:t>
      </w:r>
      <w:r>
        <w:rPr>
          <w:rFonts w:ascii="Palatino Linotype" w:hAnsi="Palatino Linotype" w:cs="Times New Roman"/>
          <w:sz w:val="20"/>
          <w:szCs w:val="20"/>
        </w:rPr>
        <w:t>. All significantly changed (p&lt;0.05) biological and clinical measures in COVID-19</w:t>
      </w:r>
      <w:r w:rsidRPr="00C239EF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>
        <w:rPr>
          <w:rFonts w:ascii="Palatino Linotype" w:hAnsi="Palatino Linotype" w:cs="Times New Roman"/>
          <w:sz w:val="20"/>
          <w:szCs w:val="20"/>
        </w:rPr>
        <w:t xml:space="preserve"> patients (sex aggregated) versus heath care workers (HCW) as comparison group. Most significantly changed measures are shown in descending order.</w:t>
      </w:r>
    </w:p>
    <w:p w14:paraId="0845FE22" w14:textId="61DA87CD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</w:p>
    <w:p w14:paraId="0ADE50AC" w14:textId="1D893B01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  <w:r w:rsidRPr="00C239EF">
        <w:rPr>
          <w:rFonts w:ascii="Palatino Linotype" w:hAnsi="Palatino Linotype" w:cs="Times New Roman"/>
          <w:b/>
          <w:bCs/>
          <w:sz w:val="20"/>
          <w:szCs w:val="20"/>
        </w:rPr>
        <w:t>Table S</w:t>
      </w:r>
      <w:r>
        <w:rPr>
          <w:rFonts w:ascii="Palatino Linotype" w:hAnsi="Palatino Linotype" w:cs="Times New Roman"/>
          <w:b/>
          <w:bCs/>
          <w:sz w:val="20"/>
          <w:szCs w:val="20"/>
        </w:rPr>
        <w:t>4</w:t>
      </w:r>
      <w:r>
        <w:rPr>
          <w:rFonts w:ascii="Palatino Linotype" w:hAnsi="Palatino Linotype" w:cs="Times New Roman"/>
          <w:sz w:val="20"/>
          <w:szCs w:val="20"/>
        </w:rPr>
        <w:t>. All significantly changed (p&lt;0.05) biological and clinical measures in COVID-19</w:t>
      </w:r>
      <w:r w:rsidRPr="00C239EF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>
        <w:rPr>
          <w:rFonts w:ascii="Palatino Linotype" w:hAnsi="Palatino Linotype" w:cs="Times New Roman"/>
          <w:sz w:val="20"/>
          <w:szCs w:val="20"/>
        </w:rPr>
        <w:t xml:space="preserve"> non-ICU patients (sex aggregated) versus heath care workers (HCW) as comparison group. Most significantly changed measures are shown in descending order.</w:t>
      </w:r>
    </w:p>
    <w:p w14:paraId="604D2702" w14:textId="77777777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</w:p>
    <w:p w14:paraId="1B2D5900" w14:textId="6FDF70B2" w:rsidR="00C239EF" w:rsidRDefault="00C239EF" w:rsidP="00C239EF">
      <w:pPr>
        <w:rPr>
          <w:rFonts w:ascii="Palatino Linotype" w:hAnsi="Palatino Linotype" w:cs="Times New Roman"/>
          <w:sz w:val="20"/>
          <w:szCs w:val="20"/>
        </w:rPr>
      </w:pPr>
      <w:r w:rsidRPr="00C239EF">
        <w:rPr>
          <w:rFonts w:ascii="Palatino Linotype" w:hAnsi="Palatino Linotype" w:cs="Times New Roman"/>
          <w:b/>
          <w:bCs/>
          <w:sz w:val="20"/>
          <w:szCs w:val="20"/>
        </w:rPr>
        <w:t>Table S</w:t>
      </w:r>
      <w:r>
        <w:rPr>
          <w:rFonts w:ascii="Palatino Linotype" w:hAnsi="Palatino Linotype" w:cs="Times New Roman"/>
          <w:b/>
          <w:bCs/>
          <w:sz w:val="20"/>
          <w:szCs w:val="20"/>
        </w:rPr>
        <w:t>5</w:t>
      </w:r>
      <w:r>
        <w:rPr>
          <w:rFonts w:ascii="Palatino Linotype" w:hAnsi="Palatino Linotype" w:cs="Times New Roman"/>
          <w:sz w:val="20"/>
          <w:szCs w:val="20"/>
        </w:rPr>
        <w:t>. All significantly changed (p&lt;0.05) biological and clinical measures in COVID-19</w:t>
      </w:r>
      <w:r w:rsidRPr="00C239EF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>
        <w:rPr>
          <w:rFonts w:ascii="Palatino Linotype" w:hAnsi="Palatino Linotype" w:cs="Times New Roman"/>
          <w:sz w:val="20"/>
          <w:szCs w:val="20"/>
        </w:rPr>
        <w:t xml:space="preserve"> ICU patients (sex aggregated) versus heath care workers (HCW) as comparison group. Most significantly changed measures are shown in descending order.</w:t>
      </w:r>
    </w:p>
    <w:p w14:paraId="057CAE0A" w14:textId="77777777" w:rsidR="00C239EF" w:rsidRPr="000C7104" w:rsidRDefault="00C239EF" w:rsidP="00C239EF">
      <w:pPr>
        <w:rPr>
          <w:rFonts w:ascii="Palatino Linotype" w:hAnsi="Palatino Linotype" w:cs="Times New Roman"/>
          <w:sz w:val="20"/>
          <w:szCs w:val="20"/>
        </w:rPr>
      </w:pPr>
    </w:p>
    <w:p w14:paraId="6933A032" w14:textId="77777777" w:rsidR="00C239EF" w:rsidRPr="00A52750" w:rsidRDefault="00C239EF" w:rsidP="00A52750">
      <w:pPr>
        <w:rPr>
          <w:rFonts w:ascii="Palatino Linotype" w:hAnsi="Palatino Linotype"/>
          <w:sz w:val="22"/>
          <w:szCs w:val="22"/>
        </w:rPr>
      </w:pPr>
    </w:p>
    <w:sectPr w:rsidR="00C239EF" w:rsidRPr="00A52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50"/>
    <w:rsid w:val="00014E38"/>
    <w:rsid w:val="001860EC"/>
    <w:rsid w:val="00227451"/>
    <w:rsid w:val="003078B2"/>
    <w:rsid w:val="00391A8D"/>
    <w:rsid w:val="00402D04"/>
    <w:rsid w:val="00414537"/>
    <w:rsid w:val="004E28D5"/>
    <w:rsid w:val="00553146"/>
    <w:rsid w:val="00566868"/>
    <w:rsid w:val="00572A97"/>
    <w:rsid w:val="00636908"/>
    <w:rsid w:val="006646EF"/>
    <w:rsid w:val="006814D2"/>
    <w:rsid w:val="006D5CEC"/>
    <w:rsid w:val="006E193E"/>
    <w:rsid w:val="006F1FB1"/>
    <w:rsid w:val="007025AB"/>
    <w:rsid w:val="00782B21"/>
    <w:rsid w:val="007B693E"/>
    <w:rsid w:val="00823B73"/>
    <w:rsid w:val="00837A6B"/>
    <w:rsid w:val="009D428B"/>
    <w:rsid w:val="009E2E0E"/>
    <w:rsid w:val="00A52750"/>
    <w:rsid w:val="00AA5C1A"/>
    <w:rsid w:val="00B503E8"/>
    <w:rsid w:val="00B77469"/>
    <w:rsid w:val="00B90286"/>
    <w:rsid w:val="00BC686C"/>
    <w:rsid w:val="00BF1E51"/>
    <w:rsid w:val="00C107FE"/>
    <w:rsid w:val="00C239EF"/>
    <w:rsid w:val="00C73DF5"/>
    <w:rsid w:val="00D128B1"/>
    <w:rsid w:val="00D2347E"/>
    <w:rsid w:val="00D312B1"/>
    <w:rsid w:val="00E558A4"/>
    <w:rsid w:val="00E56EA4"/>
    <w:rsid w:val="00E5767F"/>
    <w:rsid w:val="00E87F34"/>
    <w:rsid w:val="00ED2A78"/>
    <w:rsid w:val="00F812EE"/>
    <w:rsid w:val="00FD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3C4CA7"/>
  <w15:chartTrackingRefBased/>
  <w15:docId w15:val="{168CA8AE-A761-324A-A086-EDF55475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A5275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  <w14:ligatures w14:val="none"/>
    </w:rPr>
  </w:style>
  <w:style w:type="paragraph" w:customStyle="1" w:styleId="MDPI13authornames">
    <w:name w:val="MDPI_1.3_authornames"/>
    <w:next w:val="Normal"/>
    <w:qFormat/>
    <w:rsid w:val="00A52750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14history">
    <w:name w:val="MDPI_1.4_history"/>
    <w:basedOn w:val="Normal"/>
    <w:next w:val="Normal"/>
    <w:qFormat/>
    <w:rsid w:val="00A52750"/>
    <w:pPr>
      <w:adjustRightInd w:val="0"/>
      <w:snapToGrid w:val="0"/>
      <w:spacing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  <w14:ligatures w14:val="none"/>
    </w:rPr>
  </w:style>
  <w:style w:type="paragraph" w:customStyle="1" w:styleId="MDPI16affiliation">
    <w:name w:val="MDPI_1.6_affiliation"/>
    <w:qFormat/>
    <w:rsid w:val="00A5275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  <w14:ligatures w14:val="none"/>
    </w:rPr>
  </w:style>
  <w:style w:type="paragraph" w:customStyle="1" w:styleId="MDPI61Citation">
    <w:name w:val="MDPI_6.1_Citation"/>
    <w:qFormat/>
    <w:rsid w:val="00A52750"/>
    <w:pPr>
      <w:adjustRightInd w:val="0"/>
      <w:snapToGrid w:val="0"/>
      <w:spacing w:line="240" w:lineRule="atLeast"/>
      <w:ind w:right="113"/>
    </w:pPr>
    <w:rPr>
      <w:rFonts w:ascii="Palatino Linotype" w:eastAsia="SimSun" w:hAnsi="Palatino Linotype" w:cs="Cordia New"/>
      <w:kern w:val="0"/>
      <w:sz w:val="14"/>
      <w:szCs w:val="22"/>
      <w:lang w:eastAsia="zh-CN"/>
      <w14:ligatures w14:val="none"/>
    </w:rPr>
  </w:style>
  <w:style w:type="paragraph" w:customStyle="1" w:styleId="MDPI63Notes">
    <w:name w:val="MDPI_6.3_Notes"/>
    <w:qFormat/>
    <w:rsid w:val="00A52750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kern w:val="0"/>
      <w:sz w:val="14"/>
      <w:szCs w:val="20"/>
      <w:lang w:bidi="en-US"/>
      <w14:ligatures w14:val="none"/>
    </w:rPr>
  </w:style>
  <w:style w:type="paragraph" w:customStyle="1" w:styleId="MDPI15academiceditor">
    <w:name w:val="MDPI_1.5_academic_editor"/>
    <w:qFormat/>
    <w:rsid w:val="00A52750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szCs w:val="22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Bhargava, Aditi</dc:creator>
  <cp:keywords/>
  <dc:description/>
  <cp:lastModifiedBy>Bhargava, Aditi</cp:lastModifiedBy>
  <cp:revision>4</cp:revision>
  <dcterms:created xsi:type="dcterms:W3CDTF">2023-08-08T22:05:00Z</dcterms:created>
  <dcterms:modified xsi:type="dcterms:W3CDTF">2023-08-09T18:28:00Z</dcterms:modified>
</cp:coreProperties>
</file>