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F1B3E9" w14:textId="77777777" w:rsidR="000860CB" w:rsidRDefault="00B966FB">
      <w:r>
        <w:pict w14:anchorId="78498E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468pt">
            <v:imagedata r:id="rId4" o:title="MPR obex at various times 20230614"/>
          </v:shape>
        </w:pict>
      </w:r>
    </w:p>
    <w:p w14:paraId="3C8FEB7A" w14:textId="7C289460" w:rsidR="00F80291" w:rsidRDefault="00F80291">
      <w:r>
        <w:t xml:space="preserve">Supplementary Figure 1: Distributions of obex RT-QuIC MPR at various assay durations. </w:t>
      </w:r>
      <w:r w:rsidR="00B966FB">
        <w:t xml:space="preserve">Max-point ratio (MPR) </w:t>
      </w:r>
      <w:r>
        <w:t>distributions of CWD- and CWD+ controls of a gradient concentration were generated for assay durations corresponding to the a) 35</w:t>
      </w:r>
      <w:r w:rsidRPr="00F80291">
        <w:rPr>
          <w:vertAlign w:val="superscript"/>
        </w:rPr>
        <w:t>th</w:t>
      </w:r>
      <w:r>
        <w:t xml:space="preserve"> (10 hours), b) 97</w:t>
      </w:r>
      <w:r w:rsidRPr="00F80291">
        <w:rPr>
          <w:vertAlign w:val="superscript"/>
        </w:rPr>
        <w:t>th</w:t>
      </w:r>
      <w:r>
        <w:t xml:space="preserve"> (28 hours), and c) 159</w:t>
      </w:r>
      <w:r w:rsidRPr="00F80291">
        <w:rPr>
          <w:vertAlign w:val="superscript"/>
        </w:rPr>
        <w:t>th</w:t>
      </w:r>
      <w:r>
        <w:t xml:space="preserve"> (46 hours) cycle. ROC curves (d) were constructed using replicates from the 10</w:t>
      </w:r>
      <w:r w:rsidRPr="00F80291">
        <w:rPr>
          <w:vertAlign w:val="superscript"/>
        </w:rPr>
        <w:t>-3</w:t>
      </w:r>
      <w:r>
        <w:t xml:space="preserve"> to 10</w:t>
      </w:r>
      <w:r w:rsidRPr="00F80291">
        <w:rPr>
          <w:vertAlign w:val="superscript"/>
        </w:rPr>
        <w:t>-8</w:t>
      </w:r>
      <w:r>
        <w:t xml:space="preserve"> w/v concentrations to show the classifying power of MPR with obex at various assay durations.</w:t>
      </w:r>
    </w:p>
    <w:sectPr w:rsidR="00F8029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4A83"/>
    <w:rsid w:val="000860CB"/>
    <w:rsid w:val="00B966FB"/>
    <w:rsid w:val="00E04A83"/>
    <w:rsid w:val="00F80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3FFFAF89"/>
  <w15:chartTrackingRefBased/>
  <w15:docId w15:val="{F7D3E4B5-03AB-4910-837E-A3B9A957E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70</Words>
  <Characters>400</Characters>
  <Application>Microsoft Office Word</Application>
  <DocSecurity>0</DocSecurity>
  <Lines>3</Lines>
  <Paragraphs>1</Paragraphs>
  <ScaleCrop>false</ScaleCrop>
  <Company/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Yilmaz, Gokhan (CFIA/ACIA)</dc:creator>
  <cp:keywords/>
  <dc:description/>
  <cp:lastModifiedBy>Gokhan Yilmaz</cp:lastModifiedBy>
  <cp:revision>3</cp:revision>
  <dcterms:created xsi:type="dcterms:W3CDTF">2023-06-14T21:22:00Z</dcterms:created>
  <dcterms:modified xsi:type="dcterms:W3CDTF">2023-08-17T19:56:00Z</dcterms:modified>
</cp:coreProperties>
</file>