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100AD" w14:textId="740CCC50" w:rsidR="007D7F63" w:rsidRDefault="00B758BD" w:rsidP="009F6FAF">
      <w:pPr>
        <w:spacing w:line="48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 xml:space="preserve">Additional file </w:t>
      </w:r>
      <w:r w:rsidR="00D0065E"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>1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 xml:space="preserve"> </w:t>
      </w:r>
    </w:p>
    <w:p w14:paraId="2893E57C" w14:textId="77777777" w:rsidR="007D7F63" w:rsidRPr="000849DA" w:rsidRDefault="007D7F63" w:rsidP="009F6FAF">
      <w:pPr>
        <w:spacing w:line="48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</w:pPr>
    </w:p>
    <w:p w14:paraId="4CD78A9B" w14:textId="55E12A53" w:rsidR="007D7F63" w:rsidRPr="002142DF" w:rsidRDefault="007D7F63" w:rsidP="009F6FAF">
      <w:pPr>
        <w:spacing w:line="48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2142D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Sample collection and </w:t>
      </w:r>
      <w:r w:rsidR="002B5474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</w:t>
      </w:r>
      <w:r w:rsidR="002B5474" w:rsidRPr="002142D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solation </w:t>
      </w:r>
      <w:r w:rsidRPr="002142D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of </w:t>
      </w:r>
      <w:r w:rsidR="002B5474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m</w:t>
      </w:r>
      <w:r w:rsidR="002B5474" w:rsidRPr="002142D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ononuclear </w:t>
      </w:r>
      <w:r w:rsidR="002B5474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c</w:t>
      </w:r>
      <w:r w:rsidRPr="002142D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ells</w:t>
      </w:r>
    </w:p>
    <w:p w14:paraId="03ED3DDF" w14:textId="3CF24BC5" w:rsidR="007D7F63" w:rsidRDefault="007D7F63" w:rsidP="009F6FAF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</w:pP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Peripheral blood and bone marrow samples </w:t>
      </w:r>
      <w:r w:rsidRPr="002142DF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 xml:space="preserve">were collected in EDTA tubes for sequencing analysis, and SODIUM CITRATE tubes for cytofluorimetric and coagulation analysis. A HEPARIN tube was also collected as </w:t>
      </w: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positive control of platelet activation. Bone marrow mononuclear cells (BMMCs) and peripheral blood mononuclear cells (PBMCs) were isolated from EDTA tubes by Ficoll density-gradient using </w:t>
      </w:r>
      <w:r w:rsidRPr="002142DF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Lymphosep (Biowest)</w:t>
      </w: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lysed in RLT buffer (Qiagen, Ltd) additioned of </w:t>
      </w:r>
      <w:r w:rsidRPr="002142DF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1% ẞ-mercaptoethanol. A fraction of cells was cryopreserved.</w:t>
      </w:r>
    </w:p>
    <w:p w14:paraId="3F6B3428" w14:textId="77777777" w:rsidR="007D7F63" w:rsidRDefault="007D7F63" w:rsidP="009F6FAF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</w:pPr>
    </w:p>
    <w:p w14:paraId="0EBCB974" w14:textId="77777777" w:rsidR="007D7F63" w:rsidRPr="002142DF" w:rsidRDefault="007D7F63" w:rsidP="009F6FAF">
      <w:pPr>
        <w:spacing w:line="48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2142D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Flow Cytometry</w:t>
      </w:r>
    </w:p>
    <w:p w14:paraId="79233F39" w14:textId="77777777" w:rsidR="007D7F63" w:rsidRPr="002142DF" w:rsidRDefault="007D7F63" w:rsidP="009F6FAF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>Within 10 minutes from collection, whole blood samples from each tube were incubated with the following antibodies: anti-P-selectin (CD62-PE), anti-integrin beta-3 (CD61-PerCP) and PAC-1-FITC, that detects activation of GP IIb/IIIa and platelet fibrinogen receptors (PFRs) exposure. Samples were fixed with 1% formaldehyde for 30 minutes at 4°C in the dark and analyzed on a FACSCanto flow cytometer (BD Biosciences).</w:t>
      </w:r>
    </w:p>
    <w:p w14:paraId="583D74BA" w14:textId="77777777" w:rsidR="007D7F63" w:rsidRDefault="007D7F63" w:rsidP="009F6FAF">
      <w:pPr>
        <w:spacing w:line="48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14:paraId="48B3E9B3" w14:textId="77777777" w:rsidR="007D7F63" w:rsidRDefault="007D7F63" w:rsidP="009F6FAF">
      <w:pPr>
        <w:spacing w:line="48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2142D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Rotational thromboelastometry (ROTEM)</w:t>
      </w:r>
    </w:p>
    <w:p w14:paraId="3919419C" w14:textId="59356B10" w:rsidR="007D7F63" w:rsidRPr="00FA63AA" w:rsidRDefault="007D7F63" w:rsidP="009F6FAF">
      <w:pPr>
        <w:spacing w:line="48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Haemostatic data were recorded and analyzed with a ROTEM delta thromboelastometry analyzer (Werfen). </w:t>
      </w:r>
      <w:r w:rsidRPr="002142DF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INTEM, EXTEM, FIBTEM and APTEM assays were performed and coagulation time (CT, min), Clotting Formation Time (CFT, min), A5, A10, A20 (mm), Maximum Clot Firmness (MCF, mm) and Maximum Lysis (ML, %) were collected.</w:t>
      </w:r>
    </w:p>
    <w:p w14:paraId="18F6BF63" w14:textId="501433FE" w:rsidR="007D7F63" w:rsidRDefault="007D7F63" w:rsidP="009F6FAF">
      <w:pPr>
        <w:spacing w:line="48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14:paraId="2697908F" w14:textId="77777777" w:rsidR="004F6B75" w:rsidRDefault="004F6B75" w:rsidP="009F6FAF">
      <w:pPr>
        <w:spacing w:line="48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bookmarkStart w:id="0" w:name="_GoBack"/>
    </w:p>
    <w:bookmarkEnd w:id="0"/>
    <w:p w14:paraId="083E049F" w14:textId="4EA4E2A4" w:rsidR="009D76B8" w:rsidRDefault="009D76B8" w:rsidP="009F6FAF">
      <w:pPr>
        <w:spacing w:line="48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2142D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lastRenderedPageBreak/>
        <w:t>T cell isolation</w:t>
      </w:r>
    </w:p>
    <w:p w14:paraId="3D1EBC2C" w14:textId="3F85BA04" w:rsidR="009D76B8" w:rsidRDefault="009D76B8" w:rsidP="009F6FAF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142DF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PBMCs and BMMCs were thawed and human T cells were isolated by depletion</w:t>
      </w: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of 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CD14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val="en-US"/>
        </w:rPr>
        <w:t>+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, CD15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val="en-US"/>
        </w:rPr>
        <w:t>+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, CD16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val="en-US"/>
        </w:rPr>
        <w:t>+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, CD19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val="en-US"/>
        </w:rPr>
        <w:t>+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, CD34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val="en-US"/>
        </w:rPr>
        <w:t>+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, CD36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val="en-US"/>
        </w:rPr>
        <w:t>+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, CD56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val="en-US"/>
        </w:rPr>
        <w:t>+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, CD123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val="en-US"/>
        </w:rPr>
        <w:t>+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 and CD235a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val="en-US"/>
        </w:rPr>
        <w:t>+</w:t>
      </w:r>
      <w:r w:rsidRPr="002142D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, using </w:t>
      </w: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</w:t>
      </w:r>
      <w:r w:rsidRPr="002142DF">
        <w:rPr>
          <w:rFonts w:ascii="Times New Roman" w:eastAsia="Times New Roman" w:hAnsi="Times New Roman" w:cs="Times New Roman"/>
          <w:color w:val="202124"/>
          <w:sz w:val="24"/>
          <w:szCs w:val="24"/>
          <w:lang w:val="en-US"/>
        </w:rPr>
        <w:t xml:space="preserve">pan </w:t>
      </w: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>T cell isolation kit (Miltenyi Biotec), according to the manufacturer’s instructions. Positive and negative fractions were lysed in TRIzol™ reagent.</w:t>
      </w:r>
    </w:p>
    <w:p w14:paraId="321B7CCD" w14:textId="77777777" w:rsidR="009D76B8" w:rsidRDefault="009D76B8" w:rsidP="009F6FAF">
      <w:pPr>
        <w:spacing w:line="48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14:paraId="4D18F7E7" w14:textId="77777777" w:rsidR="007D7F63" w:rsidRPr="002142DF" w:rsidRDefault="007D7F63" w:rsidP="004F6B75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2142D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Genomic DNA isolation</w:t>
      </w:r>
    </w:p>
    <w:p w14:paraId="51EB48EF" w14:textId="56834115" w:rsidR="007D7F63" w:rsidRDefault="007D7F63" w:rsidP="004F6B75">
      <w:pPr>
        <w:shd w:val="clear" w:color="auto" w:fill="FFFFFF"/>
        <w:spacing w:before="200"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>DNA was extracted from</w:t>
      </w:r>
      <w:r w:rsidR="009D76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D76B8"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RLT </w:t>
      </w:r>
      <w:r w:rsidR="009D76B8">
        <w:rPr>
          <w:rFonts w:ascii="Times New Roman" w:eastAsia="Times New Roman" w:hAnsi="Times New Roman" w:cs="Times New Roman"/>
          <w:sz w:val="24"/>
          <w:szCs w:val="24"/>
          <w:lang w:val="en-US"/>
        </w:rPr>
        <w:t>+</w:t>
      </w:r>
      <w:r w:rsidR="009D76B8"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D76B8" w:rsidRPr="002142DF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1% ẞ-mercaptoethanol</w:t>
      </w: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D76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lysates </w:t>
      </w: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using the Maxwell® RSC Blood DNA Kit (Promega Corporation) according to the manufacturer's instructions. DNA </w:t>
      </w:r>
      <w:r w:rsidR="009D76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was obtained from cells </w:t>
      </w: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lysed in TRIzol™ reagent </w:t>
      </w:r>
      <w:r w:rsidR="009D76B8"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="009D76B8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9D76B8"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nvitrogen) </w:t>
      </w: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>according to the manufacturer user guide.</w:t>
      </w:r>
    </w:p>
    <w:p w14:paraId="2B5513C2" w14:textId="77777777" w:rsidR="009D76B8" w:rsidRPr="002142DF" w:rsidRDefault="009D76B8" w:rsidP="009F6FAF">
      <w:pPr>
        <w:shd w:val="clear" w:color="auto" w:fill="FFFFFF"/>
        <w:spacing w:before="200" w:after="20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A59E7DE" w14:textId="77777777" w:rsidR="007D7F63" w:rsidRPr="002142DF" w:rsidRDefault="007D7F63" w:rsidP="009F6FAF">
      <w:pPr>
        <w:shd w:val="clear" w:color="auto" w:fill="FFFFFF"/>
        <w:spacing w:before="200" w:after="200" w:line="48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2142D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Next Generation Sequencing and variant calling</w:t>
      </w:r>
    </w:p>
    <w:p w14:paraId="762110D4" w14:textId="012D171E" w:rsidR="007D7F63" w:rsidRPr="002142DF" w:rsidRDefault="007D7F63" w:rsidP="009F6FAF">
      <w:pPr>
        <w:shd w:val="clear" w:color="auto" w:fill="FFFFFF"/>
        <w:spacing w:before="200" w:after="20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>The mutational profile was determined using SOPHiA Myeloid Solution™ (SOPHiA GENETICS) as previously described</w:t>
      </w:r>
      <w:r w:rsidR="00B85C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85C0B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 w:fldLock="1"/>
      </w:r>
      <w:r w:rsidR="00B85C0B">
        <w:rPr>
          <w:rFonts w:ascii="Times New Roman" w:eastAsia="Times New Roman" w:hAnsi="Times New Roman" w:cs="Times New Roman"/>
          <w:sz w:val="24"/>
          <w:szCs w:val="24"/>
          <w:lang w:val="en-US"/>
        </w:rPr>
        <w:instrText>ADDIN CSL_CITATION {"citationItems":[{"id":"ITEM-1","itemData":{"DOI":"10.3892/or.2020.7730","ISSN":"1021-335X","author":[{"dropping-particle":"","family":"Napolitano","given":"Roberta","non-dropping-particle":"","parse-names":false,"suffix":""},{"dropping-particle":"","family":"Matteis","given":"Serena","non-dropping-particle":"De","parse-names":false,"suffix":""},{"dropping-particle":"","family":"Carloni","given":"Silvia","non-dropping-particle":"","parse-names":false,"suffix":""},{"dropping-particle":"","family":"Bruno","given":"Samantha","non-dropping-particle":"","parse-names":false,"suffix":""},{"dropping-particle":"","family":"Abbati","given":"Giulia","non-dropping-particle":"","parse-names":false,"suffix":""},{"dropping-particle":"","family":"Capelli","given":"Laura","non-dropping-particle":"","parse-names":false,"suffix":""},{"dropping-particle":"","family":"Ghetti","given":"Martina","non-dropping-particle":"","parse-names":false,"suffix":""},{"dropping-particle":"","family":"Bochicchio","given":"Maria","non-dropping-particle":"","parse-names":false,"suffix":""},{"dropping-particle":"","family":"Liverani","given":"Chiara","non-dropping-particle":"","parse-names":false,"suffix":""},{"dropping-particle":"","family":"Mercatali","given":"Laura","non-dropping-particle":"","parse-names":false,"suffix":""},{"dropping-particle":"","family":"Calistri","given":"Daniele","non-dropping-particle":"","parse-names":false,"suffix":""},{"dropping-particle":"","family":"Cuneo","given":"Antonio","non-dropping-particle":"","parse-names":false,"suffix":""},{"dropping-particle":"","family":"Menon","given":"Krishna","non-dropping-particle":"","parse-names":false,"suffix":""},{"dropping-particle":"","family":"Musuraca","given":"Gerardo","non-dropping-particle":"","parse-names":false,"suffix":""},{"dropping-particle":"","family":"Martinelli","given":"Giovanni","non-dropping-particle":"","parse-names":false,"suffix":""},{"dropping-particle":"","family":"Simonetti","given":"Giorgia","non-dropping-particle":"","parse-names":false,"suffix":""}],"container-title":"Oncology Reports","id":"ITEM-1","issued":{"date-parts":[["2020","8","11"]]},"title":"Kevetrin induces apoptosis in TP53 wild‑type and mutant acute myeloid leukemia cells","type":"article-journal"},"uris":["http://www.mendeley.com/documents/?uuid=c5ea84f2-95de-3739-8e03-f81b837e54bb"]}],"mendeley":{"formattedCitation":"[1]","plainTextFormattedCitation":"[1]","previouslyFormattedCitation":"[1]"},"properties":{"noteIndex":0},"schema":"https://github.com/citation-style-language/schema/raw/master/csl-citation.json"}</w:instrText>
      </w:r>
      <w:r w:rsidR="00B85C0B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separate"/>
      </w:r>
      <w:r w:rsidR="00B85C0B" w:rsidRPr="00B85C0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[1]</w:t>
      </w:r>
      <w:r w:rsidR="00B85C0B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="00B85C0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35FDD24E" w14:textId="77777777" w:rsidR="007D7F63" w:rsidRPr="00DF779F" w:rsidRDefault="007D7F63" w:rsidP="009F6FAF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579C6FC" w14:textId="77777777" w:rsidR="007D7F63" w:rsidRPr="002142DF" w:rsidRDefault="007D7F63" w:rsidP="009F6FAF">
      <w:pPr>
        <w:shd w:val="clear" w:color="auto" w:fill="FFFFFF"/>
        <w:spacing w:before="200" w:after="200" w:line="48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2142D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CSF3R exon 17 amplification and Sanger sequencing</w:t>
      </w:r>
    </w:p>
    <w:p w14:paraId="0BD3AAC9" w14:textId="4A5781AF" w:rsidR="007D7F63" w:rsidRDefault="007D7F63" w:rsidP="009F6FAF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142DF"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val="en-US"/>
        </w:rPr>
        <w:t xml:space="preserve">CSF3R </w:t>
      </w:r>
      <w:r w:rsidRPr="002142DF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E808K (c.2422G&gt;A) mutation was confirmed by specific sequencing reactions. A total amount of 50 ng of DNA was used to perform polymerase chain reaction (PCR) with the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r w:rsidRPr="002142DF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FastStart High Fidelity PCR System and a ready-to-use solution of PCR grade nucleotides (Roche) and the following primers: FW: 5’-</w:t>
      </w: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>CAGCCCCAAGTCCTATGAGA</w:t>
      </w:r>
      <w:r w:rsidRPr="002142DF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-3’ and REV: 5’-</w:t>
      </w: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>CCTCTTCTCCAGCTAGCTCA</w:t>
      </w:r>
      <w:r w:rsidRPr="002142DF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 xml:space="preserve">-3’. </w:t>
      </w:r>
      <w:r w:rsidRPr="009F6FA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following PCR thermal profile was used: 5 minutes at 95°C; 35 cycles as follow: 30 seconds at 95°C, 30 seconds at 58°C and 30 seconds at </w:t>
      </w:r>
      <w:r w:rsidR="00B758BD" w:rsidRPr="009F6FAF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Pr="009F6FA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2°C; 7 minutes at </w:t>
      </w:r>
      <w:r w:rsidR="00B758BD" w:rsidRPr="009F6FAF">
        <w:rPr>
          <w:rFonts w:ascii="Times New Roman" w:eastAsia="Times New Roman" w:hAnsi="Times New Roman" w:cs="Times New Roman"/>
          <w:sz w:val="24"/>
          <w:szCs w:val="24"/>
          <w:lang w:val="en-US"/>
        </w:rPr>
        <w:t>72</w:t>
      </w:r>
      <w:r w:rsidRPr="009F6FAF">
        <w:rPr>
          <w:rFonts w:ascii="Times New Roman" w:eastAsia="Times New Roman" w:hAnsi="Times New Roman" w:cs="Times New Roman"/>
          <w:sz w:val="24"/>
          <w:szCs w:val="24"/>
          <w:lang w:val="en-US"/>
        </w:rPr>
        <w:t>°C and a hold at 4°C.</w:t>
      </w:r>
    </w:p>
    <w:p w14:paraId="524B9073" w14:textId="29A1D415" w:rsidR="007D7F63" w:rsidRPr="00B758BD" w:rsidRDefault="007D7F63" w:rsidP="009F6FAF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</w:pP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PCR amplicons were purified using QIAquick PCR Purification Kit (QIAGEN) according to manufacturer’s instructions. Samples were sequenced according to dideoxy procedure </w:t>
      </w:r>
      <w:r w:rsidRPr="002142DF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BigDye® Terminator v3.1 Cycle Sequencing Kit (Thermo Fisher Scientific)</w:t>
      </w:r>
      <w:r w:rsidRPr="002142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on </w:t>
      </w:r>
      <w:r w:rsidRPr="002142DF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a 3130 Series Genetic Analyzer (Thermo Fisher Scientific). </w:t>
      </w:r>
      <w:r w:rsidRPr="00B758BD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 xml:space="preserve">Sequences </w:t>
      </w:r>
      <w:r w:rsidR="0042171E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were</w:t>
      </w:r>
      <w:r w:rsidR="00B758BD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r w:rsidRPr="00B758BD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analyzed using GeneMapper™ Software 5 (Thermo Fisher Scientific).</w:t>
      </w:r>
    </w:p>
    <w:p w14:paraId="37F164CB" w14:textId="77777777" w:rsidR="007D7F63" w:rsidRPr="00B758BD" w:rsidRDefault="007D7F63" w:rsidP="009F6FAF">
      <w:pPr>
        <w:spacing w:line="480" w:lineRule="auto"/>
        <w:jc w:val="both"/>
        <w:rPr>
          <w:lang w:val="en-US"/>
        </w:rPr>
      </w:pPr>
    </w:p>
    <w:p w14:paraId="19650E99" w14:textId="47569C2A" w:rsidR="00F632FE" w:rsidRPr="009F6FAF" w:rsidRDefault="00B85C0B" w:rsidP="009F6FAF">
      <w:pPr>
        <w:spacing w:line="48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9F6FAF">
        <w:rPr>
          <w:rFonts w:ascii="Times New Roman" w:hAnsi="Times New Roman" w:cs="Times New Roman"/>
          <w:b/>
          <w:bCs/>
          <w:lang w:val="en-US"/>
        </w:rPr>
        <w:t>REFERENCES</w:t>
      </w:r>
    </w:p>
    <w:p w14:paraId="4121B280" w14:textId="77777777" w:rsidR="00B85C0B" w:rsidRDefault="00B85C0B" w:rsidP="009F6FAF">
      <w:pPr>
        <w:spacing w:line="480" w:lineRule="auto"/>
        <w:jc w:val="both"/>
        <w:rPr>
          <w:lang w:val="en-US"/>
        </w:rPr>
      </w:pPr>
    </w:p>
    <w:p w14:paraId="17C4FC62" w14:textId="4FA49B02" w:rsidR="00B85C0B" w:rsidRPr="00B85C0B" w:rsidRDefault="00B85C0B" w:rsidP="009F6FAF">
      <w:pPr>
        <w:widowControl w:val="0"/>
        <w:autoSpaceDE w:val="0"/>
        <w:autoSpaceDN w:val="0"/>
        <w:adjustRightInd w:val="0"/>
        <w:spacing w:line="480" w:lineRule="auto"/>
        <w:ind w:left="640" w:hanging="640"/>
        <w:jc w:val="both"/>
        <w:rPr>
          <w:noProof/>
        </w:rPr>
      </w:pPr>
      <w:r>
        <w:rPr>
          <w:lang w:val="en-US"/>
        </w:rPr>
        <w:fldChar w:fldCharType="begin" w:fldLock="1"/>
      </w:r>
      <w:r>
        <w:rPr>
          <w:lang w:val="en-US"/>
        </w:rPr>
        <w:instrText xml:space="preserve">ADDIN Mendeley Bibliography CSL_BIBLIOGRAPHY </w:instrText>
      </w:r>
      <w:r>
        <w:rPr>
          <w:lang w:val="en-US"/>
        </w:rPr>
        <w:fldChar w:fldCharType="separate"/>
      </w:r>
      <w:r w:rsidRPr="004F6B75">
        <w:rPr>
          <w:noProof/>
          <w:szCs w:val="24"/>
          <w:lang w:val="en-US"/>
        </w:rPr>
        <w:t xml:space="preserve">1. </w:t>
      </w:r>
      <w:r w:rsidRPr="004F6B75">
        <w:rPr>
          <w:noProof/>
          <w:szCs w:val="24"/>
          <w:lang w:val="en-US"/>
        </w:rPr>
        <w:tab/>
      </w:r>
      <w:r w:rsidRPr="00B85C0B">
        <w:rPr>
          <w:noProof/>
          <w:szCs w:val="24"/>
        </w:rPr>
        <w:t xml:space="preserve">Napolitano, R.; De Matteis, S.; Carloni, S.; Bruno, S.; Abbati, G.; Capelli, L.; Ghetti, M.; Bochicchio, M.; Liverani, C.; Mercatali, L.; et al. </w:t>
      </w:r>
      <w:r w:rsidRPr="004F6B75">
        <w:rPr>
          <w:noProof/>
          <w:szCs w:val="24"/>
          <w:lang w:val="en-US"/>
        </w:rPr>
        <w:t>Kevetrin induces apoptosis in TP53 wild</w:t>
      </w:r>
      <w:r w:rsidRPr="004F6B75">
        <w:rPr>
          <w:rFonts w:ascii="Cambria Math" w:hAnsi="Cambria Math" w:cs="Cambria Math"/>
          <w:noProof/>
          <w:szCs w:val="24"/>
          <w:lang w:val="en-US"/>
        </w:rPr>
        <w:t>‑</w:t>
      </w:r>
      <w:r w:rsidRPr="004F6B75">
        <w:rPr>
          <w:noProof/>
          <w:szCs w:val="24"/>
          <w:lang w:val="en-US"/>
        </w:rPr>
        <w:t xml:space="preserve">type and mutant acute myeloid leukemia cells. </w:t>
      </w:r>
      <w:r w:rsidRPr="00B85C0B">
        <w:rPr>
          <w:i/>
          <w:iCs/>
          <w:noProof/>
          <w:szCs w:val="24"/>
        </w:rPr>
        <w:t>Oncol. Rep.</w:t>
      </w:r>
      <w:r w:rsidRPr="00B85C0B">
        <w:rPr>
          <w:noProof/>
          <w:szCs w:val="24"/>
        </w:rPr>
        <w:t xml:space="preserve"> </w:t>
      </w:r>
      <w:r w:rsidRPr="00B85C0B">
        <w:rPr>
          <w:b/>
          <w:bCs/>
          <w:noProof/>
          <w:szCs w:val="24"/>
        </w:rPr>
        <w:t>2020</w:t>
      </w:r>
      <w:r w:rsidRPr="00B85C0B">
        <w:rPr>
          <w:noProof/>
          <w:szCs w:val="24"/>
        </w:rPr>
        <w:t>, doi:10.3892/or.2020.7730.</w:t>
      </w:r>
    </w:p>
    <w:p w14:paraId="6A9D4172" w14:textId="1333F9EA" w:rsidR="00E27DF1" w:rsidRPr="00B85C0B" w:rsidRDefault="00B85C0B" w:rsidP="009F6FAF">
      <w:pPr>
        <w:spacing w:line="48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lang w:val="en-US"/>
        </w:rPr>
        <w:fldChar w:fldCharType="end"/>
      </w:r>
    </w:p>
    <w:sectPr w:rsidR="00E27DF1" w:rsidRPr="00B85C0B" w:rsidSect="009F6FAF">
      <w:footerReference w:type="default" r:id="rId7"/>
      <w:pgSz w:w="11909" w:h="16834"/>
      <w:pgMar w:top="1440" w:right="1440" w:bottom="1440" w:left="1440" w:header="720" w:footer="720" w:gutter="0"/>
      <w:lnNumType w:countBy="1" w:restart="continuous"/>
      <w:pgNumType w:start="1"/>
      <w:cols w:space="720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2B9DCE" w16cid:durableId="28186C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463BA" w14:textId="77777777" w:rsidR="00A7703C" w:rsidRDefault="00A7703C" w:rsidP="009F6FAF">
      <w:pPr>
        <w:spacing w:line="240" w:lineRule="auto"/>
      </w:pPr>
      <w:r>
        <w:separator/>
      </w:r>
    </w:p>
  </w:endnote>
  <w:endnote w:type="continuationSeparator" w:id="0">
    <w:p w14:paraId="473C0DCC" w14:textId="77777777" w:rsidR="00A7703C" w:rsidRDefault="00A7703C" w:rsidP="009F6F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337754"/>
      <w:docPartObj>
        <w:docPartGallery w:val="Page Numbers (Bottom of Page)"/>
        <w:docPartUnique/>
      </w:docPartObj>
    </w:sdtPr>
    <w:sdtEndPr/>
    <w:sdtContent>
      <w:p w14:paraId="033ABB77" w14:textId="1DCA3CC2" w:rsidR="009F6FAF" w:rsidRDefault="009F6FAF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B75" w:rsidRPr="004F6B75">
          <w:rPr>
            <w:noProof/>
            <w:lang w:val="it-IT"/>
          </w:rPr>
          <w:t>3</w:t>
        </w:r>
        <w:r>
          <w:fldChar w:fldCharType="end"/>
        </w:r>
      </w:p>
    </w:sdtContent>
  </w:sdt>
  <w:p w14:paraId="332EDCB3" w14:textId="77777777" w:rsidR="009F6FAF" w:rsidRDefault="009F6F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817E8" w14:textId="77777777" w:rsidR="00A7703C" w:rsidRDefault="00A7703C" w:rsidP="009F6FAF">
      <w:pPr>
        <w:spacing w:line="240" w:lineRule="auto"/>
      </w:pPr>
      <w:r>
        <w:separator/>
      </w:r>
    </w:p>
  </w:footnote>
  <w:footnote w:type="continuationSeparator" w:id="0">
    <w:p w14:paraId="30522947" w14:textId="77777777" w:rsidR="00A7703C" w:rsidRDefault="00A7703C" w:rsidP="009F6FA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63"/>
    <w:rsid w:val="000A2CE5"/>
    <w:rsid w:val="000E5AB4"/>
    <w:rsid w:val="001B0782"/>
    <w:rsid w:val="002B5474"/>
    <w:rsid w:val="002D4D83"/>
    <w:rsid w:val="0042171E"/>
    <w:rsid w:val="004E56B7"/>
    <w:rsid w:val="004F6B75"/>
    <w:rsid w:val="007D7F63"/>
    <w:rsid w:val="009D76B8"/>
    <w:rsid w:val="009F6FAF"/>
    <w:rsid w:val="00A7703C"/>
    <w:rsid w:val="00A84CBB"/>
    <w:rsid w:val="00B758BD"/>
    <w:rsid w:val="00B85C0B"/>
    <w:rsid w:val="00B870DD"/>
    <w:rsid w:val="00BB3F57"/>
    <w:rsid w:val="00D0065E"/>
    <w:rsid w:val="00E27DF1"/>
    <w:rsid w:val="00F6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C23308"/>
  <w15:chartTrackingRefBased/>
  <w15:docId w15:val="{969F4041-7D9B-49AD-9F6C-DAE11167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7D7F63"/>
    <w:pPr>
      <w:spacing w:after="0" w:line="276" w:lineRule="auto"/>
    </w:pPr>
    <w:rPr>
      <w:rFonts w:ascii="Arial" w:eastAsia="Arial" w:hAnsi="Arial" w:cs="Arial"/>
      <w:kern w:val="0"/>
      <w:lang w:val="it"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2D4D83"/>
    <w:pPr>
      <w:spacing w:after="0" w:line="240" w:lineRule="auto"/>
    </w:pPr>
    <w:rPr>
      <w:rFonts w:ascii="Arial" w:eastAsia="Arial" w:hAnsi="Arial" w:cs="Arial"/>
      <w:kern w:val="0"/>
      <w:lang w:val="it"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9D76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D76B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D76B8"/>
    <w:rPr>
      <w:rFonts w:ascii="Arial" w:eastAsia="Arial" w:hAnsi="Arial" w:cs="Arial"/>
      <w:kern w:val="0"/>
      <w:sz w:val="20"/>
      <w:szCs w:val="20"/>
      <w:lang w:val="it"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76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76B8"/>
    <w:rPr>
      <w:rFonts w:ascii="Arial" w:eastAsia="Arial" w:hAnsi="Arial" w:cs="Arial"/>
      <w:b/>
      <w:bCs/>
      <w:kern w:val="0"/>
      <w:sz w:val="20"/>
      <w:szCs w:val="20"/>
      <w:lang w:val="it" w:eastAsia="it-IT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58B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58BD"/>
    <w:rPr>
      <w:rFonts w:ascii="Segoe UI" w:eastAsia="Arial" w:hAnsi="Segoe UI" w:cs="Segoe UI"/>
      <w:kern w:val="0"/>
      <w:sz w:val="18"/>
      <w:szCs w:val="18"/>
      <w:lang w:val="it"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9F6FAF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6FAF"/>
    <w:rPr>
      <w:rFonts w:ascii="Arial" w:eastAsia="Arial" w:hAnsi="Arial" w:cs="Arial"/>
      <w:kern w:val="0"/>
      <w:lang w:val="it"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F6FAF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6FAF"/>
    <w:rPr>
      <w:rFonts w:ascii="Arial" w:eastAsia="Arial" w:hAnsi="Arial" w:cs="Arial"/>
      <w:kern w:val="0"/>
      <w:lang w:val="it" w:eastAsia="it-IT"/>
      <w14:ligatures w14:val="none"/>
    </w:rPr>
  </w:style>
  <w:style w:type="character" w:styleId="Numeroriga">
    <w:name w:val="line number"/>
    <w:basedOn w:val="Carpredefinitoparagrafo"/>
    <w:uiPriority w:val="99"/>
    <w:semiHidden/>
    <w:unhideWhenUsed/>
    <w:rsid w:val="009F6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399D7-75A9-4041-B80D-0771295B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Bochicchio</dc:creator>
  <cp:keywords/>
  <dc:description/>
  <cp:lastModifiedBy>Martina Ghetti</cp:lastModifiedBy>
  <cp:revision>4</cp:revision>
  <dcterms:created xsi:type="dcterms:W3CDTF">2023-05-24T09:35:00Z</dcterms:created>
  <dcterms:modified xsi:type="dcterms:W3CDTF">2023-06-12T11:52:00Z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http://www.zotero.org/styles/chicago-fullnote-bibliography</vt:lpwstr>
  </property>
  <property fmtid="{D5CDD505-2E9C-101B-9397-08002B2CF9AE}" pid="13" name="Mendeley Recent Style Name 5_1">
    <vt:lpwstr>Chicago Manual of Style 17th edition (full note)</vt:lpwstr>
  </property>
  <property fmtid="{D5CDD505-2E9C-101B-9397-08002B2CF9AE}" pid="14" name="Mendeley Recent Style Id 6_1">
    <vt:lpwstr>http://www.zotero.org/styles/international-journal-of-molecular-sciences</vt:lpwstr>
  </property>
  <property fmtid="{D5CDD505-2E9C-101B-9397-08002B2CF9AE}" pid="15" name="Mendeley Recent Style Name 6_1">
    <vt:lpwstr>International Journal of Molecular Sciences</vt:lpwstr>
  </property>
  <property fmtid="{D5CDD505-2E9C-101B-9397-08002B2CF9AE}" pid="16" name="Mendeley Recent Style Id 7_1">
    <vt:lpwstr>http://www.zotero.org/styles/la-trobe-university-apa</vt:lpwstr>
  </property>
  <property fmtid="{D5CDD505-2E9C-101B-9397-08002B2CF9AE}" pid="17" name="Mendeley Recent Style Name 7_1">
    <vt:lpwstr>La Trobe University - APA 6th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http://www.zotero.org/styles/plos-one</vt:lpwstr>
  </property>
  <property fmtid="{D5CDD505-2E9C-101B-9397-08002B2CF9AE}" pid="21" name="Mendeley Recent Style Name 9_1">
    <vt:lpwstr>PLOS ONE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fb6c0ab5-d3b4-3afe-bf95-55080a76df7d</vt:lpwstr>
  </property>
  <property fmtid="{D5CDD505-2E9C-101B-9397-08002B2CF9AE}" pid="24" name="Mendeley Citation Style_1">
    <vt:lpwstr>http://www.zotero.org/styles/international-journal-of-molecular-sciences</vt:lpwstr>
  </property>
</Properties>
</file>