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03969" w14:textId="1EAB04FC" w:rsidR="00413CB0" w:rsidRDefault="00015CF5" w:rsidP="0028202E">
      <w:pPr>
        <w:pStyle w:val="MDPI31text"/>
        <w:ind w:left="0" w:firstLine="0"/>
        <w:rPr>
          <w:b/>
          <w:bCs/>
        </w:rPr>
      </w:pPr>
      <w:r>
        <w:rPr>
          <w:b/>
          <w:bCs/>
        </w:rPr>
        <w:t>Supplementary Material 1</w:t>
      </w:r>
    </w:p>
    <w:p w14:paraId="0E597ADE" w14:textId="77777777" w:rsidR="00015CF5" w:rsidRDefault="00015CF5" w:rsidP="00015CF5">
      <w:pPr>
        <w:pStyle w:val="MDPI31text"/>
        <w:ind w:left="0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E11528" w14:paraId="0DD242C0" w14:textId="77777777" w:rsidTr="00E11528">
        <w:tc>
          <w:tcPr>
            <w:tcW w:w="3256" w:type="dxa"/>
          </w:tcPr>
          <w:p w14:paraId="6C9E0FB4" w14:textId="39008657" w:rsidR="00E11528" w:rsidRPr="0028202E" w:rsidRDefault="00E11528" w:rsidP="00015CF5">
            <w:pPr>
              <w:pStyle w:val="MDPI31text"/>
              <w:ind w:left="0" w:firstLine="0"/>
              <w:rPr>
                <w:sz w:val="18"/>
                <w:szCs w:val="21"/>
              </w:rPr>
            </w:pPr>
            <w:r w:rsidRPr="0028202E">
              <w:rPr>
                <w:sz w:val="18"/>
                <w:szCs w:val="21"/>
              </w:rPr>
              <w:t>Sensitivity</w:t>
            </w:r>
          </w:p>
        </w:tc>
        <w:tc>
          <w:tcPr>
            <w:tcW w:w="5760" w:type="dxa"/>
          </w:tcPr>
          <w:p w14:paraId="06CD5212" w14:textId="14E0BC7C" w:rsidR="00E11528" w:rsidRPr="0028202E" w:rsidRDefault="00E11528" w:rsidP="00015CF5">
            <w:pPr>
              <w:pStyle w:val="MDPI31text"/>
              <w:ind w:left="0" w:firstLine="0"/>
              <w:rPr>
                <w:sz w:val="18"/>
                <w:szCs w:val="21"/>
              </w:rPr>
            </w:pPr>
            <w:r w:rsidRPr="0028202E">
              <w:rPr>
                <w:sz w:val="18"/>
                <w:szCs w:val="21"/>
              </w:rPr>
              <w:t>Proportion of true positives correctly identified</w:t>
            </w:r>
          </w:p>
        </w:tc>
      </w:tr>
      <w:tr w:rsidR="00E11528" w14:paraId="4C9D9E5F" w14:textId="77777777" w:rsidTr="00E11528">
        <w:tc>
          <w:tcPr>
            <w:tcW w:w="3256" w:type="dxa"/>
          </w:tcPr>
          <w:p w14:paraId="56577ACB" w14:textId="609249D6" w:rsidR="00E11528" w:rsidRPr="0028202E" w:rsidRDefault="00E11528" w:rsidP="00E11528">
            <w:pPr>
              <w:pStyle w:val="MDPI31text"/>
              <w:ind w:left="0" w:firstLine="0"/>
              <w:rPr>
                <w:sz w:val="18"/>
                <w:szCs w:val="21"/>
              </w:rPr>
            </w:pPr>
            <w:r w:rsidRPr="0028202E">
              <w:rPr>
                <w:sz w:val="18"/>
                <w:szCs w:val="21"/>
              </w:rPr>
              <w:t>Specificity</w:t>
            </w:r>
          </w:p>
        </w:tc>
        <w:tc>
          <w:tcPr>
            <w:tcW w:w="5760" w:type="dxa"/>
          </w:tcPr>
          <w:p w14:paraId="750E9CAD" w14:textId="68F4C198" w:rsidR="00E11528" w:rsidRPr="0028202E" w:rsidRDefault="00E11528" w:rsidP="00E11528">
            <w:pPr>
              <w:pStyle w:val="MDPI31text"/>
              <w:ind w:left="0" w:firstLine="0"/>
              <w:rPr>
                <w:b/>
                <w:bCs/>
                <w:sz w:val="18"/>
                <w:szCs w:val="21"/>
              </w:rPr>
            </w:pPr>
            <w:r w:rsidRPr="0028202E">
              <w:rPr>
                <w:sz w:val="18"/>
                <w:szCs w:val="21"/>
              </w:rPr>
              <w:t>Proportion of true negatives correctly identified</w:t>
            </w:r>
          </w:p>
        </w:tc>
      </w:tr>
      <w:tr w:rsidR="00E11528" w14:paraId="20B49F41" w14:textId="77777777" w:rsidTr="00E11528">
        <w:tc>
          <w:tcPr>
            <w:tcW w:w="3256" w:type="dxa"/>
          </w:tcPr>
          <w:p w14:paraId="55D17036" w14:textId="53D9ECDC" w:rsidR="00E11528" w:rsidRPr="0028202E" w:rsidRDefault="00E11528" w:rsidP="00E11528">
            <w:pPr>
              <w:pStyle w:val="MDPI31text"/>
              <w:ind w:left="0" w:firstLine="0"/>
              <w:rPr>
                <w:sz w:val="18"/>
                <w:szCs w:val="21"/>
              </w:rPr>
            </w:pPr>
            <w:r w:rsidRPr="0028202E">
              <w:rPr>
                <w:sz w:val="18"/>
                <w:szCs w:val="21"/>
              </w:rPr>
              <w:t xml:space="preserve">Positive predictive value </w:t>
            </w:r>
          </w:p>
        </w:tc>
        <w:tc>
          <w:tcPr>
            <w:tcW w:w="5760" w:type="dxa"/>
          </w:tcPr>
          <w:p w14:paraId="5ECAAF51" w14:textId="04702274" w:rsidR="00E11528" w:rsidRPr="0028202E" w:rsidRDefault="00E11528" w:rsidP="00E11528">
            <w:pPr>
              <w:pStyle w:val="MDPI31text"/>
              <w:ind w:left="0" w:firstLine="0"/>
              <w:rPr>
                <w:b/>
                <w:bCs/>
                <w:sz w:val="18"/>
                <w:szCs w:val="21"/>
              </w:rPr>
            </w:pPr>
            <w:r w:rsidRPr="0028202E">
              <w:rPr>
                <w:sz w:val="18"/>
                <w:szCs w:val="21"/>
              </w:rPr>
              <w:t>Proportion of test positives that are truly positive</w:t>
            </w:r>
          </w:p>
        </w:tc>
      </w:tr>
      <w:tr w:rsidR="00E11528" w14:paraId="524419F3" w14:textId="77777777" w:rsidTr="00E11528">
        <w:tc>
          <w:tcPr>
            <w:tcW w:w="3256" w:type="dxa"/>
          </w:tcPr>
          <w:p w14:paraId="167BC40B" w14:textId="7528E34E" w:rsidR="00E11528" w:rsidRPr="0028202E" w:rsidRDefault="00E11528" w:rsidP="00E11528">
            <w:pPr>
              <w:pStyle w:val="MDPI31text"/>
              <w:ind w:left="0" w:firstLine="0"/>
              <w:rPr>
                <w:sz w:val="18"/>
                <w:szCs w:val="21"/>
              </w:rPr>
            </w:pPr>
            <w:r w:rsidRPr="0028202E">
              <w:rPr>
                <w:sz w:val="18"/>
                <w:szCs w:val="21"/>
              </w:rPr>
              <w:t>Negative predictive value</w:t>
            </w:r>
          </w:p>
        </w:tc>
        <w:tc>
          <w:tcPr>
            <w:tcW w:w="5760" w:type="dxa"/>
          </w:tcPr>
          <w:p w14:paraId="251C85C2" w14:textId="69F154F2" w:rsidR="00E11528" w:rsidRPr="0028202E" w:rsidRDefault="00E11528" w:rsidP="00E11528">
            <w:pPr>
              <w:pStyle w:val="MDPI31text"/>
              <w:ind w:left="0" w:firstLine="0"/>
              <w:rPr>
                <w:b/>
                <w:bCs/>
                <w:sz w:val="18"/>
                <w:szCs w:val="21"/>
              </w:rPr>
            </w:pPr>
            <w:r w:rsidRPr="0028202E">
              <w:rPr>
                <w:sz w:val="18"/>
                <w:szCs w:val="21"/>
              </w:rPr>
              <w:t>Proportion of test negatives that are truly negative</w:t>
            </w:r>
          </w:p>
        </w:tc>
      </w:tr>
    </w:tbl>
    <w:p w14:paraId="61518499" w14:textId="77777777" w:rsidR="00E11528" w:rsidRDefault="00E11528" w:rsidP="00015CF5">
      <w:pPr>
        <w:pStyle w:val="MDPI31text"/>
        <w:ind w:left="0"/>
        <w:rPr>
          <w:b/>
          <w:bCs/>
        </w:rPr>
      </w:pPr>
    </w:p>
    <w:p w14:paraId="01CD8E07" w14:textId="4C557634" w:rsidR="00E11528" w:rsidRPr="00E11528" w:rsidRDefault="00171893" w:rsidP="00E11528">
      <w:pPr>
        <w:pStyle w:val="MDPI31text"/>
        <w:ind w:left="0" w:firstLine="0"/>
        <w:rPr>
          <w:sz w:val="18"/>
          <w:szCs w:val="18"/>
        </w:rPr>
      </w:pPr>
      <w:r>
        <w:rPr>
          <w:b/>
          <w:bCs/>
          <w:sz w:val="18"/>
          <w:szCs w:val="18"/>
        </w:rPr>
        <w:t>Table S1</w:t>
      </w:r>
      <w:r w:rsidR="00E11528">
        <w:rPr>
          <w:b/>
          <w:bCs/>
          <w:sz w:val="18"/>
          <w:szCs w:val="18"/>
        </w:rPr>
        <w:t xml:space="preserve"> </w:t>
      </w:r>
      <w:r w:rsidR="00E11528">
        <w:rPr>
          <w:sz w:val="18"/>
          <w:szCs w:val="18"/>
        </w:rPr>
        <w:t xml:space="preserve">Definitions from the textbook by Kirkwood and Sterne </w:t>
      </w:r>
      <w:r w:rsidR="00E11528">
        <w:rPr>
          <w:sz w:val="18"/>
          <w:szCs w:val="18"/>
        </w:rPr>
        <w:fldChar w:fldCharType="begin"/>
      </w:r>
      <w:r w:rsidR="00E11528">
        <w:rPr>
          <w:sz w:val="18"/>
          <w:szCs w:val="18"/>
        </w:rPr>
        <w:instrText xml:space="preserve"> ADDIN EN.CITE &lt;EndNote&gt;&lt;Cite&gt;&lt;Author&gt;Kirkwood&lt;/Author&gt;&lt;Year&gt;2003&lt;/Year&gt;&lt;RecNum&gt;5326&lt;/RecNum&gt;&lt;DisplayText&gt;&lt;style size="10"&gt;[1]&lt;/style&gt;&lt;/DisplayText&gt;&lt;record&gt;&lt;rec-number&gt;5326&lt;/rec-number&gt;&lt;foreign-keys&gt;&lt;key app="EN" db-id="stfx95t9tzsta7ete5t5xfs9xzfspezv5rfz" timestamp="1695613650"&gt;5326&lt;/key&gt;&lt;/foreign-keys&gt;&lt;ref-type name="Book"&gt;6&lt;/ref-type&gt;&lt;contributors&gt;&lt;authors&gt;&lt;author&gt;Kirkwood, Betty R.&lt;/author&gt;&lt;author&gt;Sterne, Jonathan A. C.&lt;/author&gt;&lt;/authors&gt;&lt;/contributors&gt;&lt;titles&gt;&lt;title&gt;Essential Medical Statistics&lt;/title&gt;&lt;/titles&gt;&lt;edition&gt;2nd Edition&lt;/edition&gt;&lt;section&gt;430-431&lt;/section&gt;&lt;keywords&gt;&lt;keyword&gt;Medical statistics&lt;/keyword&gt;&lt;keyword&gt;Medicine&lt;/keyword&gt;&lt;keyword&gt;Medicine-Research-Statistical methods&lt;/keyword&gt;&lt;keyword&gt;Statistical methods&lt;/keyword&gt;&lt;/keywords&gt;&lt;dates&gt;&lt;year&gt;2003&lt;/year&gt;&lt;/dates&gt;&lt;pub-location&gt;Hoboken&lt;/pub-location&gt;&lt;publisher&gt;Wiley&lt;/publisher&gt;&lt;isbn&gt;9781444392845&amp;#xD;1444392840&amp;#xD;9780865428713&amp;#xD;0865428719&lt;/isbn&gt;&lt;urls&gt;&lt;/urls&gt;&lt;/record&gt;&lt;/Cite&gt;&lt;/EndNote&gt;</w:instrText>
      </w:r>
      <w:r w:rsidR="00E11528">
        <w:rPr>
          <w:sz w:val="18"/>
          <w:szCs w:val="18"/>
        </w:rPr>
        <w:fldChar w:fldCharType="separate"/>
      </w:r>
      <w:r w:rsidR="00E11528" w:rsidRPr="00E11528">
        <w:rPr>
          <w:noProof/>
          <w:szCs w:val="18"/>
        </w:rPr>
        <w:t>[1]</w:t>
      </w:r>
      <w:r w:rsidR="00E11528">
        <w:rPr>
          <w:sz w:val="18"/>
          <w:szCs w:val="18"/>
        </w:rPr>
        <w:fldChar w:fldCharType="end"/>
      </w:r>
    </w:p>
    <w:p w14:paraId="6CA49AA5" w14:textId="77777777" w:rsidR="00E11528" w:rsidRDefault="00E11528" w:rsidP="00E11528">
      <w:pPr>
        <w:pStyle w:val="MDPI31text"/>
        <w:ind w:left="0" w:firstLine="0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1484"/>
        <w:gridCol w:w="1803"/>
        <w:gridCol w:w="1803"/>
        <w:gridCol w:w="1804"/>
      </w:tblGrid>
      <w:tr w:rsidR="00015CF5" w:rsidRPr="00E579B6" w14:paraId="5682AEC9" w14:textId="77777777" w:rsidTr="00AD1245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BCD1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</w:p>
          <w:p w14:paraId="3927834F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</w:p>
          <w:p w14:paraId="3BE52EF6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77539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Standard /disease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EE16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</w:p>
        </w:tc>
      </w:tr>
      <w:tr w:rsidR="00015CF5" w:rsidRPr="00E579B6" w14:paraId="1586983C" w14:textId="77777777" w:rsidTr="00AD124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4B54" w14:textId="77777777" w:rsidR="00015CF5" w:rsidRPr="0028202E" w:rsidRDefault="00015CF5" w:rsidP="00AD1245">
            <w:pPr>
              <w:rPr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CE74" w14:textId="77777777" w:rsidR="00015CF5" w:rsidRPr="0028202E" w:rsidRDefault="00015CF5" w:rsidP="00AD1245">
            <w:pPr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 xml:space="preserve">Pulpotomy </w:t>
            </w:r>
            <w:proofErr w:type="gramStart"/>
            <w:r w:rsidRPr="0028202E">
              <w:rPr>
                <w:sz w:val="18"/>
                <w:szCs w:val="18"/>
              </w:rPr>
              <w:t>fail</w:t>
            </w:r>
            <w:proofErr w:type="gramEnd"/>
          </w:p>
          <w:p w14:paraId="3F72F210" w14:textId="77777777" w:rsidR="00015CF5" w:rsidRPr="0028202E" w:rsidRDefault="00015CF5" w:rsidP="00015CF5">
            <w:pPr>
              <w:rPr>
                <w:sz w:val="18"/>
                <w:szCs w:val="18"/>
              </w:rPr>
            </w:pPr>
            <w:r w:rsidRPr="0028202E">
              <w:rPr>
                <w:b/>
                <w:bCs/>
                <w:sz w:val="18"/>
                <w:szCs w:val="18"/>
              </w:rPr>
              <w:t>Positive</w:t>
            </w:r>
          </w:p>
          <w:p w14:paraId="37BD12F3" w14:textId="77777777" w:rsidR="00015CF5" w:rsidRPr="0028202E" w:rsidRDefault="00015CF5" w:rsidP="00AD1245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1F19" w14:textId="77777777" w:rsidR="00015CF5" w:rsidRPr="0028202E" w:rsidRDefault="00015CF5" w:rsidP="00AD1245">
            <w:pPr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 xml:space="preserve">Pulpotomy success </w:t>
            </w:r>
          </w:p>
          <w:p w14:paraId="6B8CC486" w14:textId="5A52BAD3" w:rsidR="00015CF5" w:rsidRPr="0028202E" w:rsidRDefault="00015CF5" w:rsidP="00AD1245">
            <w:pPr>
              <w:rPr>
                <w:sz w:val="18"/>
                <w:szCs w:val="18"/>
              </w:rPr>
            </w:pPr>
            <w:r w:rsidRPr="0028202E">
              <w:rPr>
                <w:b/>
                <w:bCs/>
                <w:sz w:val="18"/>
                <w:szCs w:val="18"/>
              </w:rPr>
              <w:t>Negative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C3721" w14:textId="77777777" w:rsidR="00015CF5" w:rsidRPr="0028202E" w:rsidRDefault="00015CF5" w:rsidP="00AD1245">
            <w:pPr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Total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B966C" w14:textId="77777777" w:rsidR="00015CF5" w:rsidRPr="0028202E" w:rsidRDefault="00015CF5" w:rsidP="00AD1245">
            <w:pPr>
              <w:rPr>
                <w:sz w:val="18"/>
                <w:szCs w:val="18"/>
              </w:rPr>
            </w:pPr>
          </w:p>
        </w:tc>
      </w:tr>
      <w:tr w:rsidR="00015CF5" w:rsidRPr="00E579B6" w14:paraId="5B30AE4D" w14:textId="77777777" w:rsidTr="00AD124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AF7F5" w14:textId="77777777" w:rsidR="00015CF5" w:rsidRPr="0028202E" w:rsidRDefault="00015CF5" w:rsidP="00AD1245">
            <w:pPr>
              <w:rPr>
                <w:b/>
                <w:bCs/>
                <w:sz w:val="18"/>
                <w:szCs w:val="18"/>
              </w:rPr>
            </w:pPr>
            <w:r w:rsidRPr="0028202E">
              <w:rPr>
                <w:b/>
                <w:bCs/>
                <w:sz w:val="18"/>
                <w:szCs w:val="18"/>
              </w:rPr>
              <w:t xml:space="preserve">Positive </w:t>
            </w:r>
          </w:p>
          <w:p w14:paraId="59575AC1" w14:textId="77777777" w:rsidR="00015CF5" w:rsidRPr="0028202E" w:rsidRDefault="00015CF5" w:rsidP="00AD1245">
            <w:pPr>
              <w:rPr>
                <w:b/>
                <w:bCs/>
                <w:sz w:val="18"/>
                <w:szCs w:val="18"/>
              </w:rPr>
            </w:pPr>
            <w:r w:rsidRPr="0028202E">
              <w:rPr>
                <w:rFonts w:hint="eastAsia"/>
                <w:sz w:val="18"/>
                <w:szCs w:val="18"/>
              </w:rPr>
              <w:t>≥</w:t>
            </w:r>
            <w:r w:rsidRPr="0028202E">
              <w:rPr>
                <w:sz w:val="18"/>
                <w:szCs w:val="18"/>
              </w:rPr>
              <w:t xml:space="preserve"> 334.8ng/mL MPP-9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7569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1E1B5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CCF2B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11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8C8B" w14:textId="77777777" w:rsidR="00015CF5" w:rsidRPr="0028202E" w:rsidRDefault="00015CF5" w:rsidP="00AD1245">
            <w:pPr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PPV = 5/11 = 45.5%</w:t>
            </w:r>
          </w:p>
        </w:tc>
      </w:tr>
      <w:tr w:rsidR="00015CF5" w:rsidRPr="00E579B6" w14:paraId="68396194" w14:textId="77777777" w:rsidTr="00AD124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98E9" w14:textId="77777777" w:rsidR="00015CF5" w:rsidRPr="0028202E" w:rsidRDefault="00015CF5" w:rsidP="00AD1245">
            <w:pPr>
              <w:rPr>
                <w:sz w:val="18"/>
                <w:szCs w:val="18"/>
              </w:rPr>
            </w:pPr>
            <w:r w:rsidRPr="0028202E">
              <w:rPr>
                <w:b/>
                <w:bCs/>
                <w:sz w:val="18"/>
                <w:szCs w:val="18"/>
              </w:rPr>
              <w:t xml:space="preserve">Negative </w:t>
            </w:r>
            <w:r w:rsidRPr="0028202E">
              <w:rPr>
                <w:sz w:val="18"/>
                <w:szCs w:val="18"/>
              </w:rPr>
              <w:t>&lt;334.8ng/mL MMP-9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13C9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1EA80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29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DFA4F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858F5" w14:textId="77777777" w:rsidR="00015CF5" w:rsidRPr="0028202E" w:rsidRDefault="00015CF5" w:rsidP="00AD1245">
            <w:pPr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NPV = 29/29 = 100%</w:t>
            </w:r>
          </w:p>
        </w:tc>
      </w:tr>
      <w:tr w:rsidR="00015CF5" w:rsidRPr="00E579B6" w14:paraId="65ABE49B" w14:textId="77777777" w:rsidTr="00AD1245">
        <w:trPr>
          <w:trHeight w:val="3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15BE7" w14:textId="77777777" w:rsidR="00015CF5" w:rsidRPr="0028202E" w:rsidRDefault="00015CF5" w:rsidP="00AD1245">
            <w:pPr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Total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FB7C3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7DA4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35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F990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BBE4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</w:p>
        </w:tc>
      </w:tr>
      <w:tr w:rsidR="00015CF5" w:rsidRPr="00E579B6" w14:paraId="0824E4FA" w14:textId="77777777" w:rsidTr="00AD1245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F2CA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F91D" w14:textId="5B73D1E1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Sensitivity = 5/5 = 100%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C9D2E" w14:textId="05478FBD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  <w:r w:rsidRPr="0028202E">
              <w:rPr>
                <w:sz w:val="18"/>
                <w:szCs w:val="18"/>
              </w:rPr>
              <w:t>Specificity = 29/35 = 83%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F122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961E" w14:textId="77777777" w:rsidR="00015CF5" w:rsidRPr="0028202E" w:rsidRDefault="00015CF5" w:rsidP="00AD124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A7127BB" w14:textId="75D8FCB1" w:rsidR="00E11528" w:rsidRPr="00E11528" w:rsidRDefault="00E11528" w:rsidP="00015CF5">
      <w:pPr>
        <w:pStyle w:val="MDPI31text"/>
        <w:ind w:left="0" w:firstLine="0"/>
        <w:rPr>
          <w:b/>
          <w:bCs/>
          <w:sz w:val="18"/>
          <w:szCs w:val="18"/>
        </w:rPr>
      </w:pPr>
      <w:r w:rsidRPr="00E11528">
        <w:rPr>
          <w:sz w:val="18"/>
          <w:szCs w:val="18"/>
        </w:rPr>
        <w:t xml:space="preserve">Legend: </w:t>
      </w:r>
      <w:r>
        <w:rPr>
          <w:sz w:val="18"/>
          <w:szCs w:val="18"/>
        </w:rPr>
        <w:t>NPV, negative predictive value, PPV, positive predictive value</w:t>
      </w:r>
    </w:p>
    <w:p w14:paraId="0CF17FF0" w14:textId="77777777" w:rsidR="00E11528" w:rsidRDefault="00E11528" w:rsidP="00015CF5">
      <w:pPr>
        <w:pStyle w:val="MDPI31text"/>
        <w:ind w:left="0" w:firstLine="0"/>
        <w:rPr>
          <w:b/>
          <w:bCs/>
          <w:sz w:val="18"/>
          <w:szCs w:val="18"/>
        </w:rPr>
      </w:pPr>
    </w:p>
    <w:p w14:paraId="42D48336" w14:textId="174E50C5" w:rsidR="00015CF5" w:rsidRDefault="00171893" w:rsidP="00015CF5">
      <w:pPr>
        <w:pStyle w:val="MDPI31text"/>
        <w:ind w:left="0" w:firstLine="0"/>
        <w:rPr>
          <w:sz w:val="18"/>
          <w:szCs w:val="18"/>
        </w:rPr>
      </w:pPr>
      <w:r>
        <w:rPr>
          <w:b/>
          <w:bCs/>
          <w:sz w:val="18"/>
          <w:szCs w:val="18"/>
        </w:rPr>
        <w:t>Table S2</w:t>
      </w:r>
      <w:r w:rsidR="0027782E">
        <w:rPr>
          <w:b/>
          <w:bCs/>
          <w:sz w:val="18"/>
          <w:szCs w:val="18"/>
        </w:rPr>
        <w:t xml:space="preserve"> </w:t>
      </w:r>
      <w:r w:rsidR="00015CF5" w:rsidRPr="0027782E">
        <w:rPr>
          <w:sz w:val="18"/>
          <w:szCs w:val="18"/>
        </w:rPr>
        <w:t xml:space="preserve">Contingency </w:t>
      </w:r>
      <w:r w:rsidR="0028202E">
        <w:rPr>
          <w:sz w:val="18"/>
          <w:szCs w:val="18"/>
        </w:rPr>
        <w:t>t</w:t>
      </w:r>
      <w:r w:rsidR="00015CF5" w:rsidRPr="0027782E">
        <w:rPr>
          <w:sz w:val="18"/>
          <w:szCs w:val="18"/>
        </w:rPr>
        <w:t xml:space="preserve">able </w:t>
      </w:r>
      <w:r w:rsidR="0028202E">
        <w:rPr>
          <w:sz w:val="18"/>
          <w:szCs w:val="18"/>
        </w:rPr>
        <w:t>d</w:t>
      </w:r>
      <w:r w:rsidR="00015CF5" w:rsidRPr="0027782E">
        <w:rPr>
          <w:sz w:val="18"/>
          <w:szCs w:val="18"/>
        </w:rPr>
        <w:t xml:space="preserve">eveloped from the </w:t>
      </w:r>
      <w:r w:rsidR="0028202E">
        <w:rPr>
          <w:sz w:val="18"/>
          <w:szCs w:val="18"/>
        </w:rPr>
        <w:t>i</w:t>
      </w:r>
      <w:r w:rsidR="00015CF5" w:rsidRPr="0027782E">
        <w:rPr>
          <w:sz w:val="18"/>
          <w:szCs w:val="18"/>
        </w:rPr>
        <w:t xml:space="preserve">nformation in Sharma et al. </w:t>
      </w:r>
      <w:r w:rsidR="0028202E">
        <w:rPr>
          <w:sz w:val="18"/>
          <w:szCs w:val="18"/>
        </w:rPr>
        <w:t>[2].</w:t>
      </w:r>
    </w:p>
    <w:p w14:paraId="3E85E283" w14:textId="77777777" w:rsidR="00015CF5" w:rsidRPr="00015CF5" w:rsidRDefault="00015CF5" w:rsidP="00015CF5">
      <w:pPr>
        <w:pStyle w:val="MDPI31text"/>
        <w:ind w:left="0" w:firstLine="0"/>
        <w:rPr>
          <w:i/>
          <w:iCs/>
        </w:rPr>
      </w:pPr>
    </w:p>
    <w:p w14:paraId="1D5412BD" w14:textId="33E0B93C" w:rsidR="00E11528" w:rsidRDefault="00015CF5" w:rsidP="003461CC">
      <w:pPr>
        <w:ind w:firstLine="426"/>
      </w:pPr>
      <w:r>
        <w:t xml:space="preserve">The paper by Sharma et al. </w:t>
      </w:r>
      <w:r w:rsidRPr="008A6741">
        <w:fldChar w:fldCharType="begin">
          <w:fldData xml:space="preserve">PEVuZE5vdGU+PENpdGU+PEF1dGhvcj5TaGFybWE8L0F1dGhvcj48WWVhcj4yMDIxPC9ZZWFyPjxS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</w:fldData>
        </w:fldChar>
      </w:r>
      <w:r w:rsidR="00E11528">
        <w:instrText xml:space="preserve"> ADDIN EN.CITE </w:instrText>
      </w:r>
      <w:r w:rsidR="00E11528">
        <w:fldChar w:fldCharType="begin">
          <w:fldData xml:space="preserve">PEVuZE5vdGU+PENpdGU+PEF1dGhvcj5TaGFybWE8L0F1dGhvcj48WWVhcj4yMDIxPC9ZZWFyPjxS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</w:fldData>
        </w:fldChar>
      </w:r>
      <w:r w:rsidR="00E11528">
        <w:instrText xml:space="preserve"> ADDIN EN.CITE.DATA </w:instrText>
      </w:r>
      <w:r w:rsidR="00E11528">
        <w:fldChar w:fldCharType="end"/>
      </w:r>
      <w:r w:rsidRPr="008A6741">
        <w:fldChar w:fldCharType="separate"/>
      </w:r>
      <w:r w:rsidR="00E11528">
        <w:rPr>
          <w:noProof/>
        </w:rPr>
        <w:t>[2]</w:t>
      </w:r>
      <w:r w:rsidRPr="008A6741">
        <w:fldChar w:fldCharType="end"/>
      </w:r>
      <w:r>
        <w:t xml:space="preserve"> states that the cut-off MMP-9 concentration ([MMP-9]) to predict the outcome (success or failure) of a complete pulpotomy is 334.8 ng/mL </w:t>
      </w:r>
      <w:proofErr w:type="spellStart"/>
      <w:r>
        <w:t>ie</w:t>
      </w:r>
      <w:proofErr w:type="spellEnd"/>
      <w:r>
        <w:t xml:space="preserve"> a positive test result of ≥334.8 ng/mL predicts pulpotomy failure and a negative result of &lt;334.8 ng/mL predicts pulpotomy success. They identified a sensitivity value of 100% and a specificity value of 83%. </w:t>
      </w:r>
      <w:r w:rsidR="00413CB0">
        <w:t>Forty</w:t>
      </w:r>
      <w:r w:rsidR="0037626C">
        <w:t xml:space="preserve"> pulpotomies were performed, of which 35 were successful and 5 failed. As seen in </w:t>
      </w:r>
      <w:r w:rsidR="00413CB0">
        <w:t>T</w:t>
      </w:r>
      <w:r w:rsidR="0037626C">
        <w:t xml:space="preserve">able 4, the number of true negatives (29) was calculated based on </w:t>
      </w:r>
      <w:r w:rsidR="006D7894">
        <w:t>x</w:t>
      </w:r>
      <w:r w:rsidR="0037626C">
        <w:t xml:space="preserve">/35=83% (where </w:t>
      </w:r>
      <w:r w:rsidR="006D7894">
        <w:t>x</w:t>
      </w:r>
      <w:r w:rsidR="0037626C">
        <w:t xml:space="preserve"> is the number of true negatives). The number 6 in the table is the number of false test positives and was calculated to add up to the total number of cases</w:t>
      </w:r>
      <w:r w:rsidR="001B4F20">
        <w:t xml:space="preserve"> that were a success</w:t>
      </w:r>
      <w:r w:rsidR="0037626C">
        <w:t xml:space="preserve"> (35). Th</w:t>
      </w:r>
      <w:r w:rsidR="003461CC">
        <w:t xml:space="preserve">e number of false test positives </w:t>
      </w:r>
      <w:r w:rsidR="0037626C">
        <w:t xml:space="preserve">is the number of cases predicted to fail </w:t>
      </w:r>
      <w:r w:rsidR="003461CC">
        <w:t>that were actually a success.</w:t>
      </w:r>
    </w:p>
    <w:p w14:paraId="2E4410C6" w14:textId="597EEF5B" w:rsidR="00155ED4" w:rsidRDefault="003461CC" w:rsidP="00155ED4">
      <w:pPr>
        <w:spacing w:line="240" w:lineRule="auto"/>
        <w:ind w:firstLine="426"/>
      </w:pPr>
      <w:r>
        <w:t xml:space="preserve">According to the above table, the following statement in the paper is incorrect; “The </w:t>
      </w:r>
      <w:r w:rsidRPr="003461CC">
        <w:t xml:space="preserve">83% specificity of the test suggests that only 17% of teeth with </w:t>
      </w:r>
      <w:r>
        <w:t>a</w:t>
      </w:r>
      <w:r w:rsidRPr="003461CC">
        <w:t xml:space="preserve">MMP-9 concentration </w:t>
      </w:r>
      <w:bookmarkStart w:id="0" w:name="_Hlk61962587"/>
      <w:r w:rsidRPr="003461CC">
        <w:t>≥ 334.8 ng mL</w:t>
      </w:r>
      <w:r w:rsidRPr="003461CC">
        <w:rPr>
          <w:vertAlign w:val="superscript"/>
        </w:rPr>
        <w:t>-1</w:t>
      </w:r>
      <w:r w:rsidRPr="003461CC">
        <w:t xml:space="preserve"> </w:t>
      </w:r>
      <w:bookmarkEnd w:id="0"/>
      <w:r w:rsidRPr="003461CC">
        <w:t>will have a successful outcome after pulpotomy.</w:t>
      </w:r>
      <w:r w:rsidR="00AE4361">
        <w:t>” This is because 6 of a total of 11 cases (54.5%) that had a [MMP-9] of ≥334.8 ng/mL were actually successful. In fact, only 5 out of 11 failures were correctly predicted by the test to fail, resulting in a positive predictive value of 45.5%. In summary, of the teeth where the test indicated no pulpotomy should be performed, more than half could have had a successful pulpotomy.</w:t>
      </w:r>
      <w:r w:rsidR="00155ED4">
        <w:t xml:space="preserve"> </w:t>
      </w:r>
    </w:p>
    <w:p w14:paraId="3118FC49" w14:textId="35E3B43E" w:rsidR="00155ED4" w:rsidRDefault="00155ED4" w:rsidP="00155ED4">
      <w:pPr>
        <w:spacing w:line="240" w:lineRule="auto"/>
        <w:ind w:firstLine="426"/>
      </w:pPr>
      <w:r>
        <w:t xml:space="preserve">If the findings of this paper alone were used to develop a chairside diagnostic test, </w:t>
      </w:r>
      <w:r w:rsidR="00F6669A">
        <w:t>a</w:t>
      </w:r>
      <w:r w:rsidR="006D7894">
        <w:t>n</w:t>
      </w:r>
      <w:r w:rsidR="00F6669A">
        <w:t xml:space="preserve"> MMP-9 </w:t>
      </w:r>
      <w:r w:rsidR="006D7894">
        <w:t xml:space="preserve">concentration </w:t>
      </w:r>
      <w:r w:rsidR="00F6669A">
        <w:t>of ≥</w:t>
      </w:r>
      <w:r w:rsidR="00BA48BC">
        <w:t xml:space="preserve"> </w:t>
      </w:r>
      <w:r w:rsidR="00F6669A">
        <w:t xml:space="preserve">334.8 ng/mL would encourage the clinician to not perform the pulpotomy despite half of these cases potentially being a success. </w:t>
      </w:r>
    </w:p>
    <w:p w14:paraId="1C484B5E" w14:textId="77777777" w:rsidR="00295245" w:rsidRDefault="00295245" w:rsidP="00155ED4">
      <w:pPr>
        <w:spacing w:line="240" w:lineRule="auto"/>
        <w:ind w:firstLine="426"/>
      </w:pPr>
    </w:p>
    <w:p w14:paraId="1AAFCC45" w14:textId="6A91CD70" w:rsidR="00E11528" w:rsidRDefault="00295245" w:rsidP="0028202E">
      <w:pPr>
        <w:spacing w:line="240" w:lineRule="auto"/>
        <w:ind w:firstLine="426"/>
      </w:pPr>
      <w:r>
        <w:rPr>
          <w:b/>
          <w:bCs/>
        </w:rPr>
        <w:t>References</w:t>
      </w:r>
    </w:p>
    <w:p w14:paraId="7459CA91" w14:textId="77777777" w:rsidR="00E11528" w:rsidRPr="00E11528" w:rsidRDefault="00E11528" w:rsidP="00E11528">
      <w:pPr>
        <w:pStyle w:val="EndNoteBibliography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E11528">
        <w:rPr>
          <w:noProof/>
        </w:rPr>
        <w:t>1.</w:t>
      </w:r>
      <w:r w:rsidRPr="00E11528">
        <w:rPr>
          <w:noProof/>
        </w:rPr>
        <w:tab/>
        <w:t xml:space="preserve">Kirkwood, B.R.; Sterne, J.A.C. </w:t>
      </w:r>
      <w:r w:rsidRPr="00E11528">
        <w:rPr>
          <w:i/>
          <w:noProof/>
        </w:rPr>
        <w:t>Essential Medical Statistics</w:t>
      </w:r>
      <w:r w:rsidRPr="00E11528">
        <w:rPr>
          <w:noProof/>
        </w:rPr>
        <w:t>, 2nd Edition ed.; Wiley: Hoboken, 2003.</w:t>
      </w:r>
    </w:p>
    <w:p w14:paraId="025F1822" w14:textId="77777777" w:rsidR="00E11528" w:rsidRPr="00E11528" w:rsidRDefault="00E11528" w:rsidP="00E11528">
      <w:pPr>
        <w:pStyle w:val="EndNoteBibliography"/>
        <w:ind w:left="720" w:hanging="720"/>
        <w:rPr>
          <w:noProof/>
        </w:rPr>
      </w:pPr>
      <w:r w:rsidRPr="00E11528">
        <w:rPr>
          <w:rFonts w:hint="eastAsia"/>
          <w:noProof/>
        </w:rPr>
        <w:t>2.</w:t>
      </w:r>
      <w:r w:rsidRPr="00E11528">
        <w:rPr>
          <w:rFonts w:hint="eastAsia"/>
          <w:noProof/>
        </w:rPr>
        <w:tab/>
        <w:t>Sharma, R.; Kumar, V.; Logani, A.; Chawla, A.; Mir, R.A.; Sharma, S.; Kalaivani, M. Association between concentration of active MMP</w:t>
      </w:r>
      <w:r w:rsidRPr="00E11528">
        <w:rPr>
          <w:rFonts w:hint="eastAsia"/>
          <w:noProof/>
        </w:rPr>
        <w:t>‐</w:t>
      </w:r>
      <w:r w:rsidRPr="00E11528">
        <w:rPr>
          <w:rFonts w:hint="eastAsia"/>
          <w:noProof/>
        </w:rPr>
        <w:t>9 in pulpal blood</w:t>
      </w:r>
      <w:r w:rsidRPr="00E11528">
        <w:rPr>
          <w:noProof/>
        </w:rPr>
        <w:t xml:space="preserve"> and pulpotomy outcome in permanent mature teeth with irreversible pulpitis – a preliminary study. </w:t>
      </w:r>
      <w:r w:rsidRPr="00E11528">
        <w:rPr>
          <w:i/>
          <w:noProof/>
        </w:rPr>
        <w:t xml:space="preserve">Int Endod J </w:t>
      </w:r>
      <w:r w:rsidRPr="00E11528">
        <w:rPr>
          <w:b/>
          <w:noProof/>
        </w:rPr>
        <w:t>2021</w:t>
      </w:r>
      <w:r w:rsidRPr="00E11528">
        <w:rPr>
          <w:noProof/>
        </w:rPr>
        <w:t xml:space="preserve">, </w:t>
      </w:r>
      <w:r w:rsidRPr="00E11528">
        <w:rPr>
          <w:i/>
          <w:noProof/>
        </w:rPr>
        <w:t>54</w:t>
      </w:r>
      <w:r w:rsidRPr="00E11528">
        <w:rPr>
          <w:noProof/>
        </w:rPr>
        <w:t>, 479-489, doi:10.1111/iej.13437.</w:t>
      </w:r>
    </w:p>
    <w:p w14:paraId="23154AE7" w14:textId="7A17E953" w:rsidR="009F7FAE" w:rsidRDefault="00E11528">
      <w:r>
        <w:fldChar w:fldCharType="end"/>
      </w:r>
    </w:p>
    <w:sectPr w:rsidR="009F7F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Palatino Linotype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tfx95t9tzsta7ete5t5xfs9xzfspezv5rfz&quot;&gt;Referencing Library&lt;record-ids&gt;&lt;item&gt;376&lt;/item&gt;&lt;item&gt;5326&lt;/item&gt;&lt;/record-ids&gt;&lt;/item&gt;&lt;/Libraries&gt;"/>
  </w:docVars>
  <w:rsids>
    <w:rsidRoot w:val="00015CF5"/>
    <w:rsid w:val="00015CF5"/>
    <w:rsid w:val="00053DC7"/>
    <w:rsid w:val="00066ACD"/>
    <w:rsid w:val="000B50E2"/>
    <w:rsid w:val="000D36C2"/>
    <w:rsid w:val="001059BD"/>
    <w:rsid w:val="00150036"/>
    <w:rsid w:val="00155ED4"/>
    <w:rsid w:val="00171893"/>
    <w:rsid w:val="00183439"/>
    <w:rsid w:val="001A2905"/>
    <w:rsid w:val="001B4F20"/>
    <w:rsid w:val="002152F0"/>
    <w:rsid w:val="002252C4"/>
    <w:rsid w:val="00275E2D"/>
    <w:rsid w:val="0027782E"/>
    <w:rsid w:val="0028202E"/>
    <w:rsid w:val="00295245"/>
    <w:rsid w:val="002A3272"/>
    <w:rsid w:val="002D684A"/>
    <w:rsid w:val="00320E0B"/>
    <w:rsid w:val="003461CC"/>
    <w:rsid w:val="0037626C"/>
    <w:rsid w:val="00413CB0"/>
    <w:rsid w:val="00433D23"/>
    <w:rsid w:val="00464E78"/>
    <w:rsid w:val="00494E37"/>
    <w:rsid w:val="004A18C7"/>
    <w:rsid w:val="004C0BCB"/>
    <w:rsid w:val="00511B89"/>
    <w:rsid w:val="00522525"/>
    <w:rsid w:val="005501C7"/>
    <w:rsid w:val="005559ED"/>
    <w:rsid w:val="006B119C"/>
    <w:rsid w:val="006C311E"/>
    <w:rsid w:val="006D7894"/>
    <w:rsid w:val="0078205C"/>
    <w:rsid w:val="007C4B9F"/>
    <w:rsid w:val="007D0F70"/>
    <w:rsid w:val="008E1665"/>
    <w:rsid w:val="008F50E4"/>
    <w:rsid w:val="0090296E"/>
    <w:rsid w:val="009F0ED3"/>
    <w:rsid w:val="009F7690"/>
    <w:rsid w:val="009F7FAE"/>
    <w:rsid w:val="00A516CD"/>
    <w:rsid w:val="00AC206F"/>
    <w:rsid w:val="00AE4361"/>
    <w:rsid w:val="00BA48BC"/>
    <w:rsid w:val="00C22D82"/>
    <w:rsid w:val="00C471C7"/>
    <w:rsid w:val="00D84EC8"/>
    <w:rsid w:val="00D85025"/>
    <w:rsid w:val="00DA379F"/>
    <w:rsid w:val="00DC2636"/>
    <w:rsid w:val="00DC33EF"/>
    <w:rsid w:val="00DE4667"/>
    <w:rsid w:val="00DE4B83"/>
    <w:rsid w:val="00DE5F91"/>
    <w:rsid w:val="00E11528"/>
    <w:rsid w:val="00E3749A"/>
    <w:rsid w:val="00E50096"/>
    <w:rsid w:val="00E644D8"/>
    <w:rsid w:val="00EA1CA1"/>
    <w:rsid w:val="00EC629C"/>
    <w:rsid w:val="00EF2B60"/>
    <w:rsid w:val="00EF31C2"/>
    <w:rsid w:val="00F02BD5"/>
    <w:rsid w:val="00F1419D"/>
    <w:rsid w:val="00F6669A"/>
    <w:rsid w:val="00F70B35"/>
    <w:rsid w:val="00F8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AA7F6"/>
  <w15:chartTrackingRefBased/>
  <w15:docId w15:val="{1EF37577-34B0-134D-9318-27CDB08DF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CF5"/>
    <w:pPr>
      <w:spacing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link w:val="MDPI31textChar"/>
    <w:qFormat/>
    <w:rsid w:val="00015CF5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character" w:styleId="CommentReference">
    <w:name w:val="annotation reference"/>
    <w:rsid w:val="00015CF5"/>
    <w:rPr>
      <w:sz w:val="21"/>
      <w:szCs w:val="21"/>
    </w:rPr>
  </w:style>
  <w:style w:type="paragraph" w:styleId="CommentText">
    <w:name w:val="annotation text"/>
    <w:basedOn w:val="Normal"/>
    <w:link w:val="CommentTextChar"/>
    <w:rsid w:val="00015CF5"/>
  </w:style>
  <w:style w:type="character" w:customStyle="1" w:styleId="CommentTextChar">
    <w:name w:val="Comment Text Char"/>
    <w:basedOn w:val="DefaultParagraphFont"/>
    <w:link w:val="CommentText"/>
    <w:rsid w:val="00015CF5"/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character" w:customStyle="1" w:styleId="MDPI31textChar">
    <w:name w:val="MDPI_3.1_text Char"/>
    <w:basedOn w:val="DefaultParagraphFont"/>
    <w:link w:val="MDPI31text"/>
    <w:rsid w:val="00015CF5"/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table" w:styleId="TableGrid">
    <w:name w:val="Table Grid"/>
    <w:basedOn w:val="TableNormal"/>
    <w:uiPriority w:val="39"/>
    <w:rsid w:val="00015CF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E11528"/>
    <w:pPr>
      <w:jc w:val="center"/>
    </w:pPr>
  </w:style>
  <w:style w:type="character" w:customStyle="1" w:styleId="EndNoteBibliographyTitleChar">
    <w:name w:val="EndNote Bibliography Title Char"/>
    <w:basedOn w:val="MDPI31textChar"/>
    <w:link w:val="EndNoteBibliographyTitle"/>
    <w:rsid w:val="00E11528"/>
    <w:rPr>
      <w:rFonts w:ascii="Palatino Linotype" w:eastAsia="SimSun" w:hAnsi="Palatino Linotype" w:cs="Times New Roman"/>
      <w:snapToGrid/>
      <w:color w:val="000000"/>
      <w:sz w:val="20"/>
      <w:szCs w:val="20"/>
      <w:lang w:val="en-US" w:eastAsia="zh-CN" w:bidi="en-US"/>
    </w:rPr>
  </w:style>
  <w:style w:type="paragraph" w:customStyle="1" w:styleId="EndNoteBibliography">
    <w:name w:val="EndNote Bibliography"/>
    <w:basedOn w:val="Normal"/>
    <w:link w:val="EndNoteBibliographyChar"/>
    <w:rsid w:val="00E11528"/>
    <w:pPr>
      <w:spacing w:line="240" w:lineRule="atLeast"/>
    </w:pPr>
  </w:style>
  <w:style w:type="character" w:customStyle="1" w:styleId="EndNoteBibliographyChar">
    <w:name w:val="EndNote Bibliography Char"/>
    <w:basedOn w:val="MDPI31textChar"/>
    <w:link w:val="EndNoteBibliography"/>
    <w:rsid w:val="00E11528"/>
    <w:rPr>
      <w:rFonts w:ascii="Palatino Linotype" w:eastAsia="SimSun" w:hAnsi="Palatino Linotype" w:cs="Times New Roman"/>
      <w:snapToGrid/>
      <w:color w:val="000000"/>
      <w:sz w:val="20"/>
      <w:szCs w:val="20"/>
      <w:lang w:val="en-US" w:eastAsia="zh-CN" w:bidi="en-US"/>
    </w:rPr>
  </w:style>
  <w:style w:type="paragraph" w:styleId="Revision">
    <w:name w:val="Revision"/>
    <w:hidden/>
    <w:uiPriority w:val="99"/>
    <w:semiHidden/>
    <w:rsid w:val="00413CB0"/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CB0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CB0"/>
    <w:rPr>
      <w:rFonts w:ascii="Palatino Linotype" w:eastAsia="SimSun" w:hAnsi="Palatino Linotype" w:cs="Times New Roman"/>
      <w:b/>
      <w:bCs/>
      <w:color w:val="000000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McHugh</dc:creator>
  <cp:keywords/>
  <dc:description/>
  <cp:lastModifiedBy>Ove Peters</cp:lastModifiedBy>
  <cp:revision>6</cp:revision>
  <dcterms:created xsi:type="dcterms:W3CDTF">2023-10-04T07:25:00Z</dcterms:created>
  <dcterms:modified xsi:type="dcterms:W3CDTF">2023-10-29T23:48:00Z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488380-630a-4f55-a077-a19445e3f360_Enabled">
    <vt:lpwstr>true</vt:lpwstr>
  </property>
  <property fmtid="{D5CDD505-2E9C-101B-9397-08002B2CF9AE}" pid="3" name="MSIP_Label_0f488380-630a-4f55-a077-a19445e3f360_SetDate">
    <vt:lpwstr>2023-10-29T23:48:39Z</vt:lpwstr>
  </property>
  <property fmtid="{D5CDD505-2E9C-101B-9397-08002B2CF9AE}" pid="4" name="MSIP_Label_0f488380-630a-4f55-a077-a19445e3f360_Method">
    <vt:lpwstr>Standard</vt:lpwstr>
  </property>
  <property fmtid="{D5CDD505-2E9C-101B-9397-08002B2CF9AE}" pid="5" name="MSIP_Label_0f488380-630a-4f55-a077-a19445e3f360_Name">
    <vt:lpwstr>OFFICIAL - INTERNAL</vt:lpwstr>
  </property>
  <property fmtid="{D5CDD505-2E9C-101B-9397-08002B2CF9AE}" pid="6" name="MSIP_Label_0f488380-630a-4f55-a077-a19445e3f360_SiteId">
    <vt:lpwstr>b6e377cf-9db3-46cb-91a2-fad9605bb15c</vt:lpwstr>
  </property>
  <property fmtid="{D5CDD505-2E9C-101B-9397-08002B2CF9AE}" pid="7" name="MSIP_Label_0f488380-630a-4f55-a077-a19445e3f360_ActionId">
    <vt:lpwstr>c45df5eb-53eb-4142-9533-fc1ad70a3fad</vt:lpwstr>
  </property>
  <property fmtid="{D5CDD505-2E9C-101B-9397-08002B2CF9AE}" pid="8" name="MSIP_Label_0f488380-630a-4f55-a077-a19445e3f360_ContentBits">
    <vt:lpwstr>0</vt:lpwstr>
  </property>
</Properties>
</file>