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32A2" w:rsidRDefault="009A32A2" w:rsidP="009A32A2">
      <w:pPr>
        <w:pStyle w:val="MDPI51figurecaption"/>
        <w:ind w:left="0"/>
        <w:rPr>
          <w:b/>
        </w:rPr>
      </w:pPr>
      <w:r>
        <w:rPr>
          <w:b/>
          <w:noProof/>
          <w:lang w:eastAsia="en-US" w:bidi="ar-SA"/>
        </w:rPr>
        <w:drawing>
          <wp:inline distT="0" distB="0" distL="0" distR="0" wp14:anchorId="717642B5">
            <wp:extent cx="5799600" cy="2332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747"/>
                    <a:stretch/>
                  </pic:blipFill>
                  <pic:spPr bwMode="auto">
                    <a:xfrm>
                      <a:off x="0" y="0"/>
                      <a:ext cx="5799600" cy="233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2A2" w:rsidRDefault="009A32A2" w:rsidP="009A32A2">
      <w:pPr>
        <w:pStyle w:val="MDPI51figurecaption"/>
        <w:ind w:left="0"/>
        <w:rPr>
          <w:b/>
        </w:rPr>
      </w:pPr>
      <w:r>
        <w:rPr>
          <w:b/>
          <w:noProof/>
          <w:lang w:eastAsia="en-US" w:bidi="ar-SA"/>
        </w:rPr>
        <w:drawing>
          <wp:inline distT="0" distB="0" distL="0" distR="0" wp14:anchorId="7240DFEA">
            <wp:extent cx="5794253" cy="1112108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106"/>
                    <a:stretch/>
                  </pic:blipFill>
                  <pic:spPr bwMode="auto">
                    <a:xfrm>
                      <a:off x="0" y="0"/>
                      <a:ext cx="5796000" cy="111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2A2" w:rsidRDefault="009A32A2" w:rsidP="009A32A2">
      <w:pPr>
        <w:pStyle w:val="MDPI51figurecaption"/>
        <w:ind w:left="0"/>
        <w:rPr>
          <w:b/>
        </w:rPr>
      </w:pPr>
      <w:r>
        <w:rPr>
          <w:b/>
          <w:noProof/>
          <w:lang w:eastAsia="en-US" w:bidi="ar-SA"/>
        </w:rPr>
        <w:drawing>
          <wp:inline distT="0" distB="0" distL="0" distR="0" wp14:anchorId="208C3FA6">
            <wp:extent cx="5792400" cy="214560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400" cy="21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32A2" w:rsidRDefault="009A32A2" w:rsidP="009A32A2">
      <w:pPr>
        <w:pStyle w:val="MDPI51figurecaption"/>
        <w:ind w:left="0"/>
        <w:rPr>
          <w:snapToGrid w:val="0"/>
          <w:szCs w:val="18"/>
        </w:rPr>
      </w:pPr>
      <w:r w:rsidRPr="00752268">
        <w:rPr>
          <w:b/>
        </w:rPr>
        <w:t xml:space="preserve">Figure </w:t>
      </w:r>
      <w:r>
        <w:rPr>
          <w:b/>
        </w:rPr>
        <w:t>S1</w:t>
      </w:r>
      <w:r w:rsidRPr="00752268">
        <w:rPr>
          <w:b/>
        </w:rPr>
        <w:t>.</w:t>
      </w:r>
      <w:r w:rsidRPr="00752268">
        <w:t xml:space="preserve"> </w:t>
      </w:r>
      <w:r>
        <w:t xml:space="preserve">Abundances of homotypic asymmetric/symmetric </w:t>
      </w:r>
      <w:r w:rsidRPr="00752268">
        <w:t>CEs</w:t>
      </w:r>
      <w:r>
        <w:t xml:space="preserve"> in the benchmark collections of ChIP-seq and DAP-</w:t>
      </w:r>
      <w:proofErr w:type="spellStart"/>
      <w:r>
        <w:t>seq</w:t>
      </w:r>
      <w:proofErr w:type="spellEnd"/>
      <w:r>
        <w:t xml:space="preserve"> data</w:t>
      </w:r>
      <w:r w:rsidRPr="00752268">
        <w:t xml:space="preserve">. </w:t>
      </w:r>
      <w:r w:rsidR="003A145C" w:rsidRPr="000D1811">
        <w:rPr>
          <w:snapToGrid w:val="0"/>
          <w:szCs w:val="18"/>
        </w:rPr>
        <w:t xml:space="preserve">TAR value </w:t>
      </w:r>
      <w:r w:rsidR="003A145C">
        <w:rPr>
          <w:snapToGrid w:val="0"/>
          <w:szCs w:val="18"/>
        </w:rPr>
        <w:t xml:space="preserve">of </w:t>
      </w:r>
      <w:r w:rsidR="003A145C" w:rsidRPr="000D1811">
        <w:rPr>
          <w:snapToGrid w:val="0"/>
          <w:szCs w:val="18"/>
        </w:rPr>
        <w:t>1.</w:t>
      </w:r>
      <w:r w:rsidR="003A145C">
        <w:rPr>
          <w:snapToGrid w:val="0"/>
          <w:szCs w:val="18"/>
        </w:rPr>
        <w:t>1</w:t>
      </w:r>
      <w:r w:rsidR="003A145C" w:rsidRPr="000D1811">
        <w:rPr>
          <w:snapToGrid w:val="0"/>
          <w:szCs w:val="18"/>
        </w:rPr>
        <w:t xml:space="preserve"> </w:t>
      </w:r>
      <w:proofErr w:type="gramStart"/>
      <w:r w:rsidR="003A145C" w:rsidRPr="000D1811">
        <w:rPr>
          <w:snapToGrid w:val="0"/>
          <w:szCs w:val="18"/>
        </w:rPr>
        <w:t>was applied</w:t>
      </w:r>
      <w:proofErr w:type="gramEnd"/>
      <w:r w:rsidR="003A145C">
        <w:rPr>
          <w:snapToGrid w:val="0"/>
          <w:szCs w:val="18"/>
        </w:rPr>
        <w:t xml:space="preserve"> to compute the significance of asymmetry within homotypic CEs.</w:t>
      </w:r>
      <w:r w:rsidR="003A145C">
        <w:t xml:space="preserve"> </w:t>
      </w:r>
      <w:r>
        <w:t>(</w:t>
      </w:r>
      <w:r w:rsidRPr="00B14344">
        <w:rPr>
          <w:b/>
        </w:rPr>
        <w:t>A</w:t>
      </w:r>
      <w:r>
        <w:t xml:space="preserve">) ChIP-seq data for </w:t>
      </w:r>
      <w:r>
        <w:rPr>
          <w:i/>
        </w:rPr>
        <w:t xml:space="preserve">M. musculus. </w:t>
      </w:r>
      <w:r>
        <w:t>(</w:t>
      </w:r>
      <w:r w:rsidRPr="00B14344">
        <w:rPr>
          <w:b/>
        </w:rPr>
        <w:t>B</w:t>
      </w:r>
      <w:r>
        <w:t xml:space="preserve">) ChIP-seq data for </w:t>
      </w:r>
      <w:r>
        <w:rPr>
          <w:i/>
        </w:rPr>
        <w:t xml:space="preserve">A. thaliana. </w:t>
      </w:r>
      <w:r w:rsidRPr="00B14344">
        <w:t>(</w:t>
      </w:r>
      <w:r w:rsidRPr="00B14344">
        <w:rPr>
          <w:b/>
        </w:rPr>
        <w:t>C</w:t>
      </w:r>
      <w:r w:rsidRPr="00B14344">
        <w:t>)</w:t>
      </w:r>
      <w:r>
        <w:t xml:space="preserve"> DAP-</w:t>
      </w:r>
      <w:proofErr w:type="spellStart"/>
      <w:r>
        <w:t>seq</w:t>
      </w:r>
      <w:proofErr w:type="spellEnd"/>
      <w:r>
        <w:t xml:space="preserve"> data for </w:t>
      </w:r>
      <w:r>
        <w:rPr>
          <w:i/>
        </w:rPr>
        <w:t xml:space="preserve">A. thaliana. </w:t>
      </w:r>
      <w:r w:rsidRPr="00966335">
        <w:t>Ax</w:t>
      </w:r>
      <w:r>
        <w:t>e</w:t>
      </w:r>
      <w:r w:rsidRPr="00966335">
        <w:t>s</w:t>
      </w:r>
      <w:r>
        <w:t xml:space="preserve"> X show the number of datasets in a TF class. Blue/brown colors count datasets possessing </w:t>
      </w:r>
      <w:r w:rsidRPr="00AC1683">
        <w:t xml:space="preserve">a high significance of enrichment </w:t>
      </w:r>
      <w:r>
        <w:t xml:space="preserve">within homotypic symmetric/asymmetric </w:t>
      </w:r>
      <w:r w:rsidRPr="00752268">
        <w:t>CEs</w:t>
      </w:r>
      <w:r>
        <w:t>, p &lt; 1E-10. White color respects absence of a high significance, p </w:t>
      </w:r>
      <w:r w:rsidR="00640953">
        <w:t>&gt;</w:t>
      </w:r>
      <w:r>
        <w:t> 1E-10</w:t>
      </w:r>
      <w:r w:rsidRPr="00966335">
        <w:t xml:space="preserve">, neither symmetric nor asymmetric </w:t>
      </w:r>
      <w:r>
        <w:t>CEs have high significance. Axes Y display TF classes according to TFClass [</w:t>
      </w:r>
      <w:r w:rsidR="003E5891">
        <w:t>7</w:t>
      </w:r>
      <w:proofErr w:type="gramStart"/>
      <w:r>
        <w:t>,</w:t>
      </w:r>
      <w:r w:rsidR="003E5891">
        <w:t>8</w:t>
      </w:r>
      <w:proofErr w:type="gramEnd"/>
      <w:r>
        <w:t>] (</w:t>
      </w:r>
      <w:r w:rsidRPr="00B14344">
        <w:rPr>
          <w:b/>
        </w:rPr>
        <w:t>A</w:t>
      </w:r>
      <w:r>
        <w:t>) and Plant-TFClass [</w:t>
      </w:r>
      <w:r w:rsidR="003E5891">
        <w:t>11</w:t>
      </w:r>
      <w:r>
        <w:t>], (</w:t>
      </w:r>
      <w:r w:rsidRPr="00B14344">
        <w:rPr>
          <w:b/>
        </w:rPr>
        <w:t>B</w:t>
      </w:r>
      <w:r w:rsidRPr="00B14344">
        <w:t>) and (</w:t>
      </w:r>
      <w:r w:rsidRPr="00B14344">
        <w:rPr>
          <w:b/>
        </w:rPr>
        <w:t>C</w:t>
      </w:r>
      <w:r>
        <w:t xml:space="preserve">). </w:t>
      </w:r>
    </w:p>
    <w:p w:rsidR="009A32A2" w:rsidRDefault="009A32A2">
      <w:pPr>
        <w:rPr>
          <w:rFonts w:ascii="Palatino Linotype" w:eastAsia="Times New Roman" w:hAnsi="Palatino Linotype" w:cs="Times New Roman"/>
          <w:snapToGrid w:val="0"/>
          <w:color w:val="000000"/>
          <w:sz w:val="18"/>
          <w:szCs w:val="18"/>
          <w:lang w:eastAsia="de-DE" w:bidi="en-US"/>
        </w:rPr>
      </w:pPr>
      <w:r>
        <w:rPr>
          <w:snapToGrid w:val="0"/>
          <w:szCs w:val="18"/>
        </w:rPr>
        <w:br w:type="page"/>
      </w:r>
    </w:p>
    <w:p w:rsidR="003E5891" w:rsidRDefault="006F0D0F" w:rsidP="006F0D0F">
      <w:pPr>
        <w:pStyle w:val="MDPI51figurecaption"/>
        <w:ind w:left="142"/>
        <w:rPr>
          <w:szCs w:val="22"/>
        </w:rPr>
      </w:pPr>
      <w:r>
        <w:rPr>
          <w:noProof/>
          <w:lang w:eastAsia="en-US" w:bidi="ar-SA"/>
        </w:rPr>
        <w:lastRenderedPageBreak/>
        <w:drawing>
          <wp:inline distT="0" distB="0" distL="0" distR="0" wp14:anchorId="2EF0DD64" wp14:editId="696A1367">
            <wp:extent cx="6005195" cy="61150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195" cy="6115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52268">
        <w:rPr>
          <w:b/>
        </w:rPr>
        <w:t xml:space="preserve">Figure </w:t>
      </w:r>
      <w:r>
        <w:rPr>
          <w:b/>
        </w:rPr>
        <w:t>S</w:t>
      </w:r>
      <w:r w:rsidR="003E5891">
        <w:rPr>
          <w:b/>
        </w:rPr>
        <w:t>2</w:t>
      </w:r>
      <w:r w:rsidRPr="00752268">
        <w:rPr>
          <w:b/>
        </w:rPr>
        <w:t>.</w:t>
      </w:r>
      <w:r w:rsidRPr="00752268">
        <w:t xml:space="preserve"> </w:t>
      </w:r>
      <w:r>
        <w:t>Distribution of the s</w:t>
      </w:r>
      <w:r w:rsidRPr="00752268">
        <w:t xml:space="preserve">ignificance of enrichment of </w:t>
      </w:r>
      <w:r>
        <w:t xml:space="preserve">homotypic </w:t>
      </w:r>
      <w:r w:rsidRPr="00752268">
        <w:t>asymmetric</w:t>
      </w:r>
      <w:r>
        <w:t xml:space="preserve">/symmetric </w:t>
      </w:r>
      <w:r w:rsidRPr="00752268">
        <w:t>CEs</w:t>
      </w:r>
      <w:r>
        <w:t xml:space="preserve"> as a function of the DBD structure of target TFs</w:t>
      </w:r>
      <w:r w:rsidRPr="00752268">
        <w:t>.</w:t>
      </w:r>
      <w:r w:rsidRPr="00CE5C70">
        <w:t xml:space="preserve"> </w:t>
      </w:r>
      <w:r w:rsidRPr="000D1811">
        <w:rPr>
          <w:snapToGrid w:val="0"/>
          <w:szCs w:val="18"/>
        </w:rPr>
        <w:t xml:space="preserve">TAR value </w:t>
      </w:r>
      <w:r>
        <w:rPr>
          <w:snapToGrid w:val="0"/>
          <w:szCs w:val="18"/>
        </w:rPr>
        <w:t xml:space="preserve">of </w:t>
      </w:r>
      <w:r w:rsidRPr="000D1811">
        <w:rPr>
          <w:snapToGrid w:val="0"/>
          <w:szCs w:val="18"/>
        </w:rPr>
        <w:t>1.</w:t>
      </w:r>
      <w:r>
        <w:rPr>
          <w:snapToGrid w:val="0"/>
          <w:szCs w:val="18"/>
        </w:rPr>
        <w:t>1</w:t>
      </w:r>
      <w:r w:rsidRPr="000D1811">
        <w:rPr>
          <w:snapToGrid w:val="0"/>
          <w:szCs w:val="18"/>
        </w:rPr>
        <w:t xml:space="preserve"> </w:t>
      </w:r>
      <w:proofErr w:type="gramStart"/>
      <w:r w:rsidRPr="000D1811">
        <w:rPr>
          <w:snapToGrid w:val="0"/>
          <w:szCs w:val="18"/>
        </w:rPr>
        <w:t>was applied</w:t>
      </w:r>
      <w:proofErr w:type="gramEnd"/>
      <w:r>
        <w:rPr>
          <w:snapToGrid w:val="0"/>
          <w:szCs w:val="18"/>
        </w:rPr>
        <w:t xml:space="preserve"> to compute the significance of asymmetry within homotypic CEs</w:t>
      </w:r>
      <w:r w:rsidR="003A145C">
        <w:rPr>
          <w:snapToGrid w:val="0"/>
          <w:szCs w:val="18"/>
        </w:rPr>
        <w:t>.</w:t>
      </w:r>
      <w:r>
        <w:t xml:space="preserve"> (</w:t>
      </w:r>
      <w:r w:rsidRPr="00B14344">
        <w:rPr>
          <w:b/>
        </w:rPr>
        <w:t>A</w:t>
      </w:r>
      <w:r>
        <w:t xml:space="preserve">) ChIP-seq data for </w:t>
      </w:r>
      <w:r>
        <w:rPr>
          <w:i/>
        </w:rPr>
        <w:t xml:space="preserve">M. musculus. </w:t>
      </w:r>
      <w:r>
        <w:t>(</w:t>
      </w:r>
      <w:r w:rsidRPr="00B14344">
        <w:rPr>
          <w:b/>
        </w:rPr>
        <w:t>B</w:t>
      </w:r>
      <w:r>
        <w:t xml:space="preserve">) ChIP-seq data for </w:t>
      </w:r>
      <w:r>
        <w:rPr>
          <w:i/>
        </w:rPr>
        <w:t xml:space="preserve">A. thaliana. </w:t>
      </w:r>
      <w:r w:rsidRPr="00B14344">
        <w:t>(</w:t>
      </w:r>
      <w:r w:rsidRPr="00B14344">
        <w:rPr>
          <w:b/>
        </w:rPr>
        <w:t>C</w:t>
      </w:r>
      <w:r w:rsidRPr="00B14344">
        <w:t>)</w:t>
      </w:r>
      <w:r>
        <w:t xml:space="preserve"> DAP-</w:t>
      </w:r>
      <w:proofErr w:type="spellStart"/>
      <w:r>
        <w:t>seq</w:t>
      </w:r>
      <w:proofErr w:type="spellEnd"/>
      <w:r>
        <w:t xml:space="preserve"> data for </w:t>
      </w:r>
      <w:r>
        <w:rPr>
          <w:i/>
        </w:rPr>
        <w:t xml:space="preserve">A. thaliana. </w:t>
      </w:r>
      <w:r>
        <w:t>H</w:t>
      </w:r>
      <w:r w:rsidRPr="00CE5C70">
        <w:t xml:space="preserve">ierarchical classifications of </w:t>
      </w:r>
      <w:r w:rsidRPr="00CE5C70">
        <w:rPr>
          <w:i/>
        </w:rPr>
        <w:t xml:space="preserve">M. musculus </w:t>
      </w:r>
      <w:r w:rsidRPr="00CE5C70">
        <w:t xml:space="preserve">and </w:t>
      </w:r>
      <w:r w:rsidRPr="00CE5C70">
        <w:rPr>
          <w:i/>
        </w:rPr>
        <w:t>A. thaliana</w:t>
      </w:r>
      <w:r w:rsidRPr="00CE5C70">
        <w:t xml:space="preserve"> target TFs by the structure of DBDs were derived from TFclass </w:t>
      </w:r>
      <w:r>
        <w:t>[7</w:t>
      </w:r>
      <w:proofErr w:type="gramStart"/>
      <w:r>
        <w:t>,8</w:t>
      </w:r>
      <w:proofErr w:type="gramEnd"/>
      <w:r>
        <w:t xml:space="preserve">] </w:t>
      </w:r>
      <w:r w:rsidRPr="00CE5C70">
        <w:t xml:space="preserve">and Plant-TFclass </w:t>
      </w:r>
      <w:r>
        <w:t>[11]</w:t>
      </w:r>
      <w:r w:rsidRPr="00CE5C70">
        <w:t xml:space="preserve">, see </w:t>
      </w:r>
      <w:r>
        <w:t>Section 4.1</w:t>
      </w:r>
      <w:r w:rsidRPr="00CE5C70">
        <w:t xml:space="preserve">. Axes X mark the </w:t>
      </w:r>
      <w:r>
        <w:t>significance of enrichment by Fisher exact test (Figure 1E), −</w:t>
      </w:r>
      <w:proofErr w:type="gramStart"/>
      <w:r>
        <w:t>Log</w:t>
      </w:r>
      <w:r w:rsidRPr="000D6EBB">
        <w:rPr>
          <w:vertAlign w:val="subscript"/>
        </w:rPr>
        <w:t>10</w:t>
      </w:r>
      <w:r>
        <w:t>(</w:t>
      </w:r>
      <w:proofErr w:type="gramEnd"/>
      <w:r>
        <w:t>p-value), calculated by MCOT [</w:t>
      </w:r>
      <w:r w:rsidR="003E5891" w:rsidRPr="003E5891">
        <w:t>26,31,32]</w:t>
      </w:r>
      <w:r>
        <w:t xml:space="preserve">. Brown/blue colors imply enrichment </w:t>
      </w:r>
      <w:r w:rsidR="00C02AE0">
        <w:t xml:space="preserve">towards </w:t>
      </w:r>
      <w:r>
        <w:t xml:space="preserve">asymmetry/symmetry, for each </w:t>
      </w:r>
      <w:r w:rsidR="00096354">
        <w:t xml:space="preserve">TF </w:t>
      </w:r>
      <w:r>
        <w:t xml:space="preserve">class we considered only datasets possessing the significant enrichment </w:t>
      </w:r>
      <w:r w:rsidR="00C02AE0">
        <w:t xml:space="preserve">towards </w:t>
      </w:r>
      <w:r>
        <w:t xml:space="preserve">asymmetry or symmetry according to </w:t>
      </w:r>
      <w:r w:rsidR="00096354">
        <w:t xml:space="preserve">the </w:t>
      </w:r>
      <w:r>
        <w:t xml:space="preserve">results from Figure 4. Axis Y mark TF classes. </w:t>
      </w:r>
      <w:r w:rsidRPr="00544BB6">
        <w:rPr>
          <w:szCs w:val="22"/>
        </w:rPr>
        <w:t>The boxplot</w:t>
      </w:r>
      <w:r>
        <w:rPr>
          <w:szCs w:val="22"/>
        </w:rPr>
        <w:t>s</w:t>
      </w:r>
      <w:r w:rsidRPr="00544BB6">
        <w:rPr>
          <w:szCs w:val="22"/>
        </w:rPr>
        <w:t xml:space="preserve"> </w:t>
      </w:r>
      <w:r>
        <w:rPr>
          <w:szCs w:val="22"/>
        </w:rPr>
        <w:t>depict</w:t>
      </w:r>
      <w:r w:rsidRPr="00544BB6">
        <w:rPr>
          <w:szCs w:val="22"/>
        </w:rPr>
        <w:t xml:space="preserve"> the distributions of the Q</w:t>
      </w:r>
      <w:r w:rsidRPr="00544BB6">
        <w:rPr>
          <w:szCs w:val="22"/>
          <w:vertAlign w:val="subscript"/>
        </w:rPr>
        <w:t>1</w:t>
      </w:r>
      <w:r w:rsidRPr="00544BB6">
        <w:rPr>
          <w:szCs w:val="22"/>
        </w:rPr>
        <w:t>, Q</w:t>
      </w:r>
      <w:r w:rsidRPr="00544BB6">
        <w:rPr>
          <w:szCs w:val="18"/>
          <w:vertAlign w:val="subscript"/>
        </w:rPr>
        <w:t>2</w:t>
      </w:r>
      <w:r w:rsidRPr="00544BB6">
        <w:rPr>
          <w:szCs w:val="22"/>
        </w:rPr>
        <w:t xml:space="preserve"> and Q</w:t>
      </w:r>
      <w:r w:rsidRPr="00544BB6">
        <w:rPr>
          <w:szCs w:val="18"/>
          <w:vertAlign w:val="subscript"/>
        </w:rPr>
        <w:t>3</w:t>
      </w:r>
      <w:r w:rsidRPr="00544BB6">
        <w:rPr>
          <w:szCs w:val="22"/>
        </w:rPr>
        <w:t xml:space="preserve"> quartiles of the fractions of</w:t>
      </w:r>
      <w:r>
        <w:rPr>
          <w:szCs w:val="22"/>
        </w:rPr>
        <w:t xml:space="preserve"> the considered datasets with certain </w:t>
      </w:r>
      <w:r w:rsidRPr="00544BB6">
        <w:rPr>
          <w:szCs w:val="22"/>
        </w:rPr>
        <w:t>values</w:t>
      </w:r>
      <w:r>
        <w:rPr>
          <w:szCs w:val="22"/>
        </w:rPr>
        <w:t xml:space="preserve"> of the significance, </w:t>
      </w:r>
      <w:r>
        <w:t>−</w:t>
      </w:r>
      <w:proofErr w:type="gramStart"/>
      <w:r>
        <w:t>Log</w:t>
      </w:r>
      <w:r w:rsidRPr="000D6EBB">
        <w:rPr>
          <w:vertAlign w:val="subscript"/>
        </w:rPr>
        <w:t>10</w:t>
      </w:r>
      <w:r>
        <w:t>(</w:t>
      </w:r>
      <w:proofErr w:type="gramEnd"/>
      <w:r>
        <w:t>p-value)</w:t>
      </w:r>
      <w:r w:rsidRPr="00544BB6">
        <w:rPr>
          <w:szCs w:val="22"/>
        </w:rPr>
        <w:t xml:space="preserve">. Whiskers </w:t>
      </w:r>
      <w:r w:rsidR="008648CB" w:rsidRPr="008648CB">
        <w:rPr>
          <w:szCs w:val="22"/>
        </w:rPr>
        <w:t>on either side of</w:t>
      </w:r>
      <w:r w:rsidRPr="00544BB6">
        <w:rPr>
          <w:szCs w:val="22"/>
        </w:rPr>
        <w:t xml:space="preserve"> the Q</w:t>
      </w:r>
      <w:r w:rsidRPr="00544BB6">
        <w:rPr>
          <w:szCs w:val="22"/>
          <w:vertAlign w:val="subscript"/>
        </w:rPr>
        <w:t>1</w:t>
      </w:r>
      <w:r w:rsidRPr="00544BB6">
        <w:rPr>
          <w:szCs w:val="22"/>
        </w:rPr>
        <w:t>/Q</w:t>
      </w:r>
      <w:r w:rsidRPr="00544BB6">
        <w:rPr>
          <w:szCs w:val="18"/>
          <w:vertAlign w:val="subscript"/>
        </w:rPr>
        <w:t>3</w:t>
      </w:r>
      <w:r w:rsidRPr="00544BB6">
        <w:rPr>
          <w:szCs w:val="22"/>
        </w:rPr>
        <w:t xml:space="preserve"> respect the minimum/maximum values if they were located within 1.5 interquartile ranges (IQR = Q</w:t>
      </w:r>
      <w:r w:rsidRPr="00544BB6">
        <w:rPr>
          <w:szCs w:val="13"/>
          <w:vertAlign w:val="subscript"/>
        </w:rPr>
        <w:t>3</w:t>
      </w:r>
      <w:r w:rsidRPr="00544BB6">
        <w:rPr>
          <w:szCs w:val="22"/>
        </w:rPr>
        <w:t xml:space="preserve"> – Q</w:t>
      </w:r>
      <w:r w:rsidRPr="00544BB6">
        <w:rPr>
          <w:szCs w:val="13"/>
          <w:vertAlign w:val="subscript"/>
        </w:rPr>
        <w:t>1</w:t>
      </w:r>
      <w:r w:rsidRPr="00544BB6">
        <w:rPr>
          <w:szCs w:val="22"/>
        </w:rPr>
        <w:t>) from Q</w:t>
      </w:r>
      <w:r w:rsidRPr="00544BB6">
        <w:rPr>
          <w:szCs w:val="18"/>
          <w:vertAlign w:val="subscript"/>
        </w:rPr>
        <w:t>1</w:t>
      </w:r>
      <w:r w:rsidRPr="00544BB6">
        <w:rPr>
          <w:szCs w:val="22"/>
        </w:rPr>
        <w:t>/Q</w:t>
      </w:r>
      <w:r w:rsidRPr="00544BB6">
        <w:rPr>
          <w:szCs w:val="18"/>
          <w:vertAlign w:val="subscript"/>
        </w:rPr>
        <w:t>3</w:t>
      </w:r>
      <w:r w:rsidRPr="00544BB6">
        <w:rPr>
          <w:szCs w:val="22"/>
        </w:rPr>
        <w:t>, otherwise they are equal to {Q</w:t>
      </w:r>
      <w:r w:rsidRPr="00544BB6">
        <w:rPr>
          <w:szCs w:val="18"/>
          <w:vertAlign w:val="subscript"/>
        </w:rPr>
        <w:t>1</w:t>
      </w:r>
      <w:r w:rsidRPr="00544BB6">
        <w:rPr>
          <w:szCs w:val="22"/>
        </w:rPr>
        <w:t xml:space="preserve"> - 1.5 * IQR} / {Q</w:t>
      </w:r>
      <w:r w:rsidRPr="00544BB6">
        <w:rPr>
          <w:szCs w:val="13"/>
          <w:vertAlign w:val="subscript"/>
        </w:rPr>
        <w:t>3</w:t>
      </w:r>
      <w:r w:rsidRPr="00544BB6">
        <w:rPr>
          <w:szCs w:val="22"/>
        </w:rPr>
        <w:t xml:space="preserve"> + 1.5 * IQR}, respectively. In the latter case, we marked all other points as outliers.</w:t>
      </w:r>
    </w:p>
    <w:p w:rsidR="003E5891" w:rsidRDefault="003E5891">
      <w:pPr>
        <w:rPr>
          <w:rFonts w:ascii="Palatino Linotype" w:eastAsia="Times New Roman" w:hAnsi="Palatino Linotype" w:cs="Times New Roman"/>
          <w:color w:val="000000"/>
          <w:sz w:val="18"/>
          <w:lang w:eastAsia="de-DE" w:bidi="en-US"/>
        </w:rPr>
      </w:pPr>
      <w:r>
        <w:br w:type="page"/>
      </w:r>
    </w:p>
    <w:p w:rsidR="006F0D0F" w:rsidRPr="00752268" w:rsidRDefault="003E5891" w:rsidP="006F0D0F">
      <w:pPr>
        <w:pStyle w:val="MDPI51figurecaption"/>
        <w:ind w:left="142"/>
      </w:pPr>
      <w:r>
        <w:rPr>
          <w:noProof/>
          <w:lang w:eastAsia="en-US" w:bidi="ar-SA"/>
        </w:rPr>
        <w:lastRenderedPageBreak/>
        <w:drawing>
          <wp:inline distT="0" distB="0" distL="0" distR="0" wp14:anchorId="19E046A8">
            <wp:extent cx="5798307" cy="236426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28"/>
                    <a:stretch/>
                  </pic:blipFill>
                  <pic:spPr bwMode="auto">
                    <a:xfrm>
                      <a:off x="0" y="0"/>
                      <a:ext cx="5799600" cy="2364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2A2" w:rsidRPr="00966335" w:rsidRDefault="003E5891" w:rsidP="009A32A2">
      <w:pPr>
        <w:pStyle w:val="MDPI51figurecaption"/>
        <w:ind w:left="0"/>
      </w:pPr>
      <w:r>
        <w:rPr>
          <w:noProof/>
          <w:lang w:eastAsia="en-US" w:bidi="ar-SA"/>
        </w:rPr>
        <w:drawing>
          <wp:inline distT="0" distB="0" distL="0" distR="0" wp14:anchorId="6D3A3E3B">
            <wp:extent cx="5798783" cy="111210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353"/>
                    <a:stretch/>
                  </pic:blipFill>
                  <pic:spPr bwMode="auto">
                    <a:xfrm>
                      <a:off x="0" y="0"/>
                      <a:ext cx="5799600" cy="11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6095" w:rsidRDefault="003E5891">
      <w:r>
        <w:rPr>
          <w:noProof/>
        </w:rPr>
        <w:drawing>
          <wp:inline distT="0" distB="0" distL="0" distR="0" wp14:anchorId="7E382536">
            <wp:extent cx="5792400" cy="217080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2400" cy="217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5891" w:rsidRDefault="003E5891" w:rsidP="003E5891">
      <w:pPr>
        <w:pStyle w:val="MDPI51figurecaption"/>
        <w:ind w:left="0"/>
        <w:rPr>
          <w:snapToGrid w:val="0"/>
          <w:szCs w:val="18"/>
        </w:rPr>
      </w:pPr>
      <w:r w:rsidRPr="00752268">
        <w:rPr>
          <w:b/>
        </w:rPr>
        <w:t xml:space="preserve">Figure </w:t>
      </w:r>
      <w:r>
        <w:rPr>
          <w:b/>
        </w:rPr>
        <w:t>S</w:t>
      </w:r>
      <w:r w:rsidR="003A145C">
        <w:rPr>
          <w:b/>
        </w:rPr>
        <w:t>3</w:t>
      </w:r>
      <w:r w:rsidRPr="00752268">
        <w:rPr>
          <w:b/>
        </w:rPr>
        <w:t>.</w:t>
      </w:r>
      <w:r w:rsidRPr="00752268">
        <w:t xml:space="preserve"> </w:t>
      </w:r>
      <w:r>
        <w:t xml:space="preserve">Abundances of homotypic asymmetric/symmetric </w:t>
      </w:r>
      <w:r w:rsidRPr="00752268">
        <w:t>CEs</w:t>
      </w:r>
      <w:r>
        <w:t xml:space="preserve"> in the benchmark collections of ChIP-seq and DAP-</w:t>
      </w:r>
      <w:proofErr w:type="spellStart"/>
      <w:r>
        <w:t>seq</w:t>
      </w:r>
      <w:proofErr w:type="spellEnd"/>
      <w:r>
        <w:t xml:space="preserve"> data</w:t>
      </w:r>
      <w:r w:rsidRPr="00752268">
        <w:t xml:space="preserve">. </w:t>
      </w:r>
      <w:r w:rsidR="003A145C" w:rsidRPr="000D1811">
        <w:rPr>
          <w:snapToGrid w:val="0"/>
          <w:szCs w:val="18"/>
        </w:rPr>
        <w:t xml:space="preserve">TAR value </w:t>
      </w:r>
      <w:r w:rsidR="003A145C">
        <w:rPr>
          <w:snapToGrid w:val="0"/>
          <w:szCs w:val="18"/>
        </w:rPr>
        <w:t xml:space="preserve">of </w:t>
      </w:r>
      <w:proofErr w:type="gramStart"/>
      <w:r w:rsidR="003A145C">
        <w:rPr>
          <w:snapToGrid w:val="0"/>
          <w:szCs w:val="18"/>
        </w:rPr>
        <w:t>2</w:t>
      </w:r>
      <w:proofErr w:type="gramEnd"/>
      <w:r w:rsidR="003A145C" w:rsidRPr="000D1811">
        <w:rPr>
          <w:snapToGrid w:val="0"/>
          <w:szCs w:val="18"/>
        </w:rPr>
        <w:t xml:space="preserve"> was applied</w:t>
      </w:r>
      <w:r w:rsidR="003A145C">
        <w:rPr>
          <w:snapToGrid w:val="0"/>
          <w:szCs w:val="18"/>
        </w:rPr>
        <w:t xml:space="preserve"> to compute the significance of asymmetry within homotypic CEs. (</w:t>
      </w:r>
      <w:r w:rsidRPr="00B14344">
        <w:rPr>
          <w:b/>
        </w:rPr>
        <w:t>A</w:t>
      </w:r>
      <w:r>
        <w:t xml:space="preserve">) ChIP-seq data for </w:t>
      </w:r>
      <w:r>
        <w:rPr>
          <w:i/>
        </w:rPr>
        <w:t xml:space="preserve">M. musculus. </w:t>
      </w:r>
      <w:r>
        <w:t>(</w:t>
      </w:r>
      <w:r w:rsidRPr="00B14344">
        <w:rPr>
          <w:b/>
        </w:rPr>
        <w:t>B</w:t>
      </w:r>
      <w:r>
        <w:t xml:space="preserve">) ChIP-seq data for </w:t>
      </w:r>
      <w:r>
        <w:rPr>
          <w:i/>
        </w:rPr>
        <w:t xml:space="preserve">A. thaliana. </w:t>
      </w:r>
      <w:r w:rsidRPr="00B14344">
        <w:t>(</w:t>
      </w:r>
      <w:r w:rsidRPr="00B14344">
        <w:rPr>
          <w:b/>
        </w:rPr>
        <w:t>C</w:t>
      </w:r>
      <w:r w:rsidRPr="00B14344">
        <w:t>)</w:t>
      </w:r>
      <w:r>
        <w:t xml:space="preserve"> DAP-</w:t>
      </w:r>
      <w:proofErr w:type="spellStart"/>
      <w:r>
        <w:t>seq</w:t>
      </w:r>
      <w:proofErr w:type="spellEnd"/>
      <w:r>
        <w:t xml:space="preserve"> data for </w:t>
      </w:r>
      <w:r>
        <w:rPr>
          <w:i/>
        </w:rPr>
        <w:t xml:space="preserve">A. thaliana. </w:t>
      </w:r>
      <w:r w:rsidRPr="00966335">
        <w:t>Ax</w:t>
      </w:r>
      <w:r>
        <w:t>e</w:t>
      </w:r>
      <w:r w:rsidRPr="00966335">
        <w:t>s</w:t>
      </w:r>
      <w:r>
        <w:t xml:space="preserve"> X show the number of datasets in a TF class. Blue/brown colors count datasets possessing </w:t>
      </w:r>
      <w:r w:rsidRPr="00AC1683">
        <w:t xml:space="preserve">a high significance of enrichment </w:t>
      </w:r>
      <w:r>
        <w:t xml:space="preserve">within homotypic symmetric/asymmetric </w:t>
      </w:r>
      <w:r w:rsidRPr="00752268">
        <w:t>CEs</w:t>
      </w:r>
      <w:r>
        <w:t>, p &lt; 1E-10. White color respects absence of a high significance, p </w:t>
      </w:r>
      <w:r w:rsidR="00640953">
        <w:t>&gt;</w:t>
      </w:r>
      <w:r>
        <w:t> 1E-10</w:t>
      </w:r>
      <w:r w:rsidRPr="00966335">
        <w:t xml:space="preserve">, neither symmetric nor asymmetric </w:t>
      </w:r>
      <w:r>
        <w:t>CEs have high significance. Axes Y display TF classes according to TFClass [7</w:t>
      </w:r>
      <w:proofErr w:type="gramStart"/>
      <w:r>
        <w:t>,8</w:t>
      </w:r>
      <w:proofErr w:type="gramEnd"/>
      <w:r>
        <w:t>] (</w:t>
      </w:r>
      <w:r w:rsidRPr="00B14344">
        <w:rPr>
          <w:b/>
        </w:rPr>
        <w:t>A</w:t>
      </w:r>
      <w:r>
        <w:t>) and Plant-TFClass [11], (</w:t>
      </w:r>
      <w:r w:rsidRPr="00B14344">
        <w:rPr>
          <w:b/>
        </w:rPr>
        <w:t>B</w:t>
      </w:r>
      <w:r w:rsidRPr="00B14344">
        <w:t>) and (</w:t>
      </w:r>
      <w:r w:rsidRPr="00B14344">
        <w:rPr>
          <w:b/>
        </w:rPr>
        <w:t>C</w:t>
      </w:r>
      <w:r>
        <w:t xml:space="preserve">). </w:t>
      </w:r>
    </w:p>
    <w:p w:rsidR="003E5891" w:rsidRDefault="003E5891">
      <w:pPr>
        <w:rPr>
          <w:rFonts w:ascii="Palatino Linotype" w:eastAsia="Times New Roman" w:hAnsi="Palatino Linotype" w:cs="Times New Roman"/>
          <w:snapToGrid w:val="0"/>
          <w:color w:val="000000"/>
          <w:sz w:val="18"/>
          <w:szCs w:val="18"/>
          <w:lang w:eastAsia="de-DE" w:bidi="en-US"/>
        </w:rPr>
      </w:pPr>
      <w:r>
        <w:rPr>
          <w:snapToGrid w:val="0"/>
          <w:szCs w:val="18"/>
        </w:rPr>
        <w:br w:type="page"/>
      </w:r>
    </w:p>
    <w:p w:rsidR="003E5891" w:rsidRDefault="008648CB" w:rsidP="003E5891">
      <w:pPr>
        <w:pStyle w:val="MDPI51figurecaption"/>
        <w:ind w:left="0"/>
        <w:rPr>
          <w:snapToGrid w:val="0"/>
          <w:szCs w:val="18"/>
        </w:rPr>
      </w:pPr>
      <w:r>
        <w:rPr>
          <w:b/>
          <w:noProof/>
          <w:lang w:eastAsia="en-US" w:bidi="ar-SA"/>
        </w:rPr>
        <w:lastRenderedPageBreak/>
        <w:drawing>
          <wp:inline distT="0" distB="0" distL="0" distR="0" wp14:anchorId="22270FA1" wp14:editId="4F8F526D">
            <wp:extent cx="6005195" cy="612076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195" cy="6120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E5891" w:rsidRDefault="003E5891" w:rsidP="003E5891">
      <w:pPr>
        <w:pStyle w:val="MDPI51figurecaption"/>
        <w:ind w:left="142"/>
        <w:rPr>
          <w:szCs w:val="22"/>
        </w:rPr>
      </w:pPr>
      <w:r w:rsidRPr="00752268">
        <w:rPr>
          <w:b/>
        </w:rPr>
        <w:t xml:space="preserve">Figure </w:t>
      </w:r>
      <w:r>
        <w:rPr>
          <w:b/>
        </w:rPr>
        <w:t>S</w:t>
      </w:r>
      <w:r w:rsidR="00137A25">
        <w:rPr>
          <w:b/>
        </w:rPr>
        <w:t>4</w:t>
      </w:r>
      <w:r w:rsidRPr="00752268">
        <w:rPr>
          <w:b/>
        </w:rPr>
        <w:t>.</w:t>
      </w:r>
      <w:r w:rsidRPr="00752268">
        <w:t xml:space="preserve"> </w:t>
      </w:r>
      <w:r>
        <w:t>Distribution of the s</w:t>
      </w:r>
      <w:r w:rsidRPr="00752268">
        <w:t xml:space="preserve">ignificance of enrichment of </w:t>
      </w:r>
      <w:r>
        <w:t xml:space="preserve">homotypic </w:t>
      </w:r>
      <w:r w:rsidRPr="00752268">
        <w:t>asymmetric</w:t>
      </w:r>
      <w:r>
        <w:t xml:space="preserve">/symmetric </w:t>
      </w:r>
      <w:r w:rsidRPr="00752268">
        <w:t>CEs</w:t>
      </w:r>
      <w:r>
        <w:t xml:space="preserve"> as a function of the DBD structure of target TFs</w:t>
      </w:r>
      <w:r w:rsidRPr="00752268">
        <w:t>.</w:t>
      </w:r>
      <w:r w:rsidRPr="00CE5C70">
        <w:t xml:space="preserve"> </w:t>
      </w:r>
      <w:r w:rsidRPr="000D1811">
        <w:rPr>
          <w:snapToGrid w:val="0"/>
          <w:szCs w:val="18"/>
        </w:rPr>
        <w:t xml:space="preserve">TAR value </w:t>
      </w:r>
      <w:r>
        <w:rPr>
          <w:snapToGrid w:val="0"/>
          <w:szCs w:val="18"/>
        </w:rPr>
        <w:t xml:space="preserve">of </w:t>
      </w:r>
      <w:proofErr w:type="gramStart"/>
      <w:r>
        <w:rPr>
          <w:snapToGrid w:val="0"/>
          <w:szCs w:val="18"/>
        </w:rPr>
        <w:t>2</w:t>
      </w:r>
      <w:proofErr w:type="gramEnd"/>
      <w:r w:rsidRPr="000D1811">
        <w:rPr>
          <w:snapToGrid w:val="0"/>
          <w:szCs w:val="18"/>
        </w:rPr>
        <w:t xml:space="preserve"> was applied</w:t>
      </w:r>
      <w:r>
        <w:rPr>
          <w:snapToGrid w:val="0"/>
          <w:szCs w:val="18"/>
        </w:rPr>
        <w:t xml:space="preserve"> to compute the significance of asymmetry within homotypic CEs</w:t>
      </w:r>
      <w:r>
        <w:t xml:space="preserve"> (</w:t>
      </w:r>
      <w:r w:rsidRPr="00B14344">
        <w:rPr>
          <w:b/>
        </w:rPr>
        <w:t>A</w:t>
      </w:r>
      <w:r>
        <w:t xml:space="preserve">) ChIP-seq data for </w:t>
      </w:r>
      <w:r>
        <w:rPr>
          <w:i/>
        </w:rPr>
        <w:t xml:space="preserve">M. musculus. </w:t>
      </w:r>
      <w:r>
        <w:t>(</w:t>
      </w:r>
      <w:r w:rsidRPr="00B14344">
        <w:rPr>
          <w:b/>
        </w:rPr>
        <w:t>B</w:t>
      </w:r>
      <w:r>
        <w:t xml:space="preserve">) ChIP-seq data for </w:t>
      </w:r>
      <w:r>
        <w:rPr>
          <w:i/>
        </w:rPr>
        <w:t xml:space="preserve">A. thaliana. </w:t>
      </w:r>
      <w:r w:rsidRPr="00B14344">
        <w:t>(</w:t>
      </w:r>
      <w:r w:rsidRPr="00B14344">
        <w:rPr>
          <w:b/>
        </w:rPr>
        <w:t>C</w:t>
      </w:r>
      <w:r w:rsidRPr="00B14344">
        <w:t>)</w:t>
      </w:r>
      <w:r>
        <w:t xml:space="preserve"> DAP-</w:t>
      </w:r>
      <w:proofErr w:type="spellStart"/>
      <w:r>
        <w:t>seq</w:t>
      </w:r>
      <w:proofErr w:type="spellEnd"/>
      <w:r>
        <w:t xml:space="preserve"> data for </w:t>
      </w:r>
      <w:r>
        <w:rPr>
          <w:i/>
        </w:rPr>
        <w:t xml:space="preserve">A. thaliana. </w:t>
      </w:r>
      <w:r>
        <w:t>H</w:t>
      </w:r>
      <w:r w:rsidRPr="00CE5C70">
        <w:t xml:space="preserve">ierarchical classifications of </w:t>
      </w:r>
      <w:r w:rsidRPr="00CE5C70">
        <w:rPr>
          <w:i/>
        </w:rPr>
        <w:t xml:space="preserve">M. musculus </w:t>
      </w:r>
      <w:r w:rsidRPr="00CE5C70">
        <w:t xml:space="preserve">and </w:t>
      </w:r>
      <w:r w:rsidRPr="00CE5C70">
        <w:rPr>
          <w:i/>
        </w:rPr>
        <w:t>A. thaliana</w:t>
      </w:r>
      <w:r w:rsidRPr="00CE5C70">
        <w:t xml:space="preserve"> target TFs by the structure of DBDs were derived from TFclass </w:t>
      </w:r>
      <w:r>
        <w:t>[7</w:t>
      </w:r>
      <w:proofErr w:type="gramStart"/>
      <w:r>
        <w:t>,8</w:t>
      </w:r>
      <w:proofErr w:type="gramEnd"/>
      <w:r>
        <w:t xml:space="preserve">] </w:t>
      </w:r>
      <w:r w:rsidRPr="00CE5C70">
        <w:t xml:space="preserve">and Plant-TFclass </w:t>
      </w:r>
      <w:r>
        <w:t>[11]</w:t>
      </w:r>
      <w:r w:rsidRPr="00CE5C70">
        <w:t xml:space="preserve">, see </w:t>
      </w:r>
      <w:r>
        <w:t>Section 4.1</w:t>
      </w:r>
      <w:r w:rsidRPr="00CE5C70">
        <w:t xml:space="preserve">. Axes X mark the </w:t>
      </w:r>
      <w:r>
        <w:t>significance of enrichment by Fisher exact test (Figure 1E), −</w:t>
      </w:r>
      <w:proofErr w:type="gramStart"/>
      <w:r>
        <w:t>Log</w:t>
      </w:r>
      <w:r w:rsidRPr="000D6EBB">
        <w:rPr>
          <w:vertAlign w:val="subscript"/>
        </w:rPr>
        <w:t>10</w:t>
      </w:r>
      <w:r>
        <w:t>(</w:t>
      </w:r>
      <w:proofErr w:type="gramEnd"/>
      <w:r>
        <w:t>p-value), calculated by MCOT [</w:t>
      </w:r>
      <w:r w:rsidRPr="003E5891">
        <w:t>26,31,32]</w:t>
      </w:r>
      <w:r>
        <w:t xml:space="preserve">. Brown/blue colors imply enrichment </w:t>
      </w:r>
      <w:r w:rsidR="00C02AE0">
        <w:t xml:space="preserve">towards </w:t>
      </w:r>
      <w:r>
        <w:t xml:space="preserve">asymmetry/symmetry, for each </w:t>
      </w:r>
      <w:r w:rsidR="00096354">
        <w:t xml:space="preserve">TF </w:t>
      </w:r>
      <w:r>
        <w:t xml:space="preserve">class we considered only datasets possessing the significant enrichment </w:t>
      </w:r>
      <w:r w:rsidR="00C02AE0">
        <w:t xml:space="preserve">towards </w:t>
      </w:r>
      <w:r>
        <w:t xml:space="preserve">asymmetry or symmetry according to </w:t>
      </w:r>
      <w:r w:rsidR="00096354">
        <w:t xml:space="preserve">the </w:t>
      </w:r>
      <w:r>
        <w:t xml:space="preserve">results from Figure 4. Axis Y mark TF classes. </w:t>
      </w:r>
      <w:r w:rsidRPr="00544BB6">
        <w:rPr>
          <w:szCs w:val="22"/>
        </w:rPr>
        <w:t>The boxplot</w:t>
      </w:r>
      <w:r>
        <w:rPr>
          <w:szCs w:val="22"/>
        </w:rPr>
        <w:t>s</w:t>
      </w:r>
      <w:r w:rsidRPr="00544BB6">
        <w:rPr>
          <w:szCs w:val="22"/>
        </w:rPr>
        <w:t xml:space="preserve"> </w:t>
      </w:r>
      <w:r>
        <w:rPr>
          <w:szCs w:val="22"/>
        </w:rPr>
        <w:t>depict</w:t>
      </w:r>
      <w:r w:rsidRPr="00544BB6">
        <w:rPr>
          <w:szCs w:val="22"/>
        </w:rPr>
        <w:t xml:space="preserve"> the distributions of the Q</w:t>
      </w:r>
      <w:r w:rsidRPr="00544BB6">
        <w:rPr>
          <w:szCs w:val="22"/>
          <w:vertAlign w:val="subscript"/>
        </w:rPr>
        <w:t>1</w:t>
      </w:r>
      <w:r w:rsidRPr="00544BB6">
        <w:rPr>
          <w:szCs w:val="22"/>
        </w:rPr>
        <w:t>, Q</w:t>
      </w:r>
      <w:r w:rsidRPr="00544BB6">
        <w:rPr>
          <w:szCs w:val="18"/>
          <w:vertAlign w:val="subscript"/>
        </w:rPr>
        <w:t>2</w:t>
      </w:r>
      <w:r w:rsidRPr="00544BB6">
        <w:rPr>
          <w:szCs w:val="22"/>
        </w:rPr>
        <w:t xml:space="preserve"> and Q</w:t>
      </w:r>
      <w:r w:rsidRPr="00544BB6">
        <w:rPr>
          <w:szCs w:val="18"/>
          <w:vertAlign w:val="subscript"/>
        </w:rPr>
        <w:t>3</w:t>
      </w:r>
      <w:r w:rsidRPr="00544BB6">
        <w:rPr>
          <w:szCs w:val="22"/>
        </w:rPr>
        <w:t xml:space="preserve"> quartiles of the fractions of</w:t>
      </w:r>
      <w:r>
        <w:rPr>
          <w:szCs w:val="22"/>
        </w:rPr>
        <w:t xml:space="preserve"> the considered datasets with certain </w:t>
      </w:r>
      <w:r w:rsidRPr="00544BB6">
        <w:rPr>
          <w:szCs w:val="22"/>
        </w:rPr>
        <w:t>values</w:t>
      </w:r>
      <w:r>
        <w:rPr>
          <w:szCs w:val="22"/>
        </w:rPr>
        <w:t xml:space="preserve"> of the significance, </w:t>
      </w:r>
      <w:r>
        <w:t>−</w:t>
      </w:r>
      <w:proofErr w:type="gramStart"/>
      <w:r>
        <w:t>Log</w:t>
      </w:r>
      <w:r w:rsidRPr="000D6EBB">
        <w:rPr>
          <w:vertAlign w:val="subscript"/>
        </w:rPr>
        <w:t>10</w:t>
      </w:r>
      <w:r>
        <w:t>(</w:t>
      </w:r>
      <w:proofErr w:type="gramEnd"/>
      <w:r>
        <w:t>p-value)</w:t>
      </w:r>
      <w:r w:rsidRPr="00544BB6">
        <w:rPr>
          <w:szCs w:val="22"/>
        </w:rPr>
        <w:t xml:space="preserve">. </w:t>
      </w:r>
      <w:r w:rsidR="008648CB" w:rsidRPr="008648CB">
        <w:rPr>
          <w:szCs w:val="22"/>
        </w:rPr>
        <w:t xml:space="preserve">Whiskers on either side of </w:t>
      </w:r>
      <w:r w:rsidRPr="00544BB6">
        <w:rPr>
          <w:szCs w:val="22"/>
        </w:rPr>
        <w:t>the Q</w:t>
      </w:r>
      <w:r w:rsidRPr="00544BB6">
        <w:rPr>
          <w:szCs w:val="22"/>
          <w:vertAlign w:val="subscript"/>
        </w:rPr>
        <w:t>1</w:t>
      </w:r>
      <w:r w:rsidRPr="00544BB6">
        <w:rPr>
          <w:szCs w:val="22"/>
        </w:rPr>
        <w:t>/Q</w:t>
      </w:r>
      <w:r w:rsidRPr="00544BB6">
        <w:rPr>
          <w:szCs w:val="18"/>
          <w:vertAlign w:val="subscript"/>
        </w:rPr>
        <w:t>3</w:t>
      </w:r>
      <w:r w:rsidRPr="00544BB6">
        <w:rPr>
          <w:szCs w:val="22"/>
        </w:rPr>
        <w:t xml:space="preserve"> respect the minimum/maximum values if they were located within 1.5 interquartile ranges (IQR = Q</w:t>
      </w:r>
      <w:r w:rsidRPr="00544BB6">
        <w:rPr>
          <w:szCs w:val="13"/>
          <w:vertAlign w:val="subscript"/>
        </w:rPr>
        <w:t>3</w:t>
      </w:r>
      <w:r w:rsidRPr="00544BB6">
        <w:rPr>
          <w:szCs w:val="22"/>
        </w:rPr>
        <w:t xml:space="preserve"> – Q</w:t>
      </w:r>
      <w:r w:rsidRPr="00544BB6">
        <w:rPr>
          <w:szCs w:val="13"/>
          <w:vertAlign w:val="subscript"/>
        </w:rPr>
        <w:t>1</w:t>
      </w:r>
      <w:r w:rsidRPr="00544BB6">
        <w:rPr>
          <w:szCs w:val="22"/>
        </w:rPr>
        <w:t>) from Q</w:t>
      </w:r>
      <w:r w:rsidRPr="00544BB6">
        <w:rPr>
          <w:szCs w:val="18"/>
          <w:vertAlign w:val="subscript"/>
        </w:rPr>
        <w:t>1</w:t>
      </w:r>
      <w:r w:rsidRPr="00544BB6">
        <w:rPr>
          <w:szCs w:val="22"/>
        </w:rPr>
        <w:t>/Q</w:t>
      </w:r>
      <w:r w:rsidRPr="00544BB6">
        <w:rPr>
          <w:szCs w:val="18"/>
          <w:vertAlign w:val="subscript"/>
        </w:rPr>
        <w:t>3</w:t>
      </w:r>
      <w:r w:rsidRPr="00544BB6">
        <w:rPr>
          <w:szCs w:val="22"/>
        </w:rPr>
        <w:t>, otherwise they are equal to {Q</w:t>
      </w:r>
      <w:r w:rsidRPr="00544BB6">
        <w:rPr>
          <w:szCs w:val="18"/>
          <w:vertAlign w:val="subscript"/>
        </w:rPr>
        <w:t>1</w:t>
      </w:r>
      <w:r w:rsidRPr="00544BB6">
        <w:rPr>
          <w:szCs w:val="22"/>
        </w:rPr>
        <w:t xml:space="preserve"> - 1.5 * IQR} / {Q</w:t>
      </w:r>
      <w:r w:rsidRPr="00544BB6">
        <w:rPr>
          <w:szCs w:val="13"/>
          <w:vertAlign w:val="subscript"/>
        </w:rPr>
        <w:t>3</w:t>
      </w:r>
      <w:r w:rsidRPr="00544BB6">
        <w:rPr>
          <w:szCs w:val="22"/>
        </w:rPr>
        <w:t xml:space="preserve"> + 1.5 * IQR}, respectively. In the latter case, we marked all other points as outliers.</w:t>
      </w:r>
    </w:p>
    <w:p w:rsidR="00312466" w:rsidRDefault="00312466">
      <w:r>
        <w:br w:type="page"/>
      </w:r>
    </w:p>
    <w:p w:rsidR="003E5891" w:rsidRDefault="002A739C">
      <w:r>
        <w:rPr>
          <w:noProof/>
        </w:rPr>
        <w:lastRenderedPageBreak/>
        <w:drawing>
          <wp:inline distT="0" distB="0" distL="0" distR="0" wp14:anchorId="0A367EC9">
            <wp:extent cx="5919470" cy="4932045"/>
            <wp:effectExtent l="0" t="0" r="5080" b="190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9470" cy="4932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03E6" w:rsidRDefault="00312466">
      <w:pPr>
        <w:rPr>
          <w:rFonts w:ascii="Palatino Linotype" w:hAnsi="Palatino Linotype"/>
          <w:snapToGrid w:val="0"/>
          <w:sz w:val="18"/>
          <w:szCs w:val="18"/>
        </w:rPr>
      </w:pPr>
      <w:r w:rsidRPr="00EC35E0">
        <w:rPr>
          <w:rFonts w:ascii="Palatino Linotype" w:hAnsi="Palatino Linotype"/>
          <w:b/>
          <w:sz w:val="18"/>
          <w:szCs w:val="18"/>
        </w:rPr>
        <w:t>Figure S5.</w:t>
      </w:r>
      <w:r w:rsidRPr="00EC35E0">
        <w:rPr>
          <w:rFonts w:ascii="Palatino Linotype" w:hAnsi="Palatino Linotype"/>
          <w:sz w:val="18"/>
          <w:szCs w:val="18"/>
        </w:rPr>
        <w:t xml:space="preserve"> Homotypic asymmetric CEs of pioneer TFs. Target TFs from the benchmark collection for </w:t>
      </w:r>
      <w:r w:rsidRPr="00EC35E0">
        <w:rPr>
          <w:rFonts w:ascii="Palatino Linotype" w:hAnsi="Palatino Linotype"/>
          <w:i/>
          <w:sz w:val="18"/>
          <w:szCs w:val="18"/>
        </w:rPr>
        <w:t>M. musculus</w:t>
      </w:r>
      <w:r w:rsidRPr="00EC35E0">
        <w:rPr>
          <w:rFonts w:ascii="Palatino Linotype" w:hAnsi="Palatino Linotype"/>
          <w:sz w:val="18"/>
          <w:szCs w:val="18"/>
        </w:rPr>
        <w:t xml:space="preserve"> ChIP-seq data </w:t>
      </w:r>
      <w:proofErr w:type="gramStart"/>
      <w:r w:rsidRPr="00EC35E0">
        <w:rPr>
          <w:rFonts w:ascii="Palatino Linotype" w:hAnsi="Palatino Linotype"/>
          <w:sz w:val="18"/>
          <w:szCs w:val="18"/>
        </w:rPr>
        <w:t>were considered</w:t>
      </w:r>
      <w:proofErr w:type="gramEnd"/>
      <w:r w:rsidRPr="00EC35E0">
        <w:rPr>
          <w:rFonts w:ascii="Palatino Linotype" w:hAnsi="Palatino Linotype"/>
          <w:sz w:val="18"/>
          <w:szCs w:val="18"/>
        </w:rPr>
        <w:t xml:space="preserve">. </w:t>
      </w:r>
      <w:r w:rsidRPr="00EC35E0">
        <w:rPr>
          <w:rFonts w:ascii="Palatino Linotype" w:hAnsi="Palatino Linotype"/>
          <w:snapToGrid w:val="0"/>
          <w:sz w:val="18"/>
          <w:szCs w:val="18"/>
        </w:rPr>
        <w:t>TAR values of 1.1 (</w:t>
      </w:r>
      <w:r w:rsidRPr="00EC35E0">
        <w:rPr>
          <w:rFonts w:ascii="Palatino Linotype" w:hAnsi="Palatino Linotype"/>
          <w:b/>
          <w:snapToGrid w:val="0"/>
          <w:sz w:val="18"/>
          <w:szCs w:val="18"/>
        </w:rPr>
        <w:t>A</w:t>
      </w:r>
      <w:r w:rsidRPr="00EC35E0">
        <w:rPr>
          <w:rFonts w:ascii="Palatino Linotype" w:hAnsi="Palatino Linotype"/>
          <w:snapToGrid w:val="0"/>
          <w:sz w:val="18"/>
          <w:szCs w:val="18"/>
        </w:rPr>
        <w:t>) and 2</w:t>
      </w:r>
      <w:r w:rsidR="0049274F">
        <w:rPr>
          <w:rFonts w:ascii="Palatino Linotype" w:hAnsi="Palatino Linotype"/>
          <w:snapToGrid w:val="0"/>
          <w:sz w:val="18"/>
          <w:szCs w:val="18"/>
        </w:rPr>
        <w:t xml:space="preserve"> </w:t>
      </w:r>
      <w:r w:rsidRPr="00EC35E0">
        <w:rPr>
          <w:rFonts w:ascii="Palatino Linotype" w:hAnsi="Palatino Linotype"/>
          <w:snapToGrid w:val="0"/>
          <w:sz w:val="18"/>
          <w:szCs w:val="18"/>
        </w:rPr>
        <w:t>(</w:t>
      </w:r>
      <w:r w:rsidRPr="00EC35E0">
        <w:rPr>
          <w:rFonts w:ascii="Palatino Linotype" w:hAnsi="Palatino Linotype"/>
          <w:b/>
          <w:snapToGrid w:val="0"/>
          <w:sz w:val="18"/>
          <w:szCs w:val="18"/>
        </w:rPr>
        <w:t>B</w:t>
      </w:r>
      <w:r w:rsidRPr="00EC35E0">
        <w:rPr>
          <w:rFonts w:ascii="Palatino Linotype" w:hAnsi="Palatino Linotype"/>
          <w:snapToGrid w:val="0"/>
          <w:sz w:val="18"/>
          <w:szCs w:val="18"/>
        </w:rPr>
        <w:t xml:space="preserve">) </w:t>
      </w:r>
      <w:proofErr w:type="gramStart"/>
      <w:r w:rsidRPr="00EC35E0">
        <w:rPr>
          <w:rFonts w:ascii="Palatino Linotype" w:hAnsi="Palatino Linotype"/>
          <w:snapToGrid w:val="0"/>
          <w:sz w:val="18"/>
          <w:szCs w:val="18"/>
        </w:rPr>
        <w:t>were applied</w:t>
      </w:r>
      <w:proofErr w:type="gramEnd"/>
      <w:r w:rsidRPr="00EC35E0">
        <w:rPr>
          <w:rFonts w:ascii="Palatino Linotype" w:hAnsi="Palatino Linotype"/>
          <w:snapToGrid w:val="0"/>
          <w:sz w:val="18"/>
          <w:szCs w:val="18"/>
        </w:rPr>
        <w:t xml:space="preserve"> to compute the significance of asymmetry within homotypic CEs.</w:t>
      </w:r>
      <w:r w:rsidRPr="00EC35E0">
        <w:rPr>
          <w:rFonts w:ascii="Palatino Linotype" w:hAnsi="Palatino Linotype"/>
          <w:sz w:val="18"/>
          <w:szCs w:val="18"/>
        </w:rPr>
        <w:t xml:space="preserve"> Distributions of the significance of asymmetry within CEs for ChIP-seq datasets of target TFs wi</w:t>
      </w:r>
      <w:r w:rsidR="00024FCF">
        <w:rPr>
          <w:rFonts w:ascii="Palatino Linotype" w:hAnsi="Palatino Linotype"/>
          <w:sz w:val="18"/>
          <w:szCs w:val="18"/>
        </w:rPr>
        <w:t>th and without proven pioneer</w:t>
      </w:r>
      <w:r w:rsidRPr="00EC35E0">
        <w:rPr>
          <w:rFonts w:ascii="Palatino Linotype" w:hAnsi="Palatino Linotype"/>
          <w:sz w:val="18"/>
          <w:szCs w:val="18"/>
        </w:rPr>
        <w:t xml:space="preserve"> activity. Orange and white colors mark TFs with proven pioneer activity and the other TFs. Axis X denotes the significance of enrichment. The groups Symmetry, Intermediate, Asymmetry 10</w:t>
      </w:r>
      <w:proofErr w:type="gramStart"/>
      <w:r w:rsidRPr="00EC35E0">
        <w:rPr>
          <w:rFonts w:ascii="Palatino Linotype" w:hAnsi="Palatino Linotype"/>
          <w:sz w:val="18"/>
          <w:szCs w:val="18"/>
        </w:rPr>
        <w:t>..20</w:t>
      </w:r>
      <w:proofErr w:type="gramEnd"/>
      <w:r w:rsidRPr="00EC35E0">
        <w:rPr>
          <w:rFonts w:ascii="Palatino Linotype" w:hAnsi="Palatino Linotype"/>
          <w:sz w:val="18"/>
          <w:szCs w:val="18"/>
        </w:rPr>
        <w:t>, Asymmetry 20..30, etc. imply the significant enrichment towards symmetric CEs (p-value &lt; 1E-10), lack of pronounced significance in either direction (p &gt; 1E-10), the significant enrichment towards asymmetric CEs (</w:t>
      </w:r>
      <w:r w:rsidRPr="00EC35E0">
        <w:rPr>
          <w:rFonts w:ascii="Palatino Linotype" w:hAnsi="Palatino Linotype"/>
          <w:snapToGrid w:val="0"/>
          <w:sz w:val="18"/>
          <w:szCs w:val="18"/>
        </w:rPr>
        <w:t>1E-10 &lt; p-value &lt; 1E-20, 1E-20 &lt; p-value &lt; 1E-30, etc.)</w:t>
      </w:r>
      <w:r w:rsidR="00024FCF" w:rsidRPr="00024FCF">
        <w:t xml:space="preserve"> </w:t>
      </w:r>
      <w:r w:rsidR="00024FCF" w:rsidRPr="00024FCF">
        <w:rPr>
          <w:rFonts w:ascii="Palatino Linotype" w:hAnsi="Palatino Linotype"/>
          <w:snapToGrid w:val="0"/>
          <w:sz w:val="18"/>
          <w:szCs w:val="18"/>
        </w:rPr>
        <w:t>, respectively</w:t>
      </w:r>
      <w:r w:rsidRPr="00EC35E0">
        <w:rPr>
          <w:rFonts w:ascii="Palatino Linotype" w:hAnsi="Palatino Linotype"/>
          <w:snapToGrid w:val="0"/>
          <w:sz w:val="18"/>
          <w:szCs w:val="18"/>
        </w:rPr>
        <w:t>.</w:t>
      </w:r>
      <w:r w:rsidR="00846719">
        <w:rPr>
          <w:rFonts w:ascii="Palatino Linotype" w:hAnsi="Palatino Linotype"/>
          <w:snapToGrid w:val="0"/>
          <w:sz w:val="18"/>
          <w:szCs w:val="18"/>
        </w:rPr>
        <w:t xml:space="preserve"> </w:t>
      </w:r>
      <w:r w:rsidR="00846719">
        <w:rPr>
          <w:rFonts w:ascii="Palatino Linotype" w:hAnsi="Palatino Linotype"/>
          <w:sz w:val="18"/>
          <w:szCs w:val="18"/>
        </w:rPr>
        <w:t>Axes Y mean fractions of datasets, labels above columns show the number</w:t>
      </w:r>
      <w:bookmarkStart w:id="0" w:name="_GoBack"/>
      <w:bookmarkEnd w:id="0"/>
      <w:r w:rsidR="00846719">
        <w:rPr>
          <w:rFonts w:ascii="Palatino Linotype" w:hAnsi="Palatino Linotype"/>
          <w:sz w:val="18"/>
          <w:szCs w:val="18"/>
        </w:rPr>
        <w:t xml:space="preserve"> of datasets.</w:t>
      </w:r>
    </w:p>
    <w:p w:rsidR="005303E6" w:rsidRDefault="005303E6">
      <w:pPr>
        <w:rPr>
          <w:rFonts w:ascii="Palatino Linotype" w:hAnsi="Palatino Linotype"/>
          <w:snapToGrid w:val="0"/>
          <w:sz w:val="18"/>
          <w:szCs w:val="18"/>
        </w:rPr>
      </w:pPr>
      <w:r>
        <w:rPr>
          <w:rFonts w:ascii="Palatino Linotype" w:hAnsi="Palatino Linotype"/>
          <w:snapToGrid w:val="0"/>
          <w:sz w:val="18"/>
          <w:szCs w:val="18"/>
        </w:rPr>
        <w:br w:type="page"/>
      </w:r>
    </w:p>
    <w:p w:rsidR="005303E6" w:rsidRDefault="0096645C">
      <w:pPr>
        <w:rPr>
          <w:rFonts w:ascii="Palatino Linotype" w:hAnsi="Palatino Linotype"/>
          <w:snapToGrid w:val="0"/>
          <w:sz w:val="18"/>
          <w:szCs w:val="18"/>
        </w:rPr>
      </w:pPr>
      <w:r>
        <w:rPr>
          <w:rFonts w:ascii="Palatino Linotype" w:hAnsi="Palatino Linotype"/>
          <w:noProof/>
          <w:snapToGrid w:val="0"/>
          <w:sz w:val="18"/>
          <w:szCs w:val="18"/>
        </w:rPr>
        <w:lastRenderedPageBreak/>
        <w:drawing>
          <wp:inline distT="0" distB="0" distL="0" distR="0" wp14:anchorId="65BF0654">
            <wp:extent cx="6058800" cy="35280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8800" cy="35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46719" w:rsidRDefault="00846719" w:rsidP="00846719">
      <w:pPr>
        <w:rPr>
          <w:rFonts w:ascii="Palatino Linotype" w:hAnsi="Palatino Linotype"/>
          <w:snapToGrid w:val="0"/>
          <w:sz w:val="18"/>
          <w:szCs w:val="18"/>
        </w:rPr>
      </w:pPr>
      <w:r w:rsidRPr="00EC35E0">
        <w:rPr>
          <w:rFonts w:ascii="Palatino Linotype" w:hAnsi="Palatino Linotype"/>
          <w:b/>
          <w:sz w:val="18"/>
          <w:szCs w:val="18"/>
        </w:rPr>
        <w:t>Figure S</w:t>
      </w:r>
      <w:r>
        <w:rPr>
          <w:rFonts w:ascii="Palatino Linotype" w:hAnsi="Palatino Linotype"/>
          <w:b/>
          <w:sz w:val="18"/>
          <w:szCs w:val="18"/>
        </w:rPr>
        <w:t>6</w:t>
      </w:r>
      <w:r w:rsidRPr="00EC35E0">
        <w:rPr>
          <w:rFonts w:ascii="Palatino Linotype" w:hAnsi="Palatino Linotype"/>
          <w:b/>
          <w:sz w:val="18"/>
          <w:szCs w:val="18"/>
        </w:rPr>
        <w:t>.</w:t>
      </w:r>
      <w:r w:rsidRPr="00EC35E0">
        <w:rPr>
          <w:rFonts w:ascii="Palatino Linotype" w:hAnsi="Palatino Linotype"/>
          <w:sz w:val="18"/>
          <w:szCs w:val="18"/>
        </w:rPr>
        <w:t xml:space="preserve"> Homotypic asymmetric CEs of pioneer TFs</w:t>
      </w:r>
      <w:r>
        <w:rPr>
          <w:rFonts w:ascii="Palatino Linotype" w:hAnsi="Palatino Linotype"/>
          <w:sz w:val="18"/>
          <w:szCs w:val="18"/>
        </w:rPr>
        <w:t xml:space="preserve"> from the superclasses </w:t>
      </w:r>
      <w:r w:rsidRPr="00846719">
        <w:rPr>
          <w:rFonts w:ascii="Palatino Linotype" w:hAnsi="Palatino Linotype"/>
          <w:sz w:val="18"/>
          <w:szCs w:val="18"/>
        </w:rPr>
        <w:t>Basic domains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846719">
        <w:rPr>
          <w:rFonts w:ascii="Palatino Linotype" w:hAnsi="Palatino Linotype"/>
          <w:sz w:val="18"/>
          <w:szCs w:val="18"/>
        </w:rPr>
        <w:t>{1}</w:t>
      </w:r>
      <w:r w:rsidR="0096645C">
        <w:rPr>
          <w:rFonts w:ascii="Palatino Linotype" w:hAnsi="Palatino Linotype"/>
          <w:sz w:val="18"/>
          <w:szCs w:val="18"/>
        </w:rPr>
        <w:t>,</w:t>
      </w:r>
      <w:r w:rsidR="0096645C" w:rsidRPr="0096645C">
        <w:t xml:space="preserve"> </w:t>
      </w:r>
      <w:r w:rsidR="0096645C" w:rsidRPr="0096645C">
        <w:rPr>
          <w:rFonts w:ascii="Palatino Linotype" w:hAnsi="Palatino Linotype"/>
          <w:sz w:val="18"/>
          <w:szCs w:val="18"/>
        </w:rPr>
        <w:t>Zinc-coordinating DNA-binding domains</w:t>
      </w:r>
      <w:r w:rsidR="0096645C">
        <w:rPr>
          <w:rFonts w:ascii="Palatino Linotype" w:hAnsi="Palatino Linotype"/>
          <w:sz w:val="18"/>
          <w:szCs w:val="18"/>
        </w:rPr>
        <w:t xml:space="preserve"> </w:t>
      </w:r>
      <w:r w:rsidR="0096645C" w:rsidRPr="0096645C">
        <w:rPr>
          <w:rFonts w:ascii="Palatino Linotype" w:hAnsi="Palatino Linotype"/>
          <w:sz w:val="18"/>
          <w:szCs w:val="18"/>
        </w:rPr>
        <w:t>{2}</w:t>
      </w:r>
      <w:r w:rsidR="0096645C">
        <w:rPr>
          <w:rFonts w:ascii="Palatino Linotype" w:hAnsi="Palatino Linotype"/>
          <w:sz w:val="18"/>
          <w:szCs w:val="18"/>
        </w:rPr>
        <w:t>,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846719">
        <w:rPr>
          <w:rFonts w:ascii="Palatino Linotype" w:hAnsi="Palatino Linotype"/>
          <w:sz w:val="18"/>
          <w:szCs w:val="18"/>
        </w:rPr>
        <w:t>Helix-turn-helix domains</w:t>
      </w:r>
      <w:r>
        <w:rPr>
          <w:rFonts w:ascii="Palatino Linotype" w:hAnsi="Palatino Linotype"/>
          <w:sz w:val="18"/>
          <w:szCs w:val="18"/>
        </w:rPr>
        <w:t xml:space="preserve"> </w:t>
      </w:r>
      <w:r w:rsidRPr="00846719">
        <w:rPr>
          <w:rFonts w:ascii="Palatino Linotype" w:hAnsi="Palatino Linotype"/>
          <w:sz w:val="18"/>
          <w:szCs w:val="18"/>
        </w:rPr>
        <w:t>{3}</w:t>
      </w:r>
      <w:r w:rsidR="0096645C">
        <w:rPr>
          <w:rFonts w:ascii="Palatino Linotype" w:hAnsi="Palatino Linotype"/>
          <w:sz w:val="18"/>
          <w:szCs w:val="18"/>
        </w:rPr>
        <w:t xml:space="preserve">, and </w:t>
      </w:r>
      <w:r w:rsidR="0096645C" w:rsidRPr="0096645C">
        <w:rPr>
          <w:rFonts w:ascii="Palatino Linotype" w:hAnsi="Palatino Linotype"/>
          <w:sz w:val="18"/>
          <w:szCs w:val="18"/>
        </w:rPr>
        <w:t>Immunoglobulin fold</w:t>
      </w:r>
      <w:r w:rsidR="0096645C">
        <w:rPr>
          <w:rFonts w:ascii="Palatino Linotype" w:hAnsi="Palatino Linotype"/>
          <w:sz w:val="18"/>
          <w:szCs w:val="18"/>
        </w:rPr>
        <w:t xml:space="preserve"> </w:t>
      </w:r>
      <w:r w:rsidR="0096645C" w:rsidRPr="0096645C">
        <w:rPr>
          <w:rFonts w:ascii="Palatino Linotype" w:hAnsi="Palatino Linotype"/>
          <w:sz w:val="18"/>
          <w:szCs w:val="18"/>
        </w:rPr>
        <w:t>{6}</w:t>
      </w:r>
      <w:r w:rsidR="0096645C">
        <w:rPr>
          <w:rFonts w:ascii="Palatino Linotype" w:hAnsi="Palatino Linotype"/>
          <w:sz w:val="18"/>
          <w:szCs w:val="18"/>
        </w:rPr>
        <w:t xml:space="preserve"> (rows)</w:t>
      </w:r>
      <w:r w:rsidRPr="00EC35E0">
        <w:rPr>
          <w:rFonts w:ascii="Palatino Linotype" w:hAnsi="Palatino Linotype"/>
          <w:sz w:val="18"/>
          <w:szCs w:val="18"/>
        </w:rPr>
        <w:t xml:space="preserve">. Target TFs from the benchmark collection for </w:t>
      </w:r>
      <w:r w:rsidRPr="00EC35E0">
        <w:rPr>
          <w:rFonts w:ascii="Palatino Linotype" w:hAnsi="Palatino Linotype"/>
          <w:i/>
          <w:sz w:val="18"/>
          <w:szCs w:val="18"/>
        </w:rPr>
        <w:t>M. musculus</w:t>
      </w:r>
      <w:r w:rsidRPr="00EC35E0">
        <w:rPr>
          <w:rFonts w:ascii="Palatino Linotype" w:hAnsi="Palatino Linotype"/>
          <w:sz w:val="18"/>
          <w:szCs w:val="18"/>
        </w:rPr>
        <w:t xml:space="preserve"> ChIP-seq data </w:t>
      </w:r>
      <w:proofErr w:type="gramStart"/>
      <w:r w:rsidRPr="00EC35E0">
        <w:rPr>
          <w:rFonts w:ascii="Palatino Linotype" w:hAnsi="Palatino Linotype"/>
          <w:sz w:val="18"/>
          <w:szCs w:val="18"/>
        </w:rPr>
        <w:t>were considered</w:t>
      </w:r>
      <w:proofErr w:type="gramEnd"/>
      <w:r w:rsidRPr="00EC35E0">
        <w:rPr>
          <w:rFonts w:ascii="Palatino Linotype" w:hAnsi="Palatino Linotype"/>
          <w:sz w:val="18"/>
          <w:szCs w:val="18"/>
        </w:rPr>
        <w:t xml:space="preserve">. </w:t>
      </w:r>
      <w:r w:rsidRPr="00EC35E0">
        <w:rPr>
          <w:rFonts w:ascii="Palatino Linotype" w:hAnsi="Palatino Linotype"/>
          <w:snapToGrid w:val="0"/>
          <w:sz w:val="18"/>
          <w:szCs w:val="18"/>
        </w:rPr>
        <w:t>TAR values of 1.</w:t>
      </w:r>
      <w:r w:rsidR="00CB16CC">
        <w:rPr>
          <w:rFonts w:ascii="Palatino Linotype" w:hAnsi="Palatino Linotype"/>
          <w:snapToGrid w:val="0"/>
          <w:sz w:val="18"/>
          <w:szCs w:val="18"/>
        </w:rPr>
        <w:t>5</w:t>
      </w:r>
      <w:r w:rsidRPr="00EC35E0">
        <w:rPr>
          <w:rFonts w:ascii="Palatino Linotype" w:hAnsi="Palatino Linotype"/>
          <w:snapToGrid w:val="0"/>
          <w:sz w:val="18"/>
          <w:szCs w:val="18"/>
        </w:rPr>
        <w:t xml:space="preserve"> (</w:t>
      </w:r>
      <w:r w:rsidR="0096645C">
        <w:rPr>
          <w:rFonts w:ascii="Palatino Linotype" w:hAnsi="Palatino Linotype"/>
          <w:snapToGrid w:val="0"/>
          <w:sz w:val="18"/>
          <w:szCs w:val="18"/>
        </w:rPr>
        <w:t xml:space="preserve">left, </w:t>
      </w:r>
      <w:r w:rsidR="0096645C" w:rsidRPr="0096645C">
        <w:rPr>
          <w:rFonts w:ascii="Palatino Linotype" w:hAnsi="Palatino Linotype"/>
          <w:b/>
          <w:snapToGrid w:val="0"/>
          <w:sz w:val="18"/>
          <w:szCs w:val="18"/>
        </w:rPr>
        <w:t>A</w:t>
      </w:r>
      <w:r w:rsidR="0096645C">
        <w:rPr>
          <w:rFonts w:ascii="Palatino Linotype" w:hAnsi="Palatino Linotype"/>
          <w:snapToGrid w:val="0"/>
          <w:sz w:val="18"/>
          <w:szCs w:val="18"/>
        </w:rPr>
        <w:t>-</w:t>
      </w:r>
      <w:r w:rsidR="0096645C" w:rsidRPr="0096645C">
        <w:rPr>
          <w:rFonts w:ascii="Palatino Linotype" w:hAnsi="Palatino Linotype"/>
          <w:b/>
          <w:snapToGrid w:val="0"/>
          <w:sz w:val="18"/>
          <w:szCs w:val="18"/>
        </w:rPr>
        <w:t>D</w:t>
      </w:r>
      <w:r w:rsidR="00CB16CC">
        <w:rPr>
          <w:rFonts w:ascii="Palatino Linotype" w:hAnsi="Palatino Linotype"/>
          <w:snapToGrid w:val="0"/>
          <w:sz w:val="18"/>
          <w:szCs w:val="18"/>
        </w:rPr>
        <w:t>) and 1.1</w:t>
      </w:r>
      <w:r>
        <w:rPr>
          <w:rFonts w:ascii="Palatino Linotype" w:hAnsi="Palatino Linotype"/>
          <w:snapToGrid w:val="0"/>
          <w:sz w:val="18"/>
          <w:szCs w:val="18"/>
        </w:rPr>
        <w:t xml:space="preserve"> </w:t>
      </w:r>
      <w:r w:rsidRPr="00EC35E0">
        <w:rPr>
          <w:rFonts w:ascii="Palatino Linotype" w:hAnsi="Palatino Linotype"/>
          <w:snapToGrid w:val="0"/>
          <w:sz w:val="18"/>
          <w:szCs w:val="18"/>
        </w:rPr>
        <w:t>(</w:t>
      </w:r>
      <w:r w:rsidR="0096645C">
        <w:rPr>
          <w:rFonts w:ascii="Palatino Linotype" w:hAnsi="Palatino Linotype"/>
          <w:snapToGrid w:val="0"/>
          <w:sz w:val="18"/>
          <w:szCs w:val="18"/>
        </w:rPr>
        <w:t>right</w:t>
      </w:r>
      <w:r w:rsidR="00CB16CC">
        <w:rPr>
          <w:rFonts w:ascii="Palatino Linotype" w:hAnsi="Palatino Linotype"/>
          <w:snapToGrid w:val="0"/>
          <w:sz w:val="18"/>
          <w:szCs w:val="18"/>
        </w:rPr>
        <w:t xml:space="preserve">, </w:t>
      </w:r>
      <w:r w:rsidR="0096645C" w:rsidRPr="0096645C">
        <w:rPr>
          <w:rFonts w:ascii="Palatino Linotype" w:hAnsi="Palatino Linotype"/>
          <w:b/>
          <w:snapToGrid w:val="0"/>
          <w:sz w:val="18"/>
          <w:szCs w:val="18"/>
        </w:rPr>
        <w:t>E</w:t>
      </w:r>
      <w:r w:rsidR="0096645C">
        <w:rPr>
          <w:rFonts w:ascii="Palatino Linotype" w:hAnsi="Palatino Linotype"/>
          <w:snapToGrid w:val="0"/>
          <w:sz w:val="18"/>
          <w:szCs w:val="18"/>
        </w:rPr>
        <w:t>-</w:t>
      </w:r>
      <w:r w:rsidR="0096645C" w:rsidRPr="0096645C">
        <w:rPr>
          <w:rFonts w:ascii="Palatino Linotype" w:hAnsi="Palatino Linotype"/>
          <w:b/>
          <w:snapToGrid w:val="0"/>
          <w:sz w:val="18"/>
          <w:szCs w:val="18"/>
        </w:rPr>
        <w:t>H</w:t>
      </w:r>
      <w:r w:rsidRPr="00EC35E0">
        <w:rPr>
          <w:rFonts w:ascii="Palatino Linotype" w:hAnsi="Palatino Linotype"/>
          <w:snapToGrid w:val="0"/>
          <w:sz w:val="18"/>
          <w:szCs w:val="18"/>
        </w:rPr>
        <w:t>) were applied to compute the significance of asymmetry within homotypic CEs.</w:t>
      </w:r>
      <w:r w:rsidRPr="00EC35E0">
        <w:rPr>
          <w:rFonts w:ascii="Palatino Linotype" w:hAnsi="Palatino Linotype"/>
          <w:sz w:val="18"/>
          <w:szCs w:val="18"/>
        </w:rPr>
        <w:t xml:space="preserve"> Distributions of the significance of asymmetry within CEs for ChIP-seq datasets of target TFs with and without proven pioneering activity. Orange and white colors mark TFs with proven pioneer activity and the other TFs. Axis X denotes the significance of enrichment. The groups Symmetry, Intermediate, Asymmetry 10</w:t>
      </w:r>
      <w:proofErr w:type="gramStart"/>
      <w:r w:rsidRPr="00EC35E0">
        <w:rPr>
          <w:rFonts w:ascii="Palatino Linotype" w:hAnsi="Palatino Linotype"/>
          <w:sz w:val="18"/>
          <w:szCs w:val="18"/>
        </w:rPr>
        <w:t>..20</w:t>
      </w:r>
      <w:proofErr w:type="gramEnd"/>
      <w:r w:rsidRPr="00EC35E0">
        <w:rPr>
          <w:rFonts w:ascii="Palatino Linotype" w:hAnsi="Palatino Linotype"/>
          <w:sz w:val="18"/>
          <w:szCs w:val="18"/>
        </w:rPr>
        <w:t>, Asymmetry 20..30, etc. imply the significant enrichment towards symmetric CEs (p-value &lt; 1E-10), lack of pronounced significance in either direction (p &gt; 1E-10), the significant enrichment towards asymmetric CEs (</w:t>
      </w:r>
      <w:r w:rsidRPr="00EC35E0">
        <w:rPr>
          <w:rFonts w:ascii="Palatino Linotype" w:hAnsi="Palatino Linotype"/>
          <w:snapToGrid w:val="0"/>
          <w:sz w:val="18"/>
          <w:szCs w:val="18"/>
        </w:rPr>
        <w:t>1E-10 &lt; p-value &lt; 1E-20, 1E-20 &lt; p-value &lt; 1E-30, etc.).</w:t>
      </w:r>
      <w:r>
        <w:rPr>
          <w:rFonts w:ascii="Palatino Linotype" w:hAnsi="Palatino Linotype"/>
          <w:snapToGrid w:val="0"/>
          <w:sz w:val="18"/>
          <w:szCs w:val="18"/>
        </w:rPr>
        <w:t xml:space="preserve"> </w:t>
      </w:r>
      <w:r>
        <w:rPr>
          <w:rFonts w:ascii="Palatino Linotype" w:hAnsi="Palatino Linotype"/>
          <w:sz w:val="18"/>
          <w:szCs w:val="18"/>
        </w:rPr>
        <w:t>Axes Y mean fractions of datasets, labels above columns show the numbers of datasets.</w:t>
      </w:r>
    </w:p>
    <w:p w:rsidR="00846719" w:rsidRPr="005303E6" w:rsidRDefault="00846719">
      <w:pPr>
        <w:rPr>
          <w:rFonts w:ascii="Palatino Linotype" w:hAnsi="Palatino Linotype"/>
          <w:snapToGrid w:val="0"/>
          <w:sz w:val="18"/>
          <w:szCs w:val="18"/>
        </w:rPr>
      </w:pPr>
    </w:p>
    <w:p w:rsidR="0096645C" w:rsidRDefault="0096645C">
      <w:pPr>
        <w:rPr>
          <w:rFonts w:ascii="Palatino Linotype" w:hAnsi="Palatino Linotype"/>
          <w:snapToGrid w:val="0"/>
          <w:sz w:val="18"/>
          <w:szCs w:val="18"/>
        </w:rPr>
      </w:pPr>
      <w:r>
        <w:rPr>
          <w:rFonts w:ascii="Palatino Linotype" w:hAnsi="Palatino Linotype"/>
          <w:snapToGrid w:val="0"/>
          <w:sz w:val="18"/>
          <w:szCs w:val="18"/>
        </w:rPr>
        <w:br w:type="page"/>
      </w:r>
    </w:p>
    <w:p w:rsidR="00EC35E0" w:rsidRDefault="00EC35E0">
      <w:pPr>
        <w:rPr>
          <w:rFonts w:ascii="Palatino Linotype" w:hAnsi="Palatino Linotype"/>
          <w:snapToGrid w:val="0"/>
          <w:sz w:val="18"/>
          <w:szCs w:val="18"/>
        </w:rPr>
      </w:pPr>
    </w:p>
    <w:p w:rsidR="009B3E5D" w:rsidRDefault="0049274F">
      <w:pPr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016B5B60" wp14:editId="0E9D30E5">
            <wp:extent cx="6152515" cy="5568188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55681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3E5D" w:rsidRDefault="009B3E5D" w:rsidP="00846719">
      <w:pPr>
        <w:pStyle w:val="MDPI51figurecaption"/>
        <w:ind w:left="142" w:right="55"/>
      </w:pPr>
      <w:r w:rsidRPr="00210C81">
        <w:rPr>
          <w:b/>
        </w:rPr>
        <w:t xml:space="preserve">Figure </w:t>
      </w:r>
      <w:r w:rsidR="00846719">
        <w:rPr>
          <w:b/>
        </w:rPr>
        <w:t>S</w:t>
      </w:r>
      <w:r>
        <w:rPr>
          <w:b/>
        </w:rPr>
        <w:t>7</w:t>
      </w:r>
      <w:r w:rsidRPr="00210C81">
        <w:rPr>
          <w:b/>
        </w:rPr>
        <w:t>.</w:t>
      </w:r>
      <w:r w:rsidRPr="00210C81">
        <w:t xml:space="preserve"> </w:t>
      </w:r>
      <w:r>
        <w:t xml:space="preserve">Homotypic asymmetric CEs of pioneer TFs. </w:t>
      </w:r>
      <w:r w:rsidRPr="00455F85">
        <w:t xml:space="preserve">Target TFs from the benchmark collection for </w:t>
      </w:r>
      <w:r w:rsidRPr="00455F85">
        <w:rPr>
          <w:i/>
        </w:rPr>
        <w:t>M. musculus</w:t>
      </w:r>
      <w:r w:rsidRPr="00455F85">
        <w:t xml:space="preserve"> ChIP-seq data </w:t>
      </w:r>
      <w:proofErr w:type="gramStart"/>
      <w:r w:rsidRPr="00455F85">
        <w:t xml:space="preserve">were </w:t>
      </w:r>
      <w:r>
        <w:t>considered</w:t>
      </w:r>
      <w:proofErr w:type="gramEnd"/>
      <w:r w:rsidRPr="00455F85">
        <w:t>.</w:t>
      </w:r>
      <w:r>
        <w:t xml:space="preserve"> </w:t>
      </w:r>
      <w:r w:rsidR="0049274F" w:rsidRPr="00EC35E0">
        <w:rPr>
          <w:snapToGrid w:val="0"/>
          <w:szCs w:val="18"/>
        </w:rPr>
        <w:t>TAR values of 1.1 (</w:t>
      </w:r>
      <w:r w:rsidR="0049274F" w:rsidRPr="00EC35E0">
        <w:rPr>
          <w:b/>
          <w:snapToGrid w:val="0"/>
          <w:szCs w:val="18"/>
        </w:rPr>
        <w:t>A</w:t>
      </w:r>
      <w:r w:rsidR="0049274F" w:rsidRPr="00EC35E0">
        <w:rPr>
          <w:snapToGrid w:val="0"/>
          <w:szCs w:val="18"/>
        </w:rPr>
        <w:t>) and 2</w:t>
      </w:r>
      <w:r w:rsidR="0049274F">
        <w:rPr>
          <w:snapToGrid w:val="0"/>
          <w:szCs w:val="18"/>
        </w:rPr>
        <w:t xml:space="preserve"> </w:t>
      </w:r>
      <w:r w:rsidR="0049274F" w:rsidRPr="00EC35E0">
        <w:rPr>
          <w:snapToGrid w:val="0"/>
          <w:szCs w:val="18"/>
        </w:rPr>
        <w:t>(</w:t>
      </w:r>
      <w:r w:rsidR="0049274F" w:rsidRPr="00EC35E0">
        <w:rPr>
          <w:b/>
          <w:snapToGrid w:val="0"/>
          <w:szCs w:val="18"/>
        </w:rPr>
        <w:t>B</w:t>
      </w:r>
      <w:r w:rsidR="0049274F" w:rsidRPr="00EC35E0">
        <w:rPr>
          <w:snapToGrid w:val="0"/>
          <w:szCs w:val="18"/>
        </w:rPr>
        <w:t xml:space="preserve">) </w:t>
      </w:r>
      <w:proofErr w:type="gramStart"/>
      <w:r w:rsidR="0049274F" w:rsidRPr="00EC35E0">
        <w:rPr>
          <w:snapToGrid w:val="0"/>
          <w:szCs w:val="18"/>
        </w:rPr>
        <w:t>were applied</w:t>
      </w:r>
      <w:proofErr w:type="gramEnd"/>
      <w:r w:rsidR="0049274F" w:rsidRPr="00EC35E0">
        <w:rPr>
          <w:snapToGrid w:val="0"/>
          <w:szCs w:val="18"/>
        </w:rPr>
        <w:t xml:space="preserve"> to compute the significance of asymmetry within homotypic CEs.</w:t>
      </w:r>
      <w:r w:rsidR="0049274F" w:rsidRPr="00EC35E0">
        <w:rPr>
          <w:szCs w:val="18"/>
        </w:rPr>
        <w:t xml:space="preserve"> </w:t>
      </w:r>
      <w:r>
        <w:t>Distribution</w:t>
      </w:r>
      <w:r w:rsidR="0049274F">
        <w:t>s</w:t>
      </w:r>
      <w:r>
        <w:t xml:space="preserve"> </w:t>
      </w:r>
      <w:r w:rsidRPr="00455F85">
        <w:t xml:space="preserve">of </w:t>
      </w:r>
      <w:r>
        <w:t xml:space="preserve">the significance of asymmetry within CEs for ChIP-seq datasets of target </w:t>
      </w:r>
      <w:r w:rsidRPr="00455F85">
        <w:t>TFs with proven pioneering activity</w:t>
      </w:r>
      <w:r>
        <w:t xml:space="preserve">. Axis X marks the number of ChIP-seq datasets. Axis Y shows TF classes and TF names. The maroon color indicates the high significance of asymmetry in </w:t>
      </w:r>
      <w:r w:rsidRPr="000D1811">
        <w:rPr>
          <w:szCs w:val="18"/>
        </w:rPr>
        <w:t xml:space="preserve">homotypic CEs, </w:t>
      </w:r>
      <w:r w:rsidRPr="000D1811">
        <w:rPr>
          <w:snapToGrid w:val="0"/>
          <w:szCs w:val="18"/>
        </w:rPr>
        <w:t>p-value &lt; 1E-30</w:t>
      </w:r>
      <w:r w:rsidRPr="000D1811">
        <w:rPr>
          <w:szCs w:val="18"/>
        </w:rPr>
        <w:t xml:space="preserve">; the apricot color implies all remaining cases, </w:t>
      </w:r>
      <w:r w:rsidRPr="000D1811">
        <w:rPr>
          <w:snapToGrid w:val="0"/>
          <w:szCs w:val="18"/>
        </w:rPr>
        <w:t xml:space="preserve">p-value &gt; 1E-30. </w:t>
      </w:r>
    </w:p>
    <w:p w:rsidR="00312466" w:rsidRDefault="00312466">
      <w:pPr>
        <w:rPr>
          <w:rFonts w:ascii="Palatino Linotype" w:hAnsi="Palatino Linotype"/>
          <w:sz w:val="18"/>
          <w:szCs w:val="18"/>
        </w:rPr>
      </w:pPr>
    </w:p>
    <w:p w:rsidR="009B3E5D" w:rsidRPr="00EC35E0" w:rsidRDefault="009B3E5D">
      <w:pPr>
        <w:rPr>
          <w:rFonts w:ascii="Palatino Linotype" w:hAnsi="Palatino Linotype"/>
          <w:sz w:val="18"/>
          <w:szCs w:val="18"/>
        </w:rPr>
      </w:pPr>
    </w:p>
    <w:sectPr w:rsidR="009B3E5D" w:rsidRPr="00EC35E0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32A2"/>
    <w:rsid w:val="00024FCF"/>
    <w:rsid w:val="00096354"/>
    <w:rsid w:val="00137A25"/>
    <w:rsid w:val="001A5384"/>
    <w:rsid w:val="00231457"/>
    <w:rsid w:val="002A739C"/>
    <w:rsid w:val="00312466"/>
    <w:rsid w:val="00361496"/>
    <w:rsid w:val="003A145C"/>
    <w:rsid w:val="003E5891"/>
    <w:rsid w:val="0049274F"/>
    <w:rsid w:val="004C63F4"/>
    <w:rsid w:val="005303E6"/>
    <w:rsid w:val="00640953"/>
    <w:rsid w:val="006F0D0F"/>
    <w:rsid w:val="00846719"/>
    <w:rsid w:val="008648CB"/>
    <w:rsid w:val="0096645C"/>
    <w:rsid w:val="009A32A2"/>
    <w:rsid w:val="009B3E5D"/>
    <w:rsid w:val="009C4F6D"/>
    <w:rsid w:val="00C02AE0"/>
    <w:rsid w:val="00C24B12"/>
    <w:rsid w:val="00C96095"/>
    <w:rsid w:val="00CB16CC"/>
    <w:rsid w:val="00E542C1"/>
    <w:rsid w:val="00EC3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757DCCF"/>
  <w15:chartTrackingRefBased/>
  <w15:docId w15:val="{12104F99-4986-4929-B8F9-77E2FB335F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51figurecaption">
    <w:name w:val="MDPI_5.1_figure_caption"/>
    <w:qFormat/>
    <w:rsid w:val="009A32A2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759</TotalTime>
  <Pages>7</Pages>
  <Words>1014</Words>
  <Characters>5780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levitsky</dc:creator>
  <cp:keywords/>
  <dc:description/>
  <cp:lastModifiedBy>levitsky</cp:lastModifiedBy>
  <cp:revision>10</cp:revision>
  <dcterms:created xsi:type="dcterms:W3CDTF">2023-10-27T06:40:00Z</dcterms:created>
  <dcterms:modified xsi:type="dcterms:W3CDTF">2023-10-30T10:02:00Z</dcterms:modified>
</cp:coreProperties>
</file>