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1E1" w:rsidRPr="00597312" w:rsidRDefault="000471E1" w:rsidP="00903B9D">
      <w:pPr>
        <w:spacing w:line="480" w:lineRule="auto"/>
        <w:jc w:val="both"/>
        <w:rPr>
          <w:b/>
          <w:lang w:val="en-US"/>
        </w:rPr>
      </w:pPr>
      <w:r w:rsidRPr="00597312">
        <w:rPr>
          <w:b/>
          <w:lang w:val="en-US"/>
        </w:rPr>
        <w:t xml:space="preserve">Supplementary Materials for </w:t>
      </w:r>
      <w:proofErr w:type="spellStart"/>
      <w:r w:rsidRPr="00597312">
        <w:rPr>
          <w:b/>
          <w:lang w:val="en-US"/>
        </w:rPr>
        <w:t>Suchanski</w:t>
      </w:r>
      <w:proofErr w:type="spellEnd"/>
      <w:r w:rsidRPr="00597312">
        <w:rPr>
          <w:b/>
          <w:lang w:val="en-US"/>
        </w:rPr>
        <w:t xml:space="preserve"> et al.</w:t>
      </w:r>
    </w:p>
    <w:p w:rsidR="000471E1" w:rsidRPr="003C1C47" w:rsidRDefault="00C56CAF" w:rsidP="00903B9D">
      <w:pPr>
        <w:spacing w:line="480" w:lineRule="auto"/>
        <w:jc w:val="both"/>
        <w:rPr>
          <w:b/>
          <w:lang w:val="en-US"/>
        </w:rPr>
      </w:pPr>
      <w:proofErr w:type="spellStart"/>
      <w:r w:rsidRPr="003C1C47">
        <w:rPr>
          <w:b/>
          <w:lang w:val="en-US"/>
        </w:rPr>
        <w:t>Galactosylceramide</w:t>
      </w:r>
      <w:proofErr w:type="spellEnd"/>
      <w:r w:rsidRPr="003C1C47">
        <w:rPr>
          <w:b/>
          <w:lang w:val="en-US"/>
        </w:rPr>
        <w:t xml:space="preserve"> Upregulates the Expression of the BCL2 Gene and Downregulates the Expression of TNFRSF1B and TNFRSF9 Genes, Acting as an Ani-apoptotic Molecule in Breast Cancer Cells</w:t>
      </w:r>
    </w:p>
    <w:p w:rsidR="00C56CAF" w:rsidRPr="00C56CAF" w:rsidRDefault="00C56CAF" w:rsidP="00903B9D">
      <w:pPr>
        <w:spacing w:line="480" w:lineRule="auto"/>
        <w:jc w:val="both"/>
        <w:rPr>
          <w:b/>
          <w:color w:val="FF0000"/>
          <w:lang w:val="en-US"/>
        </w:rPr>
      </w:pPr>
    </w:p>
    <w:p w:rsidR="000471E1" w:rsidRPr="00597312" w:rsidRDefault="000471E1" w:rsidP="00903B9D">
      <w:pPr>
        <w:spacing w:line="480" w:lineRule="auto"/>
        <w:jc w:val="both"/>
        <w:outlineLvl w:val="0"/>
        <w:rPr>
          <w:b/>
          <w:lang w:val="en-US"/>
        </w:rPr>
      </w:pPr>
      <w:r w:rsidRPr="00597312">
        <w:rPr>
          <w:b/>
          <w:lang w:val="en-US"/>
        </w:rPr>
        <w:t xml:space="preserve">Supplementary Tables </w:t>
      </w:r>
    </w:p>
    <w:p w:rsidR="003C1C47" w:rsidRDefault="000471E1" w:rsidP="003C1C47">
      <w:pPr>
        <w:spacing w:line="480" w:lineRule="auto"/>
        <w:ind w:left="720" w:hanging="720"/>
        <w:jc w:val="both"/>
        <w:outlineLvl w:val="0"/>
        <w:rPr>
          <w:lang w:val="en-US"/>
        </w:rPr>
      </w:pPr>
      <w:r w:rsidRPr="00396A6C">
        <w:rPr>
          <w:b/>
          <w:lang w:val="en-US"/>
        </w:rPr>
        <w:t>Table S1</w:t>
      </w:r>
      <w:r w:rsidRPr="00336548">
        <w:rPr>
          <w:lang w:val="en-US"/>
        </w:rPr>
        <w:t xml:space="preserve">: </w:t>
      </w:r>
      <w:r w:rsidR="00336548" w:rsidRPr="00903B9D">
        <w:rPr>
          <w:lang w:val="en-US"/>
        </w:rPr>
        <w:t>List of primers used in this study</w:t>
      </w:r>
      <w:r w:rsidR="003C1C47">
        <w:rPr>
          <w:lang w:val="en-US"/>
        </w:rPr>
        <w:t>.</w:t>
      </w:r>
      <w:r w:rsidR="00336548" w:rsidRPr="00336548">
        <w:rPr>
          <w:lang w:val="en-US"/>
        </w:rPr>
        <w:t xml:space="preserve"> </w:t>
      </w:r>
    </w:p>
    <w:p w:rsidR="003C1C47" w:rsidRPr="003C1C47" w:rsidRDefault="000471E1" w:rsidP="003C1C47">
      <w:pPr>
        <w:spacing w:line="480" w:lineRule="auto"/>
        <w:ind w:left="720" w:hanging="720"/>
        <w:jc w:val="both"/>
        <w:outlineLvl w:val="0"/>
        <w:rPr>
          <w:lang w:val="en-US"/>
        </w:rPr>
      </w:pPr>
      <w:r w:rsidRPr="00396A6C">
        <w:rPr>
          <w:b/>
          <w:lang w:val="en-US"/>
        </w:rPr>
        <w:t>Table S2</w:t>
      </w:r>
      <w:r w:rsidRPr="00336548">
        <w:rPr>
          <w:lang w:val="en-US"/>
        </w:rPr>
        <w:t xml:space="preserve">: </w:t>
      </w:r>
      <w:r w:rsidR="003C1C47" w:rsidRPr="003C1C47">
        <w:rPr>
          <w:lang w:val="en-US"/>
        </w:rPr>
        <w:t>List of primers for apoptosis gene expression profiling by RT-qPCR array.</w:t>
      </w:r>
    </w:p>
    <w:p w:rsidR="000471E1" w:rsidRPr="00597312" w:rsidRDefault="000471E1" w:rsidP="00903B9D">
      <w:pPr>
        <w:spacing w:line="480" w:lineRule="auto"/>
        <w:jc w:val="both"/>
        <w:rPr>
          <w:i/>
          <w:lang w:val="en-US"/>
        </w:rPr>
      </w:pPr>
    </w:p>
    <w:p w:rsidR="000471E1" w:rsidRPr="00597312" w:rsidRDefault="000471E1" w:rsidP="00903B9D">
      <w:pPr>
        <w:spacing w:line="480" w:lineRule="auto"/>
        <w:jc w:val="both"/>
        <w:rPr>
          <w:b/>
          <w:lang w:val="en-US"/>
        </w:rPr>
      </w:pPr>
      <w:r w:rsidRPr="00597312">
        <w:rPr>
          <w:b/>
          <w:lang w:val="en-US"/>
        </w:rPr>
        <w:t>Figure legends</w:t>
      </w:r>
    </w:p>
    <w:p w:rsidR="00FF572A" w:rsidRPr="00457A8C" w:rsidRDefault="00846330" w:rsidP="00903B9D">
      <w:pPr>
        <w:spacing w:line="480" w:lineRule="auto"/>
        <w:jc w:val="both"/>
        <w:rPr>
          <w:rStyle w:val="Pogrubienie"/>
          <w:b w:val="0"/>
          <w:bCs/>
          <w:shd w:val="clear" w:color="auto" w:fill="FFFFFF"/>
          <w:lang w:val="en-US"/>
        </w:rPr>
      </w:pPr>
      <w:r w:rsidRPr="00FF572A">
        <w:rPr>
          <w:b/>
          <w:color w:val="000000"/>
          <w:lang w:val="en-US"/>
        </w:rPr>
        <w:t>Figure S1</w:t>
      </w:r>
      <w:r w:rsidR="00FF572A">
        <w:rPr>
          <w:lang w:val="en-US"/>
        </w:rPr>
        <w:t>:</w:t>
      </w:r>
      <w:r w:rsidR="00FF572A" w:rsidRPr="00FF572A">
        <w:rPr>
          <w:rStyle w:val="Pogrubienie"/>
          <w:b w:val="0"/>
          <w:bCs/>
          <w:shd w:val="clear" w:color="auto" w:fill="FFFFFF"/>
          <w:lang w:val="en-US"/>
        </w:rPr>
        <w:t xml:space="preserve"> </w:t>
      </w:r>
      <w:r w:rsidR="005A08B4">
        <w:rPr>
          <w:rStyle w:val="Pogrubienie"/>
          <w:b w:val="0"/>
          <w:bCs/>
          <w:shd w:val="clear" w:color="auto" w:fill="FFFFFF"/>
          <w:lang w:val="en-US"/>
        </w:rPr>
        <w:t xml:space="preserve">Scheme of </w:t>
      </w:r>
      <w:r w:rsidR="00457A8C" w:rsidRPr="00597E5A">
        <w:rPr>
          <w:lang w:val="en-GB"/>
        </w:rPr>
        <w:t>UGT8-specific 20 nucleotide guide RNA (gRNA-TGTGATAGCTCATCTTTTAG)</w:t>
      </w:r>
      <w:r w:rsidR="00457A8C">
        <w:rPr>
          <w:rStyle w:val="Pogrubienie"/>
          <w:b w:val="0"/>
          <w:bCs/>
          <w:shd w:val="clear" w:color="auto" w:fill="FFFFFF"/>
          <w:lang w:val="en-US"/>
        </w:rPr>
        <w:t xml:space="preserve"> targeting exon 2 in </w:t>
      </w:r>
      <w:r w:rsidR="00457A8C" w:rsidRPr="00457A8C">
        <w:rPr>
          <w:rStyle w:val="Pogrubienie"/>
          <w:b w:val="0"/>
          <w:bCs/>
          <w:i/>
          <w:shd w:val="clear" w:color="auto" w:fill="FFFFFF"/>
          <w:lang w:val="en-US"/>
        </w:rPr>
        <w:t>UGT8</w:t>
      </w:r>
      <w:r w:rsidR="00457A8C">
        <w:rPr>
          <w:rStyle w:val="Pogrubienie"/>
          <w:b w:val="0"/>
          <w:bCs/>
          <w:shd w:val="clear" w:color="auto" w:fill="FFFFFF"/>
          <w:lang w:val="en-US"/>
        </w:rPr>
        <w:t xml:space="preserve"> gene and</w:t>
      </w:r>
      <w:r w:rsidR="00B6077A">
        <w:rPr>
          <w:rStyle w:val="Pogrubienie"/>
          <w:b w:val="0"/>
          <w:bCs/>
          <w:shd w:val="clear" w:color="auto" w:fill="FFFFFF"/>
          <w:lang w:val="en-US"/>
        </w:rPr>
        <w:t xml:space="preserve"> </w:t>
      </w:r>
      <w:r w:rsidR="00457A8C">
        <w:rPr>
          <w:rStyle w:val="Pogrubienie"/>
          <w:b w:val="0"/>
          <w:bCs/>
          <w:shd w:val="clear" w:color="auto" w:fill="FFFFFF"/>
          <w:lang w:val="en-US"/>
        </w:rPr>
        <w:t xml:space="preserve">PCR products with </w:t>
      </w:r>
      <w:r w:rsidR="00B6077A" w:rsidRPr="00B6077A">
        <w:rPr>
          <w:rStyle w:val="Pogrubienie"/>
          <w:b w:val="0"/>
          <w:bCs/>
          <w:shd w:val="clear" w:color="auto" w:fill="FFFFFF"/>
          <w:lang w:val="en-US"/>
        </w:rPr>
        <w:t>mutation induced by CRISPR/Cas9</w:t>
      </w:r>
      <w:r w:rsidR="00B6077A">
        <w:rPr>
          <w:rStyle w:val="Pogrubienie"/>
          <w:b w:val="0"/>
          <w:bCs/>
          <w:shd w:val="clear" w:color="auto" w:fill="FFFFFF"/>
          <w:lang w:val="en-US"/>
        </w:rPr>
        <w:t>.</w:t>
      </w:r>
      <w:r w:rsidR="00B6077A" w:rsidRPr="00B6077A">
        <w:rPr>
          <w:lang w:val="en-US"/>
        </w:rPr>
        <w:t xml:space="preserve"> </w:t>
      </w:r>
      <w:r w:rsidR="00B6077A" w:rsidRPr="00B6077A">
        <w:rPr>
          <w:rStyle w:val="Pogrubienie"/>
          <w:b w:val="0"/>
          <w:bCs/>
          <w:shd w:val="clear" w:color="auto" w:fill="FFFFFF"/>
          <w:lang w:val="en-US"/>
        </w:rPr>
        <w:t xml:space="preserve">Protospacer-adjacent motif (PAM) sequence underlined. Arrows indicate </w:t>
      </w:r>
      <w:r w:rsidR="00B6077A">
        <w:rPr>
          <w:rStyle w:val="Pogrubienie"/>
          <w:b w:val="0"/>
          <w:bCs/>
          <w:shd w:val="clear" w:color="auto" w:fill="FFFFFF"/>
          <w:lang w:val="en-US"/>
        </w:rPr>
        <w:t xml:space="preserve">the </w:t>
      </w:r>
      <w:r w:rsidR="00B6077A" w:rsidRPr="00B6077A">
        <w:rPr>
          <w:rStyle w:val="Pogrubienie"/>
          <w:b w:val="0"/>
          <w:bCs/>
          <w:shd w:val="clear" w:color="auto" w:fill="FFFFFF"/>
          <w:lang w:val="en-US"/>
        </w:rPr>
        <w:t>locations of PCR primers</w:t>
      </w:r>
      <w:r w:rsidR="00B6077A">
        <w:rPr>
          <w:rStyle w:val="Pogrubienie"/>
          <w:b w:val="0"/>
          <w:bCs/>
          <w:shd w:val="clear" w:color="auto" w:fill="FFFFFF"/>
          <w:lang w:val="en-US"/>
        </w:rPr>
        <w:t>.</w:t>
      </w:r>
    </w:p>
    <w:p w:rsidR="00862CE7" w:rsidRDefault="00862CE7" w:rsidP="00903B9D">
      <w:pPr>
        <w:spacing w:line="480" w:lineRule="auto"/>
        <w:jc w:val="both"/>
        <w:rPr>
          <w:bCs/>
          <w:shd w:val="clear" w:color="auto" w:fill="FFFFFF"/>
          <w:lang w:val="en-US"/>
        </w:rPr>
      </w:pPr>
    </w:p>
    <w:p w:rsidR="00FF572A" w:rsidRDefault="00846330" w:rsidP="00903B9D">
      <w:pPr>
        <w:spacing w:line="480" w:lineRule="auto"/>
        <w:jc w:val="both"/>
        <w:rPr>
          <w:rFonts w:eastAsia="Calibri"/>
          <w:kern w:val="24"/>
          <w:lang w:val="en-US"/>
        </w:rPr>
      </w:pPr>
      <w:r w:rsidRPr="00EC3CDD">
        <w:rPr>
          <w:b/>
          <w:lang w:val="en-US"/>
        </w:rPr>
        <w:t>Figure S2</w:t>
      </w:r>
      <w:r w:rsidR="00FF572A" w:rsidRPr="007D6175">
        <w:rPr>
          <w:b/>
          <w:lang w:val="en-US"/>
        </w:rPr>
        <w:t>:</w:t>
      </w:r>
      <w:r w:rsidR="00FF572A" w:rsidRPr="007D6175">
        <w:rPr>
          <w:b/>
          <w:bCs/>
          <w:color w:val="000000" w:themeColor="text1"/>
          <w:kern w:val="24"/>
          <w:lang w:val="en-US"/>
        </w:rPr>
        <w:t xml:space="preserve"> </w:t>
      </w:r>
      <w:r w:rsidR="00FF572A" w:rsidRPr="007D6175">
        <w:rPr>
          <w:bCs/>
          <w:color w:val="000000" w:themeColor="text1"/>
          <w:kern w:val="24"/>
          <w:lang w:val="en-US"/>
        </w:rPr>
        <w:t xml:space="preserve">Proliferative potential of </w:t>
      </w:r>
      <w:r w:rsidR="00396A6C">
        <w:rPr>
          <w:bCs/>
          <w:color w:val="000000" w:themeColor="text1"/>
          <w:kern w:val="24"/>
          <w:lang w:val="en-US"/>
        </w:rPr>
        <w:t xml:space="preserve">BC </w:t>
      </w:r>
      <w:r w:rsidR="00FF572A" w:rsidRPr="007D6175">
        <w:rPr>
          <w:bCs/>
          <w:color w:val="000000" w:themeColor="text1"/>
          <w:kern w:val="24"/>
          <w:lang w:val="en-US"/>
        </w:rPr>
        <w:t>MDA-MB-231</w:t>
      </w:r>
      <w:r w:rsidR="00FF572A">
        <w:rPr>
          <w:bCs/>
          <w:color w:val="000000" w:themeColor="text1"/>
          <w:kern w:val="24"/>
          <w:lang w:val="en-US"/>
        </w:rPr>
        <w:t>, MCF7</w:t>
      </w:r>
      <w:r w:rsidR="00903B9D">
        <w:rPr>
          <w:bCs/>
          <w:color w:val="000000" w:themeColor="text1"/>
          <w:kern w:val="24"/>
          <w:lang w:val="en-US"/>
        </w:rPr>
        <w:t>,</w:t>
      </w:r>
      <w:r w:rsidR="00FF572A" w:rsidRPr="007D6175">
        <w:rPr>
          <w:bCs/>
          <w:color w:val="000000" w:themeColor="text1"/>
          <w:kern w:val="24"/>
          <w:lang w:val="en-US"/>
        </w:rPr>
        <w:t xml:space="preserve"> and T47D cells with different expression of </w:t>
      </w:r>
      <w:proofErr w:type="spellStart"/>
      <w:r w:rsidR="00FF572A">
        <w:rPr>
          <w:bCs/>
          <w:color w:val="000000" w:themeColor="text1"/>
          <w:kern w:val="24"/>
          <w:lang w:val="en-US"/>
        </w:rPr>
        <w:t>GalCer</w:t>
      </w:r>
      <w:proofErr w:type="spellEnd"/>
      <w:r w:rsidR="00FF572A" w:rsidRPr="007D6175">
        <w:rPr>
          <w:color w:val="000000" w:themeColor="text1"/>
          <w:kern w:val="24"/>
          <w:lang w:val="en-US"/>
        </w:rPr>
        <w:t>.</w:t>
      </w:r>
      <w:r w:rsidR="00FF572A" w:rsidRPr="00301A52">
        <w:rPr>
          <w:color w:val="000000" w:themeColor="text1"/>
          <w:kern w:val="24"/>
          <w:lang w:val="en-US"/>
        </w:rPr>
        <w:t xml:space="preserve"> </w:t>
      </w:r>
      <w:r w:rsidR="00FF572A" w:rsidRPr="00301A52">
        <w:rPr>
          <w:rFonts w:eastAsia="Calibri"/>
          <w:color w:val="000000" w:themeColor="text1"/>
          <w:kern w:val="24"/>
          <w:lang w:val="en-US"/>
        </w:rPr>
        <w:t>Cell cycle progression after 48 h in</w:t>
      </w:r>
      <w:r w:rsidR="00FF572A">
        <w:rPr>
          <w:rFonts w:eastAsia="Calibri"/>
          <w:color w:val="000000" w:themeColor="text1"/>
          <w:kern w:val="24"/>
          <w:lang w:val="en-US"/>
        </w:rPr>
        <w:t xml:space="preserve"> </w:t>
      </w:r>
      <w:r w:rsidR="00FF572A" w:rsidRPr="009D0A90">
        <w:rPr>
          <w:rFonts w:eastAsia="Calibri"/>
          <w:b/>
          <w:color w:val="000000" w:themeColor="text1"/>
          <w:kern w:val="24"/>
          <w:lang w:val="en-US"/>
        </w:rPr>
        <w:t>(A)</w:t>
      </w:r>
      <w:r w:rsidR="008C2CE7" w:rsidRPr="008C2CE7">
        <w:rPr>
          <w:rFonts w:eastAsia="Calibri"/>
          <w:bCs/>
          <w:color w:val="000000" w:themeColor="text1"/>
          <w:kern w:val="24"/>
          <w:lang w:val="en-US"/>
        </w:rPr>
        <w:t xml:space="preserve"> </w:t>
      </w:r>
      <w:r w:rsidR="008C2CE7" w:rsidRPr="00301A52">
        <w:rPr>
          <w:rFonts w:eastAsia="Calibri"/>
          <w:bCs/>
          <w:color w:val="000000" w:themeColor="text1"/>
          <w:kern w:val="24"/>
          <w:lang w:val="en-US"/>
        </w:rPr>
        <w:t>parental MDA-MB-231,</w:t>
      </w:r>
      <w:r w:rsidR="008C2CE7" w:rsidRPr="00301A52">
        <w:rPr>
          <w:rFonts w:eastAsia="Calibri"/>
          <w:color w:val="000000" w:themeColor="text1"/>
          <w:kern w:val="24"/>
          <w:lang w:val="en-US"/>
        </w:rPr>
        <w:t xml:space="preserve"> MDA-MB-231 transduced with vector alone (MDA.</w:t>
      </w:r>
      <w:r w:rsidR="008C2CE7">
        <w:rPr>
          <w:rFonts w:eastAsia="Calibri"/>
          <w:color w:val="000000" w:themeColor="text1"/>
          <w:kern w:val="24"/>
          <w:lang w:val="en-US"/>
        </w:rPr>
        <w:sym w:font="Symbol" w:char="F044"/>
      </w:r>
      <w:r w:rsidR="008C2CE7">
        <w:rPr>
          <w:rFonts w:eastAsia="Calibri"/>
          <w:color w:val="000000" w:themeColor="text1"/>
          <w:kern w:val="24"/>
          <w:lang w:val="en-US"/>
        </w:rPr>
        <w:t>.</w:t>
      </w:r>
      <w:r w:rsidR="008C2CE7" w:rsidRPr="00301A52">
        <w:rPr>
          <w:rFonts w:eastAsia="Calibri"/>
          <w:color w:val="000000" w:themeColor="text1"/>
          <w:kern w:val="24"/>
          <w:lang w:val="en-US"/>
        </w:rPr>
        <w:t>C)</w:t>
      </w:r>
      <w:r w:rsidR="00903B9D">
        <w:rPr>
          <w:rFonts w:eastAsia="Calibri"/>
          <w:color w:val="000000" w:themeColor="text1"/>
          <w:kern w:val="24"/>
          <w:lang w:val="en-US"/>
        </w:rPr>
        <w:t>,</w:t>
      </w:r>
      <w:r w:rsidR="008C2CE7" w:rsidRPr="00301A52">
        <w:rPr>
          <w:rFonts w:eastAsia="Calibri"/>
          <w:color w:val="000000" w:themeColor="text1"/>
          <w:kern w:val="24"/>
          <w:lang w:val="en-US"/>
        </w:rPr>
        <w:t xml:space="preserve"> and MDA-MB-231 </w:t>
      </w:r>
      <w:r w:rsidR="008C2CE7">
        <w:rPr>
          <w:lang w:val="en-US"/>
        </w:rPr>
        <w:t xml:space="preserve">cell clones with knockout of </w:t>
      </w:r>
      <w:r w:rsidR="008C2CE7" w:rsidRPr="00B34FCE">
        <w:rPr>
          <w:i/>
          <w:lang w:val="en-US"/>
        </w:rPr>
        <w:t>UGT8</w:t>
      </w:r>
      <w:r w:rsidR="008C2CE7">
        <w:rPr>
          <w:lang w:val="en-US"/>
        </w:rPr>
        <w:t xml:space="preserve"> gene (MDA.</w:t>
      </w:r>
      <w:r w:rsidR="008C2CE7">
        <w:rPr>
          <w:lang w:val="en-US"/>
        </w:rPr>
        <w:sym w:font="Symbol" w:char="F044"/>
      </w:r>
      <w:r w:rsidR="008C2CE7">
        <w:rPr>
          <w:lang w:val="en-US"/>
        </w:rPr>
        <w:t>.UGT8.1</w:t>
      </w:r>
      <w:r w:rsidR="00920FF9">
        <w:rPr>
          <w:lang w:val="en-US"/>
        </w:rPr>
        <w:t>,</w:t>
      </w:r>
      <w:r w:rsidR="008C2CE7">
        <w:rPr>
          <w:lang w:val="en-US"/>
        </w:rPr>
        <w:t xml:space="preserve"> and MDA.</w:t>
      </w:r>
      <w:r w:rsidR="008C2CE7">
        <w:rPr>
          <w:lang w:val="en-US"/>
        </w:rPr>
        <w:sym w:font="Symbol" w:char="F044"/>
      </w:r>
      <w:r w:rsidR="008C2CE7">
        <w:rPr>
          <w:lang w:val="en-US"/>
        </w:rPr>
        <w:t xml:space="preserve">.UGT8.4), </w:t>
      </w:r>
      <w:r w:rsidR="008C2CE7" w:rsidRPr="002B4EC9">
        <w:rPr>
          <w:b/>
          <w:lang w:val="en-US"/>
        </w:rPr>
        <w:t>(B)</w:t>
      </w:r>
      <w:r w:rsidR="002B4EC9">
        <w:rPr>
          <w:rFonts w:eastAsia="Calibri"/>
          <w:b/>
          <w:color w:val="000000" w:themeColor="text1"/>
          <w:kern w:val="24"/>
          <w:lang w:val="en-US"/>
        </w:rPr>
        <w:t xml:space="preserve"> </w:t>
      </w:r>
      <w:r w:rsidR="00FF572A">
        <w:rPr>
          <w:rFonts w:eastAsia="Calibri"/>
          <w:color w:val="000000" w:themeColor="text1"/>
          <w:kern w:val="24"/>
          <w:lang w:val="en-US"/>
        </w:rPr>
        <w:t>parental MCF7,</w:t>
      </w:r>
      <w:r w:rsidR="00903B9D">
        <w:rPr>
          <w:rFonts w:eastAsia="Calibri"/>
          <w:color w:val="000000" w:themeColor="text1"/>
          <w:kern w:val="24"/>
          <w:lang w:val="en-US"/>
        </w:rPr>
        <w:t xml:space="preserve"> </w:t>
      </w:r>
      <w:r w:rsidR="00FF572A">
        <w:rPr>
          <w:rFonts w:eastAsia="Calibri"/>
          <w:color w:val="000000" w:themeColor="text1"/>
          <w:kern w:val="24"/>
          <w:lang w:val="en-US"/>
        </w:rPr>
        <w:t>MCF7</w:t>
      </w:r>
      <w:r w:rsidR="00FF572A" w:rsidRPr="009D0A90">
        <w:rPr>
          <w:rFonts w:eastAsia="Calibri"/>
          <w:color w:val="000000" w:themeColor="text1"/>
          <w:kern w:val="24"/>
          <w:lang w:val="en-US"/>
        </w:rPr>
        <w:t xml:space="preserve"> </w:t>
      </w:r>
      <w:r w:rsidR="00FF572A" w:rsidRPr="00301A52">
        <w:rPr>
          <w:rFonts w:eastAsia="Calibri"/>
          <w:color w:val="000000" w:themeColor="text1"/>
          <w:kern w:val="24"/>
          <w:lang w:val="en-US"/>
        </w:rPr>
        <w:t>transduced with vector alone</w:t>
      </w:r>
      <w:r w:rsidR="00FF572A">
        <w:rPr>
          <w:rFonts w:eastAsia="Calibri"/>
          <w:color w:val="000000" w:themeColor="text1"/>
          <w:kern w:val="24"/>
          <w:lang w:val="en-US"/>
        </w:rPr>
        <w:t xml:space="preserve"> (MCF7.C), and MCF7 with overexpression of UGT8 (MCF7.UGT8) cells,</w:t>
      </w:r>
      <w:r w:rsidR="006340E5">
        <w:rPr>
          <w:rFonts w:eastAsia="Calibri"/>
          <w:color w:val="000000" w:themeColor="text1"/>
          <w:kern w:val="24"/>
          <w:lang w:val="en-US"/>
        </w:rPr>
        <w:t xml:space="preserve"> </w:t>
      </w:r>
      <w:r w:rsidR="006340E5" w:rsidRPr="006340E5">
        <w:rPr>
          <w:rFonts w:eastAsia="Calibri"/>
          <w:b/>
          <w:color w:val="000000" w:themeColor="text1"/>
          <w:kern w:val="24"/>
          <w:lang w:val="en-US"/>
        </w:rPr>
        <w:t>(</w:t>
      </w:r>
      <w:r w:rsidR="002B4EC9">
        <w:rPr>
          <w:rFonts w:eastAsia="Calibri"/>
          <w:b/>
          <w:color w:val="000000" w:themeColor="text1"/>
          <w:kern w:val="24"/>
          <w:lang w:val="en-US"/>
        </w:rPr>
        <w:t>C</w:t>
      </w:r>
      <w:r w:rsidR="006340E5" w:rsidRPr="006340E5">
        <w:rPr>
          <w:rFonts w:eastAsia="Calibri"/>
          <w:b/>
          <w:color w:val="000000" w:themeColor="text1"/>
          <w:kern w:val="24"/>
          <w:lang w:val="en-US"/>
        </w:rPr>
        <w:t>)</w:t>
      </w:r>
      <w:r w:rsidR="006340E5">
        <w:rPr>
          <w:rFonts w:eastAsia="Calibri"/>
          <w:b/>
          <w:color w:val="000000" w:themeColor="text1"/>
          <w:kern w:val="24"/>
          <w:lang w:val="en-US"/>
        </w:rPr>
        <w:t xml:space="preserve"> </w:t>
      </w:r>
      <w:r w:rsidR="006340E5" w:rsidRPr="00301A52">
        <w:rPr>
          <w:rFonts w:eastAsia="Calibri"/>
          <w:bCs/>
          <w:color w:val="000000" w:themeColor="text1"/>
          <w:kern w:val="24"/>
          <w:lang w:val="en-US"/>
        </w:rPr>
        <w:t>parental</w:t>
      </w:r>
      <w:r w:rsidR="006340E5">
        <w:rPr>
          <w:rFonts w:eastAsia="Calibri"/>
          <w:bCs/>
          <w:color w:val="000000" w:themeColor="text1"/>
          <w:kern w:val="24"/>
          <w:lang w:val="en-US"/>
        </w:rPr>
        <w:t xml:space="preserve"> </w:t>
      </w:r>
      <w:r w:rsidR="006340E5" w:rsidRPr="00301A52">
        <w:rPr>
          <w:rFonts w:eastAsia="Calibri"/>
          <w:bCs/>
          <w:color w:val="000000" w:themeColor="text1"/>
          <w:kern w:val="24"/>
          <w:lang w:val="en-US"/>
        </w:rPr>
        <w:t>T47D</w:t>
      </w:r>
      <w:r w:rsidR="006340E5" w:rsidRPr="00301A52">
        <w:rPr>
          <w:rFonts w:eastAsia="Calibri"/>
          <w:color w:val="000000" w:themeColor="text1"/>
          <w:kern w:val="24"/>
          <w:lang w:val="en-US"/>
        </w:rPr>
        <w:t>, control T47D transduced with vector alone (T47D.C)</w:t>
      </w:r>
      <w:r w:rsidR="00903B9D">
        <w:rPr>
          <w:rFonts w:eastAsia="Calibri"/>
          <w:color w:val="000000" w:themeColor="text1"/>
          <w:kern w:val="24"/>
          <w:lang w:val="en-US"/>
        </w:rPr>
        <w:t>,</w:t>
      </w:r>
      <w:r w:rsidR="006340E5" w:rsidRPr="00301A52">
        <w:rPr>
          <w:rFonts w:eastAsia="Calibri"/>
          <w:color w:val="000000" w:themeColor="text1"/>
          <w:kern w:val="24"/>
          <w:lang w:val="en-US"/>
        </w:rPr>
        <w:t xml:space="preserve"> and T47D cells with </w:t>
      </w:r>
      <w:r w:rsidR="006340E5">
        <w:rPr>
          <w:rFonts w:eastAsia="Calibri"/>
          <w:color w:val="000000" w:themeColor="text1"/>
          <w:kern w:val="24"/>
          <w:lang w:val="en-US"/>
        </w:rPr>
        <w:t>over</w:t>
      </w:r>
      <w:r w:rsidR="006340E5" w:rsidRPr="00301A52">
        <w:rPr>
          <w:rFonts w:eastAsia="Calibri"/>
          <w:color w:val="000000" w:themeColor="text1"/>
          <w:kern w:val="24"/>
          <w:lang w:val="en-US"/>
        </w:rPr>
        <w:t xml:space="preserve">expression of </w:t>
      </w:r>
      <w:r w:rsidR="006340E5">
        <w:rPr>
          <w:rFonts w:eastAsia="Calibri"/>
          <w:color w:val="000000" w:themeColor="text1"/>
          <w:kern w:val="24"/>
          <w:lang w:val="en-US"/>
        </w:rPr>
        <w:t>UGT8</w:t>
      </w:r>
      <w:r w:rsidR="006340E5" w:rsidRPr="00301A52">
        <w:rPr>
          <w:rFonts w:eastAsia="Calibri"/>
          <w:color w:val="000000" w:themeColor="text1"/>
          <w:kern w:val="24"/>
          <w:lang w:val="en-US"/>
        </w:rPr>
        <w:t xml:space="preserve"> (T47D.</w:t>
      </w:r>
      <w:r w:rsidR="006340E5">
        <w:rPr>
          <w:rFonts w:eastAsia="Calibri"/>
          <w:color w:val="000000" w:themeColor="text1"/>
          <w:kern w:val="24"/>
          <w:lang w:val="en-US"/>
        </w:rPr>
        <w:t>UGT8</w:t>
      </w:r>
      <w:r w:rsidR="006340E5" w:rsidRPr="00301A52">
        <w:rPr>
          <w:rFonts w:eastAsia="Calibri"/>
          <w:color w:val="000000" w:themeColor="text1"/>
          <w:kern w:val="24"/>
          <w:lang w:val="en-US"/>
        </w:rPr>
        <w:t>)</w:t>
      </w:r>
      <w:r w:rsidR="002B4EC9">
        <w:rPr>
          <w:rFonts w:eastAsia="Calibri"/>
          <w:color w:val="000000" w:themeColor="text1"/>
          <w:kern w:val="24"/>
          <w:lang w:val="en-US"/>
        </w:rPr>
        <w:t>.</w:t>
      </w:r>
      <w:r w:rsidR="006340E5">
        <w:rPr>
          <w:rFonts w:eastAsia="Calibri"/>
          <w:b/>
          <w:color w:val="000000" w:themeColor="text1"/>
          <w:kern w:val="24"/>
          <w:lang w:val="en-US"/>
        </w:rPr>
        <w:t xml:space="preserve"> </w:t>
      </w:r>
      <w:r w:rsidR="00FF572A" w:rsidRPr="00301A52">
        <w:rPr>
          <w:rFonts w:eastAsia="Calibri"/>
          <w:color w:val="000000" w:themeColor="text1"/>
          <w:kern w:val="24"/>
          <w:lang w:val="en-US"/>
        </w:rPr>
        <w:t>The number of cell nuclei in a given phase of the cell cycle was calculated by flow cytometry after staining with "</w:t>
      </w:r>
      <w:proofErr w:type="spellStart"/>
      <w:r w:rsidR="00FF572A" w:rsidRPr="00301A52">
        <w:rPr>
          <w:rFonts w:eastAsia="Calibri"/>
          <w:color w:val="000000" w:themeColor="text1"/>
          <w:kern w:val="24"/>
          <w:lang w:val="en-US"/>
        </w:rPr>
        <w:t>FxCellcycle</w:t>
      </w:r>
      <w:proofErr w:type="spellEnd"/>
      <w:r w:rsidR="00862CE7">
        <w:rPr>
          <w:rFonts w:eastAsia="Calibri"/>
          <w:color w:val="000000" w:themeColor="text1"/>
          <w:kern w:val="24"/>
          <w:lang w:val="en-US"/>
        </w:rPr>
        <w:t xml:space="preserve"> </w:t>
      </w:r>
      <w:r w:rsidR="00FF572A" w:rsidRPr="00301A52">
        <w:rPr>
          <w:rFonts w:eastAsia="Calibri"/>
          <w:color w:val="000000" w:themeColor="text1"/>
          <w:kern w:val="24"/>
          <w:lang w:val="en-US"/>
        </w:rPr>
        <w:t>PI/</w:t>
      </w:r>
      <w:proofErr w:type="spellStart"/>
      <w:r w:rsidR="00FF572A" w:rsidRPr="00301A52">
        <w:rPr>
          <w:rFonts w:eastAsia="Calibri"/>
          <w:color w:val="000000" w:themeColor="text1"/>
          <w:kern w:val="24"/>
          <w:lang w:val="en-US"/>
        </w:rPr>
        <w:t>RNAse</w:t>
      </w:r>
      <w:proofErr w:type="spellEnd"/>
      <w:r w:rsidR="00FF572A" w:rsidRPr="00301A52">
        <w:rPr>
          <w:rFonts w:eastAsia="Calibri"/>
          <w:color w:val="000000" w:themeColor="text1"/>
          <w:kern w:val="24"/>
          <w:lang w:val="en-US"/>
        </w:rPr>
        <w:t xml:space="preserve"> </w:t>
      </w:r>
      <w:r w:rsidR="00903B9D">
        <w:rPr>
          <w:rFonts w:eastAsia="Calibri"/>
          <w:color w:val="000000" w:themeColor="text1"/>
          <w:kern w:val="24"/>
          <w:lang w:val="en-US"/>
        </w:rPr>
        <w:t>“</w:t>
      </w:r>
      <w:r w:rsidR="00FF572A" w:rsidRPr="00301A52">
        <w:rPr>
          <w:rFonts w:eastAsia="Calibri"/>
          <w:color w:val="000000" w:themeColor="text1"/>
          <w:kern w:val="24"/>
          <w:lang w:val="en-US"/>
        </w:rPr>
        <w:t>solution</w:t>
      </w:r>
      <w:r w:rsidR="00681B23">
        <w:rPr>
          <w:rFonts w:eastAsia="Calibri"/>
          <w:color w:val="000000" w:themeColor="text1"/>
          <w:kern w:val="24"/>
          <w:lang w:val="en-US"/>
        </w:rPr>
        <w:t xml:space="preserve"> (</w:t>
      </w:r>
      <w:r w:rsidR="00681B23" w:rsidRPr="00F009AB">
        <w:rPr>
          <w:lang w:val="en-GB"/>
        </w:rPr>
        <w:t xml:space="preserve">Thermo Fisher </w:t>
      </w:r>
      <w:r w:rsidR="00681B23" w:rsidRPr="00681B23">
        <w:rPr>
          <w:lang w:val="en-GB"/>
        </w:rPr>
        <w:t>Scientific)</w:t>
      </w:r>
      <w:r w:rsidR="00681B23" w:rsidRPr="00681B23">
        <w:rPr>
          <w:rFonts w:eastAsia="Calibri"/>
          <w:kern w:val="24"/>
          <w:lang w:val="en-US"/>
        </w:rPr>
        <w:t xml:space="preserve">. </w:t>
      </w:r>
      <w:r w:rsidR="00FF572A" w:rsidRPr="00681B23">
        <w:rPr>
          <w:rFonts w:eastAsia="Calibri"/>
          <w:kern w:val="24"/>
          <w:lang w:val="en-US"/>
        </w:rPr>
        <w:t xml:space="preserve">Data are </w:t>
      </w:r>
      <w:r w:rsidR="00FF572A" w:rsidRPr="00301A52">
        <w:rPr>
          <w:rFonts w:eastAsia="Calibri"/>
          <w:color w:val="000000" w:themeColor="text1"/>
          <w:kern w:val="24"/>
          <w:lang w:val="en-US"/>
        </w:rPr>
        <w:t xml:space="preserve">presented as </w:t>
      </w:r>
      <w:r w:rsidR="00FF572A" w:rsidRPr="00301A52">
        <w:rPr>
          <w:rFonts w:eastAsia="Calibri"/>
          <w:kern w:val="24"/>
          <w:lang w:val="en-US"/>
        </w:rPr>
        <w:t>the average of three independent measurements (n=3).</w:t>
      </w:r>
    </w:p>
    <w:p w:rsidR="00AE2A5B" w:rsidRDefault="00AE2A5B" w:rsidP="00AE2A5B">
      <w:pPr>
        <w:spacing w:line="480" w:lineRule="auto"/>
        <w:jc w:val="both"/>
        <w:rPr>
          <w:lang w:val="en-GB"/>
        </w:rPr>
      </w:pPr>
      <w:r w:rsidRPr="00AE2A5B">
        <w:rPr>
          <w:b/>
          <w:lang w:val="en-GB"/>
        </w:rPr>
        <w:lastRenderedPageBreak/>
        <w:t xml:space="preserve">Figure S3: </w:t>
      </w:r>
      <w:r w:rsidR="00562FDC">
        <w:rPr>
          <w:lang w:val="en-GB"/>
        </w:rPr>
        <w:t>Differentially expressed</w:t>
      </w:r>
      <w:r w:rsidR="008410F8">
        <w:rPr>
          <w:lang w:val="en-GB"/>
        </w:rPr>
        <w:t xml:space="preserve"> apoptosis-related genes in BC</w:t>
      </w:r>
      <w:r w:rsidR="008410F8" w:rsidRPr="008410F8">
        <w:rPr>
          <w:lang w:val="en-GB"/>
        </w:rPr>
        <w:t xml:space="preserve"> </w:t>
      </w:r>
      <w:r w:rsidR="008410F8" w:rsidRPr="00AE2A5B">
        <w:rPr>
          <w:lang w:val="en-GB"/>
        </w:rPr>
        <w:t xml:space="preserve">cellular models with different content of </w:t>
      </w:r>
      <w:proofErr w:type="spellStart"/>
      <w:r w:rsidR="008410F8" w:rsidRPr="00AE2A5B">
        <w:rPr>
          <w:lang w:val="en-GB"/>
        </w:rPr>
        <w:t>GalCer</w:t>
      </w:r>
      <w:proofErr w:type="spellEnd"/>
      <w:r w:rsidR="008410F8">
        <w:rPr>
          <w:lang w:val="en-GB"/>
        </w:rPr>
        <w:t xml:space="preserve">. </w:t>
      </w:r>
      <w:r w:rsidRPr="00AE2A5B">
        <w:rPr>
          <w:lang w:val="en-GB"/>
        </w:rPr>
        <w:t xml:space="preserve">Venn </w:t>
      </w:r>
      <w:r w:rsidR="008410F8">
        <w:rPr>
          <w:lang w:val="en-GB"/>
        </w:rPr>
        <w:t>plot shows the common</w:t>
      </w:r>
      <w:r w:rsidRPr="00AE2A5B">
        <w:rPr>
          <w:lang w:val="en-GB"/>
        </w:rPr>
        <w:t xml:space="preserve"> apoptotic genes</w:t>
      </w:r>
      <w:r w:rsidR="00375A45">
        <w:rPr>
          <w:lang w:val="en-GB"/>
        </w:rPr>
        <w:t xml:space="preserve"> (</w:t>
      </w:r>
      <w:r w:rsidR="00375A45" w:rsidRPr="00375A45">
        <w:rPr>
          <w:i/>
          <w:lang w:val="en-GB"/>
        </w:rPr>
        <w:t>BCL2</w:t>
      </w:r>
      <w:r w:rsidR="00375A45">
        <w:rPr>
          <w:lang w:val="en-GB"/>
        </w:rPr>
        <w:t xml:space="preserve">, </w:t>
      </w:r>
      <w:r w:rsidR="00375A45" w:rsidRPr="00375A45">
        <w:rPr>
          <w:i/>
          <w:lang w:val="en-GB"/>
        </w:rPr>
        <w:t>TNFRSF1</w:t>
      </w:r>
      <w:r w:rsidR="00375A45">
        <w:rPr>
          <w:lang w:val="en-GB"/>
        </w:rPr>
        <w:t xml:space="preserve">, and </w:t>
      </w:r>
      <w:r w:rsidR="00375A45" w:rsidRPr="00375A45">
        <w:rPr>
          <w:i/>
          <w:lang w:val="en-GB"/>
        </w:rPr>
        <w:t>TNFRSF9</w:t>
      </w:r>
      <w:r w:rsidR="00375A45">
        <w:rPr>
          <w:lang w:val="en-GB"/>
        </w:rPr>
        <w:t>)</w:t>
      </w:r>
      <w:r w:rsidRPr="00AE2A5B">
        <w:rPr>
          <w:lang w:val="en-GB"/>
        </w:rPr>
        <w:t xml:space="preserve"> shared b</w:t>
      </w:r>
      <w:r w:rsidR="008410F8">
        <w:rPr>
          <w:lang w:val="en-GB"/>
        </w:rPr>
        <w:t>y</w:t>
      </w:r>
      <w:r w:rsidRPr="00AE2A5B">
        <w:rPr>
          <w:lang w:val="en-GB"/>
        </w:rPr>
        <w:t xml:space="preserve"> BC cells with high (MDA.</w:t>
      </w:r>
      <w:r w:rsidRPr="00AE2A5B">
        <w:rPr>
          <w:lang w:val="en-GB"/>
        </w:rPr>
        <w:sym w:font="Symbol" w:char="F044"/>
      </w:r>
      <w:r w:rsidRPr="00AE2A5B">
        <w:rPr>
          <w:lang w:val="en-GB"/>
        </w:rPr>
        <w:t>.C, MCF7.UGT8, and T47D.UGT8) and low (MDA.</w:t>
      </w:r>
      <w:r w:rsidRPr="00AE2A5B">
        <w:rPr>
          <w:lang w:val="en-GB"/>
        </w:rPr>
        <w:sym w:font="Symbol" w:char="F044"/>
      </w:r>
      <w:r w:rsidRPr="00AE2A5B">
        <w:rPr>
          <w:lang w:val="en-GB"/>
        </w:rPr>
        <w:t>.UGT8.4, MCF7.C</w:t>
      </w:r>
      <w:r w:rsidR="0036002D">
        <w:rPr>
          <w:lang w:val="en-GB"/>
        </w:rPr>
        <w:t>,</w:t>
      </w:r>
      <w:r w:rsidRPr="00AE2A5B">
        <w:rPr>
          <w:lang w:val="en-GB"/>
        </w:rPr>
        <w:t xml:space="preserve"> and T47D.C)</w:t>
      </w:r>
      <w:r w:rsidRPr="00AE2A5B">
        <w:rPr>
          <w:i/>
          <w:lang w:val="en-GB"/>
        </w:rPr>
        <w:t>.</w:t>
      </w:r>
      <w:r w:rsidRPr="00AE2A5B">
        <w:rPr>
          <w:lang w:val="en-GB"/>
        </w:rPr>
        <w:t xml:space="preserve"> Arrows indicate an increase or decrease in gene expression</w:t>
      </w:r>
      <w:r w:rsidR="00375A45">
        <w:rPr>
          <w:lang w:val="en-GB"/>
        </w:rPr>
        <w:t xml:space="preserve"> levels</w:t>
      </w:r>
      <w:r w:rsidRPr="00AE2A5B">
        <w:rPr>
          <w:lang w:val="en-GB"/>
        </w:rPr>
        <w:t>.</w:t>
      </w:r>
    </w:p>
    <w:p w:rsidR="00DE01EC" w:rsidRPr="008410F8" w:rsidRDefault="00DE01EC" w:rsidP="00AE2A5B">
      <w:pPr>
        <w:spacing w:line="480" w:lineRule="auto"/>
        <w:jc w:val="both"/>
        <w:rPr>
          <w:lang w:val="en-GB"/>
        </w:rPr>
      </w:pPr>
    </w:p>
    <w:p w:rsidR="00E47C1F" w:rsidRDefault="00E47C1F" w:rsidP="00903B9D">
      <w:pPr>
        <w:spacing w:line="480" w:lineRule="auto"/>
        <w:jc w:val="both"/>
        <w:rPr>
          <w:lang w:val="en-US"/>
        </w:rPr>
      </w:pPr>
      <w:r w:rsidRPr="00EC3CDD">
        <w:rPr>
          <w:b/>
          <w:color w:val="000000"/>
          <w:lang w:val="en-US"/>
        </w:rPr>
        <w:t>Figure S</w:t>
      </w:r>
      <w:r w:rsidR="00AE2A5B">
        <w:rPr>
          <w:b/>
          <w:color w:val="000000"/>
          <w:lang w:val="en-US"/>
        </w:rPr>
        <w:t>4</w:t>
      </w:r>
      <w:r>
        <w:rPr>
          <w:b/>
          <w:color w:val="000000"/>
          <w:lang w:val="en-US"/>
        </w:rPr>
        <w:t xml:space="preserve">: </w:t>
      </w:r>
      <w:r w:rsidRPr="006F6772">
        <w:rPr>
          <w:shd w:val="clear" w:color="auto" w:fill="FFFFFF"/>
          <w:lang w:val="en-US"/>
        </w:rPr>
        <w:t xml:space="preserve">cDNA transcriptional microarray analysis of apoptotic genes in </w:t>
      </w:r>
      <w:r w:rsidRPr="006F6772">
        <w:rPr>
          <w:rFonts w:eastAsiaTheme="minorEastAsia"/>
          <w:bCs/>
          <w:kern w:val="24"/>
          <w:lang w:val="en-US"/>
        </w:rPr>
        <w:t>human BC</w:t>
      </w:r>
      <w:r w:rsidR="00396A6C">
        <w:rPr>
          <w:rFonts w:eastAsiaTheme="minorEastAsia"/>
          <w:bCs/>
          <w:kern w:val="24"/>
          <w:lang w:val="en-US"/>
        </w:rPr>
        <w:t xml:space="preserve"> </w:t>
      </w:r>
      <w:r w:rsidRPr="006F6772">
        <w:rPr>
          <w:rFonts w:eastAsiaTheme="minorEastAsia"/>
          <w:bCs/>
          <w:kern w:val="24"/>
          <w:lang w:val="en-US"/>
        </w:rPr>
        <w:t xml:space="preserve">cell lines with </w:t>
      </w:r>
      <w:r w:rsidR="00DE01EC">
        <w:rPr>
          <w:rFonts w:eastAsiaTheme="minorEastAsia"/>
          <w:bCs/>
          <w:kern w:val="24"/>
          <w:lang w:val="en-US"/>
        </w:rPr>
        <w:t xml:space="preserve">a </w:t>
      </w:r>
      <w:r w:rsidRPr="006F6772">
        <w:rPr>
          <w:rFonts w:eastAsiaTheme="minorEastAsia"/>
          <w:bCs/>
          <w:kern w:val="24"/>
          <w:lang w:val="en-US"/>
        </w:rPr>
        <w:t xml:space="preserve">knockout of </w:t>
      </w:r>
      <w:r w:rsidRPr="006F6772">
        <w:rPr>
          <w:rFonts w:eastAsiaTheme="minorEastAsia"/>
          <w:bCs/>
          <w:i/>
          <w:kern w:val="24"/>
          <w:lang w:val="en-US"/>
        </w:rPr>
        <w:t>UGT8</w:t>
      </w:r>
      <w:r w:rsidRPr="006F6772">
        <w:rPr>
          <w:rFonts w:eastAsiaTheme="minorEastAsia"/>
          <w:bCs/>
          <w:kern w:val="24"/>
          <w:lang w:val="en-US"/>
        </w:rPr>
        <w:t xml:space="preserve"> gene - </w:t>
      </w:r>
      <w:r w:rsidRPr="006F6772">
        <w:rPr>
          <w:lang w:val="en-US"/>
        </w:rPr>
        <w:t>MDA.</w:t>
      </w:r>
      <w:r w:rsidRPr="006F6772">
        <w:rPr>
          <w:lang w:val="en-US"/>
        </w:rPr>
        <w:sym w:font="Symbol" w:char="F044"/>
      </w:r>
      <w:r w:rsidRPr="006F6772">
        <w:rPr>
          <w:lang w:val="en-US"/>
        </w:rPr>
        <w:t>.UGT8.4 vs.</w:t>
      </w:r>
      <w:r w:rsidRPr="006F6772">
        <w:rPr>
          <w:rFonts w:eastAsia="Calibri"/>
          <w:kern w:val="24"/>
          <w:lang w:val="en-US"/>
        </w:rPr>
        <w:t xml:space="preserve"> MDA.</w:t>
      </w:r>
      <w:r w:rsidRPr="006F6772">
        <w:rPr>
          <w:rFonts w:eastAsia="Calibri"/>
          <w:kern w:val="24"/>
          <w:lang w:val="en-US"/>
        </w:rPr>
        <w:sym w:font="Symbol" w:char="F044"/>
      </w:r>
      <w:r w:rsidRPr="006F6772">
        <w:rPr>
          <w:rFonts w:eastAsia="Calibri"/>
          <w:kern w:val="24"/>
          <w:lang w:val="en-US"/>
        </w:rPr>
        <w:t xml:space="preserve">.C </w:t>
      </w:r>
      <w:r w:rsidRPr="006F6772">
        <w:rPr>
          <w:rFonts w:eastAsia="Calibri"/>
          <w:b/>
          <w:kern w:val="24"/>
          <w:lang w:val="en-US"/>
        </w:rPr>
        <w:t>(A)</w:t>
      </w:r>
      <w:r w:rsidR="00903B9D" w:rsidRPr="00903B9D">
        <w:rPr>
          <w:rFonts w:eastAsia="Calibri"/>
          <w:kern w:val="24"/>
          <w:lang w:val="en-US"/>
        </w:rPr>
        <w:t>,</w:t>
      </w:r>
      <w:r w:rsidRPr="006F6772">
        <w:rPr>
          <w:lang w:val="en-US"/>
        </w:rPr>
        <w:t xml:space="preserve"> </w:t>
      </w:r>
      <w:r w:rsidRPr="006F6772">
        <w:rPr>
          <w:rFonts w:eastAsiaTheme="minorEastAsia"/>
          <w:bCs/>
          <w:kern w:val="24"/>
          <w:lang w:val="en-US"/>
        </w:rPr>
        <w:t xml:space="preserve">overexpression of </w:t>
      </w:r>
      <w:r w:rsidRPr="006F6772">
        <w:rPr>
          <w:rFonts w:eastAsiaTheme="minorEastAsia"/>
          <w:bCs/>
          <w:i/>
          <w:kern w:val="24"/>
          <w:lang w:val="en-US"/>
        </w:rPr>
        <w:t>UGT8</w:t>
      </w:r>
      <w:r w:rsidRPr="006F6772">
        <w:rPr>
          <w:rFonts w:eastAsiaTheme="minorEastAsia"/>
          <w:bCs/>
          <w:kern w:val="24"/>
          <w:lang w:val="en-US"/>
        </w:rPr>
        <w:t xml:space="preserve"> gene - </w:t>
      </w:r>
      <w:r w:rsidRPr="006F6772">
        <w:rPr>
          <w:rFonts w:eastAsia="Calibri"/>
          <w:kern w:val="24"/>
          <w:lang w:val="en-US"/>
        </w:rPr>
        <w:t>MCF7.UGT8 vs. MCF7.C</w:t>
      </w:r>
      <w:r w:rsidRPr="006F6772">
        <w:rPr>
          <w:rFonts w:eastAsiaTheme="minorEastAsia"/>
          <w:bCs/>
          <w:kern w:val="24"/>
          <w:lang w:val="en-US"/>
        </w:rPr>
        <w:t xml:space="preserve"> </w:t>
      </w:r>
      <w:r w:rsidRPr="006F6772">
        <w:rPr>
          <w:rFonts w:eastAsiaTheme="minorEastAsia"/>
          <w:b/>
          <w:bCs/>
          <w:kern w:val="24"/>
          <w:lang w:val="en-US"/>
        </w:rPr>
        <w:t>(B)</w:t>
      </w:r>
      <w:r w:rsidR="00903B9D">
        <w:rPr>
          <w:rFonts w:eastAsiaTheme="minorEastAsia"/>
          <w:b/>
          <w:bCs/>
          <w:kern w:val="24"/>
          <w:lang w:val="en-US"/>
        </w:rPr>
        <w:t>,</w:t>
      </w:r>
      <w:r w:rsidRPr="006F6772">
        <w:rPr>
          <w:rFonts w:eastAsiaTheme="minorEastAsia"/>
          <w:bCs/>
          <w:kern w:val="24"/>
          <w:lang w:val="en-US"/>
        </w:rPr>
        <w:t xml:space="preserve"> and</w:t>
      </w:r>
      <w:r w:rsidRPr="006F6772">
        <w:rPr>
          <w:rFonts w:eastAsia="Calibri"/>
          <w:kern w:val="24"/>
          <w:lang w:val="en-US"/>
        </w:rPr>
        <w:t xml:space="preserve"> T47D.UGT8 vs. T47D.C </w:t>
      </w:r>
      <w:r w:rsidRPr="006F6772">
        <w:rPr>
          <w:rFonts w:eastAsiaTheme="minorEastAsia"/>
          <w:b/>
          <w:bCs/>
          <w:kern w:val="24"/>
          <w:lang w:val="en-US"/>
        </w:rPr>
        <w:t>(C)</w:t>
      </w:r>
      <w:r w:rsidRPr="006F6772">
        <w:rPr>
          <w:rFonts w:eastAsiaTheme="minorEastAsia"/>
          <w:bCs/>
          <w:kern w:val="24"/>
          <w:lang w:val="en-US"/>
        </w:rPr>
        <w:t>.</w:t>
      </w:r>
      <w:r w:rsidRPr="006F6772">
        <w:rPr>
          <w:shd w:val="clear" w:color="auto" w:fill="FFFFFF"/>
          <w:lang w:val="en-US"/>
        </w:rPr>
        <w:t xml:space="preserve"> The relative expression levels for each gene are plotted against the same gene from </w:t>
      </w:r>
      <w:r w:rsidRPr="006F6772">
        <w:rPr>
          <w:lang w:val="en-US"/>
        </w:rPr>
        <w:t xml:space="preserve">the control group. The middle line shows </w:t>
      </w:r>
      <w:r w:rsidR="00DE01EC">
        <w:rPr>
          <w:lang w:val="en-US"/>
        </w:rPr>
        <w:t>a</w:t>
      </w:r>
      <w:r w:rsidRPr="006F6772">
        <w:rPr>
          <w:lang w:val="en-US"/>
        </w:rPr>
        <w:t xml:space="preserve"> similar expression in both groups with three-fold change boundaries. Genes upregulated greater than three-fold in BC cells lie above the boundary line, and downregulated genes lie below the boundary line. Genes that are upregulated in </w:t>
      </w:r>
      <w:r w:rsidR="006F6772" w:rsidRPr="006F6772">
        <w:rPr>
          <w:lang w:val="en-US"/>
        </w:rPr>
        <w:t xml:space="preserve">BC cells with </w:t>
      </w:r>
      <w:r w:rsidR="006F6772" w:rsidRPr="006F6772">
        <w:rPr>
          <w:rFonts w:eastAsiaTheme="minorEastAsia"/>
          <w:bCs/>
          <w:kern w:val="24"/>
          <w:lang w:val="en-US"/>
        </w:rPr>
        <w:t xml:space="preserve">knockout of </w:t>
      </w:r>
      <w:r w:rsidR="00DE01EC">
        <w:rPr>
          <w:rFonts w:eastAsiaTheme="minorEastAsia"/>
          <w:bCs/>
          <w:kern w:val="24"/>
          <w:lang w:val="en-US"/>
        </w:rPr>
        <w:t xml:space="preserve">the </w:t>
      </w:r>
      <w:r w:rsidR="006F6772" w:rsidRPr="006F6772">
        <w:rPr>
          <w:rFonts w:eastAsiaTheme="minorEastAsia"/>
          <w:bCs/>
          <w:i/>
          <w:kern w:val="24"/>
          <w:lang w:val="en-US"/>
        </w:rPr>
        <w:t>UGT8</w:t>
      </w:r>
      <w:r w:rsidR="006F6772" w:rsidRPr="006F6772">
        <w:rPr>
          <w:rFonts w:eastAsiaTheme="minorEastAsia"/>
          <w:bCs/>
          <w:kern w:val="24"/>
          <w:lang w:val="en-US"/>
        </w:rPr>
        <w:t xml:space="preserve"> gene</w:t>
      </w:r>
      <w:r w:rsidRPr="006F6772">
        <w:rPr>
          <w:lang w:val="en-US"/>
        </w:rPr>
        <w:t xml:space="preserve"> and simultaneously down-regulated in </w:t>
      </w:r>
      <w:r w:rsidR="006F6772" w:rsidRPr="006F6772">
        <w:rPr>
          <w:lang w:val="en-US"/>
        </w:rPr>
        <w:t xml:space="preserve">BC cells with </w:t>
      </w:r>
      <w:r w:rsidR="006F6772" w:rsidRPr="006F6772">
        <w:rPr>
          <w:rFonts w:eastAsiaTheme="minorEastAsia"/>
          <w:bCs/>
          <w:kern w:val="24"/>
          <w:lang w:val="en-US"/>
        </w:rPr>
        <w:t xml:space="preserve">overexpression of </w:t>
      </w:r>
      <w:r w:rsidR="00DE01EC">
        <w:rPr>
          <w:rFonts w:eastAsiaTheme="minorEastAsia"/>
          <w:bCs/>
          <w:kern w:val="24"/>
          <w:lang w:val="en-US"/>
        </w:rPr>
        <w:t xml:space="preserve">the </w:t>
      </w:r>
      <w:r w:rsidR="006F6772" w:rsidRPr="006F6772">
        <w:rPr>
          <w:rFonts w:eastAsiaTheme="minorEastAsia"/>
          <w:bCs/>
          <w:i/>
          <w:kern w:val="24"/>
          <w:lang w:val="en-US"/>
        </w:rPr>
        <w:t>UGT8</w:t>
      </w:r>
      <w:r w:rsidR="006F6772" w:rsidRPr="006F6772">
        <w:rPr>
          <w:rFonts w:eastAsiaTheme="minorEastAsia"/>
          <w:bCs/>
          <w:kern w:val="24"/>
          <w:lang w:val="en-US"/>
        </w:rPr>
        <w:t xml:space="preserve"> gene</w:t>
      </w:r>
      <w:r w:rsidRPr="006F6772">
        <w:rPr>
          <w:lang w:val="en-US"/>
        </w:rPr>
        <w:t xml:space="preserve"> are indicated in the rectangle.</w:t>
      </w:r>
    </w:p>
    <w:p w:rsidR="00903B9D" w:rsidRDefault="00903B9D" w:rsidP="00903B9D">
      <w:pPr>
        <w:spacing w:line="480" w:lineRule="auto"/>
        <w:jc w:val="both"/>
        <w:rPr>
          <w:rFonts w:eastAsia="Calibri"/>
          <w:b/>
          <w:color w:val="000000" w:themeColor="text1"/>
          <w:kern w:val="24"/>
          <w:lang w:val="en-US"/>
        </w:rPr>
      </w:pPr>
    </w:p>
    <w:p w:rsidR="00862CE7" w:rsidRDefault="00846330" w:rsidP="00903B9D">
      <w:pPr>
        <w:spacing w:line="480" w:lineRule="auto"/>
        <w:jc w:val="both"/>
        <w:rPr>
          <w:lang w:val="en-US"/>
        </w:rPr>
      </w:pPr>
      <w:r w:rsidRPr="00EC3CDD">
        <w:rPr>
          <w:b/>
          <w:color w:val="000000"/>
          <w:lang w:val="en-US"/>
        </w:rPr>
        <w:t>Figure S</w:t>
      </w:r>
      <w:r w:rsidR="00AE2A5B">
        <w:rPr>
          <w:b/>
          <w:color w:val="000000"/>
          <w:lang w:val="en-US"/>
        </w:rPr>
        <w:t>5</w:t>
      </w:r>
      <w:r w:rsidR="00B76B67">
        <w:rPr>
          <w:b/>
          <w:color w:val="000000"/>
          <w:lang w:val="en-US"/>
        </w:rPr>
        <w:t>:</w:t>
      </w:r>
      <w:r w:rsidR="008C2CE7" w:rsidRPr="008C2CE7">
        <w:rPr>
          <w:rFonts w:eastAsiaTheme="minorEastAsia"/>
          <w:b/>
          <w:bCs/>
          <w:color w:val="000000" w:themeColor="text1"/>
          <w:kern w:val="24"/>
          <w:lang w:val="en-US"/>
        </w:rPr>
        <w:t xml:space="preserve"> </w:t>
      </w:r>
      <w:r w:rsidR="008C2CE7" w:rsidRPr="008C2CE7">
        <w:rPr>
          <w:rFonts w:eastAsiaTheme="minorEastAsia"/>
          <w:bCs/>
          <w:color w:val="000000" w:themeColor="text1"/>
          <w:kern w:val="24"/>
          <w:lang w:val="en-US"/>
        </w:rPr>
        <w:t xml:space="preserve">Sensitivity of BC MDA-MB-231 and </w:t>
      </w:r>
      <w:r w:rsidR="008C2CE7">
        <w:rPr>
          <w:rFonts w:eastAsiaTheme="minorEastAsia"/>
          <w:bCs/>
          <w:color w:val="000000" w:themeColor="text1"/>
          <w:kern w:val="24"/>
          <w:lang w:val="en-US"/>
        </w:rPr>
        <w:t>MCF7</w:t>
      </w:r>
      <w:r w:rsidR="008C2CE7" w:rsidRPr="008C2CE7">
        <w:rPr>
          <w:rFonts w:eastAsiaTheme="minorEastAsia"/>
          <w:bCs/>
          <w:color w:val="000000" w:themeColor="text1"/>
          <w:kern w:val="24"/>
          <w:lang w:val="en-US"/>
        </w:rPr>
        <w:t xml:space="preserve"> cells with </w:t>
      </w:r>
      <w:r w:rsidR="008C2CE7">
        <w:rPr>
          <w:rFonts w:eastAsiaTheme="minorEastAsia"/>
          <w:bCs/>
          <w:color w:val="000000" w:themeColor="text1"/>
          <w:kern w:val="24"/>
          <w:lang w:val="en-US"/>
        </w:rPr>
        <w:t>different</w:t>
      </w:r>
      <w:r w:rsidR="008C2CE7" w:rsidRPr="008C2CE7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proofErr w:type="spellStart"/>
      <w:r w:rsidR="008C2CE7">
        <w:rPr>
          <w:rFonts w:eastAsiaTheme="minorEastAsia"/>
          <w:bCs/>
          <w:color w:val="000000" w:themeColor="text1"/>
          <w:kern w:val="24"/>
          <w:lang w:val="en-US"/>
        </w:rPr>
        <w:t>GalCer</w:t>
      </w:r>
      <w:proofErr w:type="spellEnd"/>
      <w:r w:rsidR="00903B9D">
        <w:rPr>
          <w:rFonts w:eastAsiaTheme="minorEastAsia"/>
          <w:bCs/>
          <w:color w:val="000000" w:themeColor="text1"/>
          <w:kern w:val="24"/>
          <w:lang w:val="en-US"/>
        </w:rPr>
        <w:t xml:space="preserve"> levels</w:t>
      </w:r>
      <w:r w:rsidR="008C2CE7" w:rsidRPr="008C2CE7">
        <w:rPr>
          <w:rFonts w:eastAsiaTheme="minorEastAsia"/>
          <w:bCs/>
          <w:color w:val="000000" w:themeColor="text1"/>
          <w:kern w:val="24"/>
          <w:lang w:val="en-US"/>
        </w:rPr>
        <w:t xml:space="preserve"> to apoptosis induced by DOX, </w:t>
      </w:r>
      <w:r w:rsidR="008C2CE7">
        <w:rPr>
          <w:rFonts w:eastAsiaTheme="minorEastAsia"/>
          <w:bCs/>
          <w:color w:val="000000" w:themeColor="text1"/>
          <w:kern w:val="24"/>
          <w:lang w:val="en-US"/>
        </w:rPr>
        <w:t xml:space="preserve">grown in the presence of </w:t>
      </w:r>
      <w:r w:rsidR="008C2CE7" w:rsidRPr="008C2CE7">
        <w:rPr>
          <w:lang w:val="en-US"/>
        </w:rPr>
        <w:t>ABT-199 (</w:t>
      </w:r>
      <w:r w:rsidR="00697EC9">
        <w:rPr>
          <w:lang w:val="en-US"/>
        </w:rPr>
        <w:t xml:space="preserve">a </w:t>
      </w:r>
      <w:r w:rsidR="008C2CE7" w:rsidRPr="008C2CE7">
        <w:rPr>
          <w:lang w:val="en-US"/>
        </w:rPr>
        <w:t>specific inhibitor of Bcl-2)</w:t>
      </w:r>
      <w:r w:rsidR="008C2CE7">
        <w:rPr>
          <w:lang w:val="en-US"/>
        </w:rPr>
        <w:t>.</w:t>
      </w:r>
      <w:r w:rsidR="002B4EC9">
        <w:rPr>
          <w:lang w:val="en-US"/>
        </w:rPr>
        <w:t xml:space="preserve"> </w:t>
      </w:r>
      <w:r w:rsidR="002B4EC9" w:rsidRPr="009D0A90">
        <w:rPr>
          <w:rFonts w:eastAsia="Calibri"/>
          <w:b/>
          <w:color w:val="000000" w:themeColor="text1"/>
          <w:kern w:val="24"/>
          <w:lang w:val="en-US"/>
        </w:rPr>
        <w:t>(A)</w:t>
      </w:r>
      <w:r w:rsidR="002B4EC9" w:rsidRPr="002B4EC9">
        <w:rPr>
          <w:rFonts w:eastAsia="Calibri"/>
          <w:color w:val="000000" w:themeColor="text1"/>
          <w:kern w:val="24"/>
          <w:lang w:val="en-US"/>
        </w:rPr>
        <w:t xml:space="preserve"> </w:t>
      </w:r>
      <w:r w:rsidR="002B4EC9" w:rsidRPr="00301A52">
        <w:rPr>
          <w:rFonts w:eastAsia="Calibri"/>
          <w:color w:val="000000" w:themeColor="text1"/>
          <w:kern w:val="24"/>
          <w:lang w:val="en-US"/>
        </w:rPr>
        <w:t>MDA.</w:t>
      </w:r>
      <w:r w:rsidR="002B4EC9">
        <w:rPr>
          <w:rFonts w:eastAsia="Calibri"/>
          <w:color w:val="000000" w:themeColor="text1"/>
          <w:kern w:val="24"/>
          <w:lang w:val="en-US"/>
        </w:rPr>
        <w:sym w:font="Symbol" w:char="F044"/>
      </w:r>
      <w:r w:rsidR="002B4EC9">
        <w:rPr>
          <w:rFonts w:eastAsia="Calibri"/>
          <w:color w:val="000000" w:themeColor="text1"/>
          <w:kern w:val="24"/>
          <w:lang w:val="en-US"/>
        </w:rPr>
        <w:t>.</w:t>
      </w:r>
      <w:r w:rsidR="002B4EC9" w:rsidRPr="00301A52">
        <w:rPr>
          <w:rFonts w:eastAsia="Calibri"/>
          <w:color w:val="000000" w:themeColor="text1"/>
          <w:kern w:val="24"/>
          <w:lang w:val="en-US"/>
        </w:rPr>
        <w:t>C</w:t>
      </w:r>
      <w:r w:rsidR="002B4EC9">
        <w:rPr>
          <w:rFonts w:eastAsia="Calibri"/>
          <w:color w:val="000000" w:themeColor="text1"/>
          <w:kern w:val="24"/>
          <w:lang w:val="en-US"/>
        </w:rPr>
        <w:t xml:space="preserve"> -</w:t>
      </w:r>
      <w:r w:rsidR="00903B9D">
        <w:rPr>
          <w:rFonts w:eastAsia="Calibri"/>
          <w:b/>
          <w:color w:val="000000" w:themeColor="text1"/>
          <w:kern w:val="24"/>
          <w:lang w:val="en-US"/>
        </w:rPr>
        <w:t xml:space="preserve"> </w:t>
      </w:r>
      <w:r w:rsidR="002B4EC9" w:rsidRPr="00301A52">
        <w:rPr>
          <w:rFonts w:eastAsia="Calibri"/>
          <w:color w:val="000000" w:themeColor="text1"/>
          <w:kern w:val="24"/>
          <w:lang w:val="en-US"/>
        </w:rPr>
        <w:t>MDA-MB-231 transduced with vector alone</w:t>
      </w:r>
      <w:r w:rsidR="002B4EC9">
        <w:rPr>
          <w:rFonts w:eastAsia="Calibri"/>
          <w:color w:val="000000" w:themeColor="text1"/>
          <w:kern w:val="24"/>
          <w:lang w:val="en-US"/>
        </w:rPr>
        <w:t xml:space="preserve"> </w:t>
      </w:r>
      <w:r w:rsidR="002B4EC9" w:rsidRPr="00301A52">
        <w:rPr>
          <w:rFonts w:eastAsia="Calibri"/>
          <w:color w:val="000000" w:themeColor="text1"/>
          <w:kern w:val="24"/>
          <w:lang w:val="en-US"/>
        </w:rPr>
        <w:t>and</w:t>
      </w:r>
      <w:r w:rsidR="002B4EC9">
        <w:rPr>
          <w:rFonts w:eastAsia="Calibri"/>
          <w:color w:val="000000" w:themeColor="text1"/>
          <w:kern w:val="24"/>
          <w:lang w:val="en-US"/>
        </w:rPr>
        <w:t xml:space="preserve"> </w:t>
      </w:r>
      <w:r w:rsidR="002B4EC9">
        <w:rPr>
          <w:lang w:val="en-US"/>
        </w:rPr>
        <w:t>MDA.</w:t>
      </w:r>
      <w:r w:rsidR="002B4EC9">
        <w:rPr>
          <w:lang w:val="en-US"/>
        </w:rPr>
        <w:sym w:font="Symbol" w:char="F044"/>
      </w:r>
      <w:r w:rsidR="002B4EC9">
        <w:rPr>
          <w:lang w:val="en-US"/>
        </w:rPr>
        <w:t>.UGT8.4 -</w:t>
      </w:r>
      <w:r w:rsidR="002B4EC9" w:rsidRPr="00301A52">
        <w:rPr>
          <w:rFonts w:eastAsia="Calibri"/>
          <w:color w:val="000000" w:themeColor="text1"/>
          <w:kern w:val="24"/>
          <w:lang w:val="en-US"/>
        </w:rPr>
        <w:t xml:space="preserve"> MDA-MB-231 </w:t>
      </w:r>
      <w:r w:rsidR="002B4EC9">
        <w:rPr>
          <w:lang w:val="en-US"/>
        </w:rPr>
        <w:t xml:space="preserve">cell clone with </w:t>
      </w:r>
      <w:r w:rsidR="00E55296">
        <w:rPr>
          <w:lang w:val="en-US"/>
        </w:rPr>
        <w:t xml:space="preserve">a </w:t>
      </w:r>
      <w:r w:rsidR="002B4EC9">
        <w:rPr>
          <w:lang w:val="en-US"/>
        </w:rPr>
        <w:t xml:space="preserve">knockout of </w:t>
      </w:r>
      <w:r w:rsidR="002B4EC9" w:rsidRPr="00B34FCE">
        <w:rPr>
          <w:i/>
          <w:lang w:val="en-US"/>
        </w:rPr>
        <w:t>UG</w:t>
      </w:r>
      <w:r w:rsidR="002B4EC9">
        <w:rPr>
          <w:i/>
          <w:lang w:val="en-US"/>
        </w:rPr>
        <w:t xml:space="preserve">T8 </w:t>
      </w:r>
      <w:r w:rsidR="002B4EC9">
        <w:rPr>
          <w:lang w:val="en-US"/>
        </w:rPr>
        <w:t xml:space="preserve">gene; </w:t>
      </w:r>
      <w:r w:rsidR="002B4EC9" w:rsidRPr="002B4EC9">
        <w:rPr>
          <w:b/>
          <w:lang w:val="en-US"/>
        </w:rPr>
        <w:t>(B)</w:t>
      </w:r>
      <w:r w:rsidR="002B4EC9">
        <w:rPr>
          <w:rFonts w:eastAsia="Calibri"/>
          <w:b/>
          <w:color w:val="000000" w:themeColor="text1"/>
          <w:kern w:val="24"/>
          <w:lang w:val="en-US"/>
        </w:rPr>
        <w:t xml:space="preserve"> </w:t>
      </w:r>
      <w:r w:rsidR="002B4EC9">
        <w:rPr>
          <w:rFonts w:eastAsia="Calibri"/>
          <w:color w:val="000000" w:themeColor="text1"/>
          <w:kern w:val="24"/>
          <w:lang w:val="en-US"/>
        </w:rPr>
        <w:t>MCF7.C- MCF7</w:t>
      </w:r>
      <w:r w:rsidR="002B4EC9" w:rsidRPr="009D0A90">
        <w:rPr>
          <w:rFonts w:eastAsia="Calibri"/>
          <w:color w:val="000000" w:themeColor="text1"/>
          <w:kern w:val="24"/>
          <w:lang w:val="en-US"/>
        </w:rPr>
        <w:t xml:space="preserve"> </w:t>
      </w:r>
      <w:r w:rsidR="002B4EC9" w:rsidRPr="00301A52">
        <w:rPr>
          <w:rFonts w:eastAsia="Calibri"/>
          <w:color w:val="000000" w:themeColor="text1"/>
          <w:kern w:val="24"/>
          <w:lang w:val="en-US"/>
        </w:rPr>
        <w:t>transduced with vector alone</w:t>
      </w:r>
      <w:r w:rsidR="002B4EC9">
        <w:rPr>
          <w:rFonts w:eastAsia="Calibri"/>
          <w:color w:val="000000" w:themeColor="text1"/>
          <w:kern w:val="24"/>
          <w:lang w:val="en-US"/>
        </w:rPr>
        <w:t xml:space="preserve"> and</w:t>
      </w:r>
      <w:r w:rsidR="002B4EC9" w:rsidRPr="002B4EC9">
        <w:rPr>
          <w:rFonts w:eastAsia="Calibri"/>
          <w:color w:val="000000" w:themeColor="text1"/>
          <w:kern w:val="24"/>
          <w:lang w:val="en-US"/>
        </w:rPr>
        <w:t xml:space="preserve"> </w:t>
      </w:r>
      <w:r w:rsidR="002B4EC9">
        <w:rPr>
          <w:rFonts w:eastAsia="Calibri"/>
          <w:color w:val="000000" w:themeColor="text1"/>
          <w:kern w:val="24"/>
          <w:lang w:val="en-US"/>
        </w:rPr>
        <w:t xml:space="preserve">MCF7.UGT8 - MCF7 with overexpression of </w:t>
      </w:r>
      <w:r w:rsidR="002B4EC9" w:rsidRPr="00681B23">
        <w:rPr>
          <w:rFonts w:eastAsia="Calibri"/>
          <w:kern w:val="24"/>
          <w:lang w:val="en-US"/>
        </w:rPr>
        <w:t>UGT8.</w:t>
      </w:r>
      <w:r w:rsidR="008C2CE7" w:rsidRPr="00681B23">
        <w:rPr>
          <w:lang w:val="en-US"/>
        </w:rPr>
        <w:t xml:space="preserve"> </w:t>
      </w:r>
      <w:r w:rsidR="00E55296">
        <w:rPr>
          <w:lang w:val="en-US"/>
        </w:rPr>
        <w:t>The percentage</w:t>
      </w:r>
      <w:r w:rsidR="008C2CE7" w:rsidRPr="00681B23">
        <w:rPr>
          <w:lang w:val="en-US"/>
        </w:rPr>
        <w:t xml:space="preserve"> of apoptotic cells w</w:t>
      </w:r>
      <w:r w:rsidR="00140D6D" w:rsidRPr="00681B23">
        <w:rPr>
          <w:lang w:val="en-US"/>
        </w:rPr>
        <w:t>as</w:t>
      </w:r>
      <w:r w:rsidR="008C2CE7" w:rsidRPr="00681B23">
        <w:rPr>
          <w:lang w:val="en-US"/>
        </w:rPr>
        <w:t xml:space="preserve"> determined by flow cytometry using Annexin V and </w:t>
      </w:r>
      <w:r w:rsidR="008C2CE7" w:rsidRPr="00681B23">
        <w:rPr>
          <w:shd w:val="clear" w:color="auto" w:fill="FFFFFF"/>
          <w:lang w:val="en-US"/>
        </w:rPr>
        <w:t>SYTOX Green stain</w:t>
      </w:r>
      <w:r w:rsidR="008C2CE7" w:rsidRPr="00681B23">
        <w:rPr>
          <w:lang w:val="en-US"/>
        </w:rPr>
        <w:t>.</w:t>
      </w:r>
    </w:p>
    <w:p w:rsidR="008C2CE7" w:rsidRPr="008C2CE7" w:rsidRDefault="008C2CE7" w:rsidP="00903B9D">
      <w:pPr>
        <w:spacing w:line="480" w:lineRule="auto"/>
        <w:jc w:val="both"/>
        <w:rPr>
          <w:noProof/>
          <w:lang w:val="en-US"/>
        </w:rPr>
      </w:pPr>
      <w:r w:rsidRPr="008C2CE7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</w:p>
    <w:p w:rsidR="002B4EC9" w:rsidRDefault="00EC3CDD" w:rsidP="00903B9D">
      <w:pPr>
        <w:spacing w:line="480" w:lineRule="auto"/>
        <w:jc w:val="both"/>
        <w:rPr>
          <w:rFonts w:eastAsiaTheme="minorEastAsia"/>
          <w:bCs/>
          <w:color w:val="000000" w:themeColor="text1"/>
          <w:kern w:val="24"/>
          <w:lang w:val="en-US"/>
        </w:rPr>
      </w:pPr>
      <w:r w:rsidRPr="00EC3CDD">
        <w:rPr>
          <w:b/>
          <w:lang w:val="en-US"/>
        </w:rPr>
        <w:t>Figure S</w:t>
      </w:r>
      <w:r w:rsidR="00AE2A5B">
        <w:rPr>
          <w:b/>
          <w:lang w:val="en-US"/>
        </w:rPr>
        <w:t>6</w:t>
      </w:r>
      <w:r w:rsidRPr="00EC3CDD">
        <w:rPr>
          <w:b/>
          <w:lang w:val="en-US"/>
        </w:rPr>
        <w:t xml:space="preserve">: </w:t>
      </w:r>
      <w:r w:rsidR="002B4EC9" w:rsidRPr="008C2CE7">
        <w:rPr>
          <w:rFonts w:eastAsiaTheme="minorEastAsia"/>
          <w:bCs/>
          <w:color w:val="000000" w:themeColor="text1"/>
          <w:kern w:val="24"/>
          <w:lang w:val="en-US"/>
        </w:rPr>
        <w:t xml:space="preserve">Sensitivity of BC MDA-MB-231 and </w:t>
      </w:r>
      <w:r w:rsidR="002B4EC9">
        <w:rPr>
          <w:rFonts w:eastAsiaTheme="minorEastAsia"/>
          <w:bCs/>
          <w:color w:val="000000" w:themeColor="text1"/>
          <w:kern w:val="24"/>
          <w:lang w:val="en-US"/>
        </w:rPr>
        <w:t>MCF7</w:t>
      </w:r>
      <w:r w:rsidR="002B4EC9" w:rsidRPr="008C2CE7">
        <w:rPr>
          <w:rFonts w:eastAsiaTheme="minorEastAsia"/>
          <w:bCs/>
          <w:color w:val="000000" w:themeColor="text1"/>
          <w:kern w:val="24"/>
          <w:lang w:val="en-US"/>
        </w:rPr>
        <w:t xml:space="preserve"> cells with </w:t>
      </w:r>
      <w:r w:rsidR="002B4EC9">
        <w:rPr>
          <w:rFonts w:eastAsiaTheme="minorEastAsia"/>
          <w:bCs/>
          <w:color w:val="000000" w:themeColor="text1"/>
          <w:kern w:val="24"/>
          <w:lang w:val="en-US"/>
        </w:rPr>
        <w:t xml:space="preserve">different </w:t>
      </w:r>
      <w:proofErr w:type="spellStart"/>
      <w:r w:rsidR="002B4EC9">
        <w:rPr>
          <w:rFonts w:eastAsiaTheme="minorEastAsia"/>
          <w:bCs/>
          <w:color w:val="000000" w:themeColor="text1"/>
          <w:kern w:val="24"/>
          <w:lang w:val="en-US"/>
        </w:rPr>
        <w:t>GalCer</w:t>
      </w:r>
      <w:proofErr w:type="spellEnd"/>
      <w:r w:rsidR="00140D6D">
        <w:rPr>
          <w:rFonts w:eastAsiaTheme="minorEastAsia"/>
          <w:bCs/>
          <w:color w:val="000000" w:themeColor="text1"/>
          <w:kern w:val="24"/>
          <w:lang w:val="en-US"/>
        </w:rPr>
        <w:t xml:space="preserve"> levels</w:t>
      </w:r>
      <w:r w:rsidR="002B4EC9" w:rsidRPr="008C2CE7">
        <w:rPr>
          <w:rFonts w:eastAsiaTheme="minorEastAsia"/>
          <w:bCs/>
          <w:color w:val="000000" w:themeColor="text1"/>
          <w:kern w:val="24"/>
          <w:lang w:val="en-US"/>
        </w:rPr>
        <w:t xml:space="preserve"> to apoptosis</w:t>
      </w:r>
      <w:r w:rsidR="00396A6C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  <w:r w:rsidR="002B4EC9">
        <w:rPr>
          <w:rFonts w:eastAsiaTheme="minorEastAsia"/>
          <w:bCs/>
          <w:color w:val="000000" w:themeColor="text1"/>
          <w:kern w:val="24"/>
          <w:lang w:val="en-US"/>
        </w:rPr>
        <w:t>incubated with TNFα</w:t>
      </w:r>
      <w:r w:rsidR="002B4EC9">
        <w:rPr>
          <w:lang w:val="en-US"/>
        </w:rPr>
        <w:t xml:space="preserve">. </w:t>
      </w:r>
      <w:r w:rsidR="002B4EC9" w:rsidRPr="009D0A90">
        <w:rPr>
          <w:rFonts w:eastAsia="Calibri"/>
          <w:b/>
          <w:color w:val="000000" w:themeColor="text1"/>
          <w:kern w:val="24"/>
          <w:lang w:val="en-US"/>
        </w:rPr>
        <w:t>(A)</w:t>
      </w:r>
      <w:r w:rsidR="002B4EC9" w:rsidRPr="002B4EC9">
        <w:rPr>
          <w:rFonts w:eastAsia="Calibri"/>
          <w:color w:val="000000" w:themeColor="text1"/>
          <w:kern w:val="24"/>
          <w:lang w:val="en-US"/>
        </w:rPr>
        <w:t xml:space="preserve"> </w:t>
      </w:r>
      <w:r w:rsidR="002B4EC9" w:rsidRPr="00301A52">
        <w:rPr>
          <w:rFonts w:eastAsia="Calibri"/>
          <w:color w:val="000000" w:themeColor="text1"/>
          <w:kern w:val="24"/>
          <w:lang w:val="en-US"/>
        </w:rPr>
        <w:t>MDA.</w:t>
      </w:r>
      <w:r w:rsidR="002B4EC9">
        <w:rPr>
          <w:rFonts w:eastAsia="Calibri"/>
          <w:color w:val="000000" w:themeColor="text1"/>
          <w:kern w:val="24"/>
          <w:lang w:val="en-US"/>
        </w:rPr>
        <w:sym w:font="Symbol" w:char="F044"/>
      </w:r>
      <w:r w:rsidR="002B4EC9">
        <w:rPr>
          <w:rFonts w:eastAsia="Calibri"/>
          <w:color w:val="000000" w:themeColor="text1"/>
          <w:kern w:val="24"/>
          <w:lang w:val="en-US"/>
        </w:rPr>
        <w:t>.</w:t>
      </w:r>
      <w:r w:rsidR="002B4EC9" w:rsidRPr="00301A52">
        <w:rPr>
          <w:rFonts w:eastAsia="Calibri"/>
          <w:color w:val="000000" w:themeColor="text1"/>
          <w:kern w:val="24"/>
          <w:lang w:val="en-US"/>
        </w:rPr>
        <w:t>C</w:t>
      </w:r>
      <w:r w:rsidR="002B4EC9">
        <w:rPr>
          <w:rFonts w:eastAsia="Calibri"/>
          <w:color w:val="000000" w:themeColor="text1"/>
          <w:kern w:val="24"/>
          <w:lang w:val="en-US"/>
        </w:rPr>
        <w:t xml:space="preserve"> -</w:t>
      </w:r>
      <w:r w:rsidR="002B4EC9">
        <w:rPr>
          <w:rFonts w:eastAsia="Calibri"/>
          <w:b/>
          <w:color w:val="000000" w:themeColor="text1"/>
          <w:kern w:val="24"/>
          <w:lang w:val="en-US"/>
        </w:rPr>
        <w:t xml:space="preserve"> </w:t>
      </w:r>
      <w:r w:rsidR="002B4EC9" w:rsidRPr="00301A52">
        <w:rPr>
          <w:rFonts w:eastAsia="Calibri"/>
          <w:color w:val="000000" w:themeColor="text1"/>
          <w:kern w:val="24"/>
          <w:lang w:val="en-US"/>
        </w:rPr>
        <w:t>MDA-MB-231 transduced with vector alone</w:t>
      </w:r>
      <w:r w:rsidR="002B4EC9">
        <w:rPr>
          <w:rFonts w:eastAsia="Calibri"/>
          <w:color w:val="000000" w:themeColor="text1"/>
          <w:kern w:val="24"/>
          <w:lang w:val="en-US"/>
        </w:rPr>
        <w:t xml:space="preserve"> </w:t>
      </w:r>
      <w:r w:rsidR="002B4EC9" w:rsidRPr="00301A52">
        <w:rPr>
          <w:rFonts w:eastAsia="Calibri"/>
          <w:color w:val="000000" w:themeColor="text1"/>
          <w:kern w:val="24"/>
          <w:lang w:val="en-US"/>
        </w:rPr>
        <w:lastRenderedPageBreak/>
        <w:t>and</w:t>
      </w:r>
      <w:r w:rsidR="002B4EC9">
        <w:rPr>
          <w:rFonts w:eastAsia="Calibri"/>
          <w:color w:val="000000" w:themeColor="text1"/>
          <w:kern w:val="24"/>
          <w:lang w:val="en-US"/>
        </w:rPr>
        <w:t xml:space="preserve"> </w:t>
      </w:r>
      <w:r w:rsidR="002B4EC9">
        <w:rPr>
          <w:lang w:val="en-US"/>
        </w:rPr>
        <w:t>MDA.</w:t>
      </w:r>
      <w:r w:rsidR="002B4EC9">
        <w:rPr>
          <w:lang w:val="en-US"/>
        </w:rPr>
        <w:sym w:font="Symbol" w:char="F044"/>
      </w:r>
      <w:r w:rsidR="002B4EC9">
        <w:rPr>
          <w:lang w:val="en-US"/>
        </w:rPr>
        <w:t>.UGT8.4 -</w:t>
      </w:r>
      <w:r w:rsidR="002B4EC9" w:rsidRPr="00301A52">
        <w:rPr>
          <w:rFonts w:eastAsia="Calibri"/>
          <w:color w:val="000000" w:themeColor="text1"/>
          <w:kern w:val="24"/>
          <w:lang w:val="en-US"/>
        </w:rPr>
        <w:t xml:space="preserve"> MDA-MB-231 </w:t>
      </w:r>
      <w:r w:rsidR="002B4EC9">
        <w:rPr>
          <w:lang w:val="en-US"/>
        </w:rPr>
        <w:t xml:space="preserve">cell clone with knock-out of </w:t>
      </w:r>
      <w:r w:rsidR="002B4EC9" w:rsidRPr="00B34FCE">
        <w:rPr>
          <w:i/>
          <w:lang w:val="en-US"/>
        </w:rPr>
        <w:t>UG</w:t>
      </w:r>
      <w:r w:rsidR="002B4EC9">
        <w:rPr>
          <w:i/>
          <w:lang w:val="en-US"/>
        </w:rPr>
        <w:t xml:space="preserve">T8 </w:t>
      </w:r>
      <w:r w:rsidR="002B4EC9">
        <w:rPr>
          <w:lang w:val="en-US"/>
        </w:rPr>
        <w:t xml:space="preserve">gene; </w:t>
      </w:r>
      <w:r w:rsidR="002B4EC9" w:rsidRPr="002B4EC9">
        <w:rPr>
          <w:b/>
          <w:lang w:val="en-US"/>
        </w:rPr>
        <w:t>(B)</w:t>
      </w:r>
      <w:r w:rsidR="002B4EC9">
        <w:rPr>
          <w:rFonts w:eastAsia="Calibri"/>
          <w:b/>
          <w:color w:val="000000" w:themeColor="text1"/>
          <w:kern w:val="24"/>
          <w:lang w:val="en-US"/>
        </w:rPr>
        <w:t xml:space="preserve"> </w:t>
      </w:r>
      <w:r w:rsidR="002B4EC9">
        <w:rPr>
          <w:rFonts w:eastAsia="Calibri"/>
          <w:color w:val="000000" w:themeColor="text1"/>
          <w:kern w:val="24"/>
          <w:lang w:val="en-US"/>
        </w:rPr>
        <w:t>MCF7.C - MCF7</w:t>
      </w:r>
      <w:r w:rsidR="002B4EC9" w:rsidRPr="009D0A90">
        <w:rPr>
          <w:rFonts w:eastAsia="Calibri"/>
          <w:color w:val="000000" w:themeColor="text1"/>
          <w:kern w:val="24"/>
          <w:lang w:val="en-US"/>
        </w:rPr>
        <w:t xml:space="preserve"> </w:t>
      </w:r>
      <w:r w:rsidR="002B4EC9" w:rsidRPr="00301A52">
        <w:rPr>
          <w:rFonts w:eastAsia="Calibri"/>
          <w:color w:val="000000" w:themeColor="text1"/>
          <w:kern w:val="24"/>
          <w:lang w:val="en-US"/>
        </w:rPr>
        <w:t>transduced with vector alone</w:t>
      </w:r>
      <w:r w:rsidR="002B4EC9">
        <w:rPr>
          <w:rFonts w:eastAsia="Calibri"/>
          <w:color w:val="000000" w:themeColor="text1"/>
          <w:kern w:val="24"/>
          <w:lang w:val="en-US"/>
        </w:rPr>
        <w:t xml:space="preserve"> and</w:t>
      </w:r>
      <w:r w:rsidR="002B4EC9" w:rsidRPr="002B4EC9">
        <w:rPr>
          <w:rFonts w:eastAsia="Calibri"/>
          <w:color w:val="000000" w:themeColor="text1"/>
          <w:kern w:val="24"/>
          <w:lang w:val="en-US"/>
        </w:rPr>
        <w:t xml:space="preserve"> </w:t>
      </w:r>
      <w:r w:rsidR="002B4EC9">
        <w:rPr>
          <w:rFonts w:eastAsia="Calibri"/>
          <w:color w:val="000000" w:themeColor="text1"/>
          <w:kern w:val="24"/>
          <w:lang w:val="en-US"/>
        </w:rPr>
        <w:t>MCF7.UGT8 - MCF7 with overexpression of UGT8.</w:t>
      </w:r>
      <w:r w:rsidR="002B4EC9" w:rsidRPr="008C2CE7">
        <w:rPr>
          <w:lang w:val="en-US"/>
        </w:rPr>
        <w:t xml:space="preserve"> </w:t>
      </w:r>
      <w:r w:rsidR="00E55296">
        <w:rPr>
          <w:lang w:val="en-US"/>
        </w:rPr>
        <w:t>The percentage</w:t>
      </w:r>
      <w:r w:rsidR="002B4EC9" w:rsidRPr="00681B23">
        <w:rPr>
          <w:lang w:val="en-US"/>
        </w:rPr>
        <w:t xml:space="preserve"> of apoptotic cells w</w:t>
      </w:r>
      <w:r w:rsidR="00140D6D" w:rsidRPr="00681B23">
        <w:rPr>
          <w:lang w:val="en-US"/>
        </w:rPr>
        <w:t>as</w:t>
      </w:r>
      <w:r w:rsidR="002B4EC9" w:rsidRPr="00681B23">
        <w:rPr>
          <w:lang w:val="en-US"/>
        </w:rPr>
        <w:t xml:space="preserve"> determined by flow cytometry using Annexin V and </w:t>
      </w:r>
      <w:r w:rsidR="002B4EC9" w:rsidRPr="00681B23">
        <w:rPr>
          <w:shd w:val="clear" w:color="auto" w:fill="FFFFFF"/>
          <w:lang w:val="en-US"/>
        </w:rPr>
        <w:t xml:space="preserve">SYTOX </w:t>
      </w:r>
      <w:r w:rsidR="002B4EC9" w:rsidRPr="004C42AE">
        <w:rPr>
          <w:shd w:val="clear" w:color="auto" w:fill="FFFFFF"/>
          <w:lang w:val="en-US"/>
        </w:rPr>
        <w:t>Green stain</w:t>
      </w:r>
      <w:r w:rsidR="002B4EC9" w:rsidRPr="004C42AE">
        <w:rPr>
          <w:lang w:val="en-US"/>
        </w:rPr>
        <w:t>.</w:t>
      </w:r>
      <w:r w:rsidR="002B4EC9" w:rsidRPr="008C2CE7">
        <w:rPr>
          <w:rFonts w:eastAsiaTheme="minorEastAsia"/>
          <w:bCs/>
          <w:color w:val="000000" w:themeColor="text1"/>
          <w:kern w:val="24"/>
          <w:lang w:val="en-US"/>
        </w:rPr>
        <w:t xml:space="preserve"> </w:t>
      </w:r>
    </w:p>
    <w:p w:rsidR="00862CE7" w:rsidRPr="008C2CE7" w:rsidRDefault="00862CE7" w:rsidP="00903B9D">
      <w:pPr>
        <w:spacing w:line="480" w:lineRule="auto"/>
        <w:jc w:val="both"/>
        <w:rPr>
          <w:noProof/>
          <w:lang w:val="en-US"/>
        </w:rPr>
      </w:pPr>
    </w:p>
    <w:p w:rsidR="000471E1" w:rsidRDefault="00EC3CDD" w:rsidP="00903B9D">
      <w:pPr>
        <w:spacing w:line="480" w:lineRule="auto"/>
        <w:jc w:val="both"/>
        <w:rPr>
          <w:lang w:val="en-US"/>
        </w:rPr>
      </w:pPr>
      <w:r w:rsidRPr="00EC3CDD">
        <w:rPr>
          <w:b/>
          <w:lang w:val="en-US"/>
        </w:rPr>
        <w:t>Figure S</w:t>
      </w:r>
      <w:r w:rsidR="00AE2A5B">
        <w:rPr>
          <w:b/>
          <w:lang w:val="en-US"/>
        </w:rPr>
        <w:t>7</w:t>
      </w:r>
      <w:r w:rsidRPr="00EC3CDD">
        <w:rPr>
          <w:b/>
          <w:lang w:val="en-US"/>
        </w:rPr>
        <w:t>:</w:t>
      </w:r>
      <w:r w:rsidR="003450B1">
        <w:rPr>
          <w:b/>
          <w:lang w:val="en-US"/>
        </w:rPr>
        <w:t xml:space="preserve"> </w:t>
      </w:r>
      <w:r w:rsidR="00917477" w:rsidRPr="00917477">
        <w:rPr>
          <w:lang w:val="en-US"/>
        </w:rPr>
        <w:t>Nucleotide seq</w:t>
      </w:r>
      <w:r w:rsidR="00917477">
        <w:rPr>
          <w:lang w:val="en-US"/>
        </w:rPr>
        <w:t xml:space="preserve">uences of </w:t>
      </w:r>
      <w:r w:rsidR="00917477" w:rsidRPr="00917477">
        <w:rPr>
          <w:i/>
          <w:lang w:val="en-US"/>
        </w:rPr>
        <w:t>BCL2</w:t>
      </w:r>
      <w:r w:rsidR="00917477">
        <w:rPr>
          <w:lang w:val="en-US"/>
        </w:rPr>
        <w:t xml:space="preserve">, </w:t>
      </w:r>
      <w:r w:rsidR="00917477" w:rsidRPr="00917477">
        <w:rPr>
          <w:i/>
          <w:lang w:val="en-US"/>
        </w:rPr>
        <w:t>TNFRSF9</w:t>
      </w:r>
      <w:r w:rsidR="00140D6D">
        <w:rPr>
          <w:lang w:val="en-US"/>
        </w:rPr>
        <w:t>,</w:t>
      </w:r>
      <w:r w:rsidR="00917477">
        <w:rPr>
          <w:lang w:val="en-US"/>
        </w:rPr>
        <w:t xml:space="preserve"> and </w:t>
      </w:r>
      <w:r w:rsidR="00917477" w:rsidRPr="00917477">
        <w:rPr>
          <w:i/>
          <w:lang w:val="en-US"/>
        </w:rPr>
        <w:t>TNFRSF1B</w:t>
      </w:r>
      <w:r w:rsidR="00917477">
        <w:rPr>
          <w:lang w:val="en-US"/>
        </w:rPr>
        <w:t xml:space="preserve"> promoters. Potential sequences for transcriptional factors present in all three promoters are boxed. Nucleotides are numbered with the translational initiation site designated as +1. </w:t>
      </w:r>
    </w:p>
    <w:p w:rsidR="00C56CAF" w:rsidRDefault="00C56CAF" w:rsidP="00903B9D">
      <w:pPr>
        <w:spacing w:line="480" w:lineRule="auto"/>
        <w:jc w:val="both"/>
        <w:rPr>
          <w:b/>
          <w:lang w:val="en-US"/>
        </w:rPr>
      </w:pPr>
    </w:p>
    <w:p w:rsidR="00C56CAF" w:rsidRPr="00494C21" w:rsidRDefault="00C56CAF" w:rsidP="00C56CAF">
      <w:pPr>
        <w:spacing w:line="480" w:lineRule="auto"/>
        <w:jc w:val="both"/>
        <w:rPr>
          <w:lang w:val="en-GB"/>
        </w:rPr>
      </w:pPr>
      <w:r w:rsidRPr="00494C21">
        <w:rPr>
          <w:b/>
          <w:lang w:val="en-US"/>
        </w:rPr>
        <w:t>Figure S</w:t>
      </w:r>
      <w:r w:rsidR="00CD5511" w:rsidRPr="00494C21">
        <w:rPr>
          <w:b/>
          <w:lang w:val="en-US"/>
        </w:rPr>
        <w:t>8</w:t>
      </w:r>
      <w:r w:rsidRPr="00494C21">
        <w:rPr>
          <w:b/>
          <w:lang w:val="en-US"/>
        </w:rPr>
        <w:t xml:space="preserve">: </w:t>
      </w:r>
      <w:r w:rsidR="00CD5511" w:rsidRPr="00494C21">
        <w:rPr>
          <w:lang w:val="en-GB"/>
        </w:rPr>
        <w:t xml:space="preserve">Expression of </w:t>
      </w:r>
      <w:r w:rsidR="00CD5511" w:rsidRPr="00494C21">
        <w:rPr>
          <w:b/>
          <w:lang w:val="en-GB"/>
        </w:rPr>
        <w:t>(A)</w:t>
      </w:r>
      <w:r w:rsidR="00CD5511" w:rsidRPr="00494C21">
        <w:rPr>
          <w:lang w:val="en-GB"/>
        </w:rPr>
        <w:t xml:space="preserve"> CREB and </w:t>
      </w:r>
      <w:r w:rsidR="00CD5511" w:rsidRPr="00494C21">
        <w:rPr>
          <w:b/>
          <w:lang w:val="en-GB"/>
        </w:rPr>
        <w:t xml:space="preserve">(B) </w:t>
      </w:r>
      <w:proofErr w:type="spellStart"/>
      <w:r w:rsidR="00CD5511" w:rsidRPr="00494C21">
        <w:rPr>
          <w:lang w:val="en-GB"/>
        </w:rPr>
        <w:t>NFĸB</w:t>
      </w:r>
      <w:proofErr w:type="spellEnd"/>
      <w:r w:rsidR="00CD5511" w:rsidRPr="00494C21">
        <w:rPr>
          <w:lang w:val="en-GB"/>
        </w:rPr>
        <w:t xml:space="preserve"> in MDA-MB-231 cells transduced with “empty” vector (MDA.</w:t>
      </w:r>
      <w:r w:rsidR="00CD5511" w:rsidRPr="00494C21">
        <w:rPr>
          <w:lang w:val="en-GB"/>
        </w:rPr>
        <w:sym w:font="Symbol" w:char="F044"/>
      </w:r>
      <w:r w:rsidR="00CD5511" w:rsidRPr="00494C21">
        <w:rPr>
          <w:lang w:val="en-GB"/>
        </w:rPr>
        <w:t>.C), MDA-MB-231 cell clones with knockout of the UGT8 gene (MDA.</w:t>
      </w:r>
      <w:r w:rsidR="00CD5511" w:rsidRPr="00494C21">
        <w:rPr>
          <w:lang w:val="en-GB"/>
        </w:rPr>
        <w:sym w:font="Symbol" w:char="F044"/>
      </w:r>
      <w:r w:rsidR="00CD5511" w:rsidRPr="00494C21">
        <w:rPr>
          <w:lang w:val="en-GB"/>
        </w:rPr>
        <w:t>.UGT8.4), MCF7 cells transduced with vector alone (MCF7.C),</w:t>
      </w:r>
      <w:r w:rsidR="00494C21">
        <w:rPr>
          <w:lang w:val="en-GB"/>
        </w:rPr>
        <w:t xml:space="preserve"> and</w:t>
      </w:r>
      <w:r w:rsidR="00CD5511" w:rsidRPr="00494C21">
        <w:rPr>
          <w:lang w:val="en-GB"/>
        </w:rPr>
        <w:t xml:space="preserve"> MCF7 cells overexpressing UGT8 and </w:t>
      </w:r>
      <w:proofErr w:type="spellStart"/>
      <w:r w:rsidR="00CD5511" w:rsidRPr="00494C21">
        <w:rPr>
          <w:lang w:val="en-GB"/>
        </w:rPr>
        <w:t>GalCer</w:t>
      </w:r>
      <w:proofErr w:type="spellEnd"/>
      <w:r w:rsidR="00CD5511" w:rsidRPr="00494C21">
        <w:rPr>
          <w:lang w:val="en-GB"/>
        </w:rPr>
        <w:t xml:space="preserve"> (MCF7.UGT8). Western blotting was used to </w:t>
      </w:r>
      <w:proofErr w:type="spellStart"/>
      <w:r w:rsidR="00494C21">
        <w:rPr>
          <w:lang w:val="en-GB"/>
        </w:rPr>
        <w:t>analyze</w:t>
      </w:r>
      <w:proofErr w:type="spellEnd"/>
      <w:r w:rsidR="00CD5511" w:rsidRPr="00494C21">
        <w:rPr>
          <w:lang w:val="en-GB"/>
        </w:rPr>
        <w:t xml:space="preserve"> CREB and </w:t>
      </w:r>
      <w:proofErr w:type="spellStart"/>
      <w:r w:rsidR="00CD5511" w:rsidRPr="00494C21">
        <w:rPr>
          <w:lang w:val="en-GB"/>
        </w:rPr>
        <w:t>NFĸB</w:t>
      </w:r>
      <w:proofErr w:type="spellEnd"/>
      <w:r w:rsidR="00CD5511" w:rsidRPr="00494C21">
        <w:rPr>
          <w:lang w:val="en-GB"/>
        </w:rPr>
        <w:t xml:space="preserve"> expression in BC cell lines. GAPDH was used as </w:t>
      </w:r>
      <w:r w:rsidR="00494C21">
        <w:rPr>
          <w:lang w:val="en-GB"/>
        </w:rPr>
        <w:t xml:space="preserve">the </w:t>
      </w:r>
      <w:r w:rsidR="00CD5511" w:rsidRPr="00494C21">
        <w:rPr>
          <w:lang w:val="en-GB"/>
        </w:rPr>
        <w:t>internal control.</w:t>
      </w:r>
      <w:bookmarkStart w:id="0" w:name="_GoBack"/>
      <w:bookmarkEnd w:id="0"/>
    </w:p>
    <w:p w:rsidR="00C56CAF" w:rsidRDefault="00C56CAF" w:rsidP="00903B9D">
      <w:pPr>
        <w:spacing w:line="480" w:lineRule="auto"/>
        <w:jc w:val="both"/>
        <w:rPr>
          <w:b/>
          <w:lang w:val="en-US"/>
        </w:rPr>
      </w:pPr>
    </w:p>
    <w:p w:rsidR="00C56CAF" w:rsidRPr="00597312" w:rsidRDefault="00C56CAF" w:rsidP="00903B9D">
      <w:pPr>
        <w:spacing w:line="480" w:lineRule="auto"/>
        <w:jc w:val="both"/>
        <w:rPr>
          <w:b/>
          <w:lang w:val="en-US"/>
        </w:rPr>
      </w:pPr>
    </w:p>
    <w:sectPr w:rsidR="00C56CAF" w:rsidRPr="00597312" w:rsidSect="00D937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C11" w:rsidRDefault="007F7C11" w:rsidP="00197E79">
      <w:r>
        <w:separator/>
      </w:r>
    </w:p>
  </w:endnote>
  <w:endnote w:type="continuationSeparator" w:id="0">
    <w:p w:rsidR="007F7C11" w:rsidRDefault="007F7C11" w:rsidP="0019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1E1" w:rsidRDefault="00B1261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87C8C">
      <w:rPr>
        <w:noProof/>
      </w:rPr>
      <w:t>2</w:t>
    </w:r>
    <w:r>
      <w:rPr>
        <w:noProof/>
      </w:rPr>
      <w:fldChar w:fldCharType="end"/>
    </w:r>
  </w:p>
  <w:p w:rsidR="000471E1" w:rsidRDefault="000471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C11" w:rsidRDefault="007F7C11" w:rsidP="00197E79">
      <w:r>
        <w:separator/>
      </w:r>
    </w:p>
  </w:footnote>
  <w:footnote w:type="continuationSeparator" w:id="0">
    <w:p w:rsidR="007F7C11" w:rsidRDefault="007F7C11" w:rsidP="00197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308B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E2A4B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8260A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806D9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9D85F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78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A211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8803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363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0BA8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27D00"/>
    <w:multiLevelType w:val="hybridMultilevel"/>
    <w:tmpl w:val="103E76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9DF432E"/>
    <w:multiLevelType w:val="hybridMultilevel"/>
    <w:tmpl w:val="ED56A7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79130FB"/>
    <w:multiLevelType w:val="multilevel"/>
    <w:tmpl w:val="ADCE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363280"/>
    <w:multiLevelType w:val="multilevel"/>
    <w:tmpl w:val="19FC6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Oncogen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ppvrdxp7a2te7efatovad5cee5wwfa9fftz&quot;&gt;sulfatyd&lt;record-ids&gt;&lt;item&gt;1&lt;/item&gt;&lt;item&gt;2&lt;/item&gt;&lt;item&gt;4&lt;/item&gt;&lt;item&gt;5&lt;/item&gt;&lt;item&gt;6&lt;/item&gt;&lt;item&gt;7&lt;/item&gt;&lt;item&gt;9&lt;/item&gt;&lt;item&gt;10&lt;/item&gt;&lt;item&gt;12&lt;/item&gt;&lt;item&gt;13&lt;/item&gt;&lt;item&gt;14&lt;/item&gt;&lt;item&gt;15&lt;/item&gt;&lt;item&gt;16&lt;/item&gt;&lt;item&gt;18&lt;/item&gt;&lt;item&gt;19&lt;/item&gt;&lt;item&gt;20&lt;/item&gt;&lt;item&gt;21&lt;/item&gt;&lt;item&gt;22&lt;/item&gt;&lt;item&gt;24&lt;/item&gt;&lt;item&gt;25&lt;/item&gt;&lt;item&gt;26&lt;/item&gt;&lt;item&gt;27&lt;/item&gt;&lt;item&gt;28&lt;/item&gt;&lt;item&gt;30&lt;/item&gt;&lt;item&gt;31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/record-ids&gt;&lt;/item&gt;&lt;/Libraries&gt;"/>
  </w:docVars>
  <w:rsids>
    <w:rsidRoot w:val="00BF4BD6"/>
    <w:rsid w:val="00000C9A"/>
    <w:rsid w:val="00002F9D"/>
    <w:rsid w:val="00004B99"/>
    <w:rsid w:val="00007A7D"/>
    <w:rsid w:val="0001067E"/>
    <w:rsid w:val="0001285A"/>
    <w:rsid w:val="000133EE"/>
    <w:rsid w:val="00016196"/>
    <w:rsid w:val="00020B82"/>
    <w:rsid w:val="00022040"/>
    <w:rsid w:val="00022551"/>
    <w:rsid w:val="000243C6"/>
    <w:rsid w:val="00024E8D"/>
    <w:rsid w:val="00032749"/>
    <w:rsid w:val="0003568E"/>
    <w:rsid w:val="000368F6"/>
    <w:rsid w:val="0004363E"/>
    <w:rsid w:val="00043A12"/>
    <w:rsid w:val="0004654A"/>
    <w:rsid w:val="000471E1"/>
    <w:rsid w:val="00052F42"/>
    <w:rsid w:val="000548EF"/>
    <w:rsid w:val="000575AF"/>
    <w:rsid w:val="00063C10"/>
    <w:rsid w:val="00065C54"/>
    <w:rsid w:val="00071F90"/>
    <w:rsid w:val="0007221E"/>
    <w:rsid w:val="00072EBB"/>
    <w:rsid w:val="000754AC"/>
    <w:rsid w:val="000769D5"/>
    <w:rsid w:val="00077D95"/>
    <w:rsid w:val="00081F1F"/>
    <w:rsid w:val="0008298E"/>
    <w:rsid w:val="00083A69"/>
    <w:rsid w:val="00094952"/>
    <w:rsid w:val="000954B2"/>
    <w:rsid w:val="000975A3"/>
    <w:rsid w:val="000A602F"/>
    <w:rsid w:val="000A6AFB"/>
    <w:rsid w:val="000A73BB"/>
    <w:rsid w:val="000B1342"/>
    <w:rsid w:val="000B1442"/>
    <w:rsid w:val="000B155F"/>
    <w:rsid w:val="000B7EF0"/>
    <w:rsid w:val="000C0EB6"/>
    <w:rsid w:val="000C27F6"/>
    <w:rsid w:val="000C443B"/>
    <w:rsid w:val="000C5E09"/>
    <w:rsid w:val="000C6E53"/>
    <w:rsid w:val="000D4F1E"/>
    <w:rsid w:val="000E13D7"/>
    <w:rsid w:val="000E2603"/>
    <w:rsid w:val="000E38D9"/>
    <w:rsid w:val="000F3CA9"/>
    <w:rsid w:val="00104AF8"/>
    <w:rsid w:val="00105FAB"/>
    <w:rsid w:val="00111766"/>
    <w:rsid w:val="00112E25"/>
    <w:rsid w:val="00114E22"/>
    <w:rsid w:val="00123B4C"/>
    <w:rsid w:val="0012475E"/>
    <w:rsid w:val="00124F2F"/>
    <w:rsid w:val="00125290"/>
    <w:rsid w:val="00125BB9"/>
    <w:rsid w:val="0012732F"/>
    <w:rsid w:val="0013050F"/>
    <w:rsid w:val="001327E6"/>
    <w:rsid w:val="0013314D"/>
    <w:rsid w:val="001331C7"/>
    <w:rsid w:val="00134ADB"/>
    <w:rsid w:val="0013617E"/>
    <w:rsid w:val="00137883"/>
    <w:rsid w:val="00140032"/>
    <w:rsid w:val="00140D6D"/>
    <w:rsid w:val="00143578"/>
    <w:rsid w:val="00146CA7"/>
    <w:rsid w:val="00151186"/>
    <w:rsid w:val="0015524E"/>
    <w:rsid w:val="00155D85"/>
    <w:rsid w:val="0015635A"/>
    <w:rsid w:val="00160036"/>
    <w:rsid w:val="00161259"/>
    <w:rsid w:val="0016247C"/>
    <w:rsid w:val="001629BC"/>
    <w:rsid w:val="0016495D"/>
    <w:rsid w:val="00164C55"/>
    <w:rsid w:val="00165FD6"/>
    <w:rsid w:val="001817AB"/>
    <w:rsid w:val="001832AE"/>
    <w:rsid w:val="00183F7B"/>
    <w:rsid w:val="00185297"/>
    <w:rsid w:val="00191767"/>
    <w:rsid w:val="0019212D"/>
    <w:rsid w:val="00192E9E"/>
    <w:rsid w:val="00194692"/>
    <w:rsid w:val="00194E40"/>
    <w:rsid w:val="00197E79"/>
    <w:rsid w:val="001A248C"/>
    <w:rsid w:val="001A557A"/>
    <w:rsid w:val="001A56B4"/>
    <w:rsid w:val="001B20D1"/>
    <w:rsid w:val="001C2A12"/>
    <w:rsid w:val="001C3D56"/>
    <w:rsid w:val="001C52BC"/>
    <w:rsid w:val="001C60D3"/>
    <w:rsid w:val="001C6EC5"/>
    <w:rsid w:val="001C762B"/>
    <w:rsid w:val="001D2117"/>
    <w:rsid w:val="001E0299"/>
    <w:rsid w:val="001E1566"/>
    <w:rsid w:val="001E2313"/>
    <w:rsid w:val="001E5946"/>
    <w:rsid w:val="001F3B40"/>
    <w:rsid w:val="001F3D9D"/>
    <w:rsid w:val="001F4246"/>
    <w:rsid w:val="001F4DEF"/>
    <w:rsid w:val="001F617F"/>
    <w:rsid w:val="0020014C"/>
    <w:rsid w:val="00201103"/>
    <w:rsid w:val="00201D93"/>
    <w:rsid w:val="00201EB6"/>
    <w:rsid w:val="00205C85"/>
    <w:rsid w:val="00207AC3"/>
    <w:rsid w:val="002102D1"/>
    <w:rsid w:val="0021335F"/>
    <w:rsid w:val="00214885"/>
    <w:rsid w:val="00226AF5"/>
    <w:rsid w:val="002278B5"/>
    <w:rsid w:val="0023490B"/>
    <w:rsid w:val="002358C1"/>
    <w:rsid w:val="00243A0E"/>
    <w:rsid w:val="00255AA8"/>
    <w:rsid w:val="00262108"/>
    <w:rsid w:val="00262291"/>
    <w:rsid w:val="0026540A"/>
    <w:rsid w:val="00265921"/>
    <w:rsid w:val="00273835"/>
    <w:rsid w:val="0027657A"/>
    <w:rsid w:val="00285CF7"/>
    <w:rsid w:val="0029368E"/>
    <w:rsid w:val="00293A74"/>
    <w:rsid w:val="00295A9F"/>
    <w:rsid w:val="002A19F6"/>
    <w:rsid w:val="002B4EC9"/>
    <w:rsid w:val="002B6E79"/>
    <w:rsid w:val="002B71A6"/>
    <w:rsid w:val="002C0C5A"/>
    <w:rsid w:val="002C6C02"/>
    <w:rsid w:val="002D0E7F"/>
    <w:rsid w:val="002D2FC9"/>
    <w:rsid w:val="002D4BAC"/>
    <w:rsid w:val="002E5FA6"/>
    <w:rsid w:val="002E6F08"/>
    <w:rsid w:val="002F0D3B"/>
    <w:rsid w:val="002F2C4E"/>
    <w:rsid w:val="002F5476"/>
    <w:rsid w:val="00301F3E"/>
    <w:rsid w:val="00305DC4"/>
    <w:rsid w:val="0030618C"/>
    <w:rsid w:val="00310F25"/>
    <w:rsid w:val="00312A1D"/>
    <w:rsid w:val="00312F6E"/>
    <w:rsid w:val="00313E6F"/>
    <w:rsid w:val="0031419D"/>
    <w:rsid w:val="003149AC"/>
    <w:rsid w:val="0031627D"/>
    <w:rsid w:val="00316601"/>
    <w:rsid w:val="00317ECB"/>
    <w:rsid w:val="00321774"/>
    <w:rsid w:val="0032297F"/>
    <w:rsid w:val="00326085"/>
    <w:rsid w:val="003265E0"/>
    <w:rsid w:val="00327FD6"/>
    <w:rsid w:val="00332B01"/>
    <w:rsid w:val="00335500"/>
    <w:rsid w:val="00336548"/>
    <w:rsid w:val="00336E03"/>
    <w:rsid w:val="00340BB4"/>
    <w:rsid w:val="003450B1"/>
    <w:rsid w:val="00345D83"/>
    <w:rsid w:val="00346DF2"/>
    <w:rsid w:val="003470F9"/>
    <w:rsid w:val="00347EF5"/>
    <w:rsid w:val="003532A9"/>
    <w:rsid w:val="0036002D"/>
    <w:rsid w:val="00360474"/>
    <w:rsid w:val="00360802"/>
    <w:rsid w:val="003609F3"/>
    <w:rsid w:val="00362905"/>
    <w:rsid w:val="00364056"/>
    <w:rsid w:val="00364293"/>
    <w:rsid w:val="00364E88"/>
    <w:rsid w:val="0036564D"/>
    <w:rsid w:val="003660ED"/>
    <w:rsid w:val="00367185"/>
    <w:rsid w:val="003722C8"/>
    <w:rsid w:val="00372F90"/>
    <w:rsid w:val="003750A3"/>
    <w:rsid w:val="00375A45"/>
    <w:rsid w:val="00376D75"/>
    <w:rsid w:val="0038261D"/>
    <w:rsid w:val="00382A1C"/>
    <w:rsid w:val="00382AB7"/>
    <w:rsid w:val="0038304E"/>
    <w:rsid w:val="00384580"/>
    <w:rsid w:val="003857D0"/>
    <w:rsid w:val="00391F77"/>
    <w:rsid w:val="003928FF"/>
    <w:rsid w:val="00393330"/>
    <w:rsid w:val="00396A6C"/>
    <w:rsid w:val="003A0F75"/>
    <w:rsid w:val="003A1566"/>
    <w:rsid w:val="003A503C"/>
    <w:rsid w:val="003A5FBB"/>
    <w:rsid w:val="003C0DFB"/>
    <w:rsid w:val="003C1C47"/>
    <w:rsid w:val="003C218A"/>
    <w:rsid w:val="003C3584"/>
    <w:rsid w:val="003C5CD9"/>
    <w:rsid w:val="003C6465"/>
    <w:rsid w:val="003C6583"/>
    <w:rsid w:val="003C673C"/>
    <w:rsid w:val="003C79C0"/>
    <w:rsid w:val="003C7B5E"/>
    <w:rsid w:val="003E0B0C"/>
    <w:rsid w:val="003E2477"/>
    <w:rsid w:val="003E4084"/>
    <w:rsid w:val="003E6E24"/>
    <w:rsid w:val="003F23AD"/>
    <w:rsid w:val="003F24A4"/>
    <w:rsid w:val="003F3223"/>
    <w:rsid w:val="003F33D4"/>
    <w:rsid w:val="003F4067"/>
    <w:rsid w:val="003F682C"/>
    <w:rsid w:val="003F7F35"/>
    <w:rsid w:val="00400A52"/>
    <w:rsid w:val="004030CF"/>
    <w:rsid w:val="0041100D"/>
    <w:rsid w:val="004110E6"/>
    <w:rsid w:val="00411783"/>
    <w:rsid w:val="004117E2"/>
    <w:rsid w:val="00412EA8"/>
    <w:rsid w:val="00412F3A"/>
    <w:rsid w:val="00412FC0"/>
    <w:rsid w:val="00412FFE"/>
    <w:rsid w:val="0041352D"/>
    <w:rsid w:val="004155F1"/>
    <w:rsid w:val="00416699"/>
    <w:rsid w:val="004170CC"/>
    <w:rsid w:val="004223E5"/>
    <w:rsid w:val="0042268A"/>
    <w:rsid w:val="00434391"/>
    <w:rsid w:val="00435E24"/>
    <w:rsid w:val="004362D9"/>
    <w:rsid w:val="004363C0"/>
    <w:rsid w:val="004405CD"/>
    <w:rsid w:val="004417F7"/>
    <w:rsid w:val="00442BA9"/>
    <w:rsid w:val="00454079"/>
    <w:rsid w:val="00455D84"/>
    <w:rsid w:val="0045683D"/>
    <w:rsid w:val="00457417"/>
    <w:rsid w:val="00457A8C"/>
    <w:rsid w:val="004616A0"/>
    <w:rsid w:val="00461D4C"/>
    <w:rsid w:val="00461E62"/>
    <w:rsid w:val="00462F58"/>
    <w:rsid w:val="00463C23"/>
    <w:rsid w:val="00472697"/>
    <w:rsid w:val="004739A2"/>
    <w:rsid w:val="00480531"/>
    <w:rsid w:val="004860B0"/>
    <w:rsid w:val="00487369"/>
    <w:rsid w:val="004901F4"/>
    <w:rsid w:val="0049040C"/>
    <w:rsid w:val="00492257"/>
    <w:rsid w:val="00493415"/>
    <w:rsid w:val="00494C21"/>
    <w:rsid w:val="00496494"/>
    <w:rsid w:val="00496878"/>
    <w:rsid w:val="004970BD"/>
    <w:rsid w:val="004A03B5"/>
    <w:rsid w:val="004A0666"/>
    <w:rsid w:val="004A0ECB"/>
    <w:rsid w:val="004A2DA8"/>
    <w:rsid w:val="004A5F1F"/>
    <w:rsid w:val="004B11EB"/>
    <w:rsid w:val="004B560F"/>
    <w:rsid w:val="004B6FBA"/>
    <w:rsid w:val="004C2612"/>
    <w:rsid w:val="004C4EA1"/>
    <w:rsid w:val="004C5955"/>
    <w:rsid w:val="004D49EE"/>
    <w:rsid w:val="004D4D99"/>
    <w:rsid w:val="004D5085"/>
    <w:rsid w:val="004D5291"/>
    <w:rsid w:val="004D5DD7"/>
    <w:rsid w:val="004D7A8F"/>
    <w:rsid w:val="004E3F9E"/>
    <w:rsid w:val="004E5808"/>
    <w:rsid w:val="004E781A"/>
    <w:rsid w:val="004F0ABB"/>
    <w:rsid w:val="004F1FB9"/>
    <w:rsid w:val="004F3D72"/>
    <w:rsid w:val="004F70B5"/>
    <w:rsid w:val="004F760C"/>
    <w:rsid w:val="00510AC4"/>
    <w:rsid w:val="00511B02"/>
    <w:rsid w:val="00511B92"/>
    <w:rsid w:val="00512F4A"/>
    <w:rsid w:val="00513422"/>
    <w:rsid w:val="00515675"/>
    <w:rsid w:val="00520C43"/>
    <w:rsid w:val="00527F4A"/>
    <w:rsid w:val="0053029A"/>
    <w:rsid w:val="00530D6D"/>
    <w:rsid w:val="005359E5"/>
    <w:rsid w:val="00543389"/>
    <w:rsid w:val="005439F1"/>
    <w:rsid w:val="00543C79"/>
    <w:rsid w:val="00544399"/>
    <w:rsid w:val="00550A7D"/>
    <w:rsid w:val="005514B4"/>
    <w:rsid w:val="0055461E"/>
    <w:rsid w:val="005568DA"/>
    <w:rsid w:val="0055760A"/>
    <w:rsid w:val="00557D86"/>
    <w:rsid w:val="00562FDC"/>
    <w:rsid w:val="005677E6"/>
    <w:rsid w:val="00574E1E"/>
    <w:rsid w:val="00576FAD"/>
    <w:rsid w:val="00582A75"/>
    <w:rsid w:val="005843A6"/>
    <w:rsid w:val="00591B15"/>
    <w:rsid w:val="00591DBC"/>
    <w:rsid w:val="00594861"/>
    <w:rsid w:val="00595824"/>
    <w:rsid w:val="00596182"/>
    <w:rsid w:val="00597312"/>
    <w:rsid w:val="005A08B4"/>
    <w:rsid w:val="005A1E5D"/>
    <w:rsid w:val="005B1318"/>
    <w:rsid w:val="005B1DAF"/>
    <w:rsid w:val="005B2531"/>
    <w:rsid w:val="005B2BA0"/>
    <w:rsid w:val="005B32C0"/>
    <w:rsid w:val="005B5756"/>
    <w:rsid w:val="005B74AC"/>
    <w:rsid w:val="005B7E0D"/>
    <w:rsid w:val="005C283C"/>
    <w:rsid w:val="005C3D37"/>
    <w:rsid w:val="005C3F54"/>
    <w:rsid w:val="005C56ED"/>
    <w:rsid w:val="005D38D5"/>
    <w:rsid w:val="005D56F0"/>
    <w:rsid w:val="005D6C61"/>
    <w:rsid w:val="005D7F7F"/>
    <w:rsid w:val="005E39D7"/>
    <w:rsid w:val="005F07B0"/>
    <w:rsid w:val="005F1AE8"/>
    <w:rsid w:val="006029A8"/>
    <w:rsid w:val="006034A9"/>
    <w:rsid w:val="00604457"/>
    <w:rsid w:val="0060774B"/>
    <w:rsid w:val="00613856"/>
    <w:rsid w:val="0061497D"/>
    <w:rsid w:val="006152F8"/>
    <w:rsid w:val="006204F2"/>
    <w:rsid w:val="006208F0"/>
    <w:rsid w:val="00621D28"/>
    <w:rsid w:val="00622208"/>
    <w:rsid w:val="00626A0F"/>
    <w:rsid w:val="00626C37"/>
    <w:rsid w:val="00627737"/>
    <w:rsid w:val="00631528"/>
    <w:rsid w:val="00631E76"/>
    <w:rsid w:val="006340E5"/>
    <w:rsid w:val="0063442B"/>
    <w:rsid w:val="0063648D"/>
    <w:rsid w:val="00644C9D"/>
    <w:rsid w:val="00650372"/>
    <w:rsid w:val="006503F5"/>
    <w:rsid w:val="00654738"/>
    <w:rsid w:val="00655E76"/>
    <w:rsid w:val="00664373"/>
    <w:rsid w:val="0066529A"/>
    <w:rsid w:val="006657CD"/>
    <w:rsid w:val="00665C32"/>
    <w:rsid w:val="00672A97"/>
    <w:rsid w:val="0067474E"/>
    <w:rsid w:val="00677477"/>
    <w:rsid w:val="00680A58"/>
    <w:rsid w:val="00681B23"/>
    <w:rsid w:val="00682A47"/>
    <w:rsid w:val="006849DE"/>
    <w:rsid w:val="006863F8"/>
    <w:rsid w:val="00686DA6"/>
    <w:rsid w:val="006876A7"/>
    <w:rsid w:val="0069452F"/>
    <w:rsid w:val="0069598D"/>
    <w:rsid w:val="00697EC9"/>
    <w:rsid w:val="006A18B1"/>
    <w:rsid w:val="006A51E5"/>
    <w:rsid w:val="006A5383"/>
    <w:rsid w:val="006A723D"/>
    <w:rsid w:val="006A7494"/>
    <w:rsid w:val="006B2BD9"/>
    <w:rsid w:val="006B344C"/>
    <w:rsid w:val="006B4846"/>
    <w:rsid w:val="006B4B7C"/>
    <w:rsid w:val="006B5C84"/>
    <w:rsid w:val="006C1AC4"/>
    <w:rsid w:val="006C6C86"/>
    <w:rsid w:val="006D1568"/>
    <w:rsid w:val="006D5C5A"/>
    <w:rsid w:val="006D7450"/>
    <w:rsid w:val="006E1BC3"/>
    <w:rsid w:val="006E356F"/>
    <w:rsid w:val="006E4CBB"/>
    <w:rsid w:val="006E57C1"/>
    <w:rsid w:val="006E6186"/>
    <w:rsid w:val="006E62FC"/>
    <w:rsid w:val="006F00E5"/>
    <w:rsid w:val="006F0ABB"/>
    <w:rsid w:val="006F18EF"/>
    <w:rsid w:val="006F2C12"/>
    <w:rsid w:val="006F2CBF"/>
    <w:rsid w:val="006F6772"/>
    <w:rsid w:val="00701093"/>
    <w:rsid w:val="0070362E"/>
    <w:rsid w:val="00703E70"/>
    <w:rsid w:val="00705622"/>
    <w:rsid w:val="00711A10"/>
    <w:rsid w:val="007161A2"/>
    <w:rsid w:val="00717562"/>
    <w:rsid w:val="00720FD3"/>
    <w:rsid w:val="00733154"/>
    <w:rsid w:val="007364F6"/>
    <w:rsid w:val="00737857"/>
    <w:rsid w:val="00737B4B"/>
    <w:rsid w:val="007429F0"/>
    <w:rsid w:val="00743180"/>
    <w:rsid w:val="00753B33"/>
    <w:rsid w:val="00754CA1"/>
    <w:rsid w:val="00754D0F"/>
    <w:rsid w:val="00755682"/>
    <w:rsid w:val="0077078F"/>
    <w:rsid w:val="007828C8"/>
    <w:rsid w:val="00783708"/>
    <w:rsid w:val="00784664"/>
    <w:rsid w:val="00784FE4"/>
    <w:rsid w:val="0078532E"/>
    <w:rsid w:val="00786A60"/>
    <w:rsid w:val="007902ED"/>
    <w:rsid w:val="00790C24"/>
    <w:rsid w:val="0079203F"/>
    <w:rsid w:val="007920F9"/>
    <w:rsid w:val="00792FDC"/>
    <w:rsid w:val="00795E39"/>
    <w:rsid w:val="00796258"/>
    <w:rsid w:val="007A2B5D"/>
    <w:rsid w:val="007A3916"/>
    <w:rsid w:val="007A5274"/>
    <w:rsid w:val="007B00D7"/>
    <w:rsid w:val="007B1B05"/>
    <w:rsid w:val="007B265C"/>
    <w:rsid w:val="007B5325"/>
    <w:rsid w:val="007B6E11"/>
    <w:rsid w:val="007C3D24"/>
    <w:rsid w:val="007C5F08"/>
    <w:rsid w:val="007C6353"/>
    <w:rsid w:val="007C6835"/>
    <w:rsid w:val="007C69D8"/>
    <w:rsid w:val="007D0569"/>
    <w:rsid w:val="007D07E0"/>
    <w:rsid w:val="007D311C"/>
    <w:rsid w:val="007D572D"/>
    <w:rsid w:val="007D6175"/>
    <w:rsid w:val="007D70B3"/>
    <w:rsid w:val="007E05FB"/>
    <w:rsid w:val="007E125D"/>
    <w:rsid w:val="007E12E1"/>
    <w:rsid w:val="007E28FF"/>
    <w:rsid w:val="007E2F0A"/>
    <w:rsid w:val="007E3EDD"/>
    <w:rsid w:val="007E60D6"/>
    <w:rsid w:val="007F0971"/>
    <w:rsid w:val="007F280B"/>
    <w:rsid w:val="007F2CE9"/>
    <w:rsid w:val="007F7C11"/>
    <w:rsid w:val="007F7FDD"/>
    <w:rsid w:val="00805256"/>
    <w:rsid w:val="00811942"/>
    <w:rsid w:val="00813500"/>
    <w:rsid w:val="00814973"/>
    <w:rsid w:val="008155A8"/>
    <w:rsid w:val="00817132"/>
    <w:rsid w:val="00834567"/>
    <w:rsid w:val="00837F95"/>
    <w:rsid w:val="008405FE"/>
    <w:rsid w:val="008410F8"/>
    <w:rsid w:val="008418A1"/>
    <w:rsid w:val="00844658"/>
    <w:rsid w:val="00844DE9"/>
    <w:rsid w:val="00846330"/>
    <w:rsid w:val="00862CE7"/>
    <w:rsid w:val="00865A00"/>
    <w:rsid w:val="00867159"/>
    <w:rsid w:val="00870906"/>
    <w:rsid w:val="00873F74"/>
    <w:rsid w:val="00875614"/>
    <w:rsid w:val="0088008E"/>
    <w:rsid w:val="00880B3A"/>
    <w:rsid w:val="008820D9"/>
    <w:rsid w:val="008820EA"/>
    <w:rsid w:val="008866A9"/>
    <w:rsid w:val="00891251"/>
    <w:rsid w:val="00892561"/>
    <w:rsid w:val="008933EE"/>
    <w:rsid w:val="008943AE"/>
    <w:rsid w:val="008955E1"/>
    <w:rsid w:val="00895CFC"/>
    <w:rsid w:val="008A0595"/>
    <w:rsid w:val="008A57D8"/>
    <w:rsid w:val="008B1E33"/>
    <w:rsid w:val="008B37E7"/>
    <w:rsid w:val="008B4327"/>
    <w:rsid w:val="008C2CE7"/>
    <w:rsid w:val="008C2E2A"/>
    <w:rsid w:val="008C54F2"/>
    <w:rsid w:val="008C7515"/>
    <w:rsid w:val="008D3EA6"/>
    <w:rsid w:val="008D6575"/>
    <w:rsid w:val="008E0C96"/>
    <w:rsid w:val="008E1DDA"/>
    <w:rsid w:val="008E4E88"/>
    <w:rsid w:val="008E5183"/>
    <w:rsid w:val="008E79A2"/>
    <w:rsid w:val="00903B9D"/>
    <w:rsid w:val="00905893"/>
    <w:rsid w:val="0090620C"/>
    <w:rsid w:val="009103D1"/>
    <w:rsid w:val="00910FF0"/>
    <w:rsid w:val="00911BFD"/>
    <w:rsid w:val="00914578"/>
    <w:rsid w:val="00916675"/>
    <w:rsid w:val="00917477"/>
    <w:rsid w:val="00920FF9"/>
    <w:rsid w:val="00921689"/>
    <w:rsid w:val="00922A3C"/>
    <w:rsid w:val="0092451E"/>
    <w:rsid w:val="00924698"/>
    <w:rsid w:val="00925CC3"/>
    <w:rsid w:val="00925F57"/>
    <w:rsid w:val="009347DC"/>
    <w:rsid w:val="00937F99"/>
    <w:rsid w:val="009411A5"/>
    <w:rsid w:val="00942962"/>
    <w:rsid w:val="00945F3F"/>
    <w:rsid w:val="00951987"/>
    <w:rsid w:val="009526A1"/>
    <w:rsid w:val="00953168"/>
    <w:rsid w:val="00954492"/>
    <w:rsid w:val="0096118A"/>
    <w:rsid w:val="0096327E"/>
    <w:rsid w:val="00963381"/>
    <w:rsid w:val="00963823"/>
    <w:rsid w:val="00966412"/>
    <w:rsid w:val="00966BF6"/>
    <w:rsid w:val="009706E2"/>
    <w:rsid w:val="00973849"/>
    <w:rsid w:val="0097548B"/>
    <w:rsid w:val="00981728"/>
    <w:rsid w:val="00981E13"/>
    <w:rsid w:val="00987FCB"/>
    <w:rsid w:val="00993CE7"/>
    <w:rsid w:val="009956D3"/>
    <w:rsid w:val="009A1965"/>
    <w:rsid w:val="009A4DD4"/>
    <w:rsid w:val="009B1204"/>
    <w:rsid w:val="009B3305"/>
    <w:rsid w:val="009C35DA"/>
    <w:rsid w:val="009C4C78"/>
    <w:rsid w:val="009C4ECE"/>
    <w:rsid w:val="009D0A90"/>
    <w:rsid w:val="009D0B4B"/>
    <w:rsid w:val="009D1A53"/>
    <w:rsid w:val="009D1E06"/>
    <w:rsid w:val="009E0AE2"/>
    <w:rsid w:val="009F38AC"/>
    <w:rsid w:val="009F3AD5"/>
    <w:rsid w:val="009F4B05"/>
    <w:rsid w:val="009F52DB"/>
    <w:rsid w:val="009F63AC"/>
    <w:rsid w:val="00A031F5"/>
    <w:rsid w:val="00A044A4"/>
    <w:rsid w:val="00A10323"/>
    <w:rsid w:val="00A121DE"/>
    <w:rsid w:val="00A14B9F"/>
    <w:rsid w:val="00A1721E"/>
    <w:rsid w:val="00A22480"/>
    <w:rsid w:val="00A30710"/>
    <w:rsid w:val="00A31319"/>
    <w:rsid w:val="00A32334"/>
    <w:rsid w:val="00A3336C"/>
    <w:rsid w:val="00A40BF6"/>
    <w:rsid w:val="00A43C1B"/>
    <w:rsid w:val="00A4435A"/>
    <w:rsid w:val="00A47C49"/>
    <w:rsid w:val="00A50B63"/>
    <w:rsid w:val="00A51324"/>
    <w:rsid w:val="00A518C0"/>
    <w:rsid w:val="00A54214"/>
    <w:rsid w:val="00A54394"/>
    <w:rsid w:val="00A56DAB"/>
    <w:rsid w:val="00A61116"/>
    <w:rsid w:val="00A6459C"/>
    <w:rsid w:val="00A67840"/>
    <w:rsid w:val="00A71C92"/>
    <w:rsid w:val="00A72CF1"/>
    <w:rsid w:val="00A74F66"/>
    <w:rsid w:val="00A77744"/>
    <w:rsid w:val="00A80532"/>
    <w:rsid w:val="00A81BC9"/>
    <w:rsid w:val="00A83631"/>
    <w:rsid w:val="00A839FC"/>
    <w:rsid w:val="00A85EC0"/>
    <w:rsid w:val="00A86246"/>
    <w:rsid w:val="00A906DC"/>
    <w:rsid w:val="00A90A4A"/>
    <w:rsid w:val="00A90FC2"/>
    <w:rsid w:val="00A91FAB"/>
    <w:rsid w:val="00A92C42"/>
    <w:rsid w:val="00A937C5"/>
    <w:rsid w:val="00A96FFA"/>
    <w:rsid w:val="00A975CE"/>
    <w:rsid w:val="00AA4399"/>
    <w:rsid w:val="00AA4B96"/>
    <w:rsid w:val="00AA5763"/>
    <w:rsid w:val="00AA581F"/>
    <w:rsid w:val="00AA7E1F"/>
    <w:rsid w:val="00AB1291"/>
    <w:rsid w:val="00AB1E68"/>
    <w:rsid w:val="00AB2625"/>
    <w:rsid w:val="00AB2FFD"/>
    <w:rsid w:val="00AB7861"/>
    <w:rsid w:val="00AC19B5"/>
    <w:rsid w:val="00AC3C6B"/>
    <w:rsid w:val="00AD11D2"/>
    <w:rsid w:val="00AD275F"/>
    <w:rsid w:val="00AD27B2"/>
    <w:rsid w:val="00AD587A"/>
    <w:rsid w:val="00AD5CB1"/>
    <w:rsid w:val="00AE0910"/>
    <w:rsid w:val="00AE2A5B"/>
    <w:rsid w:val="00AE383E"/>
    <w:rsid w:val="00AE4477"/>
    <w:rsid w:val="00AF0372"/>
    <w:rsid w:val="00AF14C7"/>
    <w:rsid w:val="00AF5974"/>
    <w:rsid w:val="00AF6680"/>
    <w:rsid w:val="00AF7BBB"/>
    <w:rsid w:val="00B004FA"/>
    <w:rsid w:val="00B00BE0"/>
    <w:rsid w:val="00B047F6"/>
    <w:rsid w:val="00B05882"/>
    <w:rsid w:val="00B07F86"/>
    <w:rsid w:val="00B100CB"/>
    <w:rsid w:val="00B12613"/>
    <w:rsid w:val="00B12ACE"/>
    <w:rsid w:val="00B140C6"/>
    <w:rsid w:val="00B16746"/>
    <w:rsid w:val="00B21E61"/>
    <w:rsid w:val="00B25296"/>
    <w:rsid w:val="00B31B8B"/>
    <w:rsid w:val="00B31FCB"/>
    <w:rsid w:val="00B35182"/>
    <w:rsid w:val="00B44143"/>
    <w:rsid w:val="00B4596E"/>
    <w:rsid w:val="00B471A8"/>
    <w:rsid w:val="00B508A4"/>
    <w:rsid w:val="00B54561"/>
    <w:rsid w:val="00B561D8"/>
    <w:rsid w:val="00B6077A"/>
    <w:rsid w:val="00B60A11"/>
    <w:rsid w:val="00B618D7"/>
    <w:rsid w:val="00B63087"/>
    <w:rsid w:val="00B63FB4"/>
    <w:rsid w:val="00B66BB2"/>
    <w:rsid w:val="00B70360"/>
    <w:rsid w:val="00B75F61"/>
    <w:rsid w:val="00B76B67"/>
    <w:rsid w:val="00B80BAF"/>
    <w:rsid w:val="00B83362"/>
    <w:rsid w:val="00B92EAB"/>
    <w:rsid w:val="00B9505B"/>
    <w:rsid w:val="00B958FB"/>
    <w:rsid w:val="00BA279F"/>
    <w:rsid w:val="00BA2996"/>
    <w:rsid w:val="00BA3D28"/>
    <w:rsid w:val="00BA6AA2"/>
    <w:rsid w:val="00BB2738"/>
    <w:rsid w:val="00BB3ACE"/>
    <w:rsid w:val="00BB4031"/>
    <w:rsid w:val="00BB79FE"/>
    <w:rsid w:val="00BB7E3E"/>
    <w:rsid w:val="00BC0C31"/>
    <w:rsid w:val="00BC2A75"/>
    <w:rsid w:val="00BD094E"/>
    <w:rsid w:val="00BD29C7"/>
    <w:rsid w:val="00BD2B85"/>
    <w:rsid w:val="00BD4285"/>
    <w:rsid w:val="00BE0DBF"/>
    <w:rsid w:val="00BE3A60"/>
    <w:rsid w:val="00BE4E4E"/>
    <w:rsid w:val="00BE4ED5"/>
    <w:rsid w:val="00BE5A27"/>
    <w:rsid w:val="00BE6283"/>
    <w:rsid w:val="00BF11F7"/>
    <w:rsid w:val="00BF1964"/>
    <w:rsid w:val="00BF211F"/>
    <w:rsid w:val="00BF4BD6"/>
    <w:rsid w:val="00BF56F8"/>
    <w:rsid w:val="00BF6216"/>
    <w:rsid w:val="00C047BB"/>
    <w:rsid w:val="00C05490"/>
    <w:rsid w:val="00C07108"/>
    <w:rsid w:val="00C117E3"/>
    <w:rsid w:val="00C126BF"/>
    <w:rsid w:val="00C1333A"/>
    <w:rsid w:val="00C16811"/>
    <w:rsid w:val="00C16863"/>
    <w:rsid w:val="00C1707F"/>
    <w:rsid w:val="00C177B0"/>
    <w:rsid w:val="00C22C3F"/>
    <w:rsid w:val="00C23808"/>
    <w:rsid w:val="00C238DC"/>
    <w:rsid w:val="00C23E3A"/>
    <w:rsid w:val="00C24361"/>
    <w:rsid w:val="00C33266"/>
    <w:rsid w:val="00C34F7B"/>
    <w:rsid w:val="00C353E9"/>
    <w:rsid w:val="00C3729B"/>
    <w:rsid w:val="00C44AC9"/>
    <w:rsid w:val="00C5012F"/>
    <w:rsid w:val="00C522F4"/>
    <w:rsid w:val="00C53E3A"/>
    <w:rsid w:val="00C55773"/>
    <w:rsid w:val="00C55A6C"/>
    <w:rsid w:val="00C56CAF"/>
    <w:rsid w:val="00C627ED"/>
    <w:rsid w:val="00C65AE9"/>
    <w:rsid w:val="00C67B03"/>
    <w:rsid w:val="00C712B6"/>
    <w:rsid w:val="00C716EF"/>
    <w:rsid w:val="00C74B53"/>
    <w:rsid w:val="00C81BF7"/>
    <w:rsid w:val="00C83A31"/>
    <w:rsid w:val="00C844D9"/>
    <w:rsid w:val="00C8471D"/>
    <w:rsid w:val="00C915B0"/>
    <w:rsid w:val="00C92FC6"/>
    <w:rsid w:val="00C96389"/>
    <w:rsid w:val="00CA08B8"/>
    <w:rsid w:val="00CA4FE4"/>
    <w:rsid w:val="00CA5B9C"/>
    <w:rsid w:val="00CA68A2"/>
    <w:rsid w:val="00CA701F"/>
    <w:rsid w:val="00CA7D0E"/>
    <w:rsid w:val="00CC0C5E"/>
    <w:rsid w:val="00CC0D0D"/>
    <w:rsid w:val="00CC2BE3"/>
    <w:rsid w:val="00CC5F90"/>
    <w:rsid w:val="00CD2CB8"/>
    <w:rsid w:val="00CD3BB8"/>
    <w:rsid w:val="00CD5511"/>
    <w:rsid w:val="00CD555C"/>
    <w:rsid w:val="00CD5991"/>
    <w:rsid w:val="00CD5F05"/>
    <w:rsid w:val="00CD65B4"/>
    <w:rsid w:val="00CE0A0E"/>
    <w:rsid w:val="00CE109E"/>
    <w:rsid w:val="00CE16FB"/>
    <w:rsid w:val="00CE4B52"/>
    <w:rsid w:val="00CE739F"/>
    <w:rsid w:val="00CF2A7F"/>
    <w:rsid w:val="00D0120B"/>
    <w:rsid w:val="00D01DFB"/>
    <w:rsid w:val="00D01EA2"/>
    <w:rsid w:val="00D0481B"/>
    <w:rsid w:val="00D14606"/>
    <w:rsid w:val="00D24DA9"/>
    <w:rsid w:val="00D268EC"/>
    <w:rsid w:val="00D30463"/>
    <w:rsid w:val="00D3048C"/>
    <w:rsid w:val="00D3072A"/>
    <w:rsid w:val="00D31E04"/>
    <w:rsid w:val="00D359DF"/>
    <w:rsid w:val="00D37209"/>
    <w:rsid w:val="00D37607"/>
    <w:rsid w:val="00D40689"/>
    <w:rsid w:val="00D40B9D"/>
    <w:rsid w:val="00D419FA"/>
    <w:rsid w:val="00D467A5"/>
    <w:rsid w:val="00D47A32"/>
    <w:rsid w:val="00D516C8"/>
    <w:rsid w:val="00D53B20"/>
    <w:rsid w:val="00D55EB3"/>
    <w:rsid w:val="00D61B94"/>
    <w:rsid w:val="00D6320F"/>
    <w:rsid w:val="00D64C4D"/>
    <w:rsid w:val="00D67693"/>
    <w:rsid w:val="00D705F9"/>
    <w:rsid w:val="00D72A92"/>
    <w:rsid w:val="00D74564"/>
    <w:rsid w:val="00D757A9"/>
    <w:rsid w:val="00D814FB"/>
    <w:rsid w:val="00D84D03"/>
    <w:rsid w:val="00D85DB7"/>
    <w:rsid w:val="00D870C4"/>
    <w:rsid w:val="00D87C8C"/>
    <w:rsid w:val="00D90BAE"/>
    <w:rsid w:val="00D923D9"/>
    <w:rsid w:val="00D9373D"/>
    <w:rsid w:val="00D9444C"/>
    <w:rsid w:val="00D94A4D"/>
    <w:rsid w:val="00D95DF3"/>
    <w:rsid w:val="00DA425B"/>
    <w:rsid w:val="00DA5BA2"/>
    <w:rsid w:val="00DC0433"/>
    <w:rsid w:val="00DC1EF4"/>
    <w:rsid w:val="00DC3639"/>
    <w:rsid w:val="00DC4078"/>
    <w:rsid w:val="00DC5B77"/>
    <w:rsid w:val="00DC6382"/>
    <w:rsid w:val="00DD66CA"/>
    <w:rsid w:val="00DE01EC"/>
    <w:rsid w:val="00DE20E8"/>
    <w:rsid w:val="00DE2AA9"/>
    <w:rsid w:val="00DE6A2C"/>
    <w:rsid w:val="00DE7C16"/>
    <w:rsid w:val="00DF22C6"/>
    <w:rsid w:val="00DF5172"/>
    <w:rsid w:val="00DF69E6"/>
    <w:rsid w:val="00E0358E"/>
    <w:rsid w:val="00E03729"/>
    <w:rsid w:val="00E06BCB"/>
    <w:rsid w:val="00E11A86"/>
    <w:rsid w:val="00E13AF9"/>
    <w:rsid w:val="00E15BA0"/>
    <w:rsid w:val="00E163A3"/>
    <w:rsid w:val="00E16908"/>
    <w:rsid w:val="00E230B2"/>
    <w:rsid w:val="00E2363A"/>
    <w:rsid w:val="00E23786"/>
    <w:rsid w:val="00E24829"/>
    <w:rsid w:val="00E27A79"/>
    <w:rsid w:val="00E3004C"/>
    <w:rsid w:val="00E317AE"/>
    <w:rsid w:val="00E3715C"/>
    <w:rsid w:val="00E37B7E"/>
    <w:rsid w:val="00E37F60"/>
    <w:rsid w:val="00E408F6"/>
    <w:rsid w:val="00E441B4"/>
    <w:rsid w:val="00E47C1F"/>
    <w:rsid w:val="00E50513"/>
    <w:rsid w:val="00E51890"/>
    <w:rsid w:val="00E541C4"/>
    <w:rsid w:val="00E55114"/>
    <w:rsid w:val="00E55296"/>
    <w:rsid w:val="00E62FF4"/>
    <w:rsid w:val="00E67C77"/>
    <w:rsid w:val="00E70612"/>
    <w:rsid w:val="00E7202F"/>
    <w:rsid w:val="00E735A2"/>
    <w:rsid w:val="00E740BA"/>
    <w:rsid w:val="00E74A04"/>
    <w:rsid w:val="00E74AB9"/>
    <w:rsid w:val="00E77FB3"/>
    <w:rsid w:val="00E804CD"/>
    <w:rsid w:val="00E82C59"/>
    <w:rsid w:val="00E83FE6"/>
    <w:rsid w:val="00E84C3A"/>
    <w:rsid w:val="00E865AD"/>
    <w:rsid w:val="00E8781F"/>
    <w:rsid w:val="00E91141"/>
    <w:rsid w:val="00E91CF2"/>
    <w:rsid w:val="00E93D23"/>
    <w:rsid w:val="00E945E5"/>
    <w:rsid w:val="00E94956"/>
    <w:rsid w:val="00E96302"/>
    <w:rsid w:val="00EA579B"/>
    <w:rsid w:val="00EA63ED"/>
    <w:rsid w:val="00EA7D8F"/>
    <w:rsid w:val="00EA7E4B"/>
    <w:rsid w:val="00EB23EA"/>
    <w:rsid w:val="00EB2AAF"/>
    <w:rsid w:val="00EB6B0F"/>
    <w:rsid w:val="00EB6E06"/>
    <w:rsid w:val="00EC0635"/>
    <w:rsid w:val="00EC25AA"/>
    <w:rsid w:val="00EC339A"/>
    <w:rsid w:val="00EC33B2"/>
    <w:rsid w:val="00EC3CDD"/>
    <w:rsid w:val="00EC3FC2"/>
    <w:rsid w:val="00EC5ED6"/>
    <w:rsid w:val="00EC673F"/>
    <w:rsid w:val="00EC7260"/>
    <w:rsid w:val="00ED1D35"/>
    <w:rsid w:val="00EE097D"/>
    <w:rsid w:val="00EE1141"/>
    <w:rsid w:val="00EE1647"/>
    <w:rsid w:val="00EE7C4F"/>
    <w:rsid w:val="00EF029F"/>
    <w:rsid w:val="00EF37F3"/>
    <w:rsid w:val="00EF4150"/>
    <w:rsid w:val="00EF4D66"/>
    <w:rsid w:val="00EF5388"/>
    <w:rsid w:val="00EF6C67"/>
    <w:rsid w:val="00EF7434"/>
    <w:rsid w:val="00F02098"/>
    <w:rsid w:val="00F03656"/>
    <w:rsid w:val="00F067EC"/>
    <w:rsid w:val="00F07F0C"/>
    <w:rsid w:val="00F113A6"/>
    <w:rsid w:val="00F154D6"/>
    <w:rsid w:val="00F20211"/>
    <w:rsid w:val="00F215DA"/>
    <w:rsid w:val="00F22468"/>
    <w:rsid w:val="00F2432C"/>
    <w:rsid w:val="00F255B9"/>
    <w:rsid w:val="00F27FFE"/>
    <w:rsid w:val="00F30E89"/>
    <w:rsid w:val="00F43A63"/>
    <w:rsid w:val="00F4450C"/>
    <w:rsid w:val="00F447B7"/>
    <w:rsid w:val="00F45D6B"/>
    <w:rsid w:val="00F46063"/>
    <w:rsid w:val="00F46B37"/>
    <w:rsid w:val="00F46CC5"/>
    <w:rsid w:val="00F47B50"/>
    <w:rsid w:val="00F50026"/>
    <w:rsid w:val="00F5081D"/>
    <w:rsid w:val="00F524FF"/>
    <w:rsid w:val="00F53CED"/>
    <w:rsid w:val="00F557C1"/>
    <w:rsid w:val="00F601F4"/>
    <w:rsid w:val="00F60748"/>
    <w:rsid w:val="00F636A6"/>
    <w:rsid w:val="00F66C90"/>
    <w:rsid w:val="00F675A2"/>
    <w:rsid w:val="00F77A52"/>
    <w:rsid w:val="00F814AB"/>
    <w:rsid w:val="00F82EE0"/>
    <w:rsid w:val="00F85188"/>
    <w:rsid w:val="00F86771"/>
    <w:rsid w:val="00F86CA0"/>
    <w:rsid w:val="00F902CD"/>
    <w:rsid w:val="00F91BBF"/>
    <w:rsid w:val="00F95648"/>
    <w:rsid w:val="00FA5A6B"/>
    <w:rsid w:val="00FB1BE0"/>
    <w:rsid w:val="00FB1D5A"/>
    <w:rsid w:val="00FB2EBB"/>
    <w:rsid w:val="00FB45F7"/>
    <w:rsid w:val="00FC2733"/>
    <w:rsid w:val="00FC2D76"/>
    <w:rsid w:val="00FC6520"/>
    <w:rsid w:val="00FD1A08"/>
    <w:rsid w:val="00FD402B"/>
    <w:rsid w:val="00FD537C"/>
    <w:rsid w:val="00FE22B9"/>
    <w:rsid w:val="00FE2391"/>
    <w:rsid w:val="00FE2539"/>
    <w:rsid w:val="00FE637F"/>
    <w:rsid w:val="00FE7F63"/>
    <w:rsid w:val="00FF291D"/>
    <w:rsid w:val="00FF346D"/>
    <w:rsid w:val="00FF41FE"/>
    <w:rsid w:val="00FF572A"/>
    <w:rsid w:val="00FF6DA3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AC42D"/>
  <w15:docId w15:val="{69D32086-5BA2-4249-956F-9A50187E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2F4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2F4A"/>
    <w:pPr>
      <w:keepNext/>
      <w:spacing w:line="480" w:lineRule="auto"/>
      <w:jc w:val="both"/>
      <w:outlineLvl w:val="0"/>
    </w:pPr>
    <w:rPr>
      <w:b/>
      <w:bCs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12F4A"/>
    <w:pPr>
      <w:keepNext/>
      <w:spacing w:line="480" w:lineRule="auto"/>
      <w:jc w:val="both"/>
      <w:outlineLvl w:val="1"/>
    </w:pPr>
    <w:rPr>
      <w:b/>
      <w:bCs/>
      <w:i/>
      <w:iCs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43A1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40BB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39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394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43A12"/>
    <w:rPr>
      <w:rFonts w:ascii="Cambria" w:hAnsi="Cambria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340BB4"/>
    <w:rPr>
      <w:rFonts w:ascii="Calibri" w:hAnsi="Calibri"/>
      <w:b/>
      <w:sz w:val="28"/>
    </w:rPr>
  </w:style>
  <w:style w:type="paragraph" w:styleId="Tytu">
    <w:name w:val="Title"/>
    <w:basedOn w:val="Normalny"/>
    <w:link w:val="TytuZnak"/>
    <w:uiPriority w:val="99"/>
    <w:qFormat/>
    <w:rsid w:val="00512F4A"/>
    <w:pPr>
      <w:spacing w:line="480" w:lineRule="auto"/>
      <w:jc w:val="center"/>
    </w:pPr>
    <w:rPr>
      <w:b/>
      <w:bCs/>
      <w:lang w:val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DF5172"/>
    <w:rPr>
      <w:b/>
      <w:sz w:val="24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rsid w:val="00512F4A"/>
    <w:pPr>
      <w:spacing w:line="480" w:lineRule="auto"/>
      <w:jc w:val="both"/>
    </w:pPr>
    <w:rPr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F394D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512F4A"/>
    <w:pPr>
      <w:spacing w:line="480" w:lineRule="auto"/>
      <w:jc w:val="both"/>
    </w:pPr>
    <w:rPr>
      <w:b/>
      <w:bCs/>
      <w:i/>
      <w:iCs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F394D"/>
    <w:rPr>
      <w:sz w:val="24"/>
      <w:szCs w:val="24"/>
    </w:rPr>
  </w:style>
  <w:style w:type="character" w:customStyle="1" w:styleId="apple-converted-space">
    <w:name w:val="apple-converted-space"/>
    <w:uiPriority w:val="99"/>
    <w:rsid w:val="00043A12"/>
  </w:style>
  <w:style w:type="character" w:styleId="Uwydatnienie">
    <w:name w:val="Emphasis"/>
    <w:basedOn w:val="Domylnaczcionkaakapitu"/>
    <w:uiPriority w:val="20"/>
    <w:qFormat/>
    <w:rsid w:val="00043A12"/>
    <w:rPr>
      <w:rFonts w:cs="Times New Roman"/>
      <w:i/>
    </w:rPr>
  </w:style>
  <w:style w:type="character" w:styleId="Hipercze">
    <w:name w:val="Hyperlink"/>
    <w:basedOn w:val="Domylnaczcionkaakapitu"/>
    <w:uiPriority w:val="99"/>
    <w:semiHidden/>
    <w:rsid w:val="00043A12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semiHidden/>
    <w:rsid w:val="00043A12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197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97E79"/>
    <w:rPr>
      <w:sz w:val="24"/>
    </w:rPr>
  </w:style>
  <w:style w:type="paragraph" w:styleId="Stopka">
    <w:name w:val="footer"/>
    <w:basedOn w:val="Normalny"/>
    <w:link w:val="StopkaZnak"/>
    <w:uiPriority w:val="99"/>
    <w:rsid w:val="00197E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97E79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891251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91251"/>
    <w:rPr>
      <w:rFonts w:ascii="Segoe UI" w:hAnsi="Segoe UI"/>
      <w:sz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5C28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5C283C"/>
    <w:rPr>
      <w:rFonts w:ascii="Courier New" w:hAnsi="Courier New"/>
    </w:rPr>
  </w:style>
  <w:style w:type="paragraph" w:customStyle="1" w:styleId="p">
    <w:name w:val="p"/>
    <w:basedOn w:val="Normalny"/>
    <w:uiPriority w:val="99"/>
    <w:rsid w:val="006E4CBB"/>
    <w:pPr>
      <w:spacing w:before="100" w:beforeAutospacing="1" w:after="100" w:afterAutospacing="1"/>
    </w:pPr>
  </w:style>
  <w:style w:type="character" w:customStyle="1" w:styleId="xdb">
    <w:name w:val="_xdb"/>
    <w:uiPriority w:val="99"/>
    <w:rsid w:val="00364056"/>
  </w:style>
  <w:style w:type="character" w:customStyle="1" w:styleId="xbe">
    <w:name w:val="_xbe"/>
    <w:uiPriority w:val="99"/>
    <w:rsid w:val="00364056"/>
  </w:style>
  <w:style w:type="character" w:styleId="Odwoaniedokomentarza">
    <w:name w:val="annotation reference"/>
    <w:basedOn w:val="Domylnaczcionkaakapitu"/>
    <w:uiPriority w:val="99"/>
    <w:semiHidden/>
    <w:rsid w:val="00C0549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054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05490"/>
    <w:rPr>
      <w:rFonts w:eastAsia="Times New Roman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5B2BA0"/>
    <w:rPr>
      <w:rFonts w:cs="Times New Roman"/>
      <w:b/>
    </w:rPr>
  </w:style>
  <w:style w:type="character" w:customStyle="1" w:styleId="emphasistypebolditalic">
    <w:name w:val="emphasistypebolditalic"/>
    <w:uiPriority w:val="99"/>
    <w:rsid w:val="005B2BA0"/>
  </w:style>
  <w:style w:type="character" w:customStyle="1" w:styleId="internalref">
    <w:name w:val="internalref"/>
    <w:uiPriority w:val="99"/>
    <w:rsid w:val="005B2BA0"/>
  </w:style>
  <w:style w:type="paragraph" w:customStyle="1" w:styleId="EndNoteBibliographyTitle">
    <w:name w:val="EndNote Bibliography Title"/>
    <w:basedOn w:val="Normalny"/>
    <w:link w:val="EndNoteBibliographyTitleZnak"/>
    <w:uiPriority w:val="99"/>
    <w:rsid w:val="00D31E04"/>
    <w:pPr>
      <w:jc w:val="center"/>
    </w:pPr>
    <w:rPr>
      <w:noProof/>
    </w:rPr>
  </w:style>
  <w:style w:type="character" w:customStyle="1" w:styleId="EndNoteBibliographyTitleZnak">
    <w:name w:val="EndNote Bibliography Title Znak"/>
    <w:link w:val="EndNoteBibliographyTitle"/>
    <w:uiPriority w:val="99"/>
    <w:locked/>
    <w:rsid w:val="00D31E04"/>
    <w:rPr>
      <w:noProof/>
      <w:sz w:val="24"/>
    </w:rPr>
  </w:style>
  <w:style w:type="paragraph" w:customStyle="1" w:styleId="EndNoteBibliography">
    <w:name w:val="EndNote Bibliography"/>
    <w:basedOn w:val="Normalny"/>
    <w:link w:val="EndNoteBibliographyZnak"/>
    <w:uiPriority w:val="99"/>
    <w:rsid w:val="00D31E04"/>
    <w:pPr>
      <w:jc w:val="both"/>
    </w:pPr>
    <w:rPr>
      <w:noProof/>
    </w:rPr>
  </w:style>
  <w:style w:type="character" w:customStyle="1" w:styleId="EndNoteBibliographyZnak">
    <w:name w:val="EndNote Bibliography Znak"/>
    <w:link w:val="EndNoteBibliography"/>
    <w:uiPriority w:val="99"/>
    <w:locked/>
    <w:rsid w:val="00D31E04"/>
    <w:rPr>
      <w:noProof/>
      <w:sz w:val="24"/>
    </w:rPr>
  </w:style>
  <w:style w:type="table" w:styleId="Tabela-Siatka">
    <w:name w:val="Table Grid"/>
    <w:basedOn w:val="Standardowy"/>
    <w:uiPriority w:val="99"/>
    <w:rsid w:val="00FD1A0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22heading2">
    <w:name w:val="MDPI_2.2_heading2"/>
    <w:qFormat/>
    <w:rsid w:val="003C1C47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hAnsi="Palatino Linotype"/>
      <w:i/>
      <w:noProof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2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631</Words>
  <Characters>3572</Characters>
  <Application>Microsoft Office Word</Application>
  <DocSecurity>0</DocSecurity>
  <Lines>65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IITD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immuno</dc:creator>
  <cp:lastModifiedBy>upwr</cp:lastModifiedBy>
  <cp:revision>32</cp:revision>
  <cp:lastPrinted>2017-12-19T10:45:00Z</cp:lastPrinted>
  <dcterms:created xsi:type="dcterms:W3CDTF">2022-07-22T10:36:00Z</dcterms:created>
  <dcterms:modified xsi:type="dcterms:W3CDTF">2023-11-24T13:40:00Z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3d1c4803dbce268bea9dd8e165c045d20a70c1b8ee73f22a1c41f5a2165695df</vt:lpwstr>
  </property>
</Properties>
</file>