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470"/>
        <w:tblW w:w="0" w:type="auto"/>
        <w:jc w:val="center"/>
        <w:tblBorders>
          <w:top w:val="single" w:color="auto" w:sz="4" w:space="0"/>
          <w:left w:val="none" w:color="000000" w:sz="4" w:space="0"/>
          <w:bottom w:val="single" w:color="auto" w:sz="4" w:space="0"/>
          <w:right w:val="non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19"/>
        <w:gridCol w:w="2977"/>
      </w:tblGrid>
      <w:tr>
        <w:tblPrEx>
          <w:tblBorders>
            <w:top w:val="single" w:color="auto" w:sz="4" w:space="0"/>
            <w:left w:val="none" w:color="000000" w:sz="4" w:space="0"/>
            <w:bottom w:val="single" w:color="auto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  <w:lang w:val="en-US"/>
              </w:rPr>
            </w:pPr>
            <w:bookmarkStart w:id="0" w:name="OLE_LINK144"/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Gene name</w:t>
            </w:r>
            <w:bookmarkEnd w:id="0"/>
          </w:p>
        </w:tc>
        <w:tc>
          <w:tcPr>
            <w:tcW w:w="311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Forward primer (5′→3′)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Reverse primer (5′→3′)</w:t>
            </w:r>
          </w:p>
        </w:tc>
      </w:tr>
      <w:tr>
        <w:tblPrEx>
          <w:tblBorders>
            <w:top w:val="single" w:color="auto" w:sz="4" w:space="0"/>
            <w:left w:val="none" w:color="000000" w:sz="4" w:space="0"/>
            <w:bottom w:val="single" w:color="auto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42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PyDET2e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TACAAGGTTCCCAAGGGTGG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AACTCCTCCCCGTCAGGTAA</w:t>
            </w:r>
          </w:p>
        </w:tc>
      </w:tr>
      <w:tr>
        <w:tblPrEx>
          <w:tblBorders>
            <w:top w:val="single" w:color="auto" w:sz="4" w:space="0"/>
            <w:left w:val="none" w:color="000000" w:sz="4" w:space="0"/>
            <w:bottom w:val="single" w:color="auto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HIS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TTTAAGACTGATCTGCGTTTCC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GAACAGCCCAACAAGGTATG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18"/>
          <w:szCs w:val="18"/>
          <w:lang w:val="en-US" w:eastAsia="zh-CN" w:bidi="ar"/>
        </w:rPr>
        <w:t xml:space="preserve">Table S1 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Primer sequence of RT-qPCR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2240" w:h="15840"/>
          <w:pgMar w:top="1440" w:right="1800" w:bottom="1440" w:left="1800" w:header="720" w:footer="72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Table S2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 Identification of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lang w:val="en-US" w:eastAsia="zh-CN" w:bidi="ar"/>
        </w:rPr>
        <w:t>DET2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family genes in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lang w:val="en-US" w:eastAsia="zh-CN" w:bidi="ar"/>
        </w:rPr>
        <w:t>P. yunnanensis.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tbl>
      <w:tblPr>
        <w:tblStyle w:val="3"/>
        <w:tblpPr w:leftFromText="180" w:rightFromText="180" w:vertAnchor="page" w:horzAnchor="page" w:tblpX="1472" w:tblpY="2190"/>
        <w:tblW w:w="4938" w:type="pct"/>
        <w:tblInd w:w="0" w:type="dxa"/>
        <w:tblBorders>
          <w:top w:val="single" w:color="000000" w:sz="4" w:space="0"/>
          <w:left w:val="none" w:color="000000" w:sz="4" w:space="0"/>
          <w:bottom w:val="single" w:color="000000" w:sz="4" w:space="0"/>
          <w:right w:val="non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24"/>
        <w:gridCol w:w="1031"/>
        <w:gridCol w:w="308"/>
        <w:gridCol w:w="1116"/>
        <w:gridCol w:w="308"/>
        <w:gridCol w:w="182"/>
        <w:gridCol w:w="819"/>
        <w:gridCol w:w="101"/>
        <w:gridCol w:w="1179"/>
        <w:gridCol w:w="791"/>
        <w:gridCol w:w="308"/>
        <w:gridCol w:w="558"/>
        <w:gridCol w:w="893"/>
        <w:gridCol w:w="561"/>
        <w:gridCol w:w="879"/>
        <w:gridCol w:w="1187"/>
        <w:gridCol w:w="55"/>
        <w:gridCol w:w="100"/>
      </w:tblGrid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9" w:type="pct"/>
            <w:vMerge w:val="restart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Gene name</w:t>
            </w:r>
          </w:p>
        </w:tc>
        <w:tc>
          <w:tcPr>
            <w:tcW w:w="623" w:type="pct"/>
            <w:vMerge w:val="restart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Gene ID</w:t>
            </w:r>
          </w:p>
        </w:tc>
        <w:tc>
          <w:tcPr>
            <w:tcW w:w="514" w:type="pct"/>
            <w:gridSpan w:val="2"/>
            <w:vMerge w:val="restart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Amino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Acid(aa)</w:t>
            </w:r>
          </w:p>
        </w:tc>
        <w:tc>
          <w:tcPr>
            <w:tcW w:w="428" w:type="pct"/>
            <w:vMerge w:val="restart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Molecular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Weight (kDa)</w:t>
            </w:r>
          </w:p>
        </w:tc>
        <w:tc>
          <w:tcPr>
            <w:tcW w:w="541" w:type="pct"/>
            <w:gridSpan w:val="4"/>
            <w:vMerge w:val="restart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Isoelectric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Point (pI)</w:t>
            </w:r>
          </w:p>
        </w:tc>
        <w:tc>
          <w:tcPr>
            <w:tcW w:w="452" w:type="pct"/>
            <w:vMerge w:val="restart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Instability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Index</w:t>
            </w:r>
          </w:p>
        </w:tc>
        <w:tc>
          <w:tcPr>
            <w:tcW w:w="303" w:type="pct"/>
            <w:vMerge w:val="restart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5"/>
                <w:szCs w:val="15"/>
                <w:lang w:val="en-US" w:eastAsia="zh-CN" w:bidi="ar"/>
              </w:rPr>
              <w:t>GRAVY</w:t>
            </w:r>
          </w:p>
        </w:tc>
        <w:tc>
          <w:tcPr>
            <w:tcW w:w="1229" w:type="pct"/>
            <w:gridSpan w:val="5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Secondary structure/%</w:t>
            </w:r>
          </w:p>
        </w:tc>
        <w:tc>
          <w:tcPr>
            <w:tcW w:w="515" w:type="pct"/>
            <w:gridSpan w:val="3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Subcellular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Localization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continue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5"/>
                <w:szCs w:val="15"/>
              </w:rPr>
            </w:pPr>
          </w:p>
        </w:tc>
        <w:tc>
          <w:tcPr>
            <w:tcW w:w="623" w:type="pct"/>
            <w:vMerge w:val="continue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5"/>
                <w:szCs w:val="15"/>
              </w:rPr>
            </w:pPr>
          </w:p>
        </w:tc>
        <w:tc>
          <w:tcPr>
            <w:tcW w:w="514" w:type="pct"/>
            <w:gridSpan w:val="2"/>
            <w:vMerge w:val="continue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5"/>
                <w:szCs w:val="15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5"/>
                <w:szCs w:val="15"/>
              </w:rPr>
            </w:pPr>
          </w:p>
        </w:tc>
        <w:tc>
          <w:tcPr>
            <w:tcW w:w="541" w:type="pct"/>
            <w:gridSpan w:val="4"/>
            <w:vMerge w:val="continue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5"/>
                <w:szCs w:val="15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5"/>
                <w:szCs w:val="15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5"/>
                <w:szCs w:val="15"/>
              </w:rPr>
            </w:pPr>
          </w:p>
        </w:tc>
        <w:tc>
          <w:tcPr>
            <w:tcW w:w="33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Alpha helix</w:t>
            </w:r>
          </w:p>
        </w:tc>
        <w:tc>
          <w:tcPr>
            <w:tcW w:w="343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Extended strand</w:t>
            </w:r>
          </w:p>
        </w:tc>
        <w:tc>
          <w:tcPr>
            <w:tcW w:w="215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Beta turn</w:t>
            </w:r>
          </w:p>
        </w:tc>
        <w:tc>
          <w:tcPr>
            <w:tcW w:w="33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Random coil</w:t>
            </w:r>
          </w:p>
        </w:tc>
        <w:tc>
          <w:tcPr>
            <w:tcW w:w="515" w:type="pct"/>
            <w:gridSpan w:val="3"/>
            <w:vMerge w:val="continue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PyDET2a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Pyun04G015560.1</w:t>
            </w:r>
          </w:p>
        </w:tc>
        <w:tc>
          <w:tcPr>
            <w:tcW w:w="514" w:type="pct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339</w:t>
            </w:r>
          </w:p>
        </w:tc>
        <w:tc>
          <w:tcPr>
            <w:tcW w:w="547" w:type="pct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38.94</w:t>
            </w:r>
          </w:p>
        </w:tc>
        <w:tc>
          <w:tcPr>
            <w:tcW w:w="423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8.79</w:t>
            </w:r>
          </w:p>
        </w:tc>
        <w:tc>
          <w:tcPr>
            <w:tcW w:w="452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46.84</w:t>
            </w:r>
          </w:p>
        </w:tc>
        <w:tc>
          <w:tcPr>
            <w:tcW w:w="422" w:type="pct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102.36</w:t>
            </w:r>
          </w:p>
        </w:tc>
        <w:tc>
          <w:tcPr>
            <w:tcW w:w="214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53.98</w:t>
            </w:r>
          </w:p>
        </w:tc>
        <w:tc>
          <w:tcPr>
            <w:tcW w:w="343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16.22</w:t>
            </w:r>
          </w:p>
        </w:tc>
        <w:tc>
          <w:tcPr>
            <w:tcW w:w="215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3.83</w:t>
            </w:r>
          </w:p>
        </w:tc>
        <w:tc>
          <w:tcPr>
            <w:tcW w:w="337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25.96</w:t>
            </w:r>
          </w:p>
        </w:tc>
        <w:tc>
          <w:tcPr>
            <w:tcW w:w="515" w:type="pct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Chloroplast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Pyun05G003670.1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253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29.71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9.17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38.71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86.68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29.25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28.46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4.74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37.55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Golgi apparatus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Pyun08G000950.1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267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30.10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9.65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42.71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110.9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51.69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17.23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2.62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28.46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Chloroplast.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Pyun08G000960.1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263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29.62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9.53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31.45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102.59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49.43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17.11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5.32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28.14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Cell membrane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Chloroplast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Golgi apparatus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Pyun08G000970.1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264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30.02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9.66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43.18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108.11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47.35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21.97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3.79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26.89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Chloroplast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PyDET2f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Pyun09G012590.1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351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40.35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8.99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44.34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101.11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47.29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19.66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4.84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28.21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Cell membrane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Pyun10G023000.1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268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30.26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9.40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45.98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109.78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48.51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17.91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4.85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28.73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Cell membrane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Chloroplast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Peroxisome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Pyun10G023010.1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253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28.74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9.58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40.06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106.32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48.22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18.58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4.74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28.46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Cell membrane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Pyun10G023020.1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264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29.76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9.34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43.02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107.08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54.20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13.74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4.2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27.86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Cell membrane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Golgi apparatus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Peroxisome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Pyun13G013760.1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264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30.90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9.35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43.38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89.02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34.09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25.38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3.41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37.12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Cell membrane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Golgi apparatus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Mitochondrion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Pyun13G013800.1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264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20.71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9.35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45.08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89.39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36.74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24.24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2.65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36.36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Cell membrane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Golgi apparatus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Mitochondrion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PyDET2l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Pyun14G008550.1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320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38.25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9.25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22.63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94.69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43.12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20.62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3.12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33.12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Chloroplast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pct"/>
          <w:trHeight w:val="329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Pyun15G004230.1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292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33.11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8.99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28.32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114.79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46.58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17.47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4.45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31.51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Cell membra</w:t>
            </w: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ne</w:t>
            </w:r>
          </w:p>
        </w:tc>
      </w:tr>
      <w:tr>
        <w:tblPrEx>
          <w:tblBorders>
            <w:top w:val="single" w:color="000000" w:sz="4" w:space="0"/>
            <w:left w:val="none" w:color="000000" w:sz="4" w:space="0"/>
            <w:bottom w:val="single" w:color="000000" w:sz="4" w:space="0"/>
            <w:right w:val="non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pct"/>
          <w:trHeight w:val="310" w:hRule="atLeast"/>
        </w:trPr>
        <w:tc>
          <w:tcPr>
            <w:tcW w:w="38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PyDET2n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lang w:val="en-US" w:eastAsia="zh-CN" w:bidi="ar"/>
              </w:rPr>
              <w:t>Pyun16G010440.1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267</w:t>
            </w:r>
          </w:p>
        </w:tc>
        <w:tc>
          <w:tcPr>
            <w:tcW w:w="735" w:type="pct"/>
            <w:gridSpan w:val="4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29.68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9.48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46.55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91.44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38.52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24.51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3.50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33.46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"/>
              </w:rPr>
              <w:t>Cell membrane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Note: Information provided includes gene names, gene ids, amino acid, molecular weight (kDa), isoelectric points(PI), instability index, GRAVY, Secondary structure and subcellular localization.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20"/>
          <w:szCs w:val="20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0"/>
          <w:szCs w:val="20"/>
          <w:lang w:val="en-US" w:eastAsia="zh-CN" w:bidi="ar"/>
        </w:rPr>
        <w:t>S3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0"/>
          <w:szCs w:val="20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Base composition of codons in the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DET2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gene family of </w:t>
      </w:r>
      <w:r>
        <w:rPr>
          <w:rFonts w:hint="default" w:ascii="Times New Roman" w:hAnsi="Times New Roman" w:eastAsia="宋体" w:cs="Times New Roman"/>
          <w:i/>
          <w:iCs w:val="0"/>
          <w:kern w:val="2"/>
          <w:sz w:val="20"/>
          <w:szCs w:val="20"/>
          <w:lang w:val="en-US" w:eastAsia="zh-CN" w:bidi="ar"/>
        </w:rPr>
        <w:t>P. yunnanensis.</w:t>
      </w:r>
    </w:p>
    <w:tbl>
      <w:tblPr>
        <w:tblStyle w:val="3"/>
        <w:tblpPr w:leftFromText="180" w:rightFromText="180" w:vertAnchor="text" w:horzAnchor="page" w:tblpX="3067" w:tblpY="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766"/>
        <w:gridCol w:w="766"/>
        <w:gridCol w:w="766"/>
        <w:gridCol w:w="766"/>
        <w:gridCol w:w="783"/>
        <w:gridCol w:w="772"/>
        <w:gridCol w:w="750"/>
        <w:gridCol w:w="794"/>
        <w:gridCol w:w="816"/>
        <w:gridCol w:w="816"/>
        <w:gridCol w:w="816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Gene Name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T3s/%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C3s/%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A3s/%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G3s/%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CAI/%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CBI/%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Fop/%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ENc/%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GC1/%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GC2/%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GC3/%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GC/%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PyDET2a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0.4514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0.1701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0.3529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0.2617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0.193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-0.120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0.335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51.96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0.482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0.410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0.368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PyDET2n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0.1761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0.3636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48.81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0.506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lang w:val="en-US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5840" w:h="12240" w:orient="landscape"/>
          <w:pgMar w:top="1803" w:right="1440" w:bottom="1803" w:left="1440" w:header="720" w:footer="720" w:gutter="0"/>
          <w:paperSrc/>
          <w:cols w:space="0" w:num="1"/>
          <w:rtlGutter w:val="0"/>
          <w:docGrid w:type="lines" w:linePitch="319" w:charSpace="0"/>
        </w:sect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64660" cy="1920240"/>
            <wp:effectExtent l="0" t="0" r="2540" b="10160"/>
            <wp:docPr id="3" name="图片 3" descr="netphos-3.1b.PyDET2e (1)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netphos-3.1b.PyDET2e (1) - 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466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00170" cy="1922780"/>
            <wp:effectExtent l="0" t="0" r="11430" b="7620"/>
            <wp:docPr id="4" name="图片 4" descr="PyDET2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yDET2e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default"/>
          <w:b/>
          <w:lang w:val="en-US" w:eastAsia="zh-CN"/>
        </w:rPr>
      </w:pPr>
      <w:bookmarkStart w:id="1" w:name="_GoBack"/>
      <w:bookmarkEnd w:id="1"/>
      <w:r>
        <w:rPr>
          <w:rFonts w:hint="eastAsia"/>
          <w:b/>
          <w:lang w:val="en-US" w:eastAsia="zh-CN"/>
        </w:rPr>
        <w:t xml:space="preserve">Figure S1. </w:t>
      </w:r>
      <w:r>
        <w:rPr>
          <w:rFonts w:hint="eastAsia"/>
          <w:b w:val="0"/>
          <w:bCs/>
          <w:lang w:val="en-US" w:eastAsia="zh-CN"/>
        </w:rPr>
        <w:t xml:space="preserve">Prediction of phosphorylation sites and transmembrane regions of </w:t>
      </w:r>
      <w:r>
        <w:rPr>
          <w:rFonts w:hint="eastAsia"/>
          <w:b w:val="0"/>
          <w:bCs/>
          <w:i/>
          <w:iCs/>
          <w:lang w:val="en-US" w:eastAsia="zh-CN"/>
        </w:rPr>
        <w:t>PyDET2e</w:t>
      </w:r>
      <w:r>
        <w:rPr>
          <w:rFonts w:hint="eastAsia"/>
          <w:b w:val="0"/>
          <w:bCs/>
          <w:lang w:val="en-US" w:eastAsia="zh-CN"/>
        </w:rPr>
        <w:t xml:space="preserve"> protein</w:t>
      </w:r>
    </w:p>
    <w:sectPr>
      <w:pgSz w:w="15840" w:h="12240" w:orient="landscape"/>
      <w:pgMar w:top="1803" w:right="1440" w:bottom="1803" w:left="1440" w:header="720" w:footer="720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ZjcxMDM1N2ZkZGI2MmJlMmFhMjIyNGNiNGY4MWMifQ=="/>
  </w:docVars>
  <w:rsids>
    <w:rsidRoot w:val="34747EDE"/>
    <w:rsid w:val="347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paragraph" w:customStyle="1" w:styleId="5">
    <w:name w:val="MDPI_4.2_table_body"/>
    <w:qFormat/>
    <w:uiPriority w:val="0"/>
    <w:pPr>
      <w:adjustRightInd w:val="0"/>
      <w:snapToGrid w:val="0"/>
      <w:spacing w:line="260" w:lineRule="atLeast"/>
      <w:jc w:val="center"/>
    </w:pPr>
    <w:rPr>
      <w:rFonts w:ascii="Palatino Linotype" w:hAnsi="Palatino Linotype" w:eastAsia="Times New Roman" w:cs="Times New Roman"/>
      <w:snapToGrid w:val="0"/>
      <w:color w:val="000000"/>
      <w:lang w:val="en-US" w:eastAsia="de-DE" w:bidi="en-US"/>
    </w:rPr>
  </w:style>
  <w:style w:type="paragraph" w:customStyle="1" w:styleId="6">
    <w:name w:val="MDPI_5.1_figure_caption"/>
    <w:qFormat/>
    <w:uiPriority w:val="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hAnsi="Palatino Linotype" w:eastAsia="Times New Roman" w:cs="Times New Roman"/>
      <w:color w:val="000000"/>
      <w:sz w:val="18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482</Words>
  <Characters>2890</Characters>
  <Lines>0</Lines>
  <Paragraphs>0</Paragraphs>
  <TotalTime>5</TotalTime>
  <ScaleCrop>false</ScaleCrop>
  <LinksUpToDate>false</LinksUpToDate>
  <CharactersWithSpaces>2969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2023-11-30T09:34:00Z</dcterms:created>
  <dc:creator>阿乔</dc:creator>
  <cp:lastModifiedBy>阿乔</cp:lastModifiedBy>
  <dcterms:modified xsi:type="dcterms:W3CDTF">2023-12-03T10:18:13Z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5189A38042C84FD7AC7EA644AEE8D536_11</vt:lpwstr>
  </property>
</Properties>
</file>