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drawing>
          <wp:inline distT="0" distB="0" distL="114300" distR="114300">
            <wp:extent cx="3726815" cy="2942590"/>
            <wp:effectExtent l="0" t="0" r="6985" b="10160"/>
            <wp:docPr id="7" name="图片 7" descr="d:/Users/PC/Desktop/图误差棒加粗/差异基因数量.png差异基因数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d:/Users/PC/Desktop/图误差棒加粗/差异基因数量.png差异基因数量"/>
                    <pic:cNvPicPr>
                      <a:picLocks noChangeAspect="1"/>
                    </pic:cNvPicPr>
                  </pic:nvPicPr>
                  <pic:blipFill>
                    <a:blip r:embed="rId4"/>
                    <a:srcRect l="1543" r="1543"/>
                    <a:stretch>
                      <a:fillRect/>
                    </a:stretch>
                  </pic:blipFill>
                  <pic:spPr>
                    <a:xfrm>
                      <a:off x="0" y="0"/>
                      <a:ext cx="3726815" cy="2942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rPr>
          <w:rFonts w:ascii="Times New Roman" w:hAnsi="Times New Roman" w:cs="Times New Roman"/>
          <w:sz w:val="24"/>
          <w:szCs w:val="32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 xml:space="preserve">Supplemental </w:t>
      </w:r>
      <w:r>
        <w:rPr>
          <w:rFonts w:hint="eastAsia" w:ascii="Times New Roman" w:hAnsi="Times New Roman" w:cs="Times New Roman"/>
          <w:b/>
          <w:bCs/>
          <w:sz w:val="24"/>
          <w:szCs w:val="32"/>
        </w:rPr>
        <w:t>Figure S1.</w:t>
      </w:r>
      <w:r>
        <w:rPr>
          <w:rFonts w:hint="eastAsia"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The number of </w:t>
      </w:r>
      <w:r>
        <w:rPr>
          <w:rFonts w:hint="eastAsia" w:ascii="Times New Roman" w:hAnsi="Times New Roman" w:cs="Times New Roman"/>
          <w:sz w:val="24"/>
          <w:szCs w:val="32"/>
        </w:rPr>
        <w:t>DEG</w:t>
      </w:r>
      <w:r>
        <w:rPr>
          <w:rFonts w:ascii="Times New Roman" w:hAnsi="Times New Roman" w:cs="Times New Roman"/>
          <w:sz w:val="24"/>
          <w:szCs w:val="32"/>
        </w:rPr>
        <w:t>s in</w:t>
      </w:r>
      <w:r>
        <w:rPr>
          <w:rFonts w:hint="eastAsia"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>drought-tolerant and drought-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sensitive</w:t>
      </w:r>
      <w:r>
        <w:rPr>
          <w:rFonts w:ascii="Times New Roman" w:hAnsi="Times New Roman" w:cs="Times New Roman"/>
          <w:sz w:val="24"/>
          <w:szCs w:val="32"/>
        </w:rPr>
        <w:t xml:space="preserve"> mycorrhizal seedlings under </w:t>
      </w:r>
      <w:r>
        <w:rPr>
          <w:rFonts w:hint="eastAsia" w:ascii="Times New Roman" w:hAnsi="Times New Roman" w:cs="Times New Roman"/>
          <w:sz w:val="24"/>
          <w:szCs w:val="32"/>
        </w:rPr>
        <w:t>drought (field capacity 30%-35%) and well-watered (field capacity 85%-90%) treatments. S, shoot; R, root.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jc w:val="lef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Supplemental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Table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 xml:space="preserve"> S1. </w:t>
      </w:r>
      <w:r>
        <w:rPr>
          <w:rFonts w:hint="eastAsia"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eographic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information of different </w:t>
      </w:r>
      <w:r>
        <w:rPr>
          <w:rFonts w:hint="eastAsia" w:ascii="Times New Roman" w:hAnsi="Times New Roman" w:eastAsia="ＭＳ 明朝" w:cs="Times New Roman"/>
          <w:sz w:val="24"/>
          <w:szCs w:val="24"/>
          <w:lang w:eastAsia="ja-JP"/>
        </w:rPr>
        <w:t>e</w:t>
      </w:r>
      <w:r>
        <w:rPr>
          <w:rFonts w:ascii="Times New Roman" w:hAnsi="Times New Roman" w:eastAsia="ＭＳ 明朝" w:cs="Times New Roman"/>
          <w:sz w:val="24"/>
          <w:szCs w:val="24"/>
          <w:lang w:eastAsia="ja-JP"/>
        </w:rPr>
        <w:t>cotypes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hint="eastAsia" w:ascii="Times New Roman" w:hAnsi="Times New Roman" w:cs="Times New Roman"/>
          <w:i/>
          <w:iCs/>
          <w:sz w:val="24"/>
          <w:szCs w:val="24"/>
          <w:lang w:eastAsia="en-US"/>
        </w:rPr>
        <w:t>Cenococcum</w:t>
      </w:r>
      <w:r>
        <w:rPr>
          <w:rFonts w:hint="eastAsia"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geophilum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6"/>
        <w:tblW w:w="4446" w:type="dxa"/>
        <w:jc w:val="center"/>
        <w:shd w:val="clear" w:color="auto" w:fill="FFFFFF" w:themeFill="background1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336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80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Isolate</w:t>
            </w:r>
          </w:p>
        </w:tc>
        <w:tc>
          <w:tcPr>
            <w:tcW w:w="3366" w:type="dxa"/>
            <w:tcBorders>
              <w:top w:val="single" w:color="auto" w:sz="12" w:space="0"/>
              <w:left w:val="nil"/>
              <w:bottom w:val="single" w:color="auto" w:sz="8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Isolate location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g16</w:t>
            </w:r>
          </w:p>
        </w:tc>
        <w:tc>
          <w:tcPr>
            <w:tcW w:w="3366" w:type="dxa"/>
            <w:tcBorders>
              <w:top w:val="single" w:color="auto" w:sz="8" w:space="0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Miyasaki, Japan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g21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Miyasaki, Japan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g37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Numazu Senbonhama, Japan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g81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Nagano, Japan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g121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Tokyo, Japan</w:t>
            </w:r>
          </w:p>
        </w:tc>
      </w:tr>
      <w:tr>
        <w:tblPrEx>
          <w:shd w:val="clear" w:color="auto" w:fill="FFFFFF" w:themeFill="background1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g189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Tokyo, Japan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g243</w:t>
            </w: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Ryukyus University, Japan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0" w:type="auto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Ch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g57</w:t>
            </w:r>
          </w:p>
        </w:tc>
        <w:tc>
          <w:tcPr>
            <w:tcW w:w="3366" w:type="dxa"/>
            <w:tcBorders>
              <w:top w:val="nil"/>
              <w:left w:val="nil"/>
              <w:bottom w:val="single" w:color="auto" w:sz="12" w:space="0"/>
              <w:right w:val="nil"/>
            </w:tcBorders>
            <w:shd w:val="clear" w:color="auto" w:fill="FFFFFF" w:themeFill="background1"/>
            <w:noWrap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</w:rPr>
              <w:t>Qinghai Province, China</w:t>
            </w:r>
          </w:p>
        </w:tc>
      </w:tr>
    </w:tbl>
    <w:p>
      <w:pPr>
        <w:rPr>
          <w:rFonts w:ascii="Times New Roman" w:hAnsi="Times New Roman" w:cs="Times New Roman"/>
          <w:b/>
          <w:bCs/>
          <w:sz w:val="24"/>
          <w:szCs w:val="24"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  <w:b/>
          <w:bCs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ascii="Times New Roman" w:hAnsi="Times New Roman" w:cs="Times New Roman" w:eastAsiaTheme="minorEastAsia"/>
          <w:sz w:val="24"/>
          <w:szCs w:val="32"/>
          <w:lang w:val="en-US" w:eastAsia="zh-CN"/>
        </w:rPr>
      </w:pPr>
      <w:r>
        <w:rPr>
          <w:rFonts w:ascii="Times New Roman" w:hAnsi="Times New Roman" w:cs="Times New Roman"/>
          <w:b/>
          <w:bCs/>
          <w:sz w:val="24"/>
          <w:szCs w:val="32"/>
        </w:rPr>
        <w:t>Supplemental</w:t>
      </w:r>
      <w:r>
        <w:rPr>
          <w:rFonts w:hint="eastAsia" w:ascii="Times New Roman" w:hAnsi="Times New Roman" w:cs="Times New Roman"/>
          <w:b/>
          <w:bCs/>
          <w:sz w:val="24"/>
          <w:szCs w:val="32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32"/>
        </w:rPr>
        <w:t>Table</w:t>
      </w:r>
      <w:r>
        <w:rPr>
          <w:rFonts w:hint="eastAsia" w:ascii="Times New Roman" w:hAnsi="Times New Roman" w:cs="Times New Roman"/>
          <w:b/>
          <w:bCs/>
          <w:sz w:val="24"/>
          <w:szCs w:val="32"/>
        </w:rPr>
        <w:t xml:space="preserve"> S2.</w:t>
      </w:r>
      <w:r>
        <w:rPr>
          <w:rFonts w:ascii="Times New Roman" w:hAnsi="Times New Roman" w:cs="Times New Roman"/>
          <w:sz w:val="24"/>
          <w:szCs w:val="32"/>
        </w:rPr>
        <w:t xml:space="preserve"> Correlation coefficient matrix of single index of different ecotypes mycorrhizal seedlings after 7 days of drought stress (field capacity 30%-35%)</w:t>
      </w:r>
      <w:r>
        <w:rPr>
          <w:rFonts w:hint="eastAsia" w:ascii="Times New Roman" w:hAnsi="Times New Roman" w:cs="Times New Roman"/>
          <w:sz w:val="24"/>
          <w:szCs w:val="32"/>
          <w:lang w:val="en-US" w:eastAsia="zh-CN"/>
        </w:rPr>
        <w:t>.</w:t>
      </w:r>
    </w:p>
    <w:tbl>
      <w:tblPr>
        <w:tblStyle w:val="6"/>
        <w:tblW w:w="14865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885"/>
        <w:gridCol w:w="885"/>
        <w:gridCol w:w="801"/>
        <w:gridCol w:w="885"/>
        <w:gridCol w:w="705"/>
        <w:gridCol w:w="801"/>
        <w:gridCol w:w="885"/>
        <w:gridCol w:w="816"/>
        <w:gridCol w:w="801"/>
        <w:gridCol w:w="817"/>
        <w:gridCol w:w="801"/>
        <w:gridCol w:w="817"/>
        <w:gridCol w:w="857"/>
        <w:gridCol w:w="876"/>
        <w:gridCol w:w="801"/>
        <w:gridCol w:w="807"/>
        <w:gridCol w:w="711"/>
        <w:gridCol w:w="657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4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Index</w:t>
            </w:r>
          </w:p>
        </w:tc>
        <w:tc>
          <w:tcPr>
            <w:tcW w:w="88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SWR</w:t>
            </w:r>
          </w:p>
        </w:tc>
        <w:tc>
          <w:tcPr>
            <w:tcW w:w="88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RWC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Pn</w:t>
            </w:r>
          </w:p>
        </w:tc>
        <w:tc>
          <w:tcPr>
            <w:tcW w:w="88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Gs</w:t>
            </w:r>
          </w:p>
        </w:tc>
        <w:tc>
          <w:tcPr>
            <w:tcW w:w="70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Ci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</w:t>
            </w:r>
          </w:p>
        </w:tc>
        <w:tc>
          <w:tcPr>
            <w:tcW w:w="88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CAT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70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CAT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MDA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MDA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PRO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79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PRO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70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61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SWR</w:t>
            </w: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RWC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0.963**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Pn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0.672*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0.611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Gs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0.801**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0.787*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0.717*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Ci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0.670*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0.672*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0.121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0.697*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Tr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0.582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0.576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0.670*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0.929**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CAT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-0.666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-0.567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-0.757*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-0.457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0.008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-0.353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CAT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-0.693*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-0.585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-0.735*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-0.360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0.038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-0.236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0.919**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0.624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0.618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0.307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0.724*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0.586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0.711*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-0.396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-0.307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0.572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0.559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0.443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0.740*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0.468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00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-0.395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-0.333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0.943**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0.666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0.636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0.650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0.873**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0.451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0.903**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-0.479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-0.446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0.836**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0.865**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0.869**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0.822**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0.902**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0.842**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0.361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0.741*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-0.823**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0.563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0.584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0.785*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MDA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-0.761*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-0.707*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-0.415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-0.544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-0.490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-0.478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0.471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0.540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-0.520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-0.481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-0.607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MDA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-0.892**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-0.837**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-0.743*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-0.819**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-0.486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-0.729*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0.725*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0.685*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-0.596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-0.596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-0.741*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-0.93**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0.819**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ro(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0.779*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0.780*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0.747*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0.953**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0.557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0.894**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-0.503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-0.438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0.661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0.655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0.902**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0.888**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-0.480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-0.84**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ro(R)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0.702*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0.726*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0.661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0.927**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0.555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0.882**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-0.411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-0.343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0.710*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0.687*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0.921**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0.809**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-0.355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-0.73*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0.979**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0.611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0.648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0.864**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0.450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0.865**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-0.367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-0.345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0.660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0.661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0.940**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0.760*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-0.306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-0.678*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0.945**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0.970**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SP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(R)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0.812**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0.842**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0.476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0.709*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0.500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0.601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-0.545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-0.578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0.809**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0.713*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0.819**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0.755*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-0.580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-0.754*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0.789**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0.803**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0.755*</w:t>
            </w:r>
          </w:p>
        </w:tc>
        <w:tc>
          <w:tcPr>
            <w:tcW w:w="0" w:type="auto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18"/>
                <w:szCs w:val="18"/>
                <w:lang w:bidi="ar"/>
              </w:rPr>
              <w:t>1.000</w:t>
            </w:r>
          </w:p>
        </w:tc>
      </w:tr>
    </w:tbl>
    <w:p>
      <w:pPr>
        <w:rPr>
          <w:rFonts w:ascii="Times New Roman" w:hAnsi="Times New Roman" w:cs="Times New Roman"/>
          <w:sz w:val="24"/>
          <w:szCs w:val="32"/>
        </w:rPr>
      </w:pPr>
      <w:r>
        <w:rPr>
          <w:rFonts w:hint="eastAsia" w:ascii="Times New Roman" w:hAnsi="Times New Roman" w:cs="Times New Roman"/>
          <w:sz w:val="24"/>
          <w:szCs w:val="32"/>
        </w:rPr>
        <w:t xml:space="preserve">Note: </w:t>
      </w:r>
      <w:r>
        <w:rPr>
          <w:rFonts w:ascii="Times New Roman" w:hAnsi="Times New Roman" w:cs="Times New Roman"/>
          <w:sz w:val="24"/>
          <w:szCs w:val="32"/>
        </w:rPr>
        <w:t>SWC and RWC, shoot and root</w:t>
      </w:r>
      <w:r>
        <w:rPr>
          <w:rFonts w:hint="eastAsia" w:ascii="Times New Roman" w:hAnsi="Times New Roman" w:cs="Times New Roman"/>
          <w:sz w:val="24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32"/>
        </w:rPr>
        <w:t xml:space="preserve">water contents; Pn, net photosynthetic rate; 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Gs, stomatal conductance; Ci, intercellular CO</w:t>
      </w:r>
      <w:r>
        <w:rPr>
          <w:rFonts w:ascii="Times New Roman" w:hAnsi="Times New Roman" w:eastAsia="宋体" w:cs="Times New Roman"/>
          <w:sz w:val="24"/>
          <w:szCs w:val="24"/>
          <w:vertAlign w:val="subscript"/>
          <w:lang w:bidi="ar"/>
        </w:rPr>
        <w:t>2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 xml:space="preserve"> concentration; Tr, transpiration rate;</w:t>
      </w:r>
      <w:r>
        <w:rPr>
          <w:rFonts w:ascii="Times New Roman" w:hAnsi="Times New Roman" w:cs="Times New Roman"/>
          <w:sz w:val="24"/>
          <w:szCs w:val="32"/>
        </w:rPr>
        <w:t xml:space="preserve"> CAT, POD, and SOD, catalase, peroxidase, and superoxide dismutase activities; Pro, proline content; SP and SP, soluble protein contents; MDA, malondialdehyde (MDA) contents</w:t>
      </w:r>
      <w:r>
        <w:rPr>
          <w:rFonts w:hint="eastAsia" w:ascii="Times New Roman" w:hAnsi="Times New Roman" w:cs="Times New Roman"/>
          <w:sz w:val="24"/>
          <w:szCs w:val="32"/>
        </w:rPr>
        <w:t xml:space="preserve">, S, shoot; R, root. * and ** mean significant differences at the levels of </w:t>
      </w:r>
      <w:r>
        <w:rPr>
          <w:rFonts w:hint="eastAsia" w:ascii="Times New Roman" w:hAnsi="Times New Roman" w:cs="Times New Roman"/>
          <w:i/>
          <w:iCs/>
          <w:sz w:val="24"/>
          <w:szCs w:val="32"/>
        </w:rPr>
        <w:t xml:space="preserve">P </w:t>
      </w:r>
      <w:r>
        <w:rPr>
          <w:rFonts w:hint="eastAsia" w:ascii="Times New Roman" w:hAnsi="Times New Roman" w:cs="Times New Roman"/>
          <w:sz w:val="24"/>
          <w:szCs w:val="32"/>
        </w:rPr>
        <w:t xml:space="preserve">&lt; 0.05 and </w:t>
      </w:r>
      <w:r>
        <w:rPr>
          <w:rFonts w:hint="eastAsia" w:ascii="Times New Roman" w:hAnsi="Times New Roman" w:cs="Times New Roman"/>
          <w:i/>
          <w:iCs/>
          <w:sz w:val="24"/>
          <w:szCs w:val="32"/>
        </w:rPr>
        <w:t xml:space="preserve">P </w:t>
      </w:r>
      <w:r>
        <w:rPr>
          <w:rFonts w:hint="eastAsia" w:ascii="Times New Roman" w:hAnsi="Times New Roman" w:cs="Times New Roman"/>
          <w:sz w:val="24"/>
          <w:szCs w:val="32"/>
        </w:rPr>
        <w:t>&lt; 0.01, respectively.</w:t>
      </w:r>
    </w:p>
    <w:p>
      <w:pPr>
        <w:rPr>
          <w:sz w:val="24"/>
          <w:szCs w:val="32"/>
        </w:rPr>
      </w:pPr>
    </w:p>
    <w:p>
      <w:pPr>
        <w:rPr>
          <w:rFonts w:ascii="Times New Roman" w:hAnsi="Times New Roman" w:cs="Times New Roman"/>
          <w:b/>
          <w:bCs/>
        </w:rPr>
        <w:sectPr>
          <w:pgSz w:w="16838" w:h="11906" w:orient="landscape"/>
          <w:pgMar w:top="1800" w:right="1440" w:bottom="1800" w:left="1440" w:header="851" w:footer="992" w:gutter="0"/>
          <w:cols w:space="425" w:num="1"/>
          <w:docGrid w:type="lines" w:linePitch="312" w:charSpace="0"/>
        </w:sectPr>
      </w:pPr>
    </w:p>
    <w:p>
      <w:pPr>
        <w:rPr>
          <w:rFonts w:hint="eastAsia" w:eastAsiaTheme="minorEastAsia"/>
          <w:b/>
          <w:bCs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Supplemental Table S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The index coefficient and proportion of comprehensive coefficient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hint="eastAsia" w:ascii="Times New Roman" w:hAnsi="Times New Roman" w:cs="Times New Roman"/>
          <w:i/>
          <w:iCs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(comprehensive </w:t>
      </w:r>
      <w:r>
        <w:rPr>
          <w:rFonts w:hint="eastAsia" w:ascii="Times New Roman" w:hAnsi="Times New Roman" w:cs="Times New Roman"/>
          <w:sz w:val="24"/>
          <w:szCs w:val="24"/>
        </w:rPr>
        <w:t>index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tbl>
      <w:tblPr>
        <w:tblStyle w:val="6"/>
        <w:tblW w:w="6458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8"/>
        <w:gridCol w:w="1080"/>
        <w:gridCol w:w="1080"/>
        <w:gridCol w:w="10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Principle factors</w:t>
            </w:r>
          </w:p>
        </w:tc>
        <w:tc>
          <w:tcPr>
            <w:tcW w:w="1080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lang w:bidi="ar"/>
              </w:rPr>
              <w:t>C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lang w:bidi="ar"/>
              </w:rPr>
              <w:t>I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bidi="ar"/>
              </w:rPr>
              <w:t>1</w:t>
            </w:r>
          </w:p>
        </w:tc>
        <w:tc>
          <w:tcPr>
            <w:tcW w:w="1080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lang w:bidi="ar"/>
              </w:rPr>
              <w:t>C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lang w:bidi="ar"/>
              </w:rPr>
              <w:t>I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bidi="ar"/>
              </w:rPr>
              <w:t>2</w:t>
            </w:r>
          </w:p>
        </w:tc>
        <w:tc>
          <w:tcPr>
            <w:tcW w:w="1080" w:type="dxa"/>
            <w:tcBorders>
              <w:top w:val="single" w:color="000000" w:sz="12" w:space="0"/>
              <w:left w:val="nil"/>
              <w:bottom w:val="single" w:color="000000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lang w:bidi="ar"/>
              </w:rPr>
              <w:t>C</w:t>
            </w:r>
            <w:r>
              <w:rPr>
                <w:rFonts w:hint="eastAsia"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lang w:bidi="ar"/>
              </w:rPr>
              <w:t>I</w:t>
            </w:r>
            <w:r>
              <w:rPr>
                <w:rFonts w:ascii="Times New Roman" w:hAnsi="Times New Roman" w:eastAsia="宋体" w:cs="Times New Roman"/>
                <w:i/>
                <w:iCs/>
                <w:color w:val="000000"/>
                <w:kern w:val="0"/>
                <w:sz w:val="24"/>
                <w:szCs w:val="24"/>
                <w:vertAlign w:val="subscript"/>
                <w:lang w:bidi="ar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Eigen values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12.317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2.225</w:t>
            </w:r>
          </w:p>
        </w:tc>
        <w:tc>
          <w:tcPr>
            <w:tcW w:w="1080" w:type="dxa"/>
            <w:tcBorders>
              <w:top w:val="single" w:color="000000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1.39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Contributive ratio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68.426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12.359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7.722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Cumulative contributive ratio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68.426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80.785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88.508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Eigenevector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SWR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-0.092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-0.239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RWC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-0.247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Pn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0.062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-0.179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0.272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Gs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Ci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0.047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0.213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-0.384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Tr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0.148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CAT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-0.053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0.302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CAT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0.334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POD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0.151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-0.119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POD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0.064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0.131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0.104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SOD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-0.135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MDA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-0.055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0.096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0.391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MDA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-0.074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0.106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PRO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0.065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PRO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0.125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0.175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0.069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0.127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0.257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3218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SP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(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R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0.071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0.013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000000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right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-0.107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 xml:space="preserve">Note: </w:t>
      </w:r>
      <w:r>
        <w:rPr>
          <w:rFonts w:ascii="Times New Roman" w:hAnsi="Times New Roman" w:cs="Times New Roman"/>
          <w:i/>
          <w:iCs/>
          <w:sz w:val="24"/>
          <w:szCs w:val="24"/>
        </w:rPr>
        <w:t>C</w:t>
      </w:r>
      <w:r>
        <w:rPr>
          <w:rFonts w:hint="eastAsia" w:ascii="Times New Roman" w:hAnsi="Times New Roman" w:cs="Times New Roman"/>
          <w:i/>
          <w:iCs/>
          <w:sz w:val="24"/>
          <w:szCs w:val="24"/>
        </w:rPr>
        <w:t>I</w:t>
      </w:r>
      <w:r>
        <w:rPr>
          <w:rFonts w:hint="eastAsia" w:ascii="Times New Roman" w:hAnsi="Times New Roman" w:cs="Times New Roman"/>
          <w:sz w:val="24"/>
          <w:szCs w:val="24"/>
          <w:vertAlign w:val="subscript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comprehensive </w:t>
      </w:r>
      <w:r>
        <w:rPr>
          <w:rFonts w:hint="eastAsia" w:ascii="Times New Roman" w:hAnsi="Times New Roman" w:cs="Times New Roman"/>
          <w:sz w:val="24"/>
          <w:szCs w:val="24"/>
        </w:rPr>
        <w:t xml:space="preserve">index; </w:t>
      </w:r>
      <w:r>
        <w:rPr>
          <w:rFonts w:ascii="Times New Roman" w:hAnsi="Times New Roman" w:cs="Times New Roman"/>
          <w:sz w:val="24"/>
          <w:szCs w:val="24"/>
        </w:rPr>
        <w:t xml:space="preserve">SWC and RWC, shoot and root water contents; Pn, net photosynthetic rate; 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>Gs, stomatal conductance; Ci, intercellular CO</w:t>
      </w:r>
      <w:r>
        <w:rPr>
          <w:rFonts w:ascii="Times New Roman" w:hAnsi="Times New Roman" w:eastAsia="宋体" w:cs="Times New Roman"/>
          <w:sz w:val="24"/>
          <w:szCs w:val="24"/>
          <w:vertAlign w:val="subscript"/>
          <w:lang w:bidi="ar"/>
        </w:rPr>
        <w:t>2</w:t>
      </w:r>
      <w:r>
        <w:rPr>
          <w:rFonts w:ascii="Times New Roman" w:hAnsi="Times New Roman" w:eastAsia="宋体" w:cs="Times New Roman"/>
          <w:sz w:val="24"/>
          <w:szCs w:val="24"/>
          <w:lang w:bidi="ar"/>
        </w:rPr>
        <w:t xml:space="preserve"> concentration; Tr, transpiration rate;</w:t>
      </w:r>
      <w:r>
        <w:rPr>
          <w:rFonts w:ascii="Times New Roman" w:hAnsi="Times New Roman" w:cs="Times New Roman"/>
          <w:sz w:val="24"/>
          <w:szCs w:val="24"/>
        </w:rPr>
        <w:t xml:space="preserve"> CAT, POD, and SOD, catalase, peroxidase, and superoxide dismutase activities; Pro, proline content; SP and SP, soluble protein contents; MDA, malondialdehyde (MDA) contents</w:t>
      </w:r>
      <w:r>
        <w:rPr>
          <w:rFonts w:hint="eastAsia" w:ascii="Times New Roman" w:hAnsi="Times New Roman" w:cs="Times New Roman"/>
          <w:sz w:val="24"/>
          <w:szCs w:val="24"/>
        </w:rPr>
        <w:t>, S, shoot; R, root.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Supplemental Table S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4.</w:t>
      </w:r>
      <w:r>
        <w:rPr>
          <w:rFonts w:hint="eastAsia" w:ascii="Times New Roman" w:hAnsi="Times New Roman" w:cs="Times New Roman"/>
          <w:sz w:val="24"/>
          <w:szCs w:val="24"/>
        </w:rPr>
        <w:t xml:space="preserve"> List of transcriptome data quality.</w:t>
      </w:r>
    </w:p>
    <w:tbl>
      <w:tblPr>
        <w:tblStyle w:val="6"/>
        <w:tblW w:w="4998" w:type="pct"/>
        <w:tblInd w:w="0" w:type="dxa"/>
        <w:tblBorders>
          <w:top w:val="single" w:color="000000" w:themeColor="text1" w:sz="12" w:space="0"/>
          <w:left w:val="none" w:color="auto" w:sz="0" w:space="0"/>
          <w:bottom w:val="single" w:color="000000" w:themeColor="text1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1833"/>
        <w:gridCol w:w="2370"/>
        <w:gridCol w:w="1429"/>
        <w:gridCol w:w="1429"/>
      </w:tblGrid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bottom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10"/>
                <w:rFonts w:hint="default" w:ascii="Times New Roman" w:hAnsi="Times New Roman" w:cs="Times New Roman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SampleID</w:t>
            </w:r>
          </w:p>
        </w:tc>
        <w:tc>
          <w:tcPr>
            <w:tcW w:w="1075" w:type="pct"/>
            <w:tcBorders>
              <w:bottom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Clean Reads</w:t>
            </w:r>
          </w:p>
        </w:tc>
        <w:tc>
          <w:tcPr>
            <w:tcW w:w="1390" w:type="pct"/>
            <w:tcBorders>
              <w:bottom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Mapped Reads</w:t>
            </w:r>
          </w:p>
        </w:tc>
        <w:tc>
          <w:tcPr>
            <w:tcW w:w="838" w:type="pct"/>
            <w:tcBorders>
              <w:bottom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Mapped Ratio</w:t>
            </w:r>
          </w:p>
        </w:tc>
        <w:tc>
          <w:tcPr>
            <w:tcW w:w="838" w:type="pct"/>
            <w:tcBorders>
              <w:bottom w:val="single" w:color="000000" w:themeColor="text1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Base Number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op w:val="single" w:color="000000" w:themeColor="text1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S121-DS1</w:t>
            </w:r>
          </w:p>
        </w:tc>
        <w:tc>
          <w:tcPr>
            <w:tcW w:w="1075" w:type="pct"/>
            <w:tcBorders>
              <w:top w:val="single" w:color="000000" w:themeColor="text1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22,950,191</w:t>
            </w:r>
          </w:p>
        </w:tc>
        <w:tc>
          <w:tcPr>
            <w:tcW w:w="1390" w:type="pct"/>
            <w:tcBorders>
              <w:top w:val="single" w:color="000000" w:themeColor="text1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6,871,129,962</w:t>
            </w:r>
          </w:p>
        </w:tc>
        <w:tc>
          <w:tcPr>
            <w:tcW w:w="838" w:type="pct"/>
            <w:tcBorders>
              <w:top w:val="single" w:color="000000" w:themeColor="text1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45.74%</w:t>
            </w:r>
          </w:p>
        </w:tc>
        <w:tc>
          <w:tcPr>
            <w:tcW w:w="838" w:type="pct"/>
            <w:tcBorders>
              <w:top w:val="single" w:color="000000" w:themeColor="text1" w:sz="8" w:space="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95.98%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S121-DS2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21,220,386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6,353,254,570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46.13%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95.88%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S121-DS3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22,095,266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6,616,185,438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46.06%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95.75%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S121-WW1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23,767,903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7,116,748,812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46.49%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95.79%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S121-WW2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19,695,861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5,893,797,682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46.61%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95.60%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S121-WW3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23,547,580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7,050,286,352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46.31%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95.51%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S57-DS1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21,223,106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6,356,316,998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45.55%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95.41%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S57-DS2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21,984,327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6,581,915,034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45.46%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95.51%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S57-DS3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21,435,830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6,417,880,884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45.95%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95.85%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S57-WW1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20,837,390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6,237,924,178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47.03%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95.66%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S57-WW2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20,113,617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6,022,856,442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46.58%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95.03%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S57-WW3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21,745,303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6,509,574,290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46.90%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95.92%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R121-DS1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21,972,497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6,575,392,614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46.40%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95.60%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R121-DS2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20,899,011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6,255,863,804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46.14%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95.35%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R121-DS3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20,166,029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6,036,205,202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45.46%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95.20%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R121-WW1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20,995,108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6,284,374,384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47.01%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95.42%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R121-WW2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20,880,607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6,251,771,070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47.28%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95.88%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R121-WW3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19,220,048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5,750,275,160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46.80%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95.82%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R57-DS1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21,598,880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6,462,707,120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46.63%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94.58%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R57-DS2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21,395,481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6,403,622,146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45.87%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94.98%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R57-DS3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20,113,218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6,013,574,536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46.56%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95.68%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R57-WW1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20,463,370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6,122,283,592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46.30%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95.82%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R57-WW2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21,059,284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6,303,590,750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46.46%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95.75%</w:t>
            </w:r>
          </w:p>
        </w:tc>
      </w:tr>
      <w:tr>
        <w:tblPrEx>
          <w:tblBorders>
            <w:top w:val="single" w:color="000000" w:themeColor="text1" w:sz="12" w:space="0"/>
            <w:left w:val="none" w:color="auto" w:sz="0" w:space="0"/>
            <w:bottom w:val="single" w:color="000000" w:themeColor="text1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85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Style w:val="10"/>
                <w:rFonts w:hint="default" w:ascii="Times New Roman" w:hAnsi="Times New Roman" w:cs="Times New Roman"/>
                <w:lang w:bidi="ar"/>
              </w:rPr>
              <w:t>R57-WW3</w:t>
            </w:r>
          </w:p>
        </w:tc>
        <w:tc>
          <w:tcPr>
            <w:tcW w:w="1075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20,178,868</w:t>
            </w:r>
          </w:p>
        </w:tc>
        <w:tc>
          <w:tcPr>
            <w:tcW w:w="139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6,037,348,128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46.20%</w:t>
            </w:r>
          </w:p>
        </w:tc>
        <w:tc>
          <w:tcPr>
            <w:tcW w:w="838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2"/>
                <w:szCs w:val="22"/>
                <w:lang w:bidi="ar"/>
              </w:rPr>
              <w:t>95.42%</w:t>
            </w:r>
          </w:p>
        </w:tc>
      </w:tr>
    </w:tbl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Note: S, Shoot; R, root; DS, drought stress; WW, well-watered;</w:t>
      </w: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b/>
          <w:bCs/>
        </w:rPr>
      </w:pPr>
    </w:p>
    <w:p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Supplemental Table S</w:t>
      </w:r>
      <w:r>
        <w:rPr>
          <w:rFonts w:hint="eastAsia" w:ascii="Times New Roman" w:hAnsi="Times New Roman" w:cs="Times New Roman"/>
          <w:b/>
          <w:bCs/>
          <w:sz w:val="24"/>
          <w:szCs w:val="24"/>
        </w:rPr>
        <w:t>5.</w:t>
      </w:r>
      <w:r>
        <w:rPr>
          <w:rFonts w:hint="eastAsia" w:ascii="Times New Roman" w:hAnsi="Times New Roman" w:cs="Times New Roman"/>
          <w:sz w:val="24"/>
          <w:szCs w:val="24"/>
        </w:rPr>
        <w:t xml:space="preserve"> Unigene length distribution statistics.</w:t>
      </w:r>
    </w:p>
    <w:tbl>
      <w:tblPr>
        <w:tblStyle w:val="6"/>
        <w:tblW w:w="4267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2"/>
        <w:gridCol w:w="2379"/>
        <w:gridCol w:w="258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Length Range</w:t>
            </w:r>
          </w:p>
        </w:tc>
        <w:tc>
          <w:tcPr>
            <w:tcW w:w="1635" w:type="pct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Transcript</w:t>
            </w:r>
          </w:p>
        </w:tc>
        <w:tc>
          <w:tcPr>
            <w:tcW w:w="1774" w:type="pct"/>
            <w:tcBorders>
              <w:top w:val="single" w:color="000000" w:themeColor="text1" w:sz="12" w:space="0"/>
              <w:left w:val="nil"/>
              <w:bottom w:val="single" w:color="000000" w:themeColor="text1" w:sz="8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Unigene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single" w:color="000000" w:themeColor="text1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300-500</w:t>
            </w:r>
          </w:p>
        </w:tc>
        <w:tc>
          <w:tcPr>
            <w:tcW w:w="1635" w:type="pct"/>
            <w:tcBorders>
              <w:top w:val="single" w:color="000000" w:themeColor="text1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14,575(21.12%)</w:t>
            </w:r>
          </w:p>
        </w:tc>
        <w:tc>
          <w:tcPr>
            <w:tcW w:w="1774" w:type="pct"/>
            <w:tcBorders>
              <w:top w:val="single" w:color="000000" w:themeColor="text1" w:sz="8" w:space="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10,201(31.85%)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500-1000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7,271(10.53%)</w:t>
            </w:r>
          </w:p>
        </w:tc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3,772(11.78%)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1000-2000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10,186(14.76%)</w:t>
            </w:r>
          </w:p>
        </w:tc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5,057(15.79%)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&gt;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2000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36,989(53.59%)</w:t>
            </w:r>
          </w:p>
        </w:tc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13,002(40.59%)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Total Number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69,021</w:t>
            </w:r>
          </w:p>
        </w:tc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32,032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Total Length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144,203,542</w:t>
            </w:r>
          </w:p>
        </w:tc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55,051,729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N50 Length</w:t>
            </w:r>
          </w:p>
        </w:tc>
        <w:tc>
          <w:tcPr>
            <w:tcW w:w="16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2,846</w:t>
            </w:r>
          </w:p>
        </w:tc>
        <w:tc>
          <w:tcPr>
            <w:tcW w:w="17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2,673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589" w:type="pct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Mean Length</w:t>
            </w:r>
          </w:p>
        </w:tc>
        <w:tc>
          <w:tcPr>
            <w:tcW w:w="1635" w:type="pct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2089.27</w:t>
            </w:r>
          </w:p>
        </w:tc>
        <w:tc>
          <w:tcPr>
            <w:tcW w:w="1774" w:type="pct"/>
            <w:tcBorders>
              <w:top w:val="nil"/>
              <w:left w:val="nil"/>
              <w:bottom w:val="single" w:color="000000" w:themeColor="text1" w:sz="12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 w:val="24"/>
                <w:szCs w:val="24"/>
                <w:lang w:bidi="ar"/>
              </w:rPr>
              <w:t>1718.65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jc w:val="left"/>
        <w:rPr>
          <w:rFonts w:hint="eastAsia" w:ascii="Times New Roman" w:hAnsi="Times New Roman" w:cs="Times New Roman" w:eastAsiaTheme="minorEastAsia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</w:rPr>
        <w:t>Supplemental Table S6.</w:t>
      </w:r>
      <w:r>
        <w:rPr>
          <w:rFonts w:hint="eastAsia" w:ascii="Times New Roman" w:hAnsi="Times New Roman" w:cs="Times New Roman"/>
          <w:sz w:val="24"/>
          <w:szCs w:val="24"/>
        </w:rPr>
        <w:t xml:space="preserve"> Sequences of primers used for RT-qPCR analysis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</w:p>
    <w:tbl>
      <w:tblPr>
        <w:tblStyle w:val="6"/>
        <w:tblW w:w="8052" w:type="dxa"/>
        <w:jc w:val="center"/>
        <w:tblBorders>
          <w:top w:val="single" w:color="000000" w:sz="12" w:space="0"/>
          <w:left w:val="none" w:color="auto" w:sz="0" w:space="0"/>
          <w:bottom w:val="single" w:color="000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25"/>
        <w:gridCol w:w="1835"/>
        <w:gridCol w:w="3392"/>
      </w:tblGrid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Gene-ID</w:t>
            </w:r>
          </w:p>
        </w:tc>
        <w:tc>
          <w:tcPr>
            <w:tcW w:w="1835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Primer orientation</w:t>
            </w:r>
          </w:p>
        </w:tc>
        <w:tc>
          <w:tcPr>
            <w:tcW w:w="3392" w:type="dxa"/>
            <w:tcBorders>
              <w:bottom w:val="single" w:color="000000" w:sz="8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Primer sequence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DN14578_c0_g1</w:t>
            </w:r>
          </w:p>
        </w:tc>
        <w:tc>
          <w:tcPr>
            <w:tcW w:w="1835" w:type="dxa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op w:val="single" w:color="000000" w:sz="8" w:space="0"/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 xml:space="preserve"> TCTATCCCACGCCTCTTCCA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AGCCCTCAACGACATCAAGG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DN3930_c0_g1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CACGGTCACGCATTGACATC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GCCTTCGACCCAGCTCTATC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DN6096_c0_g1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ACGACTGGACAATACGCTCG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CCGCAGCCAGGATACATAGG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DN11509_c1_g1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ACGGTGGCATGCACAGAATA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TTCCAGTTGCCTCACTCGTC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DN12846_c0_g3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AGCTGATCCCGTTCCTTTGG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GGAATGCCTCCACCAGACTC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DN18667_c0_g1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AACAACGTCAACCTGCCTGA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GGTCGTTCAGTCTCTGGTGG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DN20940_c0_g2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AGGGACTCATGCAGACAATCT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GCATAAGGTGCCTCTCCGAC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TRINITY_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DN40689_c0_g2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GCGCGCTCACATTTCTTCTG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TATTCACCAGCCCTCTGTGC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restart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Aquaporin protein gene</w:t>
            </w: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orward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CACCTTGCCACAATTCCTATCA</w:t>
            </w:r>
          </w:p>
        </w:tc>
      </w:tr>
      <w:tr>
        <w:tblPrEx>
          <w:tblBorders>
            <w:top w:val="single" w:color="000000" w:sz="12" w:space="0"/>
            <w:left w:val="none" w:color="auto" w:sz="0" w:space="0"/>
            <w:bottom w:val="single" w:color="000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825" w:type="dxa"/>
            <w:vMerge w:val="continue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835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everse</w:t>
            </w:r>
          </w:p>
        </w:tc>
        <w:tc>
          <w:tcPr>
            <w:tcW w:w="3392" w:type="dxa"/>
            <w:tcBorders>
              <w:tl2br w:val="nil"/>
              <w:tr2bl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TCCAATGGTCATCCCAAACAC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p>
      <w:pPr>
        <w:rPr>
          <w:rFonts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ＭＳ 明朝">
    <w:altName w:val="Yu Gothic UI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k0OTgyOGZjNDBiOWJiYzdkMTNlOTA2ZDk3MTljMGEifQ=="/>
  </w:docVars>
  <w:rsids>
    <w:rsidRoot w:val="63B32076"/>
    <w:rsid w:val="000816F2"/>
    <w:rsid w:val="001346EE"/>
    <w:rsid w:val="00200902"/>
    <w:rsid w:val="00234ED1"/>
    <w:rsid w:val="002421D9"/>
    <w:rsid w:val="00272F55"/>
    <w:rsid w:val="002C6FA1"/>
    <w:rsid w:val="002D59D2"/>
    <w:rsid w:val="00316538"/>
    <w:rsid w:val="00360D09"/>
    <w:rsid w:val="003642DF"/>
    <w:rsid w:val="00374F7C"/>
    <w:rsid w:val="004421B0"/>
    <w:rsid w:val="004966B8"/>
    <w:rsid w:val="005735C8"/>
    <w:rsid w:val="00581B18"/>
    <w:rsid w:val="00616440"/>
    <w:rsid w:val="006C090F"/>
    <w:rsid w:val="00725FF0"/>
    <w:rsid w:val="00736B81"/>
    <w:rsid w:val="00784B84"/>
    <w:rsid w:val="00874E57"/>
    <w:rsid w:val="0088668D"/>
    <w:rsid w:val="00937F09"/>
    <w:rsid w:val="00954A52"/>
    <w:rsid w:val="009672A4"/>
    <w:rsid w:val="00A1444F"/>
    <w:rsid w:val="00B15FCE"/>
    <w:rsid w:val="00BE4FBC"/>
    <w:rsid w:val="00C62DFE"/>
    <w:rsid w:val="00C97E59"/>
    <w:rsid w:val="00CE0D0E"/>
    <w:rsid w:val="00CE3110"/>
    <w:rsid w:val="00D25793"/>
    <w:rsid w:val="00D27BA7"/>
    <w:rsid w:val="00D46603"/>
    <w:rsid w:val="00D65915"/>
    <w:rsid w:val="00D9364B"/>
    <w:rsid w:val="00E2415C"/>
    <w:rsid w:val="00F8621D"/>
    <w:rsid w:val="00F937D0"/>
    <w:rsid w:val="0BCA7606"/>
    <w:rsid w:val="0F916077"/>
    <w:rsid w:val="20F52909"/>
    <w:rsid w:val="23FB1251"/>
    <w:rsid w:val="24992D39"/>
    <w:rsid w:val="24AD487A"/>
    <w:rsid w:val="293A2803"/>
    <w:rsid w:val="2F441D8A"/>
    <w:rsid w:val="31744154"/>
    <w:rsid w:val="36D63C42"/>
    <w:rsid w:val="3897718F"/>
    <w:rsid w:val="3CE57297"/>
    <w:rsid w:val="3D27320B"/>
    <w:rsid w:val="3E546A69"/>
    <w:rsid w:val="440A3C86"/>
    <w:rsid w:val="45F20913"/>
    <w:rsid w:val="4D895BEE"/>
    <w:rsid w:val="56771834"/>
    <w:rsid w:val="5A5B26FF"/>
    <w:rsid w:val="5E5136DD"/>
    <w:rsid w:val="60C5436B"/>
    <w:rsid w:val="60D769F2"/>
    <w:rsid w:val="63980872"/>
    <w:rsid w:val="63B32076"/>
    <w:rsid w:val="65A646CB"/>
    <w:rsid w:val="669761B2"/>
    <w:rsid w:val="6B5E1965"/>
    <w:rsid w:val="6CC8231B"/>
    <w:rsid w:val="726C49C8"/>
    <w:rsid w:val="765508CD"/>
    <w:rsid w:val="7B37366A"/>
    <w:rsid w:val="7E2E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qFormat/>
    <w:uiPriority w:val="0"/>
    <w:pPr>
      <w:jc w:val="left"/>
    </w:pPr>
  </w:style>
  <w:style w:type="paragraph" w:styleId="3">
    <w:name w:val="footer"/>
    <w:basedOn w:val="1"/>
    <w:link w:val="14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4">
    <w:name w:val="header"/>
    <w:basedOn w:val="1"/>
    <w:link w:val="13"/>
    <w:qFormat/>
    <w:uiPriority w:val="0"/>
    <w:pPr>
      <w:tabs>
        <w:tab w:val="center" w:pos="4252"/>
        <w:tab w:val="right" w:pos="8504"/>
      </w:tabs>
      <w:snapToGrid w:val="0"/>
    </w:pPr>
  </w:style>
  <w:style w:type="paragraph" w:styleId="5">
    <w:name w:val="annotation subject"/>
    <w:basedOn w:val="2"/>
    <w:next w:val="2"/>
    <w:link w:val="16"/>
    <w:qFormat/>
    <w:uiPriority w:val="0"/>
    <w:rPr>
      <w:b/>
      <w:bCs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character" w:styleId="9">
    <w:name w:val="annotation reference"/>
    <w:basedOn w:val="8"/>
    <w:qFormat/>
    <w:uiPriority w:val="0"/>
    <w:rPr>
      <w:sz w:val="18"/>
      <w:szCs w:val="18"/>
    </w:rPr>
  </w:style>
  <w:style w:type="character" w:customStyle="1" w:styleId="10">
    <w:name w:val="font11"/>
    <w:basedOn w:val="8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1">
    <w:name w:val="font21"/>
    <w:basedOn w:val="8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  <w:style w:type="paragraph" w:customStyle="1" w:styleId="12">
    <w:name w:val="変更箇所1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3">
    <w:name w:val="ヘッダー (文字)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  <w:style w:type="character" w:customStyle="1" w:styleId="14">
    <w:name w:val="フッター (文字)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  <w:style w:type="character" w:customStyle="1" w:styleId="15">
    <w:name w:val="コメント文字列 (文字)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  <w:lang w:eastAsia="zh-CN"/>
    </w:rPr>
  </w:style>
  <w:style w:type="character" w:customStyle="1" w:styleId="16">
    <w:name w:val="コメント内容 (文字)"/>
    <w:basedOn w:val="15"/>
    <w:link w:val="5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  <w:lang w:eastAsia="zh-CN"/>
    </w:rPr>
  </w:style>
  <w:style w:type="paragraph" w:customStyle="1" w:styleId="17">
    <w:name w:val="変更箇所2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8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2093</Words>
  <Characters>11934</Characters>
  <Lines>99</Lines>
  <Paragraphs>27</Paragraphs>
  <TotalTime>188</TotalTime>
  <ScaleCrop>false</ScaleCrop>
  <LinksUpToDate>false</LinksUpToDate>
  <CharactersWithSpaces>14000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2023-10-20T07:30:00Z</dcterms:created>
  <dc:creator>余悸</dc:creator>
  <cp:lastModifiedBy>余悸</cp:lastModifiedBy>
  <cp:lastPrinted>2023-11-10T07:10:00Z</cp:lastPrinted>
  <dcterms:modified xsi:type="dcterms:W3CDTF">2023-12-07T07:39:18Z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A1B5286D0C114EE39371EB23018677B6_13</vt:lpwstr>
  </property>
</Properties>
</file>