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BB69" w14:textId="3A665045" w:rsidR="00476289" w:rsidRDefault="007F246F" w:rsidP="00C310EC">
      <w:pPr>
        <w:pStyle w:val="MDPI12title"/>
        <w:jc w:val="center"/>
      </w:pPr>
      <w:r w:rsidRPr="00C310EC">
        <w:t>Electronic Supplementary Information</w:t>
      </w:r>
    </w:p>
    <w:p w14:paraId="00582D6F" w14:textId="77777777" w:rsidR="003251AE" w:rsidRPr="003251AE" w:rsidRDefault="003251AE" w:rsidP="003251AE">
      <w:pPr>
        <w:rPr>
          <w:lang w:eastAsia="de-DE" w:bidi="en-US"/>
        </w:rPr>
      </w:pPr>
    </w:p>
    <w:p w14:paraId="0AE6D8DA" w14:textId="5CAFC051" w:rsidR="003251AE" w:rsidRDefault="003251AE" w:rsidP="003251AE">
      <w:pPr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eastAsia="de-DE" w:bidi="en-US"/>
        </w:rPr>
      </w:pPr>
      <w:r w:rsidRPr="003251AE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eastAsia="de-DE" w:bidi="en-US"/>
        </w:rPr>
        <w:t xml:space="preserve">Red cabbage modulates composition and co-occurrence networks of gut microbiota in a </w:t>
      </w:r>
      <w:r>
        <w:rPr>
          <w:rFonts w:ascii="Palatino Linotype" w:eastAsia="Times New Roman" w:hAnsi="Palatino Linotype" w:cs="Times New Roman" w:hint="eastAsia"/>
          <w:b/>
          <w:snapToGrid w:val="0"/>
          <w:color w:val="000000"/>
          <w:kern w:val="0"/>
          <w:sz w:val="36"/>
          <w:szCs w:val="20"/>
          <w:lang w:bidi="en-US"/>
        </w:rPr>
        <w:t>rodent</w:t>
      </w:r>
      <w:r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bidi="en-US"/>
        </w:rPr>
        <w:t xml:space="preserve"> </w:t>
      </w:r>
      <w:r w:rsidRPr="003251AE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eastAsia="de-DE" w:bidi="en-US"/>
        </w:rPr>
        <w:t>diet-induced obesity model</w:t>
      </w:r>
      <w:r w:rsidRPr="003251AE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eastAsia="de-DE" w:bidi="en-US"/>
        </w:rPr>
        <w:t xml:space="preserve"> </w:t>
      </w:r>
    </w:p>
    <w:p w14:paraId="723F8B4D" w14:textId="77777777" w:rsidR="003251AE" w:rsidRDefault="003251AE" w:rsidP="003251AE">
      <w:pPr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eastAsia="de-DE" w:bidi="en-US"/>
        </w:rPr>
      </w:pPr>
    </w:p>
    <w:p w14:paraId="0FCC69A7" w14:textId="33136A6E" w:rsidR="00F155EF" w:rsidRPr="00C310EC" w:rsidRDefault="00F155EF" w:rsidP="00476289">
      <w:pPr>
        <w:spacing w:line="480" w:lineRule="auto"/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</w:pP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Yanbei Wu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1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, </w:t>
      </w:r>
      <w:proofErr w:type="spellStart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Mengmeng</w:t>
      </w:r>
      <w:proofErr w:type="spellEnd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Xin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1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, </w:t>
      </w:r>
      <w:proofErr w:type="spellStart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Quynhchi</w:t>
      </w:r>
      <w:proofErr w:type="spellEnd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Pham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2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, Yu Gao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1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, </w:t>
      </w:r>
      <w:proofErr w:type="spellStart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Haiqiu</w:t>
      </w:r>
      <w:proofErr w:type="spellEnd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Huang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3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, </w:t>
      </w:r>
      <w:proofErr w:type="spellStart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Xiaojing</w:t>
      </w:r>
      <w:proofErr w:type="spellEnd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Jiang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3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, Robert W. Li</w:t>
      </w:r>
      <w:r w:rsid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4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, Liangli Yu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3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, </w:t>
      </w:r>
      <w:proofErr w:type="spellStart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Yaguang</w:t>
      </w:r>
      <w:proofErr w:type="spellEnd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Luo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5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, Jing Wang 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1</w:t>
      </w:r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, and Thomas T.Y. Wang </w:t>
      </w:r>
      <w:proofErr w:type="gramStart"/>
      <w:r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t>2,*</w:t>
      </w:r>
      <w:proofErr w:type="gramEnd"/>
    </w:p>
    <w:p w14:paraId="550248B6" w14:textId="73060451" w:rsidR="00476289" w:rsidRPr="00C310EC" w:rsidRDefault="00C310EC" w:rsidP="00476289">
      <w:pPr>
        <w:spacing w:line="480" w:lineRule="auto"/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1</w:t>
      </w:r>
      <w:r w:rsidR="00476289"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China-Canada Joint Lab of Food Nutrition and Health (Beijing), Beijing Technology &amp;Business University, Beijing 100084, PR China</w:t>
      </w:r>
    </w:p>
    <w:p w14:paraId="53AC4435" w14:textId="69A49E90" w:rsidR="00476289" w:rsidRPr="00C310EC" w:rsidRDefault="00C310EC" w:rsidP="00476289">
      <w:pPr>
        <w:spacing w:line="480" w:lineRule="auto"/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2</w:t>
      </w:r>
      <w:r w:rsidR="00476289"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Diet Genomics and Immunology Laboratory, BHNRC, ARS, USDA, Beltsville, MD 20705, USA</w:t>
      </w:r>
    </w:p>
    <w:p w14:paraId="12C19A25" w14:textId="730D6876" w:rsidR="00476289" w:rsidRPr="00C310EC" w:rsidRDefault="00C310EC" w:rsidP="00476289">
      <w:pPr>
        <w:spacing w:line="480" w:lineRule="auto"/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3</w:t>
      </w:r>
      <w:r w:rsidR="00476289"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Animal Parasitic Diseases Laboratory, BARC, ARS, USDA, Beltsville, MD 20705, USA</w:t>
      </w:r>
    </w:p>
    <w:p w14:paraId="28433EB5" w14:textId="562D42E8" w:rsidR="00476289" w:rsidRPr="00C310EC" w:rsidRDefault="00C310EC" w:rsidP="00476289">
      <w:pPr>
        <w:spacing w:line="480" w:lineRule="auto"/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4</w:t>
      </w:r>
      <w:r w:rsidR="00476289"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Department of Nutrition and Food Science, University of Maryland, College Park, MD 20742, USA</w:t>
      </w:r>
    </w:p>
    <w:p w14:paraId="30D3CA69" w14:textId="5F1A432A" w:rsidR="00B54ABA" w:rsidRPr="00C310EC" w:rsidRDefault="00C310EC" w:rsidP="006149FA">
      <w:pPr>
        <w:spacing w:line="480" w:lineRule="auto"/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5</w:t>
      </w:r>
      <w:r w:rsidR="00476289" w:rsidRPr="00C310EC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Food Quality Laboratory, BARC, ARS, USDA, Beltsville, MD 20705, USA</w:t>
      </w:r>
    </w:p>
    <w:p w14:paraId="00A0AB38" w14:textId="77777777" w:rsidR="006149FA" w:rsidRPr="006149FA" w:rsidRDefault="006149FA" w:rsidP="006149FA">
      <w:pPr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A797430" w14:textId="77777777" w:rsidR="004A2F6D" w:rsidRDefault="004A2F6D" w:rsidP="00476289">
      <w:pPr>
        <w:widowControl/>
        <w:adjustRightInd w:val="0"/>
        <w:snapToGrid w:val="0"/>
        <w:spacing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48"/>
          <w:lang w:eastAsia="de-DE" w:bidi="en-US"/>
        </w:rPr>
        <w:sectPr w:rsidR="004A2F6D" w:rsidSect="00F23F31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6B95B4" w14:textId="7C19343B" w:rsidR="00DC4B00" w:rsidRPr="00C310EC" w:rsidRDefault="00DC4B00" w:rsidP="00A03377">
      <w:pPr>
        <w:widowControl/>
        <w:adjustRightInd w:val="0"/>
        <w:snapToGrid w:val="0"/>
        <w:spacing w:line="480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</w:pPr>
      <w:r w:rsidRPr="00C310EC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18"/>
          <w:szCs w:val="18"/>
          <w:lang w:eastAsia="de-DE" w:bidi="en-US"/>
        </w:rPr>
        <w:lastRenderedPageBreak/>
        <w:t xml:space="preserve">Table S1. </w:t>
      </w:r>
      <w:r w:rsidRPr="00C310EC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P</w:t>
      </w:r>
      <w:r w:rsidRPr="00C310EC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18"/>
          <w:szCs w:val="18"/>
          <w:lang w:eastAsia="de-DE" w:bidi="en-US"/>
        </w:rPr>
        <w:t>rimer</w:t>
      </w:r>
      <w:r w:rsidRPr="00C310EC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 </w:t>
      </w:r>
      <w:r w:rsidRPr="00C310EC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18"/>
          <w:szCs w:val="18"/>
          <w:lang w:eastAsia="de-DE" w:bidi="en-US"/>
        </w:rPr>
        <w:t>se</w:t>
      </w:r>
      <w:r w:rsidRPr="00C310EC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quence used </w:t>
      </w:r>
      <w:r w:rsidRPr="00C310EC">
        <w:rPr>
          <w:rFonts w:ascii="Palatino Linotype" w:eastAsia="Times New Roman" w:hAnsi="Palatino Linotype" w:cs="Times New Roman" w:hint="eastAsia"/>
          <w:snapToGrid w:val="0"/>
          <w:color w:val="000000"/>
          <w:kern w:val="0"/>
          <w:sz w:val="18"/>
          <w:szCs w:val="18"/>
          <w:lang w:eastAsia="de-DE" w:bidi="en-US"/>
        </w:rPr>
        <w:t>for</w:t>
      </w:r>
      <w:r w:rsidRPr="00C310EC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 microbial analysis by real-time PCR.</w:t>
      </w:r>
    </w:p>
    <w:tbl>
      <w:tblPr>
        <w:tblW w:w="92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1135"/>
        <w:gridCol w:w="4893"/>
      </w:tblGrid>
      <w:tr w:rsidR="00DC4B00" w:rsidRPr="001B66A8" w14:paraId="167AD99B" w14:textId="77777777" w:rsidTr="00011559">
        <w:trPr>
          <w:trHeight w:val="416"/>
          <w:jc w:val="center"/>
        </w:trPr>
        <w:tc>
          <w:tcPr>
            <w:tcW w:w="3172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AE8B1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Bacteria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DA105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Direction</w:t>
            </w:r>
          </w:p>
        </w:tc>
        <w:tc>
          <w:tcPr>
            <w:tcW w:w="489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372B0A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Sequence (5′–3′)</w:t>
            </w:r>
          </w:p>
        </w:tc>
      </w:tr>
      <w:tr w:rsidR="00DC4B00" w:rsidRPr="001B66A8" w14:paraId="6D775373" w14:textId="77777777" w:rsidTr="00011559">
        <w:trPr>
          <w:trHeight w:val="416"/>
          <w:jc w:val="center"/>
        </w:trPr>
        <w:tc>
          <w:tcPr>
            <w:tcW w:w="317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01FAC0EA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7659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Bacteroidetes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C78DEE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Forward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019C8A6E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GGARCATGTGGTTTAATTCGATGAT</w:t>
            </w:r>
          </w:p>
        </w:tc>
      </w:tr>
      <w:tr w:rsidR="00DC4B00" w:rsidRPr="001B66A8" w14:paraId="1CC8F794" w14:textId="77777777" w:rsidTr="00011559">
        <w:trPr>
          <w:trHeight w:val="416"/>
          <w:jc w:val="center"/>
        </w:trPr>
        <w:tc>
          <w:tcPr>
            <w:tcW w:w="317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5C947E3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D7972B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Reverse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1ACF464F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AGCTGACGACAACCATGCAG</w:t>
            </w:r>
          </w:p>
        </w:tc>
      </w:tr>
      <w:tr w:rsidR="00DC4B00" w:rsidRPr="001B66A8" w14:paraId="1B5A4B7D" w14:textId="77777777" w:rsidTr="00011559">
        <w:trPr>
          <w:trHeight w:val="416"/>
          <w:jc w:val="center"/>
        </w:trPr>
        <w:tc>
          <w:tcPr>
            <w:tcW w:w="317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64CEA90D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7659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Firmicutes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385214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Forward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76B1BADB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GGAGYATGTGGTTTAATTCGAAGCA</w:t>
            </w:r>
          </w:p>
        </w:tc>
      </w:tr>
      <w:tr w:rsidR="00DC4B00" w:rsidRPr="001B66A8" w14:paraId="14E4B24A" w14:textId="77777777" w:rsidTr="00011559">
        <w:trPr>
          <w:trHeight w:val="431"/>
          <w:jc w:val="center"/>
        </w:trPr>
        <w:tc>
          <w:tcPr>
            <w:tcW w:w="3172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0EAB7C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D5B347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Reverse</w:t>
            </w:r>
          </w:p>
        </w:tc>
        <w:tc>
          <w:tcPr>
            <w:tcW w:w="4893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C4B6EC1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AGCTGACGACAACCATGCAC</w:t>
            </w:r>
          </w:p>
        </w:tc>
      </w:tr>
      <w:tr w:rsidR="00DC4B00" w:rsidRPr="001B66A8" w14:paraId="3824664D" w14:textId="77777777" w:rsidTr="00011559">
        <w:trPr>
          <w:trHeight w:val="416"/>
          <w:jc w:val="center"/>
        </w:trPr>
        <w:tc>
          <w:tcPr>
            <w:tcW w:w="317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249881FF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proofErr w:type="spellStart"/>
            <w:r w:rsidRPr="007659C9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Prevotella</w:t>
            </w:r>
            <w:proofErr w:type="spellEnd"/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BFE78F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Forward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22231D36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TCCTACGGGAGGCAGCAGT</w:t>
            </w:r>
          </w:p>
        </w:tc>
      </w:tr>
      <w:tr w:rsidR="00DC4B00" w:rsidRPr="001B66A8" w14:paraId="2D7F0CF5" w14:textId="77777777" w:rsidTr="00011559">
        <w:trPr>
          <w:trHeight w:val="431"/>
          <w:jc w:val="center"/>
        </w:trPr>
        <w:tc>
          <w:tcPr>
            <w:tcW w:w="317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7756EF6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ECF27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Reverse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61CDC157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CAATCGGAGTTCTTCGTG</w:t>
            </w:r>
          </w:p>
        </w:tc>
      </w:tr>
      <w:tr w:rsidR="00DC4B00" w:rsidRPr="001B66A8" w14:paraId="285E0864" w14:textId="77777777" w:rsidTr="00011559">
        <w:trPr>
          <w:trHeight w:val="400"/>
          <w:jc w:val="center"/>
        </w:trPr>
        <w:tc>
          <w:tcPr>
            <w:tcW w:w="317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7E20F17C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7659C9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Enterobacteriaceae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DD241F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Forward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4EBF9FB0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CATTGACGTTACCCGCAGAAGAAGC</w:t>
            </w:r>
          </w:p>
        </w:tc>
      </w:tr>
      <w:tr w:rsidR="00DC4B00" w:rsidRPr="001B66A8" w14:paraId="0D86245C" w14:textId="77777777" w:rsidTr="00011559">
        <w:trPr>
          <w:trHeight w:val="431"/>
          <w:jc w:val="center"/>
        </w:trPr>
        <w:tc>
          <w:tcPr>
            <w:tcW w:w="317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A74BBEC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5A0D2D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Reverse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38B832EB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CTCTACGAGACTCAAGCTTGC</w:t>
            </w:r>
          </w:p>
        </w:tc>
      </w:tr>
      <w:tr w:rsidR="00DC4B00" w:rsidRPr="001B66A8" w14:paraId="58DCC83D" w14:textId="77777777" w:rsidTr="00011559">
        <w:trPr>
          <w:trHeight w:val="416"/>
          <w:jc w:val="center"/>
        </w:trPr>
        <w:tc>
          <w:tcPr>
            <w:tcW w:w="317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6E2D9FBB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7659C9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Ruminococcus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55BF9E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Forward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5FA505CF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GGCGGCCTACTGGGCTTT</w:t>
            </w:r>
          </w:p>
        </w:tc>
      </w:tr>
      <w:tr w:rsidR="00DC4B00" w:rsidRPr="001B66A8" w14:paraId="4A83C90C" w14:textId="77777777" w:rsidTr="00011559">
        <w:trPr>
          <w:trHeight w:val="416"/>
          <w:jc w:val="center"/>
        </w:trPr>
        <w:tc>
          <w:tcPr>
            <w:tcW w:w="317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8FAB789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5FC169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Reverse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358BAD4A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CCA GGT GGA TAA CTT ATT GTG TTAA</w:t>
            </w:r>
          </w:p>
        </w:tc>
      </w:tr>
      <w:tr w:rsidR="00DC4B00" w:rsidRPr="001B66A8" w14:paraId="2C0DDB6A" w14:textId="77777777" w:rsidTr="00011559">
        <w:trPr>
          <w:trHeight w:val="416"/>
          <w:jc w:val="center"/>
        </w:trPr>
        <w:tc>
          <w:tcPr>
            <w:tcW w:w="317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3CC4B10B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proofErr w:type="spellStart"/>
            <w:r w:rsidRPr="007659C9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Bifidobacteria</w:t>
            </w:r>
            <w:proofErr w:type="spellEnd"/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C8CB1C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Forward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1224E264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TCGCGTCYGGTGTGAAAG</w:t>
            </w:r>
          </w:p>
        </w:tc>
      </w:tr>
      <w:tr w:rsidR="00DC4B00" w:rsidRPr="001B66A8" w14:paraId="2A2DA5AB" w14:textId="77777777" w:rsidTr="00011559">
        <w:trPr>
          <w:trHeight w:val="431"/>
          <w:jc w:val="center"/>
        </w:trPr>
        <w:tc>
          <w:tcPr>
            <w:tcW w:w="317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AA7371E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FA49EB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Reverse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7BF2BC45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CCACATCCAGCRTCCAC</w:t>
            </w:r>
          </w:p>
        </w:tc>
      </w:tr>
      <w:tr w:rsidR="00DC4B00" w:rsidRPr="001B66A8" w14:paraId="46CE990A" w14:textId="77777777" w:rsidTr="00011559">
        <w:trPr>
          <w:trHeight w:val="400"/>
          <w:jc w:val="center"/>
        </w:trPr>
        <w:tc>
          <w:tcPr>
            <w:tcW w:w="317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34395BAD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7659C9">
              <w:rPr>
                <w:rFonts w:ascii="Times New Roman" w:eastAsia="Times New Roman" w:hAnsi="Times New Roman" w:cs="Times New Roman"/>
                <w:bCs/>
                <w:i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Lactobacillus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ECB6D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Forward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764EC453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GAGGCAGCAGTAGGGAATCTTC</w:t>
            </w:r>
          </w:p>
        </w:tc>
      </w:tr>
      <w:tr w:rsidR="00DC4B00" w:rsidRPr="001B66A8" w14:paraId="6B2FD103" w14:textId="77777777" w:rsidTr="00011559">
        <w:trPr>
          <w:trHeight w:val="431"/>
          <w:jc w:val="center"/>
        </w:trPr>
        <w:tc>
          <w:tcPr>
            <w:tcW w:w="317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1FC41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751D5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Reverse</w:t>
            </w:r>
          </w:p>
        </w:tc>
        <w:tc>
          <w:tcPr>
            <w:tcW w:w="4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9B3AE8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GGCCAGTTACTACCTCTATCCTTCTTC</w:t>
            </w:r>
          </w:p>
        </w:tc>
      </w:tr>
      <w:tr w:rsidR="00DC4B00" w:rsidRPr="001B66A8" w14:paraId="202FEE4B" w14:textId="77777777" w:rsidTr="00011559">
        <w:trPr>
          <w:trHeight w:val="416"/>
          <w:jc w:val="center"/>
        </w:trPr>
        <w:tc>
          <w:tcPr>
            <w:tcW w:w="317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24724E50" w14:textId="77777777" w:rsidR="00DC4B00" w:rsidRPr="007659C9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proofErr w:type="spellStart"/>
            <w:r w:rsidRPr="007659C9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Akkermansia</w:t>
            </w:r>
            <w:proofErr w:type="spellEnd"/>
            <w:r w:rsidRPr="007659C9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 xml:space="preserve"> </w:t>
            </w:r>
            <w:proofErr w:type="spellStart"/>
            <w:r w:rsidRPr="007659C9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muciniphila</w:t>
            </w:r>
            <w:proofErr w:type="spellEnd"/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330E08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Forward</w:t>
            </w:r>
          </w:p>
        </w:tc>
        <w:tc>
          <w:tcPr>
            <w:tcW w:w="4893" w:type="dxa"/>
            <w:tcBorders>
              <w:left w:val="nil"/>
            </w:tcBorders>
            <w:shd w:val="clear" w:color="auto" w:fill="auto"/>
            <w:vAlign w:val="center"/>
          </w:tcPr>
          <w:p w14:paraId="51AE20DF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CAGCACGTGAAGGTGGGGAC</w:t>
            </w:r>
          </w:p>
        </w:tc>
      </w:tr>
      <w:tr w:rsidR="00DC4B00" w:rsidRPr="001B66A8" w14:paraId="67EBDB2A" w14:textId="77777777" w:rsidTr="00011559">
        <w:trPr>
          <w:trHeight w:val="416"/>
          <w:jc w:val="center"/>
        </w:trPr>
        <w:tc>
          <w:tcPr>
            <w:tcW w:w="3172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D58092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</w:p>
        </w:tc>
        <w:tc>
          <w:tcPr>
            <w:tcW w:w="113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B24C43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Reverse</w:t>
            </w:r>
          </w:p>
        </w:tc>
        <w:tc>
          <w:tcPr>
            <w:tcW w:w="4893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247D68" w14:textId="77777777" w:rsidR="00DC4B00" w:rsidRPr="001B66A8" w:rsidRDefault="00DC4B00" w:rsidP="0001155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</w:pPr>
            <w:r w:rsidRPr="001B66A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18"/>
                <w:szCs w:val="22"/>
                <w:lang w:eastAsia="de-DE" w:bidi="en-US"/>
              </w:rPr>
              <w:t>CCT TGCGGTTGGCTTCAGAT</w:t>
            </w:r>
          </w:p>
        </w:tc>
      </w:tr>
    </w:tbl>
    <w:p w14:paraId="0D9B9BF6" w14:textId="371BAF93" w:rsidR="007F6225" w:rsidRDefault="007F6225" w:rsidP="00971EF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de-DE" w:bidi="en-US"/>
        </w:rPr>
      </w:pPr>
    </w:p>
    <w:p w14:paraId="3C2B60D6" w14:textId="77777777" w:rsidR="007F6225" w:rsidRDefault="007F6225" w:rsidP="00971EF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de-DE" w:bidi="en-US"/>
        </w:rPr>
      </w:pPr>
    </w:p>
    <w:p w14:paraId="25BADD39" w14:textId="77777777" w:rsidR="007F6225" w:rsidRPr="00C310EC" w:rsidRDefault="007F6225" w:rsidP="007F6225">
      <w:pPr>
        <w:widowControl/>
        <w:spacing w:line="360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</w:pPr>
      <w:r w:rsidRPr="007F6225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18"/>
          <w:szCs w:val="18"/>
          <w:lang w:eastAsia="de-DE" w:bidi="en-US"/>
        </w:rPr>
        <w:t xml:space="preserve">Table S2. </w:t>
      </w:r>
      <w:r w:rsidRPr="00C310EC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Relative abundance (%) of the bacterial taxa at phylum level in cecal samples of mice grouped by diet (LF: LF diet, HF: HF diet, LFRC: LF diet supplemented with RC powder, HFRC: HF diet sup-</w:t>
      </w:r>
      <w:proofErr w:type="spellStart"/>
      <w:r w:rsidRPr="00C310EC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plemented</w:t>
      </w:r>
      <w:proofErr w:type="spellEnd"/>
      <w:r w:rsidRPr="00C310EC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 with RC powder).</w:t>
      </w: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1765"/>
        <w:gridCol w:w="1765"/>
        <w:gridCol w:w="1765"/>
        <w:gridCol w:w="1773"/>
      </w:tblGrid>
      <w:tr w:rsidR="007F6225" w:rsidRPr="00C310EC" w14:paraId="3D4D63B9" w14:textId="77777777" w:rsidTr="00BA6698">
        <w:trPr>
          <w:trHeight w:val="28"/>
        </w:trPr>
        <w:tc>
          <w:tcPr>
            <w:tcW w:w="213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C597AC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Phylum</w:t>
            </w:r>
          </w:p>
        </w:tc>
        <w:tc>
          <w:tcPr>
            <w:tcW w:w="706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3584B4C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Diet</w:t>
            </w:r>
          </w:p>
        </w:tc>
      </w:tr>
      <w:tr w:rsidR="007F6225" w:rsidRPr="00C310EC" w14:paraId="4080EC81" w14:textId="77777777" w:rsidTr="00BA6698">
        <w:trPr>
          <w:trHeight w:val="28"/>
        </w:trPr>
        <w:tc>
          <w:tcPr>
            <w:tcW w:w="2132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78420" w14:textId="77777777" w:rsidR="007F6225" w:rsidRPr="00C310EC" w:rsidRDefault="007F6225" w:rsidP="00BA6698">
            <w:pPr>
              <w:widowControl/>
              <w:spacing w:line="360" w:lineRule="auto"/>
              <w:jc w:val="left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4AA40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LF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41EEF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HF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38DD0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LFRC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46057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HFRC</w:t>
            </w:r>
          </w:p>
        </w:tc>
      </w:tr>
      <w:tr w:rsidR="007F6225" w:rsidRPr="00C310EC" w14:paraId="3A3E55EE" w14:textId="77777777" w:rsidTr="00BA6698">
        <w:trPr>
          <w:trHeight w:val="28"/>
        </w:trPr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DF74B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Bacteroidetes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04B756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60. 00±2. 45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A35D6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53. 47±6. 21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F0132F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47. 31±10. 30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CADA4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42. 6±6. 53</w:t>
            </w:r>
          </w:p>
        </w:tc>
      </w:tr>
      <w:tr w:rsidR="007F6225" w:rsidRPr="00C310EC" w14:paraId="6549BE7A" w14:textId="77777777" w:rsidTr="00BA6698">
        <w:trPr>
          <w:trHeight w:val="28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4DED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 w:hint="eastAsia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Firmicutes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134FE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34. 41±2. 19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E172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39. 19±5. 92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9ED8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42. 17±11. 50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8270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50. 58±7. 34</w:t>
            </w:r>
          </w:p>
        </w:tc>
      </w:tr>
      <w:tr w:rsidR="007F6225" w:rsidRPr="00C310EC" w14:paraId="6DDF033B" w14:textId="77777777" w:rsidTr="00BA6698">
        <w:trPr>
          <w:trHeight w:val="28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D4C93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Proteobacteria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F7FB7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 18±0. 61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60ED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4. 78±0. 26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A4EF3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 57±0. 61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374A8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3. 81±0. 68</w:t>
            </w:r>
          </w:p>
        </w:tc>
      </w:tr>
      <w:tr w:rsidR="007F6225" w:rsidRPr="00C310EC" w14:paraId="640E2DAF" w14:textId="77777777" w:rsidTr="00BA6698">
        <w:trPr>
          <w:trHeight w:val="28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E319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Deferribacteres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08E0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 17±0. 78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56E90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 38±1. 24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F6774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4. 06±1. 43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7827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2. 93±1. 09</w:t>
            </w:r>
          </w:p>
        </w:tc>
      </w:tr>
      <w:tr w:rsidR="007F6225" w:rsidRPr="00C310EC" w14:paraId="5BC0280E" w14:textId="77777777" w:rsidTr="00BA6698">
        <w:trPr>
          <w:trHeight w:val="28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7149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TM7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5C7C6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 08±0. 04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DD0FF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 09±0. 11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86DA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 09±0. 09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2638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 05±0. 04</w:t>
            </w:r>
          </w:p>
        </w:tc>
      </w:tr>
      <w:tr w:rsidR="007F6225" w:rsidRPr="00C310EC" w14:paraId="5158F292" w14:textId="77777777" w:rsidTr="00BA6698">
        <w:trPr>
          <w:trHeight w:val="28"/>
        </w:trPr>
        <w:tc>
          <w:tcPr>
            <w:tcW w:w="21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CD88A2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Actinobacteria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FFB01A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 01±0. 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13BC06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 01±0. 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20FF34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 02±0. 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EB639B" w14:textId="77777777" w:rsidR="007F6225" w:rsidRPr="00C310EC" w:rsidRDefault="007F6225" w:rsidP="00BA6698">
            <w:pPr>
              <w:widowControl/>
              <w:spacing w:line="36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310EC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0. 02±0. 01</w:t>
            </w:r>
          </w:p>
        </w:tc>
      </w:tr>
    </w:tbl>
    <w:p w14:paraId="5C5EACE5" w14:textId="77777777" w:rsidR="007F6225" w:rsidRPr="007F6225" w:rsidRDefault="007F6225" w:rsidP="007F6225">
      <w:pPr>
        <w:widowControl/>
        <w:spacing w:line="360" w:lineRule="auto"/>
        <w:jc w:val="left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</w:pPr>
    </w:p>
    <w:p w14:paraId="67900E94" w14:textId="60B151CA" w:rsidR="007F6225" w:rsidRDefault="007F6225" w:rsidP="00971EF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de-DE" w:bidi="en-US"/>
        </w:rPr>
        <w:sectPr w:rsidR="007F6225" w:rsidSect="00F23F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BAC0BC" w14:textId="34598FA2" w:rsidR="007F6225" w:rsidRPr="007F6225" w:rsidRDefault="007F6225" w:rsidP="007F6225">
      <w:pPr>
        <w:widowControl/>
        <w:spacing w:line="360" w:lineRule="auto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</w:pPr>
      <w:r w:rsidRPr="007F6225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18"/>
          <w:szCs w:val="18"/>
          <w:lang w:eastAsia="de-DE" w:bidi="en-US"/>
        </w:rPr>
        <w:lastRenderedPageBreak/>
        <w:t xml:space="preserve">Table </w:t>
      </w:r>
      <w:r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18"/>
          <w:szCs w:val="18"/>
          <w:lang w:eastAsia="de-DE" w:bidi="en-US"/>
        </w:rPr>
        <w:t>S</w:t>
      </w:r>
      <w:r w:rsidRPr="007F6225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18"/>
          <w:szCs w:val="18"/>
          <w:lang w:eastAsia="de-DE" w:bidi="en-US"/>
        </w:rPr>
        <w:t xml:space="preserve">3. </w:t>
      </w:r>
      <w:r w:rsidRPr="007F6225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The topological properties of the global network are inferred by using the network pipeline based on random matrix theory (RMT) under various experimental conditions. </w:t>
      </w:r>
    </w:p>
    <w:tbl>
      <w:tblPr>
        <w:tblpPr w:leftFromText="180" w:rightFromText="180" w:vertAnchor="page" w:horzAnchor="margin" w:tblpY="2233"/>
        <w:tblW w:w="9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392"/>
        <w:gridCol w:w="1392"/>
        <w:gridCol w:w="1392"/>
        <w:gridCol w:w="1393"/>
      </w:tblGrid>
      <w:tr w:rsidR="007F6225" w:rsidRPr="007F6225" w14:paraId="0AC69460" w14:textId="77777777" w:rsidTr="007F6225">
        <w:trPr>
          <w:trHeight w:val="341"/>
        </w:trPr>
        <w:tc>
          <w:tcPr>
            <w:tcW w:w="38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C918F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Network Indexes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CFAA06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LF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A9067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2B2A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LFRC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CBEF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HFRC</w:t>
            </w:r>
          </w:p>
        </w:tc>
      </w:tr>
      <w:tr w:rsidR="007F6225" w:rsidRPr="007F6225" w14:paraId="2298E849" w14:textId="77777777" w:rsidTr="007F6225">
        <w:trPr>
          <w:trHeight w:val="302"/>
        </w:trPr>
        <w:tc>
          <w:tcPr>
            <w:tcW w:w="38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F36D26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 nodes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32CE13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8972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6A99F0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A07AE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</w:tr>
      <w:tr w:rsidR="007F6225" w:rsidRPr="007F6225" w14:paraId="5053AAD6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3FA9B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 links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1EE1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C3C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271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9FD6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</w:tr>
      <w:tr w:rsidR="007F6225" w:rsidRPr="007F6225" w14:paraId="67339D12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DA24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 modules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6F254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6260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9B8E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6EFA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7F6225" w:rsidRPr="007F6225" w14:paraId="5326F1FA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DB479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Modularity (M)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1663E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0. 819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C1BA9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0. 72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DF2A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0. 772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26C06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0. 704</w:t>
            </w:r>
          </w:p>
        </w:tc>
      </w:tr>
      <w:tr w:rsidR="007F6225" w:rsidRPr="007F6225" w14:paraId="75222009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DEED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 square of power-law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FB073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0. 71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1487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0. 80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D5656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 </w:t>
            </w:r>
            <w:r w:rsidRPr="007F622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EC2C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0. 825</w:t>
            </w:r>
          </w:p>
        </w:tc>
      </w:tr>
      <w:tr w:rsidR="007F6225" w:rsidRPr="007F6225" w14:paraId="6A5B842B" w14:textId="77777777" w:rsidTr="007F6225">
        <w:trPr>
          <w:trHeight w:val="339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3E11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Average degree (</w:t>
            </w:r>
            <w:proofErr w:type="spellStart"/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avgK</w:t>
            </w:r>
            <w:proofErr w:type="spellEnd"/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032D0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3. 368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132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3. 94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DA4D9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2. 695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9DEF8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3. 742</w:t>
            </w:r>
          </w:p>
        </w:tc>
      </w:tr>
      <w:tr w:rsidR="007F6225" w:rsidRPr="007F6225" w14:paraId="752982BC" w14:textId="77777777" w:rsidTr="007F6225">
        <w:trPr>
          <w:trHeight w:val="297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A48AD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Average clustering coefficient (</w:t>
            </w:r>
            <w:proofErr w:type="spellStart"/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avgCC</w:t>
            </w:r>
            <w:proofErr w:type="spellEnd"/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2F3A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0. 304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5F13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0. 32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131D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0. 145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2126B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0. 17</w:t>
            </w:r>
          </w:p>
        </w:tc>
      </w:tr>
      <w:tr w:rsidR="007F6225" w:rsidRPr="007F6225" w14:paraId="2195336E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96DC4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Average path distance (GD)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4E1A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8. 217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A6C4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6. 97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9FC6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6. 603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17FD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4. 905</w:t>
            </w:r>
          </w:p>
        </w:tc>
      </w:tr>
      <w:tr w:rsidR="007F6225" w:rsidRPr="007F6225" w14:paraId="177D1704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2D9CD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Geodesic efficiency (E)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A7B5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0. 166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B75A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BEB3C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3A16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0. 261</w:t>
            </w:r>
          </w:p>
        </w:tc>
      </w:tr>
      <w:tr w:rsidR="007F6225" w:rsidRPr="007F6225" w14:paraId="5C95A843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8B0B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Harmonic geodesic distance (HD)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F7800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6. 039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B81F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4. 92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51AF9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4. 992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9840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3. 826</w:t>
            </w:r>
          </w:p>
        </w:tc>
      </w:tr>
      <w:tr w:rsidR="007F6225" w:rsidRPr="007F6225" w14:paraId="397A9A46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50A7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Maximal degree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EBE2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0EF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1A27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0571D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F6225" w:rsidRPr="007F6225" w14:paraId="015B7C77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D45C0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Nodes with max degree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99F47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262625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06066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1136443</w:t>
            </w:r>
          </w:p>
          <w:p w14:paraId="11CF21C4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1684221</w:t>
            </w:r>
          </w:p>
          <w:p w14:paraId="524F279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329790</w:t>
            </w:r>
          </w:p>
          <w:p w14:paraId="41AE4EA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317633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B459D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263705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A6AAE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336691</w:t>
            </w:r>
          </w:p>
        </w:tc>
      </w:tr>
      <w:tr w:rsidR="007F6225" w:rsidRPr="007F6225" w14:paraId="6F7F735A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2A03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Centralization of degree (CD)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A6183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0. 039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AEA7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068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9679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0. 053</w:t>
            </w:r>
          </w:p>
        </w:tc>
      </w:tr>
      <w:tr w:rsidR="007F6225" w:rsidRPr="007F6225" w14:paraId="2041FFD5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923E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Maximal betweenness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33773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6815. 31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30B2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4996. 26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788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3378. 541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F0CFB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2751. 546</w:t>
            </w:r>
          </w:p>
        </w:tc>
      </w:tr>
      <w:tr w:rsidR="007F6225" w:rsidRPr="007F6225" w14:paraId="02B2A31B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0519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Nodes with max betweenness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6E51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262677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CDDD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275366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677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275366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9DAFB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339031</w:t>
            </w:r>
          </w:p>
        </w:tc>
      </w:tr>
      <w:tr w:rsidR="007F6225" w:rsidRPr="007F6225" w14:paraId="29D54BE1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8071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Centralization of betweenness (CB)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4033A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0. 204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C8FB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0. 15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B8BE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0. 114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92E62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0. 11</w:t>
            </w:r>
          </w:p>
        </w:tc>
      </w:tr>
      <w:tr w:rsidR="007F6225" w:rsidRPr="007F6225" w14:paraId="59ADB3DD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CCE40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Maximal stress centrality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17373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48167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6C28A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33304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1814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20539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27920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31008</w:t>
            </w:r>
          </w:p>
        </w:tc>
      </w:tr>
      <w:tr w:rsidR="007F6225" w:rsidRPr="007F6225" w14:paraId="0F0A9A66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A0D0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Nodes with max stress centrality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3E83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262677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16CA9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418501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7CF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275366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00988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339031</w:t>
            </w:r>
          </w:p>
        </w:tc>
      </w:tr>
      <w:tr w:rsidR="007F6225" w:rsidRPr="007F6225" w14:paraId="4C11B44E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1F56D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Centralization of stress centrality (CS)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11D2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1. 451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94B9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5F6E9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0. 713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29AD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1. 262</w:t>
            </w:r>
          </w:p>
        </w:tc>
      </w:tr>
      <w:tr w:rsidR="007F6225" w:rsidRPr="007F6225" w14:paraId="31CE1E32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EE1BC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Maximal eigenvector centrality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6DB7D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0. 355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F1D5B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0. 31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608D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0. 435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D352F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0. 31</w:t>
            </w:r>
          </w:p>
        </w:tc>
      </w:tr>
      <w:tr w:rsidR="007F6225" w:rsidRPr="007F6225" w14:paraId="2CFB8C31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94100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Nodes with max eigenvector centrality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F78DD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353012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8449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317633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BC1BB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263705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FB46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OTU 277208</w:t>
            </w:r>
          </w:p>
        </w:tc>
      </w:tr>
      <w:tr w:rsidR="007F6225" w:rsidRPr="007F6225" w14:paraId="37880701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DECAC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Centralization of eigenvector centrality (CE)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D5727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0. 335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56BE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0. 28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DC697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0. 416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8433A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0. 279</w:t>
            </w:r>
          </w:p>
        </w:tc>
      </w:tr>
      <w:tr w:rsidR="007F6225" w:rsidRPr="007F6225" w14:paraId="5CC08102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1704D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Density (D)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E29FE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0. 014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BE07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FFAB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4493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0. 017</w:t>
            </w:r>
          </w:p>
        </w:tc>
      </w:tr>
      <w:tr w:rsidR="007F6225" w:rsidRPr="007F6225" w14:paraId="55375199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022201D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Reciprocity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836D214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1. 00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vAlign w:val="center"/>
          </w:tcPr>
          <w:p w14:paraId="0A25FF1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1. 00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vAlign w:val="center"/>
          </w:tcPr>
          <w:p w14:paraId="6EB6F2A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1. 00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vAlign w:val="center"/>
          </w:tcPr>
          <w:p w14:paraId="7B8916A9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1. 00</w:t>
            </w:r>
          </w:p>
        </w:tc>
      </w:tr>
      <w:tr w:rsidR="007F6225" w:rsidRPr="007F6225" w14:paraId="77AFFCFB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6422C54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Transitivity (Trans)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3AB72D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0. 359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62C57B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3ECBE3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0. 182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2092E4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0. 214</w:t>
            </w:r>
          </w:p>
        </w:tc>
      </w:tr>
      <w:tr w:rsidR="007F6225" w:rsidRPr="007F6225" w14:paraId="60E6F13B" w14:textId="77777777" w:rsidTr="007F6225">
        <w:trPr>
          <w:trHeight w:val="302"/>
        </w:trPr>
        <w:tc>
          <w:tcPr>
            <w:tcW w:w="38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89265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Connectedness (Con)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8FB216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0. 78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AFECD4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0. 63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1D5E01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0. 515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AC0FCD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0. 481</w:t>
            </w:r>
          </w:p>
        </w:tc>
      </w:tr>
      <w:tr w:rsidR="007F6225" w:rsidRPr="007F6225" w14:paraId="7F8A63A9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14266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Efficiency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CEDFE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0. 987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DFD2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0. 98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5E1F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0. 985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9524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0. 972</w:t>
            </w:r>
          </w:p>
        </w:tc>
      </w:tr>
      <w:tr w:rsidR="007F6225" w:rsidRPr="007F6225" w14:paraId="34B62E1F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E4593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Hierarchy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009EB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5D6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11AE0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0D0C6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0. 00</w:t>
            </w:r>
          </w:p>
        </w:tc>
      </w:tr>
      <w:tr w:rsidR="007F6225" w:rsidRPr="007F6225" w14:paraId="4FFC2AAF" w14:textId="77777777" w:rsidTr="007F6225">
        <w:trPr>
          <w:trHeight w:val="302"/>
        </w:trPr>
        <w:tc>
          <w:tcPr>
            <w:tcW w:w="38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C142E35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Lubness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D3D8404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FE6258" w14:textId="77777777" w:rsidR="007F6225" w:rsidRPr="007F6225" w:rsidRDefault="007F6225" w:rsidP="007F622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0FC274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A3B8FB" w14:textId="77777777" w:rsidR="007F6225" w:rsidRPr="007F6225" w:rsidRDefault="007F6225" w:rsidP="007F622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F62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1. 00</w:t>
            </w:r>
          </w:p>
        </w:tc>
      </w:tr>
    </w:tbl>
    <w:p w14:paraId="2FC4CECF" w14:textId="77777777" w:rsidR="007F6225" w:rsidRDefault="007F6225" w:rsidP="007F6225">
      <w:pPr>
        <w:widowControl/>
        <w:jc w:val="left"/>
        <w:rPr>
          <w:rFonts w:ascii="Times New Roman" w:eastAsia="DengXian" w:hAnsi="Times New Roman" w:cs="Times New Roman"/>
          <w:bCs/>
          <w:color w:val="000000" w:themeColor="text1"/>
          <w:sz w:val="21"/>
          <w:szCs w:val="21"/>
        </w:rPr>
        <w:sectPr w:rsidR="007F6225" w:rsidSect="00F23F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279E0D" w14:textId="5B7F1CC2" w:rsidR="007F6225" w:rsidRPr="001B66A8" w:rsidRDefault="007F6225" w:rsidP="007F6225">
      <w:pPr>
        <w:jc w:val="center"/>
        <w:rPr>
          <w:rFonts w:ascii="DengXian" w:eastAsia="DengXian" w:hAnsi="DengXian" w:cs="Times New Roman"/>
          <w:color w:val="000000" w:themeColor="text1"/>
        </w:rPr>
      </w:pPr>
      <w:r w:rsidRPr="007F6225">
        <w:rPr>
          <w:rFonts w:ascii="Palatino Linotype" w:eastAsia="宋体" w:hAnsi="Palatino Linotype" w:cs="Times New Roman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 wp14:anchorId="367F3756" wp14:editId="497AB78E">
            <wp:extent cx="4813474" cy="3865830"/>
            <wp:effectExtent l="0" t="0" r="0" b="0"/>
            <wp:docPr id="13" name="图片 13" descr="C:\Users\16782\Desktop\整理排版好的图\整理好的最终版图\zp最终.pngzp最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6782\Desktop\整理排版好的图\整理好的最终版图\zp最终.pngzp最终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212" t="1606" r="1330" b="2002"/>
                    <a:stretch/>
                  </pic:blipFill>
                  <pic:spPr bwMode="auto">
                    <a:xfrm>
                      <a:off x="0" y="0"/>
                      <a:ext cx="4956821" cy="398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C1F8E" w14:textId="3FAD80A6" w:rsidR="00C310EC" w:rsidRPr="00032F3F" w:rsidRDefault="007F6225" w:rsidP="007F6225">
      <w:pPr>
        <w:spacing w:line="480" w:lineRule="auto"/>
        <w:rPr>
          <w:rFonts w:ascii="宋体" w:eastAsia="宋体" w:hAnsi="宋体" w:cs="宋体"/>
          <w:b/>
          <w:bCs/>
          <w:kern w:val="0"/>
          <w:szCs w:val="21"/>
          <w:lang w:val="en-GB"/>
        </w:rPr>
        <w:sectPr w:rsidR="00C310EC" w:rsidRPr="00032F3F" w:rsidSect="00F23F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F6225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18"/>
          <w:szCs w:val="18"/>
          <w:lang w:eastAsia="de-DE" w:bidi="en-US"/>
        </w:rPr>
        <w:t xml:space="preserve">Fig. S1. </w:t>
      </w:r>
      <w:r w:rsidRPr="007F6225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The Zi-Pi diagram shows the distribution of the topological role of OTU in the network. Each point represents an OTU under different dietary groups (LF: LF diet, HF: HF diet, LFRC: LF diet with RC powder, HFRC: HF diet with RC powder). According to the scatter diagram of in-</w:t>
      </w:r>
      <w:proofErr w:type="spellStart"/>
      <w:r w:rsidRPr="007F6225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tra</w:t>
      </w:r>
      <w:proofErr w:type="spellEnd"/>
      <w:r w:rsidRPr="007F6225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-module connectivity (Zi) and inter-module connectivity (Pi), the topological function of each OTU is determined. The module hub and connector are marked with OTU number. In parentheses are the module number and phylogenetic associations</w:t>
      </w:r>
    </w:p>
    <w:p w14:paraId="639ED936" w14:textId="012CCFAC" w:rsidR="00000000" w:rsidRPr="00A03377" w:rsidRDefault="00000000" w:rsidP="00BC2F27">
      <w:pPr>
        <w:rPr>
          <w:sz w:val="22"/>
          <w:szCs w:val="22"/>
        </w:rPr>
      </w:pPr>
    </w:p>
    <w:sectPr w:rsidR="005925D6" w:rsidRPr="00A03377" w:rsidSect="00F23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4916" w14:textId="77777777" w:rsidR="006F617C" w:rsidRDefault="006F617C" w:rsidP="004A2F6D">
      <w:r>
        <w:separator/>
      </w:r>
    </w:p>
  </w:endnote>
  <w:endnote w:type="continuationSeparator" w:id="0">
    <w:p w14:paraId="2BECD306" w14:textId="77777777" w:rsidR="006F617C" w:rsidRDefault="006F617C" w:rsidP="004A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203457217"/>
      <w:docPartObj>
        <w:docPartGallery w:val="Page Numbers (Bottom of Page)"/>
        <w:docPartUnique/>
      </w:docPartObj>
    </w:sdtPr>
    <w:sdtContent>
      <w:p w14:paraId="71DDDFBE" w14:textId="02838C54" w:rsidR="004A2F6D" w:rsidRDefault="004A2F6D" w:rsidP="00FB705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210C59CD" w14:textId="77777777" w:rsidR="004A2F6D" w:rsidRDefault="004A2F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Fonts w:ascii="Times New Roman" w:hAnsi="Times New Roman" w:cs="Times New Roman"/>
      </w:rPr>
      <w:id w:val="-1213888344"/>
      <w:docPartObj>
        <w:docPartGallery w:val="Page Numbers (Bottom of Page)"/>
        <w:docPartUnique/>
      </w:docPartObj>
    </w:sdtPr>
    <w:sdtContent>
      <w:p w14:paraId="4EBCE0A4" w14:textId="1048C076" w:rsidR="004A2F6D" w:rsidRPr="004A2F6D" w:rsidRDefault="004A2F6D" w:rsidP="00FB7059">
        <w:pPr>
          <w:pStyle w:val="a5"/>
          <w:framePr w:wrap="none" w:vAnchor="text" w:hAnchor="margin" w:xAlign="center" w:y="1"/>
          <w:rPr>
            <w:rStyle w:val="a7"/>
            <w:rFonts w:ascii="Times New Roman" w:hAnsi="Times New Roman" w:cs="Times New Roman"/>
          </w:rPr>
        </w:pPr>
        <w:r w:rsidRPr="004A2F6D">
          <w:rPr>
            <w:rStyle w:val="a7"/>
            <w:rFonts w:ascii="Times New Roman" w:hAnsi="Times New Roman" w:cs="Times New Roman"/>
          </w:rPr>
          <w:fldChar w:fldCharType="begin"/>
        </w:r>
        <w:r w:rsidRPr="004A2F6D">
          <w:rPr>
            <w:rStyle w:val="a7"/>
            <w:rFonts w:ascii="Times New Roman" w:hAnsi="Times New Roman" w:cs="Times New Roman"/>
          </w:rPr>
          <w:instrText xml:space="preserve"> PAGE </w:instrText>
        </w:r>
        <w:r w:rsidRPr="004A2F6D">
          <w:rPr>
            <w:rStyle w:val="a7"/>
            <w:rFonts w:ascii="Times New Roman" w:hAnsi="Times New Roman" w:cs="Times New Roman"/>
          </w:rPr>
          <w:fldChar w:fldCharType="separate"/>
        </w:r>
        <w:r w:rsidRPr="004A2F6D">
          <w:rPr>
            <w:rStyle w:val="a7"/>
            <w:rFonts w:ascii="Times New Roman" w:hAnsi="Times New Roman" w:cs="Times New Roman"/>
            <w:noProof/>
          </w:rPr>
          <w:t>1</w:t>
        </w:r>
        <w:r w:rsidRPr="004A2F6D">
          <w:rPr>
            <w:rStyle w:val="a7"/>
            <w:rFonts w:ascii="Times New Roman" w:hAnsi="Times New Roman" w:cs="Times New Roman"/>
          </w:rPr>
          <w:fldChar w:fldCharType="end"/>
        </w:r>
      </w:p>
    </w:sdtContent>
  </w:sdt>
  <w:p w14:paraId="7A70A6D3" w14:textId="77777777" w:rsidR="004A2F6D" w:rsidRPr="004A2F6D" w:rsidRDefault="004A2F6D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0D09" w14:textId="77777777" w:rsidR="006F617C" w:rsidRDefault="006F617C" w:rsidP="004A2F6D">
      <w:r>
        <w:separator/>
      </w:r>
    </w:p>
  </w:footnote>
  <w:footnote w:type="continuationSeparator" w:id="0">
    <w:p w14:paraId="5665C810" w14:textId="77777777" w:rsidR="006F617C" w:rsidRDefault="006F617C" w:rsidP="004A2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F8"/>
    <w:rsid w:val="00011559"/>
    <w:rsid w:val="00012B30"/>
    <w:rsid w:val="0002753B"/>
    <w:rsid w:val="00032F3F"/>
    <w:rsid w:val="00034EA5"/>
    <w:rsid w:val="000355B6"/>
    <w:rsid w:val="00036C12"/>
    <w:rsid w:val="000775F7"/>
    <w:rsid w:val="000A5953"/>
    <w:rsid w:val="000C7895"/>
    <w:rsid w:val="000D533A"/>
    <w:rsid w:val="000D73A6"/>
    <w:rsid w:val="000F3F67"/>
    <w:rsid w:val="00113B67"/>
    <w:rsid w:val="00122775"/>
    <w:rsid w:val="0013789D"/>
    <w:rsid w:val="00152551"/>
    <w:rsid w:val="001556AA"/>
    <w:rsid w:val="001932A8"/>
    <w:rsid w:val="001B3153"/>
    <w:rsid w:val="001B4D92"/>
    <w:rsid w:val="001F4B94"/>
    <w:rsid w:val="00212C2B"/>
    <w:rsid w:val="00214217"/>
    <w:rsid w:val="00222949"/>
    <w:rsid w:val="0022383F"/>
    <w:rsid w:val="00225C99"/>
    <w:rsid w:val="00253952"/>
    <w:rsid w:val="00255BB3"/>
    <w:rsid w:val="00262F43"/>
    <w:rsid w:val="0026467A"/>
    <w:rsid w:val="00265971"/>
    <w:rsid w:val="00296B0F"/>
    <w:rsid w:val="002A4585"/>
    <w:rsid w:val="002D2085"/>
    <w:rsid w:val="002E2FFE"/>
    <w:rsid w:val="002F08BF"/>
    <w:rsid w:val="002F2E88"/>
    <w:rsid w:val="002F632A"/>
    <w:rsid w:val="003251AE"/>
    <w:rsid w:val="0035241B"/>
    <w:rsid w:val="003546CC"/>
    <w:rsid w:val="00382671"/>
    <w:rsid w:val="00394262"/>
    <w:rsid w:val="003A4E6C"/>
    <w:rsid w:val="003B2BD3"/>
    <w:rsid w:val="003E0D7D"/>
    <w:rsid w:val="003E435B"/>
    <w:rsid w:val="003F28C4"/>
    <w:rsid w:val="00400B53"/>
    <w:rsid w:val="00473DB0"/>
    <w:rsid w:val="00476289"/>
    <w:rsid w:val="00477661"/>
    <w:rsid w:val="004A2F6D"/>
    <w:rsid w:val="004B245B"/>
    <w:rsid w:val="004B53AA"/>
    <w:rsid w:val="004D4D97"/>
    <w:rsid w:val="004D5753"/>
    <w:rsid w:val="005129E0"/>
    <w:rsid w:val="00523083"/>
    <w:rsid w:val="005718AB"/>
    <w:rsid w:val="005A598A"/>
    <w:rsid w:val="005B4D0B"/>
    <w:rsid w:val="005C219A"/>
    <w:rsid w:val="006149FA"/>
    <w:rsid w:val="00615D3D"/>
    <w:rsid w:val="006258BB"/>
    <w:rsid w:val="00661083"/>
    <w:rsid w:val="006801FB"/>
    <w:rsid w:val="006C2C50"/>
    <w:rsid w:val="006E0EBC"/>
    <w:rsid w:val="006E38F4"/>
    <w:rsid w:val="006E51AA"/>
    <w:rsid w:val="006F1FDF"/>
    <w:rsid w:val="006F617C"/>
    <w:rsid w:val="007125AD"/>
    <w:rsid w:val="00723A4B"/>
    <w:rsid w:val="00731250"/>
    <w:rsid w:val="00735F43"/>
    <w:rsid w:val="00751C78"/>
    <w:rsid w:val="007659C9"/>
    <w:rsid w:val="007716D4"/>
    <w:rsid w:val="007A11F3"/>
    <w:rsid w:val="007B4A68"/>
    <w:rsid w:val="007B65E8"/>
    <w:rsid w:val="007F246F"/>
    <w:rsid w:val="007F6225"/>
    <w:rsid w:val="007F6BA3"/>
    <w:rsid w:val="00817E39"/>
    <w:rsid w:val="00845FC2"/>
    <w:rsid w:val="00872731"/>
    <w:rsid w:val="008A25C8"/>
    <w:rsid w:val="008D7B3B"/>
    <w:rsid w:val="009067C5"/>
    <w:rsid w:val="009114BC"/>
    <w:rsid w:val="00917470"/>
    <w:rsid w:val="00947AE8"/>
    <w:rsid w:val="00971EF8"/>
    <w:rsid w:val="00996E4F"/>
    <w:rsid w:val="009A154C"/>
    <w:rsid w:val="009D4976"/>
    <w:rsid w:val="009F0FB0"/>
    <w:rsid w:val="009F5F3D"/>
    <w:rsid w:val="00A007B8"/>
    <w:rsid w:val="00A01416"/>
    <w:rsid w:val="00A03377"/>
    <w:rsid w:val="00A0744E"/>
    <w:rsid w:val="00A344EC"/>
    <w:rsid w:val="00A610FE"/>
    <w:rsid w:val="00A62B1A"/>
    <w:rsid w:val="00A64417"/>
    <w:rsid w:val="00A647C6"/>
    <w:rsid w:val="00A66F59"/>
    <w:rsid w:val="00A76568"/>
    <w:rsid w:val="00AA530F"/>
    <w:rsid w:val="00AB05C7"/>
    <w:rsid w:val="00AF013D"/>
    <w:rsid w:val="00B54ABA"/>
    <w:rsid w:val="00B7522A"/>
    <w:rsid w:val="00BC1ECF"/>
    <w:rsid w:val="00BC2F27"/>
    <w:rsid w:val="00BC4D35"/>
    <w:rsid w:val="00BD7D89"/>
    <w:rsid w:val="00BE0DEF"/>
    <w:rsid w:val="00BF211C"/>
    <w:rsid w:val="00BF57B6"/>
    <w:rsid w:val="00C310EC"/>
    <w:rsid w:val="00C33313"/>
    <w:rsid w:val="00C40859"/>
    <w:rsid w:val="00C45D54"/>
    <w:rsid w:val="00C50431"/>
    <w:rsid w:val="00C6113B"/>
    <w:rsid w:val="00C6126D"/>
    <w:rsid w:val="00C81CB1"/>
    <w:rsid w:val="00CC2C6D"/>
    <w:rsid w:val="00CC4942"/>
    <w:rsid w:val="00CF0049"/>
    <w:rsid w:val="00D36DF8"/>
    <w:rsid w:val="00D55913"/>
    <w:rsid w:val="00D635E9"/>
    <w:rsid w:val="00D75CCA"/>
    <w:rsid w:val="00D818D1"/>
    <w:rsid w:val="00D972E6"/>
    <w:rsid w:val="00DB5EB9"/>
    <w:rsid w:val="00DC4B00"/>
    <w:rsid w:val="00DD2A53"/>
    <w:rsid w:val="00E633E9"/>
    <w:rsid w:val="00E72C6D"/>
    <w:rsid w:val="00E72EE1"/>
    <w:rsid w:val="00EC6D81"/>
    <w:rsid w:val="00ED4798"/>
    <w:rsid w:val="00EF5EAB"/>
    <w:rsid w:val="00F037A8"/>
    <w:rsid w:val="00F07C8B"/>
    <w:rsid w:val="00F101D9"/>
    <w:rsid w:val="00F13016"/>
    <w:rsid w:val="00F155EF"/>
    <w:rsid w:val="00F23BA5"/>
    <w:rsid w:val="00F23F31"/>
    <w:rsid w:val="00F7211D"/>
    <w:rsid w:val="00F948C8"/>
    <w:rsid w:val="00F949C2"/>
    <w:rsid w:val="00F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8C151"/>
  <w14:defaultImageDpi w14:val="32767"/>
  <w15:chartTrackingRefBased/>
  <w15:docId w15:val="{A6A943B1-DE4E-6642-A766-0DD2E8C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71EF8"/>
    <w:pPr>
      <w:widowControl w:val="0"/>
      <w:jc w:val="both"/>
    </w:pPr>
    <w:rPr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971EF8"/>
    <w:rPr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1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4B53AA"/>
    <w:rPr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289"/>
    <w:pPr>
      <w:ind w:firstLineChars="200" w:firstLine="420"/>
    </w:pPr>
  </w:style>
  <w:style w:type="paragraph" w:styleId="a5">
    <w:name w:val="footer"/>
    <w:basedOn w:val="a"/>
    <w:link w:val="a6"/>
    <w:uiPriority w:val="99"/>
    <w:unhideWhenUsed/>
    <w:rsid w:val="004A2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F6D"/>
    <w:rPr>
      <w:kern w:val="2"/>
      <w:sz w:val="18"/>
      <w:szCs w:val="18"/>
      <w:lang w:eastAsia="zh-CN"/>
    </w:rPr>
  </w:style>
  <w:style w:type="character" w:styleId="a7">
    <w:name w:val="page number"/>
    <w:basedOn w:val="a0"/>
    <w:uiPriority w:val="99"/>
    <w:semiHidden/>
    <w:unhideWhenUsed/>
    <w:rsid w:val="004A2F6D"/>
  </w:style>
  <w:style w:type="paragraph" w:styleId="a8">
    <w:name w:val="header"/>
    <w:basedOn w:val="a"/>
    <w:link w:val="a9"/>
    <w:uiPriority w:val="99"/>
    <w:unhideWhenUsed/>
    <w:rsid w:val="004A2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A2F6D"/>
    <w:rPr>
      <w:kern w:val="2"/>
      <w:sz w:val="18"/>
      <w:szCs w:val="18"/>
      <w:lang w:eastAsia="zh-CN"/>
    </w:rPr>
  </w:style>
  <w:style w:type="paragraph" w:customStyle="1" w:styleId="MDPI12title">
    <w:name w:val="MDPI_1.2_title"/>
    <w:next w:val="a"/>
    <w:qFormat/>
    <w:rsid w:val="00C310EC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Tom</dc:creator>
  <cp:keywords/>
  <dc:description/>
  <cp:lastModifiedBy>YBW DQQ</cp:lastModifiedBy>
  <cp:revision>14</cp:revision>
  <dcterms:created xsi:type="dcterms:W3CDTF">2023-05-11T03:46:00Z</dcterms:created>
  <dcterms:modified xsi:type="dcterms:W3CDTF">2023-12-19T12:43:00Z</dcterms:modified>
</cp:coreProperties>
</file>