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8A3C" w14:textId="77777777" w:rsidR="0070614E" w:rsidRPr="00FA04F1" w:rsidRDefault="0070614E" w:rsidP="0070614E">
      <w:pPr>
        <w:pStyle w:val="MDPI41tablecaption"/>
        <w:ind w:left="510" w:right="284"/>
        <w:jc w:val="left"/>
      </w:pPr>
      <w:r w:rsidRPr="00571AED">
        <w:rPr>
          <w:b/>
          <w:highlight w:val="yellow"/>
        </w:rPr>
        <w:t>Table S1.</w:t>
      </w:r>
      <w:r w:rsidRPr="00B07E0E">
        <w:rPr>
          <w:b/>
        </w:rPr>
        <w:t xml:space="preserve"> </w:t>
      </w:r>
      <w:r>
        <w:rPr>
          <w:rFonts w:ascii="Montserrat Extra Bold" w:hAnsi="Montserrat Extra Bold"/>
        </w:rPr>
        <w:t>(</w:t>
      </w:r>
      <w:r>
        <w:t>Additional analysis was calculated without outliers</w:t>
      </w:r>
      <w:r>
        <w:rPr>
          <w:vertAlign w:val="superscript"/>
        </w:rPr>
        <w:t>†</w:t>
      </w:r>
      <w:r>
        <w:t>). Shows the correlation between our study variables and A</w:t>
      </w:r>
      <w:r>
        <w:rPr>
          <w:rFonts w:ascii="Montserrat Extra Bold" w:hAnsi="Montserrat Extra Bold"/>
        </w:rPr>
        <w:t>β</w:t>
      </w:r>
      <w:r>
        <w:t xml:space="preserve"> peptides (A</w:t>
      </w:r>
      <w:r>
        <w:rPr>
          <w:rFonts w:ascii="Montserrat Extra Bold" w:hAnsi="Montserrat Extra Bold"/>
        </w:rPr>
        <w:t xml:space="preserve">β-42, </w:t>
      </w:r>
      <w:r>
        <w:t>A</w:t>
      </w:r>
      <w:r>
        <w:rPr>
          <w:rFonts w:ascii="Montserrat Extra Bold" w:hAnsi="Montserrat Extra Bold"/>
        </w:rPr>
        <w:t>β-40</w:t>
      </w:r>
      <w:r>
        <w:t>), A</w:t>
      </w:r>
      <w:r>
        <w:rPr>
          <w:rFonts w:ascii="Montserrat Extra Bold" w:hAnsi="Montserrat Extra Bold"/>
        </w:rPr>
        <w:t>β-42/40 ratio in 57 patients with acute coronary syndrome. Data was analyzed using Spearman’s correlation test (</w:t>
      </w:r>
      <w:r>
        <w:t xml:space="preserve">Additional analysis was calculated without outliers). </w:t>
      </w:r>
      <w:r>
        <w:rPr>
          <w:rFonts w:ascii="Montserrat Extra Bold" w:hAnsi="Montserrat Extra Bold"/>
        </w:rPr>
        <w:t xml:space="preserve"> </w:t>
      </w:r>
    </w:p>
    <w:tbl>
      <w:tblPr>
        <w:tblW w:w="9781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276"/>
        <w:gridCol w:w="1276"/>
        <w:gridCol w:w="1275"/>
        <w:gridCol w:w="1276"/>
        <w:gridCol w:w="1276"/>
      </w:tblGrid>
      <w:tr w:rsidR="0070614E" w:rsidRPr="00655E61" w14:paraId="279A551A" w14:textId="77777777" w:rsidTr="00AC12F5">
        <w:trPr>
          <w:jc w:val="center"/>
        </w:trPr>
        <w:tc>
          <w:tcPr>
            <w:tcW w:w="212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2082C49" w14:textId="77777777" w:rsidR="0070614E" w:rsidRPr="00196D5A" w:rsidRDefault="0070614E" w:rsidP="00AC12F5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Variable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7DC8A" w14:textId="77777777" w:rsidR="0070614E" w:rsidRDefault="0070614E" w:rsidP="00AC12F5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>
              <w:rPr>
                <w:rFonts w:ascii="Montserrat Extra Bold" w:hAnsi="Montserrat Extra Bold"/>
                <w:b/>
                <w:bCs/>
              </w:rPr>
              <w:t>β</w:t>
            </w:r>
            <w:r>
              <w:rPr>
                <w:b/>
                <w:bCs/>
              </w:rPr>
              <w:t>-42 (pg/ml)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14:paraId="42F462D0" w14:textId="77777777" w:rsidR="0070614E" w:rsidRDefault="0070614E" w:rsidP="00AC12F5">
            <w:pPr>
              <w:pStyle w:val="MDPI42tablebody"/>
              <w:rPr>
                <w:b/>
                <w:bCs/>
              </w:rPr>
            </w:pPr>
          </w:p>
          <w:p w14:paraId="347FA6BF" w14:textId="77777777" w:rsidR="0070614E" w:rsidRDefault="0070614E" w:rsidP="00AC12F5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>
              <w:rPr>
                <w:rFonts w:ascii="Montserrat Extra Bold" w:hAnsi="Montserrat Extra Bold"/>
                <w:b/>
                <w:bCs/>
              </w:rPr>
              <w:t>β</w:t>
            </w:r>
            <w:r>
              <w:rPr>
                <w:b/>
                <w:bCs/>
              </w:rPr>
              <w:t>-40 (pg/ml)</w:t>
            </w:r>
          </w:p>
          <w:p w14:paraId="202CB76B" w14:textId="77777777" w:rsidR="0070614E" w:rsidRPr="00196D5A" w:rsidRDefault="0070614E" w:rsidP="00AC12F5">
            <w:pPr>
              <w:pStyle w:val="MDPI42tablebody"/>
              <w:jc w:val="both"/>
              <w:rPr>
                <w:b/>
                <w:bCs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14:paraId="6E854907" w14:textId="77777777" w:rsidR="0070614E" w:rsidRDefault="0070614E" w:rsidP="00AC12F5">
            <w:pPr>
              <w:pStyle w:val="MDPI42tablebody"/>
              <w:rPr>
                <w:b/>
                <w:bCs/>
              </w:rPr>
            </w:pPr>
          </w:p>
          <w:p w14:paraId="0A4F847D" w14:textId="77777777" w:rsidR="0070614E" w:rsidRPr="00196D5A" w:rsidRDefault="0070614E" w:rsidP="00AC12F5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>
              <w:rPr>
                <w:rFonts w:ascii="Montserrat Extra Bold" w:hAnsi="Montserrat Extra Bold"/>
                <w:b/>
                <w:bCs/>
              </w:rPr>
              <w:t>β</w:t>
            </w:r>
            <w:r>
              <w:rPr>
                <w:b/>
                <w:bCs/>
              </w:rPr>
              <w:t>-42/40 ratio</w:t>
            </w:r>
          </w:p>
        </w:tc>
      </w:tr>
      <w:tr w:rsidR="0070614E" w:rsidRPr="00655E61" w14:paraId="7804A296" w14:textId="77777777" w:rsidTr="00AC12F5">
        <w:trPr>
          <w:jc w:val="center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6BF87EE" w14:textId="77777777" w:rsidR="0070614E" w:rsidRPr="00655E61" w:rsidRDefault="0070614E" w:rsidP="00AC12F5">
            <w:pPr>
              <w:pStyle w:val="MDPI42tablebody"/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5CCEAC39" w14:textId="77777777" w:rsidR="0070614E" w:rsidRPr="00655E61" w:rsidRDefault="0070614E" w:rsidP="00AC12F5">
            <w:pPr>
              <w:pStyle w:val="MDPI42tablebody"/>
            </w:pPr>
            <w:r>
              <w:t>Rho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FB1DCB9" w14:textId="77777777" w:rsidR="0070614E" w:rsidRPr="00655E61" w:rsidRDefault="0070614E" w:rsidP="00AC12F5">
            <w:pPr>
              <w:pStyle w:val="MDPI42tablebody"/>
            </w:pPr>
            <w:r>
              <w:t>p value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656D9320" w14:textId="77777777" w:rsidR="0070614E" w:rsidRPr="00655E61" w:rsidRDefault="0070614E" w:rsidP="00AC12F5">
            <w:pPr>
              <w:pStyle w:val="MDPI42tablebody"/>
            </w:pPr>
            <w:r>
              <w:t>Rho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37B21E73" w14:textId="77777777" w:rsidR="0070614E" w:rsidRPr="00655E61" w:rsidRDefault="0070614E" w:rsidP="00AC12F5">
            <w:pPr>
              <w:pStyle w:val="MDPI42tablebody"/>
            </w:pPr>
            <w:r>
              <w:t>p value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4746E3DD" w14:textId="77777777" w:rsidR="0070614E" w:rsidRPr="00655E61" w:rsidRDefault="0070614E" w:rsidP="00AC12F5">
            <w:pPr>
              <w:pStyle w:val="MDPI42tablebody"/>
            </w:pPr>
            <w:r>
              <w:t>Rho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5A07712" w14:textId="77777777" w:rsidR="0070614E" w:rsidRPr="00655E61" w:rsidRDefault="0070614E" w:rsidP="00AC12F5">
            <w:pPr>
              <w:pStyle w:val="MDPI42tablebody"/>
            </w:pPr>
            <w:r>
              <w:t>p value</w:t>
            </w:r>
          </w:p>
        </w:tc>
      </w:tr>
      <w:tr w:rsidR="0070614E" w:rsidRPr="00655E61" w14:paraId="3379BBF1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64DE4568" w14:textId="77777777" w:rsidR="0070614E" w:rsidRPr="00655E61" w:rsidRDefault="0070614E" w:rsidP="00AC12F5">
            <w:pPr>
              <w:pStyle w:val="MDPI42tablebody"/>
            </w:pPr>
            <w:r>
              <w:t>Age (years)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3E199CCB" w14:textId="77777777" w:rsidR="0070614E" w:rsidRPr="00655E61" w:rsidRDefault="0070614E" w:rsidP="00AC12F5">
            <w:pPr>
              <w:pStyle w:val="MDPI42tablebody"/>
            </w:pPr>
            <w:r>
              <w:t>0.191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7A0F4CE" w14:textId="77777777" w:rsidR="0070614E" w:rsidRPr="00655E61" w:rsidRDefault="0070614E" w:rsidP="00AC12F5">
            <w:pPr>
              <w:pStyle w:val="MDPI42tablebody"/>
            </w:pPr>
            <w:r>
              <w:t>0.155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4DC739A" w14:textId="77777777" w:rsidR="0070614E" w:rsidRPr="00655E61" w:rsidRDefault="0070614E" w:rsidP="00AC12F5">
            <w:pPr>
              <w:pStyle w:val="MDPI42tablebody"/>
            </w:pPr>
            <w:r>
              <w:t>0.392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484BC305" w14:textId="77777777" w:rsidR="0070614E" w:rsidRPr="00655E61" w:rsidRDefault="0070614E" w:rsidP="00AC12F5">
            <w:pPr>
              <w:pStyle w:val="MDPI42tablebody"/>
            </w:pPr>
            <w:r>
              <w:t>0.003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D857C32" w14:textId="77777777" w:rsidR="0070614E" w:rsidRPr="00655E61" w:rsidRDefault="0070614E" w:rsidP="00AC12F5">
            <w:pPr>
              <w:pStyle w:val="MDPI42tablebody"/>
            </w:pPr>
            <w:r>
              <w:t>-0.316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4FA5ACA" w14:textId="77777777" w:rsidR="0070614E" w:rsidRPr="00655E61" w:rsidRDefault="0070614E" w:rsidP="00AC12F5">
            <w:pPr>
              <w:pStyle w:val="MDPI42tablebody"/>
            </w:pPr>
            <w:r>
              <w:t>0.016</w:t>
            </w:r>
          </w:p>
        </w:tc>
      </w:tr>
      <w:tr w:rsidR="0070614E" w:rsidRPr="00655E61" w14:paraId="24843CC9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BEE1B" w14:textId="77777777" w:rsidR="0070614E" w:rsidRDefault="0070614E" w:rsidP="00AC12F5">
            <w:pPr>
              <w:pStyle w:val="MDPI42tablebody"/>
            </w:pPr>
            <w:r>
              <w:t>BMI (Kg/m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5A6EAF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854E020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0.803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B272070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714496B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0.820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0517AE4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-0.008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E461AF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0.951</w:t>
            </w:r>
          </w:p>
        </w:tc>
      </w:tr>
      <w:tr w:rsidR="0070614E" w:rsidRPr="00655E61" w14:paraId="5D831EE7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CA611" w14:textId="77777777" w:rsidR="0070614E" w:rsidRDefault="0070614E" w:rsidP="00AC12F5">
            <w:pPr>
              <w:pStyle w:val="MDPI42tablebody"/>
            </w:pPr>
            <w:r>
              <w:t>One or more SMuRF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B92BF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0.156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D9888C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0.246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6583EF3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0.231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273ACD2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0.084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AB9C523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-0.215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CA92F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0.108</w:t>
            </w:r>
          </w:p>
        </w:tc>
      </w:tr>
      <w:tr w:rsidR="0070614E" w:rsidRPr="00655E61" w14:paraId="6C0870A2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571EB" w14:textId="77777777" w:rsidR="0070614E" w:rsidRDefault="0070614E" w:rsidP="00AC12F5">
            <w:pPr>
              <w:pStyle w:val="MDPI42tablebody"/>
            </w:pPr>
            <w:r>
              <w:t>High sensitivity troponin I (pg/ml)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2FEA5D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A3EA8C9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0.981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0DDE6F0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0.084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BF13658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BE8770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EB9BE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0.500</w:t>
            </w:r>
          </w:p>
        </w:tc>
      </w:tr>
      <w:tr w:rsidR="0070614E" w:rsidRPr="00655E61" w14:paraId="13ADB94B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5E30D" w14:textId="77777777" w:rsidR="0070614E" w:rsidRDefault="0070614E" w:rsidP="00AC12F5">
            <w:pPr>
              <w:pStyle w:val="MDPI42tablebody"/>
            </w:pPr>
            <w:r>
              <w:t>CRP (mg/dl)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4284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-0.006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53A6C0E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0.965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5058BC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0.028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E6903AE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0.848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DBF0CD1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B8944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0.636</w:t>
            </w:r>
          </w:p>
        </w:tc>
      </w:tr>
      <w:tr w:rsidR="0070614E" w:rsidRPr="00655E61" w14:paraId="2E03F8E3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A1F95" w14:textId="77777777" w:rsidR="0070614E" w:rsidRDefault="0070614E" w:rsidP="00AC12F5">
            <w:pPr>
              <w:pStyle w:val="MDPI42tablebody"/>
            </w:pPr>
            <w:r>
              <w:t>NT-proBNP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A467C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0.289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BED518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01CF97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0.290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6858D7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914EF3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-0.177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E7AA6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0.187</w:t>
            </w:r>
          </w:p>
        </w:tc>
      </w:tr>
      <w:tr w:rsidR="0070614E" w:rsidRPr="00655E61" w14:paraId="076FEDA8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FFA59" w14:textId="77777777" w:rsidR="0070614E" w:rsidRDefault="0070614E" w:rsidP="00AC12F5">
            <w:pPr>
              <w:pStyle w:val="MDPI42tablebody"/>
            </w:pPr>
            <w:r>
              <w:t>Albumin (g/dl)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41907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-0.160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4A0DC36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0.311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A2CE613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-0.045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783344D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0.775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F7A602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7FE35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0.508</w:t>
            </w:r>
          </w:p>
        </w:tc>
      </w:tr>
      <w:tr w:rsidR="0070614E" w:rsidRPr="00655E61" w14:paraId="6DEE77E7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CF48F" w14:textId="77777777" w:rsidR="0070614E" w:rsidRDefault="0070614E" w:rsidP="00AC12F5">
            <w:pPr>
              <w:pStyle w:val="MDPI42tablebody"/>
            </w:pPr>
            <w:r>
              <w:t>Total cholesterol (mg/dl)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3F0A6F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-0.078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80212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0.607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984FDC1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E07C979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0.386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BC92A9C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45BB1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0.542</w:t>
            </w:r>
          </w:p>
        </w:tc>
      </w:tr>
      <w:tr w:rsidR="0070614E" w:rsidRPr="00655E61" w14:paraId="24391379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ADA9E" w14:textId="77777777" w:rsidR="0070614E" w:rsidRDefault="0070614E" w:rsidP="00AC12F5">
            <w:pPr>
              <w:pStyle w:val="MDPI42tablebody"/>
            </w:pPr>
            <w:r>
              <w:t>HDL (mg/dl)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21C96C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F390EF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0.613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B003F06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37E977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0.492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861C67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C89A3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0.559</w:t>
            </w:r>
          </w:p>
        </w:tc>
      </w:tr>
      <w:tr w:rsidR="0070614E" w:rsidRPr="00655E61" w14:paraId="2D7AA79F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CD9F4" w14:textId="77777777" w:rsidR="0070614E" w:rsidRDefault="0070614E" w:rsidP="00AC12F5">
            <w:pPr>
              <w:pStyle w:val="MDPI42tablebody"/>
            </w:pPr>
            <w:r>
              <w:t>LDL (mg/dl)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24D0B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AC26BF2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0.589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FB411A9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0.092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A1645DB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82A4A6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32FB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0.732</w:t>
            </w:r>
          </w:p>
        </w:tc>
      </w:tr>
      <w:tr w:rsidR="0070614E" w:rsidRPr="00655E61" w14:paraId="32122BBA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D4950" w14:textId="77777777" w:rsidR="0070614E" w:rsidRDefault="0070614E" w:rsidP="00AC12F5">
            <w:pPr>
              <w:pStyle w:val="MDPI42tablebody"/>
            </w:pPr>
            <w:r>
              <w:t xml:space="preserve">Triglycerides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27800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C726E18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0.394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CF65D3F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0.092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263FB26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0.552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0A6C2A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6AFC7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0.855</w:t>
            </w:r>
          </w:p>
        </w:tc>
      </w:tr>
      <w:tr w:rsidR="0070614E" w:rsidRPr="00655E61" w14:paraId="4C6B30FB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44E84" w14:textId="77777777" w:rsidR="0070614E" w:rsidRDefault="0070614E" w:rsidP="00AC12F5">
            <w:pPr>
              <w:pStyle w:val="MDPI42tablebody"/>
            </w:pPr>
            <w:r>
              <w:t>AIP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E516E3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0.138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CABE2E5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0.372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2C62A0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0.049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6D0827F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0.751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82B0AF8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094DA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0.982</w:t>
            </w:r>
          </w:p>
        </w:tc>
      </w:tr>
      <w:tr w:rsidR="0070614E" w:rsidRPr="00655E61" w14:paraId="7868FD59" w14:textId="77777777" w:rsidTr="00AC12F5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2F974" w14:textId="77777777" w:rsidR="0070614E" w:rsidRPr="00A550C1" w:rsidRDefault="0070614E" w:rsidP="00AC12F5">
            <w:pPr>
              <w:pStyle w:val="MDPI42tablebody"/>
              <w:rPr>
                <w:vertAlign w:val="superscript"/>
              </w:rPr>
            </w:pPr>
            <w:r>
              <w:t>Symptom-to-blood sample</w:t>
            </w:r>
            <w:r>
              <w:rPr>
                <w:vertAlign w:val="superscript"/>
              </w:rPr>
              <w:t>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8C309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-0.050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10F1FB1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0.713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C3F80AC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-0.167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B38293E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0.214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492F270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0.070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B6E09" w14:textId="77777777" w:rsidR="0070614E" w:rsidRPr="00A550C1" w:rsidRDefault="0070614E" w:rsidP="00AC12F5">
            <w:pPr>
              <w:pStyle w:val="MDPI42tablebody"/>
            </w:pPr>
            <w:r w:rsidRPr="00A550C1">
              <w:rPr>
                <w:rFonts w:cs="Arial"/>
                <w:color w:val="000000" w:themeColor="text1"/>
              </w:rPr>
              <w:t>0.606</w:t>
            </w:r>
          </w:p>
        </w:tc>
      </w:tr>
    </w:tbl>
    <w:p w14:paraId="6ECC345E" w14:textId="77777777" w:rsidR="0070614E" w:rsidRDefault="0070614E" w:rsidP="0070614E">
      <w:pPr>
        <w:pStyle w:val="MDPI43tablefooter"/>
        <w:ind w:right="284"/>
      </w:pPr>
      <w:r w:rsidRPr="00A550C1">
        <w:rPr>
          <w:b/>
          <w:bCs/>
          <w:vertAlign w:val="superscript"/>
        </w:rPr>
        <w:t>†</w:t>
      </w:r>
      <w:r>
        <w:t xml:space="preserve"> Outliers defined by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</w:t>
      </w:r>
      <w:r w:rsidRPr="00B363F9">
        <w:rPr>
          <w:b/>
          <w:bCs/>
        </w:rPr>
        <w:t>-42</w:t>
      </w:r>
      <w:r>
        <w:t xml:space="preserve"> &lt;20 pg/ml or &gt;100 pg/ml,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β-40</w:t>
      </w:r>
      <w:r>
        <w:rPr>
          <w:rFonts w:ascii="Montserrat Extra Bold" w:hAnsi="Montserrat Extra Bold"/>
        </w:rPr>
        <w:t xml:space="preserve"> &gt;400 pg/ml,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β-42/40 ratio</w:t>
      </w:r>
      <w:r>
        <w:rPr>
          <w:rFonts w:ascii="Montserrat Extra Bold" w:hAnsi="Montserrat Extra Bold"/>
        </w:rPr>
        <w:t xml:space="preserve"> &lt;1.0 and </w:t>
      </w:r>
      <w:r w:rsidRPr="00B363F9">
        <w:rPr>
          <w:rFonts w:ascii="Montserrat Extra Bold" w:hAnsi="Montserrat Extra Bold"/>
          <w:b/>
          <w:bCs/>
        </w:rPr>
        <w:t>NT-proBNP</w:t>
      </w:r>
      <w:r>
        <w:rPr>
          <w:rFonts w:ascii="Montserrat Extra Bold" w:hAnsi="Montserrat Extra Bold"/>
        </w:rPr>
        <w:t xml:space="preserve"> &gt;10,000 pg/ml. </w:t>
      </w:r>
      <w:r>
        <w:rPr>
          <w:rFonts w:ascii="Cambria" w:hAnsi="Cambria"/>
          <w:vertAlign w:val="superscript"/>
        </w:rPr>
        <w:t>‡</w:t>
      </w:r>
      <w:r>
        <w:t>Time between symptom onset and blood sample collection.</w:t>
      </w:r>
    </w:p>
    <w:p w14:paraId="2B01EFDD" w14:textId="77777777" w:rsidR="0070614E" w:rsidRDefault="0070614E" w:rsidP="0070614E">
      <w:pPr>
        <w:pStyle w:val="MDPI31text"/>
      </w:pPr>
    </w:p>
    <w:p w14:paraId="3E11EC15" w14:textId="6985FCDC" w:rsidR="0070614E" w:rsidRDefault="0070614E"/>
    <w:p w14:paraId="544270B8" w14:textId="77777777" w:rsidR="0070614E" w:rsidRDefault="0070614E">
      <w:pPr>
        <w:spacing w:after="160" w:line="259" w:lineRule="auto"/>
        <w:jc w:val="left"/>
      </w:pPr>
      <w:r>
        <w:br w:type="page"/>
      </w:r>
    </w:p>
    <w:p w14:paraId="1610F60E" w14:textId="77777777" w:rsidR="0070614E" w:rsidRDefault="0070614E" w:rsidP="0070614E">
      <w:pPr>
        <w:pStyle w:val="MDPI31text"/>
        <w:ind w:left="0" w:firstLine="0"/>
        <w:rPr>
          <w:b/>
          <w:bCs/>
        </w:rPr>
      </w:pPr>
      <w:r w:rsidRPr="0028505D">
        <w:rPr>
          <w:b/>
          <w:bCs/>
          <w:noProof/>
          <w:snapToGrid/>
        </w:rPr>
        <w:lastRenderedPageBreak/>
        <w:drawing>
          <wp:anchor distT="0" distB="0" distL="114300" distR="114300" simplePos="0" relativeHeight="251659264" behindDoc="0" locked="0" layoutInCell="1" allowOverlap="1" wp14:anchorId="0654B57F" wp14:editId="7AC36E4C">
            <wp:simplePos x="0" y="0"/>
            <wp:positionH relativeFrom="column">
              <wp:posOffset>122555</wp:posOffset>
            </wp:positionH>
            <wp:positionV relativeFrom="paragraph">
              <wp:posOffset>0</wp:posOffset>
            </wp:positionV>
            <wp:extent cx="6656705" cy="6624320"/>
            <wp:effectExtent l="0" t="0" r="0" b="5080"/>
            <wp:wrapSquare wrapText="bothSides"/>
            <wp:docPr id="41317641" name="Imagen 1" descr="Diagrama, Dibujo de ingenierí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17641" name="Imagen 1" descr="Diagrama, Dibujo de ingenierí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56705" cy="662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BC3547" w14:textId="77777777" w:rsidR="0070614E" w:rsidRPr="0028505D" w:rsidRDefault="0070614E" w:rsidP="0070614E">
      <w:pPr>
        <w:pStyle w:val="MDPI31text"/>
        <w:ind w:left="0" w:firstLine="0"/>
      </w:pPr>
      <w:r w:rsidRPr="0028505D">
        <w:rPr>
          <w:b/>
          <w:bCs/>
        </w:rPr>
        <w:t xml:space="preserve">Figure </w:t>
      </w:r>
      <w:r>
        <w:rPr>
          <w:b/>
          <w:bCs/>
        </w:rPr>
        <w:t>S1</w:t>
      </w:r>
      <w:r w:rsidRPr="0028505D">
        <w:rPr>
          <w:b/>
          <w:bCs/>
        </w:rPr>
        <w:t>.</w:t>
      </w:r>
      <w:r>
        <w:t xml:space="preserve"> Correlation analysis without outliers. Scatterplot matrix and marginal histograms (with Spearman’s correlation coefficients) showing the relation between </w:t>
      </w:r>
      <w:r w:rsidRPr="0028505D">
        <w:rPr>
          <w:b/>
          <w:bCs/>
        </w:rPr>
        <w:t>A</w:t>
      </w:r>
      <w:r w:rsidRPr="0028505D">
        <w:rPr>
          <w:rFonts w:ascii="Montserrat Extra Bold" w:hAnsi="Montserrat Extra Bold"/>
          <w:b/>
          <w:bCs/>
        </w:rPr>
        <w:t>β-42</w:t>
      </w:r>
      <w:r>
        <w:rPr>
          <w:rFonts w:ascii="Montserrat Extra Bold" w:hAnsi="Montserrat Extra Bold"/>
        </w:rPr>
        <w:t xml:space="preserve"> vs age, NT-proBNP, and albumin (</w:t>
      </w:r>
      <w:r>
        <w:rPr>
          <w:rFonts w:ascii="Montserrat Extra Bold" w:hAnsi="Montserrat Extra Bold"/>
          <w:i/>
          <w:iCs/>
        </w:rPr>
        <w:t>top row</w:t>
      </w:r>
      <w:r>
        <w:rPr>
          <w:rFonts w:ascii="Montserrat Extra Bold" w:hAnsi="Montserrat Extra Bold"/>
        </w:rPr>
        <w:t xml:space="preserve">); </w:t>
      </w:r>
      <w:r w:rsidRPr="0028505D">
        <w:rPr>
          <w:b/>
          <w:bCs/>
        </w:rPr>
        <w:t>A</w:t>
      </w:r>
      <w:r w:rsidRPr="0028505D">
        <w:rPr>
          <w:rFonts w:ascii="Montserrat Extra Bold" w:hAnsi="Montserrat Extra Bold"/>
          <w:b/>
          <w:bCs/>
        </w:rPr>
        <w:t>β-40</w:t>
      </w:r>
      <w:r>
        <w:rPr>
          <w:rFonts w:ascii="Montserrat Extra Bold" w:hAnsi="Montserrat Extra Bold"/>
        </w:rPr>
        <w:t xml:space="preserve"> vs age, NT-proBNP, and albumin (</w:t>
      </w:r>
      <w:r>
        <w:rPr>
          <w:rFonts w:ascii="Montserrat Extra Bold" w:hAnsi="Montserrat Extra Bold"/>
          <w:i/>
          <w:iCs/>
        </w:rPr>
        <w:t>middle row</w:t>
      </w:r>
      <w:r>
        <w:rPr>
          <w:rFonts w:ascii="Montserrat Extra Bold" w:hAnsi="Montserrat Extra Bold"/>
        </w:rPr>
        <w:t xml:space="preserve">); </w:t>
      </w:r>
      <w:r w:rsidRPr="0028505D">
        <w:rPr>
          <w:b/>
          <w:bCs/>
        </w:rPr>
        <w:t>A</w:t>
      </w:r>
      <w:r w:rsidRPr="0028505D">
        <w:rPr>
          <w:rFonts w:ascii="Montserrat Extra Bold" w:hAnsi="Montserrat Extra Bold"/>
          <w:b/>
          <w:bCs/>
        </w:rPr>
        <w:t>β-42/40 Ratio</w:t>
      </w:r>
      <w:r>
        <w:rPr>
          <w:rFonts w:ascii="Montserrat Extra Bold" w:hAnsi="Montserrat Extra Bold"/>
        </w:rPr>
        <w:t xml:space="preserve"> vs age, NT-proBNP, and albumin (</w:t>
      </w:r>
      <w:r>
        <w:rPr>
          <w:rFonts w:ascii="Montserrat Extra Bold" w:hAnsi="Montserrat Extra Bold"/>
          <w:i/>
          <w:iCs/>
        </w:rPr>
        <w:t>bottom row</w:t>
      </w:r>
      <w:r>
        <w:rPr>
          <w:rFonts w:ascii="Montserrat Extra Bold" w:hAnsi="Montserrat Extra Bold"/>
        </w:rPr>
        <w:t xml:space="preserve">).  </w:t>
      </w:r>
    </w:p>
    <w:p w14:paraId="4CDD86B7" w14:textId="10D35BD0" w:rsidR="0070614E" w:rsidRDefault="0070614E"/>
    <w:p w14:paraId="4651E6C8" w14:textId="77777777" w:rsidR="0070614E" w:rsidRDefault="0070614E"/>
    <w:p w14:paraId="1775F04A" w14:textId="0255EA9E" w:rsidR="0070614E" w:rsidRDefault="0070614E">
      <w:pPr>
        <w:spacing w:after="160" w:line="259" w:lineRule="auto"/>
        <w:jc w:val="left"/>
      </w:pPr>
    </w:p>
    <w:p w14:paraId="351671A3" w14:textId="77777777" w:rsidR="0070614E" w:rsidRDefault="0070614E">
      <w:pPr>
        <w:spacing w:after="160" w:line="259" w:lineRule="auto"/>
        <w:jc w:val="left"/>
      </w:pPr>
      <w:r>
        <w:br w:type="page"/>
      </w:r>
    </w:p>
    <w:p w14:paraId="39124393" w14:textId="77777777" w:rsidR="0070614E" w:rsidRDefault="0070614E" w:rsidP="0070614E">
      <w:pPr>
        <w:pStyle w:val="MDPI41tablecaption"/>
        <w:ind w:left="0"/>
      </w:pPr>
      <w:r w:rsidRPr="0028505D">
        <w:rPr>
          <w:b/>
        </w:rPr>
        <w:lastRenderedPageBreak/>
        <w:t>Table S2.</w:t>
      </w:r>
      <w:r w:rsidRPr="00325902">
        <w:t xml:space="preserve"> </w:t>
      </w:r>
      <w:r>
        <w:t xml:space="preserve">(Additional analysis without outliers </w:t>
      </w:r>
      <w:r>
        <w:rPr>
          <w:vertAlign w:val="superscript"/>
        </w:rPr>
        <w:t>†</w:t>
      </w:r>
      <w:r>
        <w:t xml:space="preserve"> was calculated). Demographic characteristics of 57 patients admitted to the coronary care unit grouped by ST elevation myocardial infarction (STEMI) or non-ST elevation myocardial infarction (NSTEMI). Data is shown as mean ± standard deviation, median (percentile 25 – percentile 75), and absolute value (percentage)</w:t>
      </w:r>
    </w:p>
    <w:tbl>
      <w:tblPr>
        <w:tblW w:w="6946" w:type="dxa"/>
        <w:tblInd w:w="784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850"/>
      </w:tblGrid>
      <w:tr w:rsidR="0070614E" w:rsidRPr="009B083C" w14:paraId="0DCB38E5" w14:textId="77777777" w:rsidTr="0070614E"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72237" w14:textId="77777777" w:rsidR="0070614E" w:rsidRPr="007F7C8C" w:rsidRDefault="0070614E" w:rsidP="00AC12F5">
            <w:pPr>
              <w:pStyle w:val="MDPI42tablebody"/>
              <w:spacing w:line="240" w:lineRule="auto"/>
              <w:ind w:firstLine="42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Variable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A85A37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STEMI</w:t>
            </w:r>
          </w:p>
          <w:p w14:paraId="1D99DFB3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(N = 30)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27A933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NSTEMI</w:t>
            </w:r>
          </w:p>
          <w:p w14:paraId="1392D4D5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(N = 27)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BB7EA" w14:textId="77777777" w:rsidR="0070614E" w:rsidRPr="007F7C8C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 value</w:t>
            </w:r>
          </w:p>
        </w:tc>
      </w:tr>
      <w:tr w:rsidR="0070614E" w:rsidRPr="009B083C" w14:paraId="18C9F949" w14:textId="77777777" w:rsidTr="0070614E">
        <w:tc>
          <w:tcPr>
            <w:tcW w:w="3261" w:type="dxa"/>
            <w:shd w:val="clear" w:color="auto" w:fill="auto"/>
            <w:vAlign w:val="center"/>
          </w:tcPr>
          <w:p w14:paraId="4852551A" w14:textId="77777777" w:rsidR="0070614E" w:rsidRPr="00F220D4" w:rsidRDefault="0070614E" w:rsidP="00AC12F5">
            <w:pPr>
              <w:pStyle w:val="MDPI42tablebody"/>
              <w:spacing w:line="240" w:lineRule="auto"/>
              <w:ind w:firstLine="42"/>
              <w:jc w:val="left"/>
            </w:pPr>
            <w:r>
              <w:t>Age (years)</w:t>
            </w:r>
          </w:p>
        </w:tc>
        <w:tc>
          <w:tcPr>
            <w:tcW w:w="1417" w:type="dxa"/>
          </w:tcPr>
          <w:p w14:paraId="1997A1DC" w14:textId="77777777" w:rsidR="0070614E" w:rsidRDefault="0070614E" w:rsidP="00AC12F5">
            <w:pPr>
              <w:pStyle w:val="MDPI42tablebody"/>
              <w:spacing w:line="240" w:lineRule="auto"/>
            </w:pPr>
            <w:r>
              <w:t>57 ± 13</w:t>
            </w:r>
          </w:p>
        </w:tc>
        <w:tc>
          <w:tcPr>
            <w:tcW w:w="1418" w:type="dxa"/>
          </w:tcPr>
          <w:p w14:paraId="69293F79" w14:textId="77777777" w:rsidR="0070614E" w:rsidRDefault="0070614E" w:rsidP="00AC12F5">
            <w:pPr>
              <w:pStyle w:val="MDPI42tablebody"/>
              <w:spacing w:line="240" w:lineRule="auto"/>
            </w:pPr>
            <w:r>
              <w:t>58 ± 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74FAE4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0.747</w:t>
            </w:r>
          </w:p>
        </w:tc>
      </w:tr>
      <w:tr w:rsidR="0070614E" w:rsidRPr="009B083C" w14:paraId="16235486" w14:textId="77777777" w:rsidTr="0070614E">
        <w:tc>
          <w:tcPr>
            <w:tcW w:w="3261" w:type="dxa"/>
            <w:shd w:val="clear" w:color="auto" w:fill="auto"/>
            <w:vAlign w:val="center"/>
          </w:tcPr>
          <w:p w14:paraId="176D341F" w14:textId="77777777" w:rsidR="0070614E" w:rsidRDefault="0070614E" w:rsidP="00AC12F5">
            <w:pPr>
              <w:pStyle w:val="MDPI42tablebody"/>
              <w:spacing w:line="240" w:lineRule="auto"/>
              <w:ind w:firstLine="42"/>
              <w:jc w:val="left"/>
            </w:pPr>
            <w:r>
              <w:t xml:space="preserve">Sex </w:t>
            </w:r>
          </w:p>
          <w:p w14:paraId="5375517E" w14:textId="77777777" w:rsidR="0070614E" w:rsidRDefault="0070614E" w:rsidP="00AC12F5">
            <w:pPr>
              <w:pStyle w:val="MDPI42tablebody"/>
              <w:spacing w:line="240" w:lineRule="auto"/>
              <w:ind w:firstLine="42"/>
              <w:jc w:val="left"/>
            </w:pPr>
            <w:r>
              <w:t xml:space="preserve">   Male</w:t>
            </w:r>
          </w:p>
          <w:p w14:paraId="56C42C82" w14:textId="77777777" w:rsidR="0070614E" w:rsidRPr="00F220D4" w:rsidRDefault="0070614E" w:rsidP="00AC12F5">
            <w:pPr>
              <w:pStyle w:val="MDPI42tablebody"/>
              <w:spacing w:line="240" w:lineRule="auto"/>
              <w:ind w:firstLine="42"/>
              <w:jc w:val="left"/>
            </w:pPr>
            <w:r>
              <w:t xml:space="preserve">   Female</w:t>
            </w:r>
          </w:p>
        </w:tc>
        <w:tc>
          <w:tcPr>
            <w:tcW w:w="1417" w:type="dxa"/>
          </w:tcPr>
          <w:p w14:paraId="3EEC59FC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0C44DB76" w14:textId="77777777" w:rsidR="0070614E" w:rsidRDefault="0070614E" w:rsidP="00AC12F5">
            <w:pPr>
              <w:pStyle w:val="MDPI42tablebody"/>
              <w:spacing w:line="240" w:lineRule="auto"/>
            </w:pPr>
            <w:r>
              <w:t>27 (87.1%)</w:t>
            </w:r>
          </w:p>
          <w:p w14:paraId="48A3F936" w14:textId="77777777" w:rsidR="0070614E" w:rsidRDefault="0070614E" w:rsidP="00AC12F5">
            <w:pPr>
              <w:pStyle w:val="MDPI42tablebody"/>
              <w:spacing w:line="240" w:lineRule="auto"/>
            </w:pPr>
            <w:r>
              <w:t>4 (12.9%)</w:t>
            </w:r>
          </w:p>
        </w:tc>
        <w:tc>
          <w:tcPr>
            <w:tcW w:w="1418" w:type="dxa"/>
          </w:tcPr>
          <w:p w14:paraId="559C610F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6B44717C" w14:textId="77777777" w:rsidR="0070614E" w:rsidRDefault="0070614E" w:rsidP="00AC12F5">
            <w:pPr>
              <w:pStyle w:val="MDPI42tablebody"/>
              <w:spacing w:line="240" w:lineRule="auto"/>
            </w:pPr>
            <w:r>
              <w:t>20 (74.1%)</w:t>
            </w:r>
          </w:p>
          <w:p w14:paraId="3BC2979C" w14:textId="77777777" w:rsidR="0070614E" w:rsidRDefault="0070614E" w:rsidP="00AC12F5">
            <w:pPr>
              <w:pStyle w:val="MDPI42tablebody"/>
              <w:spacing w:line="240" w:lineRule="auto"/>
            </w:pPr>
            <w:r>
              <w:t>7 (25.9%)</w:t>
            </w:r>
          </w:p>
        </w:tc>
        <w:tc>
          <w:tcPr>
            <w:tcW w:w="850" w:type="dxa"/>
            <w:shd w:val="clear" w:color="auto" w:fill="auto"/>
          </w:tcPr>
          <w:p w14:paraId="333F155D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0.177</w:t>
            </w:r>
          </w:p>
        </w:tc>
      </w:tr>
      <w:tr w:rsidR="0070614E" w:rsidRPr="009B083C" w14:paraId="62A2C6CC" w14:textId="77777777" w:rsidTr="0070614E">
        <w:tc>
          <w:tcPr>
            <w:tcW w:w="3261" w:type="dxa"/>
            <w:shd w:val="clear" w:color="auto" w:fill="auto"/>
            <w:vAlign w:val="center"/>
          </w:tcPr>
          <w:p w14:paraId="646E53F2" w14:textId="77777777" w:rsidR="0070614E" w:rsidRDefault="0070614E" w:rsidP="00AC12F5">
            <w:pPr>
              <w:pStyle w:val="MDPI42tablebody"/>
              <w:spacing w:line="240" w:lineRule="auto"/>
              <w:ind w:left="42"/>
              <w:jc w:val="left"/>
            </w:pPr>
            <w:r>
              <w:t>BMI (Kg/m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77975EC0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Overweight</w:t>
            </w:r>
          </w:p>
          <w:p w14:paraId="051AE4EA" w14:textId="77777777" w:rsidR="0070614E" w:rsidRDefault="0070614E" w:rsidP="0070614E">
            <w:pPr>
              <w:pStyle w:val="MDPI42tablebody"/>
              <w:spacing w:line="240" w:lineRule="auto"/>
              <w:ind w:firstLine="3"/>
              <w:jc w:val="left"/>
            </w:pPr>
            <w:r>
              <w:t xml:space="preserve">   Obesity</w:t>
            </w:r>
          </w:p>
          <w:p w14:paraId="73CC8D8B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Overweight/Obesity</w:t>
            </w:r>
          </w:p>
        </w:tc>
        <w:tc>
          <w:tcPr>
            <w:tcW w:w="1417" w:type="dxa"/>
          </w:tcPr>
          <w:p w14:paraId="095EF19B" w14:textId="77777777" w:rsidR="0070614E" w:rsidRDefault="0070614E" w:rsidP="00AC12F5">
            <w:pPr>
              <w:pStyle w:val="MDPI42tablebody"/>
              <w:spacing w:line="240" w:lineRule="auto"/>
            </w:pPr>
            <w:r>
              <w:t>28.35 ± 4.2</w:t>
            </w:r>
          </w:p>
          <w:p w14:paraId="1A676E33" w14:textId="77777777" w:rsidR="0070614E" w:rsidRDefault="0070614E" w:rsidP="00AC12F5">
            <w:pPr>
              <w:pStyle w:val="MDPI42tablebody"/>
              <w:spacing w:line="240" w:lineRule="auto"/>
            </w:pPr>
            <w:r>
              <w:t>13 (41.9%)</w:t>
            </w:r>
          </w:p>
          <w:p w14:paraId="0CFB586C" w14:textId="77777777" w:rsidR="0070614E" w:rsidRDefault="0070614E" w:rsidP="00AC12F5">
            <w:pPr>
              <w:pStyle w:val="MDPI42tablebody"/>
              <w:spacing w:line="240" w:lineRule="auto"/>
            </w:pPr>
            <w:r>
              <w:t>11 (35.5%)</w:t>
            </w:r>
          </w:p>
          <w:p w14:paraId="217BDC10" w14:textId="77777777" w:rsidR="0070614E" w:rsidRDefault="0070614E" w:rsidP="00AC12F5">
            <w:pPr>
              <w:pStyle w:val="MDPI42tablebody"/>
              <w:spacing w:line="240" w:lineRule="auto"/>
            </w:pPr>
            <w:r>
              <w:t>24 (77.4%)</w:t>
            </w:r>
          </w:p>
        </w:tc>
        <w:tc>
          <w:tcPr>
            <w:tcW w:w="1418" w:type="dxa"/>
          </w:tcPr>
          <w:p w14:paraId="27B60777" w14:textId="77777777" w:rsidR="0070614E" w:rsidRDefault="0070614E" w:rsidP="00AC12F5">
            <w:pPr>
              <w:pStyle w:val="MDPI42tablebody"/>
              <w:spacing w:line="240" w:lineRule="auto"/>
            </w:pPr>
            <w:r>
              <w:t>28.12 ± 3.78</w:t>
            </w:r>
          </w:p>
          <w:p w14:paraId="0D4915CF" w14:textId="77777777" w:rsidR="0070614E" w:rsidRDefault="0070614E" w:rsidP="00AC12F5">
            <w:pPr>
              <w:pStyle w:val="MDPI42tablebody"/>
              <w:spacing w:line="240" w:lineRule="auto"/>
            </w:pPr>
            <w:r>
              <w:t>12 (44.4%)</w:t>
            </w:r>
          </w:p>
          <w:p w14:paraId="47D654CE" w14:textId="77777777" w:rsidR="0070614E" w:rsidRDefault="0070614E" w:rsidP="00AC12F5">
            <w:pPr>
              <w:pStyle w:val="MDPI42tablebody"/>
              <w:spacing w:line="240" w:lineRule="auto"/>
            </w:pPr>
            <w:r>
              <w:t>9 (33.3%)</w:t>
            </w:r>
          </w:p>
          <w:p w14:paraId="04803BEE" w14:textId="77777777" w:rsidR="0070614E" w:rsidRDefault="0070614E" w:rsidP="00AC12F5">
            <w:pPr>
              <w:pStyle w:val="MDPI42tablebody"/>
              <w:spacing w:line="240" w:lineRule="auto"/>
            </w:pPr>
            <w:r>
              <w:t>21 (77.7%)</w:t>
            </w:r>
          </w:p>
        </w:tc>
        <w:tc>
          <w:tcPr>
            <w:tcW w:w="850" w:type="dxa"/>
            <w:shd w:val="clear" w:color="auto" w:fill="auto"/>
          </w:tcPr>
          <w:p w14:paraId="4687CBD0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0.826</w:t>
            </w:r>
          </w:p>
        </w:tc>
      </w:tr>
      <w:tr w:rsidR="0070614E" w:rsidRPr="009B083C" w14:paraId="6811C95D" w14:textId="77777777" w:rsidTr="0070614E">
        <w:tc>
          <w:tcPr>
            <w:tcW w:w="3261" w:type="dxa"/>
            <w:shd w:val="clear" w:color="auto" w:fill="auto"/>
            <w:vAlign w:val="center"/>
          </w:tcPr>
          <w:p w14:paraId="19B170F4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Diabetes</w:t>
            </w:r>
          </w:p>
        </w:tc>
        <w:tc>
          <w:tcPr>
            <w:tcW w:w="1417" w:type="dxa"/>
          </w:tcPr>
          <w:p w14:paraId="4747093F" w14:textId="77777777" w:rsidR="0070614E" w:rsidRDefault="0070614E" w:rsidP="00AC12F5">
            <w:pPr>
              <w:pStyle w:val="MDPI42tablebody"/>
              <w:spacing w:line="240" w:lineRule="auto"/>
            </w:pPr>
            <w:r>
              <w:t>3 (9.7%)</w:t>
            </w:r>
          </w:p>
        </w:tc>
        <w:tc>
          <w:tcPr>
            <w:tcW w:w="1418" w:type="dxa"/>
          </w:tcPr>
          <w:p w14:paraId="0B3A901B" w14:textId="77777777" w:rsidR="0070614E" w:rsidRDefault="0070614E" w:rsidP="00AC12F5">
            <w:pPr>
              <w:pStyle w:val="MDPI42tablebody"/>
              <w:spacing w:line="240" w:lineRule="auto"/>
            </w:pPr>
            <w:r>
              <w:t>7 (25.9%)</w:t>
            </w:r>
          </w:p>
        </w:tc>
        <w:tc>
          <w:tcPr>
            <w:tcW w:w="850" w:type="dxa"/>
            <w:shd w:val="clear" w:color="auto" w:fill="auto"/>
          </w:tcPr>
          <w:p w14:paraId="60B70398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0.099</w:t>
            </w:r>
          </w:p>
        </w:tc>
      </w:tr>
      <w:tr w:rsidR="0070614E" w:rsidRPr="009B083C" w14:paraId="7666BE47" w14:textId="77777777" w:rsidTr="0070614E">
        <w:tc>
          <w:tcPr>
            <w:tcW w:w="3261" w:type="dxa"/>
            <w:shd w:val="clear" w:color="auto" w:fill="auto"/>
            <w:vAlign w:val="center"/>
          </w:tcPr>
          <w:p w14:paraId="0D66EB40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Hypertension</w:t>
            </w:r>
          </w:p>
        </w:tc>
        <w:tc>
          <w:tcPr>
            <w:tcW w:w="1417" w:type="dxa"/>
          </w:tcPr>
          <w:p w14:paraId="405BB065" w14:textId="77777777" w:rsidR="0070614E" w:rsidRDefault="0070614E" w:rsidP="00AC12F5">
            <w:pPr>
              <w:pStyle w:val="MDPI42tablebody"/>
              <w:spacing w:line="240" w:lineRule="auto"/>
            </w:pPr>
            <w:r>
              <w:t>15 (48.4%)</w:t>
            </w:r>
          </w:p>
        </w:tc>
        <w:tc>
          <w:tcPr>
            <w:tcW w:w="1418" w:type="dxa"/>
          </w:tcPr>
          <w:p w14:paraId="188AEABC" w14:textId="77777777" w:rsidR="0070614E" w:rsidRDefault="0070614E" w:rsidP="00AC12F5">
            <w:pPr>
              <w:pStyle w:val="MDPI42tablebody"/>
              <w:spacing w:line="240" w:lineRule="auto"/>
            </w:pPr>
            <w:r>
              <w:t>20 (74.1%)</w:t>
            </w:r>
          </w:p>
        </w:tc>
        <w:tc>
          <w:tcPr>
            <w:tcW w:w="850" w:type="dxa"/>
            <w:shd w:val="clear" w:color="auto" w:fill="auto"/>
          </w:tcPr>
          <w:p w14:paraId="245BF22F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0.046</w:t>
            </w:r>
          </w:p>
        </w:tc>
      </w:tr>
      <w:tr w:rsidR="0070614E" w:rsidRPr="009B083C" w14:paraId="3EDB5668" w14:textId="77777777" w:rsidTr="0070614E">
        <w:tc>
          <w:tcPr>
            <w:tcW w:w="3261" w:type="dxa"/>
            <w:shd w:val="clear" w:color="auto" w:fill="auto"/>
            <w:vAlign w:val="center"/>
          </w:tcPr>
          <w:p w14:paraId="5E9E9563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Dyslipidemia</w:t>
            </w:r>
          </w:p>
        </w:tc>
        <w:tc>
          <w:tcPr>
            <w:tcW w:w="1417" w:type="dxa"/>
          </w:tcPr>
          <w:p w14:paraId="04D5F0E1" w14:textId="77777777" w:rsidR="0070614E" w:rsidRDefault="0070614E" w:rsidP="00AC12F5">
            <w:pPr>
              <w:pStyle w:val="MDPI42tablebody"/>
              <w:spacing w:line="240" w:lineRule="auto"/>
            </w:pPr>
            <w:r>
              <w:t>6 (19.4%)</w:t>
            </w:r>
          </w:p>
        </w:tc>
        <w:tc>
          <w:tcPr>
            <w:tcW w:w="1418" w:type="dxa"/>
          </w:tcPr>
          <w:p w14:paraId="1E868929" w14:textId="77777777" w:rsidR="0070614E" w:rsidRDefault="0070614E" w:rsidP="00AC12F5">
            <w:pPr>
              <w:pStyle w:val="MDPI42tablebody"/>
              <w:spacing w:line="240" w:lineRule="auto"/>
            </w:pPr>
            <w:r>
              <w:t>6 (22.2%)</w:t>
            </w:r>
          </w:p>
        </w:tc>
        <w:tc>
          <w:tcPr>
            <w:tcW w:w="850" w:type="dxa"/>
            <w:shd w:val="clear" w:color="auto" w:fill="auto"/>
          </w:tcPr>
          <w:p w14:paraId="2A489DD2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0.788</w:t>
            </w:r>
          </w:p>
        </w:tc>
      </w:tr>
      <w:tr w:rsidR="0070614E" w:rsidRPr="009B083C" w14:paraId="022BEB3C" w14:textId="77777777" w:rsidTr="0070614E">
        <w:tc>
          <w:tcPr>
            <w:tcW w:w="3261" w:type="dxa"/>
            <w:shd w:val="clear" w:color="auto" w:fill="auto"/>
            <w:vAlign w:val="center"/>
          </w:tcPr>
          <w:p w14:paraId="7F8EBACE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Previous myocardial infarction</w:t>
            </w:r>
          </w:p>
        </w:tc>
        <w:tc>
          <w:tcPr>
            <w:tcW w:w="1417" w:type="dxa"/>
          </w:tcPr>
          <w:p w14:paraId="21A167AD" w14:textId="77777777" w:rsidR="0070614E" w:rsidRDefault="0070614E" w:rsidP="00AC12F5">
            <w:pPr>
              <w:pStyle w:val="MDPI42tablebody"/>
              <w:spacing w:line="240" w:lineRule="auto"/>
            </w:pPr>
            <w:r>
              <w:t>7 (22.6%)</w:t>
            </w:r>
          </w:p>
        </w:tc>
        <w:tc>
          <w:tcPr>
            <w:tcW w:w="1418" w:type="dxa"/>
          </w:tcPr>
          <w:p w14:paraId="48130E9F" w14:textId="77777777" w:rsidR="0070614E" w:rsidRDefault="0070614E" w:rsidP="00AC12F5">
            <w:pPr>
              <w:pStyle w:val="MDPI42tablebody"/>
              <w:spacing w:line="240" w:lineRule="auto"/>
            </w:pPr>
            <w:r>
              <w:t>15 (55.6%)</w:t>
            </w:r>
          </w:p>
        </w:tc>
        <w:tc>
          <w:tcPr>
            <w:tcW w:w="850" w:type="dxa"/>
            <w:shd w:val="clear" w:color="auto" w:fill="auto"/>
          </w:tcPr>
          <w:p w14:paraId="1E24BB23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0.010</w:t>
            </w:r>
          </w:p>
        </w:tc>
      </w:tr>
      <w:tr w:rsidR="0070614E" w:rsidRPr="009B083C" w14:paraId="57351580" w14:textId="77777777" w:rsidTr="0070614E">
        <w:tc>
          <w:tcPr>
            <w:tcW w:w="3261" w:type="dxa"/>
            <w:shd w:val="clear" w:color="auto" w:fill="auto"/>
            <w:vAlign w:val="center"/>
          </w:tcPr>
          <w:p w14:paraId="69EC1524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Smoking status</w:t>
            </w:r>
          </w:p>
          <w:p w14:paraId="20F3F6B3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Current smoker</w:t>
            </w:r>
          </w:p>
          <w:p w14:paraId="4A4BFBBB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Former smoker</w:t>
            </w:r>
          </w:p>
          <w:p w14:paraId="60051271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Nonsmoker</w:t>
            </w:r>
          </w:p>
        </w:tc>
        <w:tc>
          <w:tcPr>
            <w:tcW w:w="1417" w:type="dxa"/>
          </w:tcPr>
          <w:p w14:paraId="3DA16D44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74E998F9" w14:textId="77777777" w:rsidR="0070614E" w:rsidRDefault="0070614E" w:rsidP="00AC12F5">
            <w:pPr>
              <w:pStyle w:val="MDPI42tablebody"/>
              <w:spacing w:line="240" w:lineRule="auto"/>
            </w:pPr>
            <w:r>
              <w:t>15 (48.4%)</w:t>
            </w:r>
          </w:p>
          <w:p w14:paraId="409E8F67" w14:textId="77777777" w:rsidR="0070614E" w:rsidRDefault="0070614E" w:rsidP="00AC12F5">
            <w:pPr>
              <w:pStyle w:val="MDPI42tablebody"/>
              <w:spacing w:line="240" w:lineRule="auto"/>
            </w:pPr>
            <w:r>
              <w:t>5 (16.1%)</w:t>
            </w:r>
          </w:p>
          <w:p w14:paraId="1DF04181" w14:textId="77777777" w:rsidR="0070614E" w:rsidRDefault="0070614E" w:rsidP="00AC12F5">
            <w:pPr>
              <w:pStyle w:val="MDPI42tablebody"/>
              <w:spacing w:line="240" w:lineRule="auto"/>
            </w:pPr>
            <w:r>
              <w:t>11 (35.5%)</w:t>
            </w:r>
          </w:p>
        </w:tc>
        <w:tc>
          <w:tcPr>
            <w:tcW w:w="1418" w:type="dxa"/>
          </w:tcPr>
          <w:p w14:paraId="250DB899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1A6F8B0B" w14:textId="77777777" w:rsidR="0070614E" w:rsidRDefault="0070614E" w:rsidP="00AC12F5">
            <w:pPr>
              <w:pStyle w:val="MDPI42tablebody"/>
              <w:spacing w:line="240" w:lineRule="auto"/>
            </w:pPr>
            <w:r>
              <w:t>5 (18.5%)</w:t>
            </w:r>
          </w:p>
          <w:p w14:paraId="4435E715" w14:textId="77777777" w:rsidR="0070614E" w:rsidRDefault="0070614E" w:rsidP="00AC12F5">
            <w:pPr>
              <w:pStyle w:val="MDPI42tablebody"/>
              <w:spacing w:line="240" w:lineRule="auto"/>
            </w:pPr>
            <w:r>
              <w:t>15 (55.6%)</w:t>
            </w:r>
          </w:p>
          <w:p w14:paraId="62EEF269" w14:textId="77777777" w:rsidR="0070614E" w:rsidRDefault="0070614E" w:rsidP="00AC12F5">
            <w:pPr>
              <w:pStyle w:val="MDPI42tablebody"/>
              <w:spacing w:line="240" w:lineRule="auto"/>
            </w:pPr>
            <w:r>
              <w:t>7 (25.9%)</w:t>
            </w:r>
          </w:p>
        </w:tc>
        <w:tc>
          <w:tcPr>
            <w:tcW w:w="850" w:type="dxa"/>
            <w:shd w:val="clear" w:color="auto" w:fill="auto"/>
          </w:tcPr>
          <w:p w14:paraId="03D68190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0.005</w:t>
            </w:r>
          </w:p>
        </w:tc>
      </w:tr>
      <w:tr w:rsidR="0070614E" w:rsidRPr="009B083C" w14:paraId="49817590" w14:textId="77777777" w:rsidTr="0070614E">
        <w:tc>
          <w:tcPr>
            <w:tcW w:w="3261" w:type="dxa"/>
            <w:shd w:val="clear" w:color="auto" w:fill="auto"/>
            <w:vAlign w:val="center"/>
          </w:tcPr>
          <w:p w14:paraId="2A86C570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Number of SMuRFs</w:t>
            </w:r>
          </w:p>
          <w:p w14:paraId="0F512FC9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One or more</w:t>
            </w:r>
          </w:p>
          <w:p w14:paraId="38A2DA2F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None</w:t>
            </w:r>
          </w:p>
        </w:tc>
        <w:tc>
          <w:tcPr>
            <w:tcW w:w="1417" w:type="dxa"/>
          </w:tcPr>
          <w:p w14:paraId="5A98FE56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3A620B19" w14:textId="77777777" w:rsidR="0070614E" w:rsidRDefault="0070614E" w:rsidP="00AC12F5">
            <w:pPr>
              <w:pStyle w:val="MDPI42tablebody"/>
              <w:spacing w:line="240" w:lineRule="auto"/>
            </w:pPr>
            <w:r>
              <w:t>25 (83.3%)</w:t>
            </w:r>
          </w:p>
          <w:p w14:paraId="5E50A076" w14:textId="77777777" w:rsidR="0070614E" w:rsidRDefault="0070614E" w:rsidP="00AC12F5">
            <w:pPr>
              <w:pStyle w:val="MDPI42tablebody"/>
              <w:spacing w:line="240" w:lineRule="auto"/>
            </w:pPr>
            <w:r>
              <w:t>5 (16.7%)</w:t>
            </w:r>
          </w:p>
        </w:tc>
        <w:tc>
          <w:tcPr>
            <w:tcW w:w="1418" w:type="dxa"/>
          </w:tcPr>
          <w:p w14:paraId="5628BBA9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73B438B4" w14:textId="77777777" w:rsidR="0070614E" w:rsidRDefault="0070614E" w:rsidP="00AC12F5">
            <w:pPr>
              <w:pStyle w:val="MDPI42tablebody"/>
              <w:spacing w:line="240" w:lineRule="auto"/>
            </w:pPr>
            <w:r>
              <w:t>26 (96.3%)</w:t>
            </w:r>
          </w:p>
          <w:p w14:paraId="63F04A53" w14:textId="77777777" w:rsidR="0070614E" w:rsidRDefault="0070614E" w:rsidP="00AC12F5">
            <w:pPr>
              <w:pStyle w:val="MDPI42tablebody"/>
              <w:spacing w:line="240" w:lineRule="auto"/>
            </w:pPr>
            <w:r>
              <w:t>1 (3.7%)</w:t>
            </w:r>
          </w:p>
        </w:tc>
        <w:tc>
          <w:tcPr>
            <w:tcW w:w="850" w:type="dxa"/>
            <w:shd w:val="clear" w:color="auto" w:fill="auto"/>
          </w:tcPr>
          <w:p w14:paraId="14603297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0.122</w:t>
            </w:r>
          </w:p>
        </w:tc>
      </w:tr>
      <w:tr w:rsidR="0070614E" w:rsidRPr="009B083C" w14:paraId="2C4E088F" w14:textId="77777777" w:rsidTr="0070614E">
        <w:tc>
          <w:tcPr>
            <w:tcW w:w="3261" w:type="dxa"/>
            <w:shd w:val="clear" w:color="auto" w:fill="auto"/>
            <w:vAlign w:val="center"/>
          </w:tcPr>
          <w:p w14:paraId="068803B0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NYHA</w:t>
            </w:r>
          </w:p>
          <w:p w14:paraId="2B021968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≥2 Class</w:t>
            </w:r>
          </w:p>
        </w:tc>
        <w:tc>
          <w:tcPr>
            <w:tcW w:w="1417" w:type="dxa"/>
          </w:tcPr>
          <w:p w14:paraId="0A95738A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227E36EC" w14:textId="77777777" w:rsidR="0070614E" w:rsidRDefault="0070614E" w:rsidP="00AC12F5">
            <w:pPr>
              <w:pStyle w:val="MDPI42tablebody"/>
              <w:spacing w:line="240" w:lineRule="auto"/>
            </w:pPr>
            <w:r>
              <w:t>4 (12.9%)</w:t>
            </w:r>
          </w:p>
        </w:tc>
        <w:tc>
          <w:tcPr>
            <w:tcW w:w="1418" w:type="dxa"/>
          </w:tcPr>
          <w:p w14:paraId="5F0DC1A4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2DCA9C7A" w14:textId="77777777" w:rsidR="0070614E" w:rsidRDefault="0070614E" w:rsidP="00AC12F5">
            <w:pPr>
              <w:pStyle w:val="MDPI42tablebody"/>
              <w:spacing w:line="240" w:lineRule="auto"/>
            </w:pPr>
            <w:r>
              <w:t>2 (7.4%)</w:t>
            </w:r>
          </w:p>
        </w:tc>
        <w:tc>
          <w:tcPr>
            <w:tcW w:w="850" w:type="dxa"/>
            <w:shd w:val="clear" w:color="auto" w:fill="auto"/>
          </w:tcPr>
          <w:p w14:paraId="50E1BD60" w14:textId="77777777" w:rsidR="0070614E" w:rsidRDefault="0070614E" w:rsidP="00AC12F5">
            <w:pPr>
              <w:pStyle w:val="MDPI42tablebody"/>
              <w:spacing w:line="240" w:lineRule="auto"/>
            </w:pPr>
            <w:r>
              <w:t>0.404</w:t>
            </w:r>
          </w:p>
          <w:p w14:paraId="7F2AE988" w14:textId="77777777" w:rsidR="0070614E" w:rsidRPr="00F220D4" w:rsidRDefault="0070614E" w:rsidP="00AC12F5">
            <w:pPr>
              <w:pStyle w:val="MDPI42tablebody"/>
              <w:spacing w:line="240" w:lineRule="auto"/>
            </w:pPr>
          </w:p>
        </w:tc>
      </w:tr>
      <w:tr w:rsidR="0070614E" w:rsidRPr="009B083C" w14:paraId="5A8AB8F3" w14:textId="77777777" w:rsidTr="0070614E">
        <w:tc>
          <w:tcPr>
            <w:tcW w:w="3261" w:type="dxa"/>
            <w:shd w:val="clear" w:color="auto" w:fill="auto"/>
            <w:vAlign w:val="center"/>
          </w:tcPr>
          <w:p w14:paraId="48AB1D0E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Killip-Kimball</w:t>
            </w:r>
          </w:p>
          <w:p w14:paraId="67868A62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≥2 Class</w:t>
            </w:r>
          </w:p>
        </w:tc>
        <w:tc>
          <w:tcPr>
            <w:tcW w:w="1417" w:type="dxa"/>
          </w:tcPr>
          <w:p w14:paraId="2F77CBD0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21D2A7DB" w14:textId="77777777" w:rsidR="0070614E" w:rsidRDefault="0070614E" w:rsidP="00AC12F5">
            <w:pPr>
              <w:pStyle w:val="MDPI42tablebody"/>
              <w:spacing w:line="240" w:lineRule="auto"/>
            </w:pPr>
            <w:r>
              <w:t>8 (25.8%)</w:t>
            </w:r>
          </w:p>
        </w:tc>
        <w:tc>
          <w:tcPr>
            <w:tcW w:w="1418" w:type="dxa"/>
          </w:tcPr>
          <w:p w14:paraId="297E465D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6C5E3466" w14:textId="77777777" w:rsidR="0070614E" w:rsidRDefault="0070614E" w:rsidP="00AC12F5">
            <w:pPr>
              <w:pStyle w:val="MDPI42tablebody"/>
              <w:spacing w:line="240" w:lineRule="auto"/>
            </w:pPr>
            <w:r>
              <w:t>3 (11.1%)</w:t>
            </w:r>
          </w:p>
        </w:tc>
        <w:tc>
          <w:tcPr>
            <w:tcW w:w="850" w:type="dxa"/>
            <w:shd w:val="clear" w:color="auto" w:fill="auto"/>
          </w:tcPr>
          <w:p w14:paraId="750D2C5B" w14:textId="77777777" w:rsidR="0070614E" w:rsidRDefault="0070614E" w:rsidP="00AC12F5">
            <w:pPr>
              <w:pStyle w:val="MDPI42tablebody"/>
              <w:spacing w:line="240" w:lineRule="auto"/>
            </w:pPr>
            <w:r>
              <w:t>0.138</w:t>
            </w:r>
          </w:p>
          <w:p w14:paraId="156B9047" w14:textId="77777777" w:rsidR="0070614E" w:rsidRPr="00F220D4" w:rsidRDefault="0070614E" w:rsidP="00AC12F5">
            <w:pPr>
              <w:pStyle w:val="MDPI42tablebody"/>
              <w:spacing w:line="240" w:lineRule="auto"/>
            </w:pPr>
          </w:p>
        </w:tc>
      </w:tr>
      <w:tr w:rsidR="0070614E" w:rsidRPr="009B083C" w14:paraId="3B598403" w14:textId="77777777" w:rsidTr="0070614E">
        <w:tc>
          <w:tcPr>
            <w:tcW w:w="3261" w:type="dxa"/>
            <w:shd w:val="clear" w:color="auto" w:fill="auto"/>
            <w:vAlign w:val="center"/>
          </w:tcPr>
          <w:p w14:paraId="16E63538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GRACE</w:t>
            </w:r>
          </w:p>
          <w:p w14:paraId="18947140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Intermediate-High Risk</w:t>
            </w:r>
          </w:p>
        </w:tc>
        <w:tc>
          <w:tcPr>
            <w:tcW w:w="1417" w:type="dxa"/>
          </w:tcPr>
          <w:p w14:paraId="11C957CE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743A2C1C" w14:textId="77777777" w:rsidR="0070614E" w:rsidRDefault="0070614E" w:rsidP="00AC12F5">
            <w:pPr>
              <w:pStyle w:val="MDPI42tablebody"/>
              <w:spacing w:line="240" w:lineRule="auto"/>
            </w:pPr>
            <w:r>
              <w:t>19 (61.3%)</w:t>
            </w:r>
          </w:p>
        </w:tc>
        <w:tc>
          <w:tcPr>
            <w:tcW w:w="1418" w:type="dxa"/>
          </w:tcPr>
          <w:p w14:paraId="76BB29CD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053F9297" w14:textId="77777777" w:rsidR="0070614E" w:rsidRDefault="0070614E" w:rsidP="00AC12F5">
            <w:pPr>
              <w:pStyle w:val="MDPI42tablebody"/>
              <w:spacing w:line="240" w:lineRule="auto"/>
            </w:pPr>
            <w:r>
              <w:t>15 (55.5%)</w:t>
            </w:r>
          </w:p>
        </w:tc>
        <w:tc>
          <w:tcPr>
            <w:tcW w:w="850" w:type="dxa"/>
            <w:shd w:val="clear" w:color="auto" w:fill="auto"/>
          </w:tcPr>
          <w:p w14:paraId="72E75ABB" w14:textId="77777777" w:rsidR="0070614E" w:rsidRDefault="0070614E" w:rsidP="00AC12F5">
            <w:pPr>
              <w:pStyle w:val="MDPI42tablebody"/>
              <w:spacing w:line="240" w:lineRule="auto"/>
            </w:pPr>
            <w:r>
              <w:t>0.658</w:t>
            </w:r>
          </w:p>
          <w:p w14:paraId="3090BAC2" w14:textId="77777777" w:rsidR="0070614E" w:rsidRPr="00F220D4" w:rsidRDefault="0070614E" w:rsidP="00AC12F5">
            <w:pPr>
              <w:pStyle w:val="MDPI42tablebody"/>
              <w:spacing w:line="240" w:lineRule="auto"/>
            </w:pPr>
          </w:p>
        </w:tc>
      </w:tr>
      <w:tr w:rsidR="0070614E" w:rsidRPr="009B083C" w14:paraId="1F618E84" w14:textId="77777777" w:rsidTr="0070614E">
        <w:tc>
          <w:tcPr>
            <w:tcW w:w="3261" w:type="dxa"/>
            <w:shd w:val="clear" w:color="auto" w:fill="auto"/>
            <w:vAlign w:val="center"/>
          </w:tcPr>
          <w:p w14:paraId="742A3144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TIMI</w:t>
            </w:r>
          </w:p>
          <w:p w14:paraId="11B0F72A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Intermediate-High Risk</w:t>
            </w:r>
          </w:p>
        </w:tc>
        <w:tc>
          <w:tcPr>
            <w:tcW w:w="1417" w:type="dxa"/>
          </w:tcPr>
          <w:p w14:paraId="4D06CAAB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1899D5BE" w14:textId="77777777" w:rsidR="0070614E" w:rsidRDefault="0070614E" w:rsidP="00AC12F5">
            <w:pPr>
              <w:pStyle w:val="MDPI42tablebody"/>
              <w:spacing w:line="240" w:lineRule="auto"/>
            </w:pPr>
            <w:r>
              <w:t>18 (58.1%)</w:t>
            </w:r>
          </w:p>
        </w:tc>
        <w:tc>
          <w:tcPr>
            <w:tcW w:w="1418" w:type="dxa"/>
          </w:tcPr>
          <w:p w14:paraId="60A9A8C5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67BC8A18" w14:textId="77777777" w:rsidR="0070614E" w:rsidRDefault="0070614E" w:rsidP="00AC12F5">
            <w:pPr>
              <w:pStyle w:val="MDPI42tablebody"/>
              <w:spacing w:line="240" w:lineRule="auto"/>
            </w:pPr>
            <w:r>
              <w:t>18 (66.7%)</w:t>
            </w:r>
          </w:p>
        </w:tc>
        <w:tc>
          <w:tcPr>
            <w:tcW w:w="850" w:type="dxa"/>
            <w:shd w:val="clear" w:color="auto" w:fill="auto"/>
          </w:tcPr>
          <w:p w14:paraId="470AB693" w14:textId="77777777" w:rsidR="0070614E" w:rsidRDefault="0070614E" w:rsidP="00AC12F5">
            <w:pPr>
              <w:pStyle w:val="MDPI42tablebody"/>
              <w:spacing w:line="240" w:lineRule="auto"/>
            </w:pPr>
            <w:r>
              <w:t>0.501</w:t>
            </w:r>
          </w:p>
          <w:p w14:paraId="010B08E9" w14:textId="77777777" w:rsidR="0070614E" w:rsidRPr="00F220D4" w:rsidRDefault="0070614E" w:rsidP="00AC12F5">
            <w:pPr>
              <w:pStyle w:val="MDPI42tablebody"/>
              <w:spacing w:line="240" w:lineRule="auto"/>
            </w:pPr>
          </w:p>
        </w:tc>
      </w:tr>
      <w:tr w:rsidR="0070614E" w:rsidRPr="009B083C" w14:paraId="54A5DEDB" w14:textId="77777777" w:rsidTr="0070614E">
        <w:tc>
          <w:tcPr>
            <w:tcW w:w="3261" w:type="dxa"/>
            <w:shd w:val="clear" w:color="auto" w:fill="auto"/>
            <w:vAlign w:val="center"/>
          </w:tcPr>
          <w:p w14:paraId="7CA51672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CRUSADE</w:t>
            </w:r>
          </w:p>
          <w:p w14:paraId="645B1D78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Moderate-High Risk</w:t>
            </w:r>
          </w:p>
        </w:tc>
        <w:tc>
          <w:tcPr>
            <w:tcW w:w="1417" w:type="dxa"/>
          </w:tcPr>
          <w:p w14:paraId="1686652E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3CE44E5B" w14:textId="77777777" w:rsidR="0070614E" w:rsidRDefault="0070614E" w:rsidP="00AC12F5">
            <w:pPr>
              <w:pStyle w:val="MDPI42tablebody"/>
              <w:spacing w:line="240" w:lineRule="auto"/>
            </w:pPr>
            <w:r>
              <w:t>11 (35.5%)</w:t>
            </w:r>
          </w:p>
        </w:tc>
        <w:tc>
          <w:tcPr>
            <w:tcW w:w="1418" w:type="dxa"/>
          </w:tcPr>
          <w:p w14:paraId="1D9EDF30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72E4FE04" w14:textId="77777777" w:rsidR="0070614E" w:rsidRDefault="0070614E" w:rsidP="00AC12F5">
            <w:pPr>
              <w:pStyle w:val="MDPI42tablebody"/>
              <w:spacing w:line="240" w:lineRule="auto"/>
            </w:pPr>
            <w:r>
              <w:t>11 (40.7%)</w:t>
            </w:r>
          </w:p>
        </w:tc>
        <w:tc>
          <w:tcPr>
            <w:tcW w:w="850" w:type="dxa"/>
            <w:shd w:val="clear" w:color="auto" w:fill="auto"/>
          </w:tcPr>
          <w:p w14:paraId="55F1C787" w14:textId="77777777" w:rsidR="0070614E" w:rsidRDefault="0070614E" w:rsidP="00AC12F5">
            <w:pPr>
              <w:pStyle w:val="MDPI42tablebody"/>
              <w:spacing w:line="240" w:lineRule="auto"/>
            </w:pPr>
            <w:r>
              <w:t>0.681</w:t>
            </w:r>
          </w:p>
          <w:p w14:paraId="37806B6C" w14:textId="77777777" w:rsidR="0070614E" w:rsidRPr="00F220D4" w:rsidRDefault="0070614E" w:rsidP="00AC12F5">
            <w:pPr>
              <w:pStyle w:val="MDPI42tablebody"/>
              <w:spacing w:line="240" w:lineRule="auto"/>
            </w:pPr>
          </w:p>
        </w:tc>
      </w:tr>
      <w:tr w:rsidR="0070614E" w:rsidRPr="009B083C" w14:paraId="2EAB708B" w14:textId="77777777" w:rsidTr="0070614E">
        <w:tc>
          <w:tcPr>
            <w:tcW w:w="3261" w:type="dxa"/>
            <w:shd w:val="clear" w:color="auto" w:fill="auto"/>
            <w:vAlign w:val="center"/>
          </w:tcPr>
          <w:p w14:paraId="7A63627A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LVEF</w:t>
            </w:r>
          </w:p>
          <w:p w14:paraId="51C5EA3D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Mid-range ejection fraction</w:t>
            </w:r>
          </w:p>
          <w:p w14:paraId="30B8132F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 xml:space="preserve">   Reduced ejection fraction</w:t>
            </w:r>
          </w:p>
        </w:tc>
        <w:tc>
          <w:tcPr>
            <w:tcW w:w="1417" w:type="dxa"/>
          </w:tcPr>
          <w:p w14:paraId="20C4B091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34B670E2" w14:textId="77777777" w:rsidR="0070614E" w:rsidRDefault="0070614E" w:rsidP="00AC12F5">
            <w:pPr>
              <w:pStyle w:val="MDPI42tablebody"/>
              <w:spacing w:line="240" w:lineRule="auto"/>
            </w:pPr>
            <w:r>
              <w:t>11 (36.7%)</w:t>
            </w:r>
          </w:p>
          <w:p w14:paraId="56156F82" w14:textId="77777777" w:rsidR="0070614E" w:rsidRDefault="0070614E" w:rsidP="00AC12F5">
            <w:pPr>
              <w:pStyle w:val="MDPI42tablebody"/>
              <w:spacing w:line="240" w:lineRule="auto"/>
            </w:pPr>
            <w:r>
              <w:t>7 (23.3%)</w:t>
            </w:r>
          </w:p>
        </w:tc>
        <w:tc>
          <w:tcPr>
            <w:tcW w:w="1418" w:type="dxa"/>
          </w:tcPr>
          <w:p w14:paraId="0F63AD2A" w14:textId="77777777" w:rsidR="0070614E" w:rsidRDefault="0070614E" w:rsidP="00AC12F5">
            <w:pPr>
              <w:pStyle w:val="MDPI42tablebody"/>
              <w:spacing w:line="240" w:lineRule="auto"/>
            </w:pPr>
          </w:p>
          <w:p w14:paraId="7DF6DD0D" w14:textId="77777777" w:rsidR="0070614E" w:rsidRDefault="0070614E" w:rsidP="00AC12F5">
            <w:pPr>
              <w:pStyle w:val="MDPI42tablebody"/>
              <w:spacing w:line="240" w:lineRule="auto"/>
            </w:pPr>
            <w:r>
              <w:t>7 (28.0%)</w:t>
            </w:r>
          </w:p>
          <w:p w14:paraId="028B2FCA" w14:textId="77777777" w:rsidR="0070614E" w:rsidRDefault="0070614E" w:rsidP="00AC12F5">
            <w:pPr>
              <w:pStyle w:val="MDPI42tablebody"/>
              <w:spacing w:line="240" w:lineRule="auto"/>
            </w:pPr>
            <w:r>
              <w:t>5 (20.0%)</w:t>
            </w:r>
          </w:p>
        </w:tc>
        <w:tc>
          <w:tcPr>
            <w:tcW w:w="850" w:type="dxa"/>
            <w:shd w:val="clear" w:color="auto" w:fill="auto"/>
          </w:tcPr>
          <w:p w14:paraId="30B519CC" w14:textId="77777777" w:rsidR="0070614E" w:rsidRDefault="0070614E" w:rsidP="00AC12F5">
            <w:pPr>
              <w:pStyle w:val="MDPI42tablebody"/>
              <w:spacing w:line="240" w:lineRule="auto"/>
            </w:pPr>
            <w:r>
              <w:t>0.373</w:t>
            </w:r>
          </w:p>
        </w:tc>
      </w:tr>
      <w:tr w:rsidR="0070614E" w:rsidRPr="009B083C" w14:paraId="63D84C09" w14:textId="77777777" w:rsidTr="0070614E">
        <w:tc>
          <w:tcPr>
            <w:tcW w:w="3261" w:type="dxa"/>
            <w:shd w:val="clear" w:color="auto" w:fill="auto"/>
            <w:vAlign w:val="center"/>
          </w:tcPr>
          <w:p w14:paraId="02094F47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Symptom-to-door time (minutes)</w:t>
            </w:r>
          </w:p>
        </w:tc>
        <w:tc>
          <w:tcPr>
            <w:tcW w:w="1417" w:type="dxa"/>
          </w:tcPr>
          <w:p w14:paraId="3A3314E9" w14:textId="77777777" w:rsidR="0070614E" w:rsidRDefault="0070614E" w:rsidP="00AC12F5">
            <w:pPr>
              <w:pStyle w:val="MDPI42tablebody"/>
              <w:spacing w:line="240" w:lineRule="auto"/>
            </w:pPr>
            <w:r>
              <w:t>383 ± 193</w:t>
            </w:r>
          </w:p>
        </w:tc>
        <w:tc>
          <w:tcPr>
            <w:tcW w:w="1418" w:type="dxa"/>
          </w:tcPr>
          <w:p w14:paraId="54B5F860" w14:textId="77777777" w:rsidR="0070614E" w:rsidRDefault="0070614E" w:rsidP="00AC12F5">
            <w:pPr>
              <w:pStyle w:val="MDPI42tablebody"/>
              <w:spacing w:line="240" w:lineRule="auto"/>
            </w:pPr>
            <w:r>
              <w:t>284 ± 171</w:t>
            </w:r>
          </w:p>
        </w:tc>
        <w:tc>
          <w:tcPr>
            <w:tcW w:w="850" w:type="dxa"/>
            <w:shd w:val="clear" w:color="auto" w:fill="auto"/>
          </w:tcPr>
          <w:p w14:paraId="64066186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0.045</w:t>
            </w:r>
          </w:p>
        </w:tc>
      </w:tr>
      <w:tr w:rsidR="0070614E" w:rsidRPr="009B083C" w14:paraId="117BC26C" w14:textId="77777777" w:rsidTr="0070614E">
        <w:tc>
          <w:tcPr>
            <w:tcW w:w="3261" w:type="dxa"/>
            <w:shd w:val="clear" w:color="auto" w:fill="auto"/>
            <w:vAlign w:val="center"/>
          </w:tcPr>
          <w:p w14:paraId="7BE9E6DC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Symptom-to-blood sample time</w:t>
            </w:r>
            <w:r>
              <w:rPr>
                <w:vertAlign w:val="superscript"/>
              </w:rPr>
              <w:t>‡</w:t>
            </w:r>
            <w:r>
              <w:t xml:space="preserve"> (minutes)</w:t>
            </w:r>
          </w:p>
        </w:tc>
        <w:tc>
          <w:tcPr>
            <w:tcW w:w="1417" w:type="dxa"/>
          </w:tcPr>
          <w:p w14:paraId="574A6DD9" w14:textId="77777777" w:rsidR="0070614E" w:rsidRDefault="0070614E" w:rsidP="00AC12F5">
            <w:pPr>
              <w:pStyle w:val="MDPI42tablebody"/>
              <w:spacing w:line="240" w:lineRule="auto"/>
            </w:pPr>
            <w:r>
              <w:t>409 ± 197</w:t>
            </w:r>
          </w:p>
        </w:tc>
        <w:tc>
          <w:tcPr>
            <w:tcW w:w="1418" w:type="dxa"/>
          </w:tcPr>
          <w:p w14:paraId="5D64F546" w14:textId="77777777" w:rsidR="0070614E" w:rsidRDefault="0070614E" w:rsidP="00AC12F5">
            <w:pPr>
              <w:pStyle w:val="MDPI42tablebody"/>
              <w:spacing w:line="240" w:lineRule="auto"/>
            </w:pPr>
            <w:r>
              <w:t>366 ± 182</w:t>
            </w:r>
          </w:p>
        </w:tc>
        <w:tc>
          <w:tcPr>
            <w:tcW w:w="850" w:type="dxa"/>
            <w:shd w:val="clear" w:color="auto" w:fill="auto"/>
          </w:tcPr>
          <w:p w14:paraId="0522574C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0.391</w:t>
            </w:r>
          </w:p>
        </w:tc>
      </w:tr>
      <w:tr w:rsidR="0070614E" w:rsidRPr="009B083C" w14:paraId="2BB0F50D" w14:textId="77777777" w:rsidTr="0070614E">
        <w:tc>
          <w:tcPr>
            <w:tcW w:w="3261" w:type="dxa"/>
            <w:shd w:val="clear" w:color="auto" w:fill="auto"/>
            <w:vAlign w:val="center"/>
          </w:tcPr>
          <w:p w14:paraId="53DE6B78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Door-to-ECG time (minutes)</w:t>
            </w:r>
          </w:p>
        </w:tc>
        <w:tc>
          <w:tcPr>
            <w:tcW w:w="1417" w:type="dxa"/>
          </w:tcPr>
          <w:p w14:paraId="16CDCA51" w14:textId="77777777" w:rsidR="0070614E" w:rsidRDefault="0070614E" w:rsidP="00AC12F5">
            <w:pPr>
              <w:pStyle w:val="MDPI42tablebody"/>
              <w:spacing w:line="240" w:lineRule="auto"/>
            </w:pPr>
            <w:r>
              <w:t>6 (5-8)</w:t>
            </w:r>
          </w:p>
        </w:tc>
        <w:tc>
          <w:tcPr>
            <w:tcW w:w="1418" w:type="dxa"/>
          </w:tcPr>
          <w:p w14:paraId="6FD7323B" w14:textId="77777777" w:rsidR="0070614E" w:rsidRDefault="0070614E" w:rsidP="00AC12F5">
            <w:pPr>
              <w:pStyle w:val="MDPI42tablebody"/>
              <w:spacing w:line="240" w:lineRule="auto"/>
            </w:pPr>
            <w:r>
              <w:t>5 (5-7)</w:t>
            </w:r>
          </w:p>
        </w:tc>
        <w:tc>
          <w:tcPr>
            <w:tcW w:w="850" w:type="dxa"/>
            <w:shd w:val="clear" w:color="auto" w:fill="auto"/>
          </w:tcPr>
          <w:p w14:paraId="2DAEF31A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0.113</w:t>
            </w:r>
          </w:p>
        </w:tc>
      </w:tr>
      <w:tr w:rsidR="0070614E" w:rsidRPr="009B083C" w14:paraId="139A461C" w14:textId="77777777" w:rsidTr="0070614E">
        <w:tc>
          <w:tcPr>
            <w:tcW w:w="3261" w:type="dxa"/>
            <w:shd w:val="clear" w:color="auto" w:fill="auto"/>
            <w:vAlign w:val="center"/>
          </w:tcPr>
          <w:p w14:paraId="3EB5CDF0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Door-to-balloon time (minutes)</w:t>
            </w:r>
          </w:p>
        </w:tc>
        <w:tc>
          <w:tcPr>
            <w:tcW w:w="1417" w:type="dxa"/>
          </w:tcPr>
          <w:p w14:paraId="5FAA3E56" w14:textId="77777777" w:rsidR="0070614E" w:rsidRDefault="0070614E" w:rsidP="00AC12F5">
            <w:pPr>
              <w:pStyle w:val="MDPI42tablebody"/>
              <w:spacing w:line="240" w:lineRule="auto"/>
            </w:pPr>
            <w:r>
              <w:t>508 (95-2394)</w:t>
            </w:r>
          </w:p>
        </w:tc>
        <w:tc>
          <w:tcPr>
            <w:tcW w:w="1418" w:type="dxa"/>
          </w:tcPr>
          <w:p w14:paraId="21265464" w14:textId="77777777" w:rsidR="0070614E" w:rsidRDefault="0070614E" w:rsidP="00AC12F5">
            <w:pPr>
              <w:pStyle w:val="MDPI42tablebody"/>
              <w:spacing w:line="240" w:lineRule="auto"/>
            </w:pPr>
            <w:r>
              <w:t>2193 (1179-4154)</w:t>
            </w:r>
          </w:p>
        </w:tc>
        <w:tc>
          <w:tcPr>
            <w:tcW w:w="850" w:type="dxa"/>
            <w:shd w:val="clear" w:color="auto" w:fill="auto"/>
          </w:tcPr>
          <w:p w14:paraId="5680506D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0.003</w:t>
            </w:r>
          </w:p>
        </w:tc>
      </w:tr>
      <w:tr w:rsidR="0070614E" w:rsidRPr="009B083C" w14:paraId="036F123D" w14:textId="77777777" w:rsidTr="0070614E">
        <w:tc>
          <w:tcPr>
            <w:tcW w:w="3261" w:type="dxa"/>
            <w:shd w:val="clear" w:color="auto" w:fill="auto"/>
            <w:vAlign w:val="center"/>
          </w:tcPr>
          <w:p w14:paraId="208051DA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Symptom-to-catheter time (minutes)</w:t>
            </w:r>
          </w:p>
        </w:tc>
        <w:tc>
          <w:tcPr>
            <w:tcW w:w="1417" w:type="dxa"/>
          </w:tcPr>
          <w:p w14:paraId="75D0DC14" w14:textId="77777777" w:rsidR="0070614E" w:rsidRDefault="0070614E" w:rsidP="00AC12F5">
            <w:pPr>
              <w:pStyle w:val="MDPI42tablebody"/>
              <w:spacing w:line="240" w:lineRule="auto"/>
            </w:pPr>
            <w:r>
              <w:t>1763 ± 1973</w:t>
            </w:r>
          </w:p>
        </w:tc>
        <w:tc>
          <w:tcPr>
            <w:tcW w:w="1418" w:type="dxa"/>
          </w:tcPr>
          <w:p w14:paraId="6897DAD5" w14:textId="77777777" w:rsidR="0070614E" w:rsidRDefault="0070614E" w:rsidP="00AC12F5">
            <w:pPr>
              <w:pStyle w:val="MDPI42tablebody"/>
              <w:spacing w:line="240" w:lineRule="auto"/>
            </w:pPr>
            <w:r>
              <w:t>3180 ± 2612</w:t>
            </w:r>
          </w:p>
        </w:tc>
        <w:tc>
          <w:tcPr>
            <w:tcW w:w="850" w:type="dxa"/>
            <w:shd w:val="clear" w:color="auto" w:fill="auto"/>
          </w:tcPr>
          <w:p w14:paraId="24B3090E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0.049</w:t>
            </w:r>
          </w:p>
        </w:tc>
      </w:tr>
    </w:tbl>
    <w:p w14:paraId="571B71D2" w14:textId="77777777" w:rsidR="0070614E" w:rsidRDefault="0070614E" w:rsidP="0070614E">
      <w:pPr>
        <w:pStyle w:val="MDPI43tablefooter"/>
        <w:ind w:left="851" w:right="794"/>
      </w:pPr>
      <w:r w:rsidRPr="00A550C1">
        <w:rPr>
          <w:b/>
          <w:bCs/>
          <w:vertAlign w:val="superscript"/>
        </w:rPr>
        <w:t>†</w:t>
      </w:r>
      <w:r>
        <w:t xml:space="preserve"> Outliers defined by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</w:t>
      </w:r>
      <w:r w:rsidRPr="00B363F9">
        <w:rPr>
          <w:b/>
          <w:bCs/>
        </w:rPr>
        <w:t>-42</w:t>
      </w:r>
      <w:r>
        <w:t xml:space="preserve"> &lt;20 pg/ml or &gt;100 pg/ml,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β-40</w:t>
      </w:r>
      <w:r>
        <w:rPr>
          <w:rFonts w:ascii="Montserrat Extra Bold" w:hAnsi="Montserrat Extra Bold"/>
        </w:rPr>
        <w:t xml:space="preserve"> &gt;400 pg/ml,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β-42/40 ratio</w:t>
      </w:r>
      <w:r>
        <w:rPr>
          <w:rFonts w:ascii="Montserrat Extra Bold" w:hAnsi="Montserrat Extra Bold"/>
        </w:rPr>
        <w:t xml:space="preserve"> &lt;1.0 and </w:t>
      </w:r>
      <w:r w:rsidRPr="00B363F9">
        <w:rPr>
          <w:rFonts w:ascii="Montserrat Extra Bold" w:hAnsi="Montserrat Extra Bold"/>
          <w:b/>
          <w:bCs/>
        </w:rPr>
        <w:t>NT-proBNP</w:t>
      </w:r>
      <w:r>
        <w:rPr>
          <w:rFonts w:ascii="Montserrat Extra Bold" w:hAnsi="Montserrat Extra Bold"/>
        </w:rPr>
        <w:t xml:space="preserve"> &gt;10,000 pg/ml. </w:t>
      </w:r>
      <w:r>
        <w:rPr>
          <w:rFonts w:ascii="Cambria" w:hAnsi="Cambria"/>
          <w:vertAlign w:val="superscript"/>
        </w:rPr>
        <w:t>‡</w:t>
      </w:r>
      <w:r>
        <w:t>Time between symptom onset and blood sample collection</w:t>
      </w:r>
    </w:p>
    <w:p w14:paraId="648FF925" w14:textId="77777777" w:rsidR="0070614E" w:rsidRDefault="0070614E">
      <w:pPr>
        <w:spacing w:after="160" w:line="259" w:lineRule="auto"/>
        <w:jc w:val="left"/>
      </w:pPr>
    </w:p>
    <w:p w14:paraId="6E8F381D" w14:textId="77777777" w:rsidR="0070614E" w:rsidRDefault="0070614E">
      <w:pPr>
        <w:spacing w:after="160" w:line="259" w:lineRule="auto"/>
        <w:jc w:val="left"/>
      </w:pPr>
    </w:p>
    <w:p w14:paraId="3B27B72C" w14:textId="77777777" w:rsidR="0070614E" w:rsidRDefault="0070614E" w:rsidP="0070614E">
      <w:pPr>
        <w:pStyle w:val="MDPI41tablecaption"/>
        <w:ind w:left="284" w:right="566"/>
      </w:pPr>
      <w:r w:rsidRPr="0070614E">
        <w:rPr>
          <w:b/>
        </w:rPr>
        <w:lastRenderedPageBreak/>
        <w:t>Table S3.</w:t>
      </w:r>
      <w:r w:rsidRPr="00325902">
        <w:t xml:space="preserve"> </w:t>
      </w:r>
      <w:r>
        <w:t>Biochemical values from 65 patients admitted to the coronary care unit grouped by ST elevation myocardial infarction (STEMI) or non-ST elevation myocardial infarction (NSTEMI). Data is shown as mean ± standard deviation or median (percentile 25 – percentile 75)</w:t>
      </w:r>
    </w:p>
    <w:tbl>
      <w:tblPr>
        <w:tblW w:w="6421" w:type="dxa"/>
        <w:tblInd w:w="104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1914"/>
        <w:gridCol w:w="1914"/>
        <w:gridCol w:w="850"/>
      </w:tblGrid>
      <w:tr w:rsidR="0070614E" w:rsidRPr="009B083C" w14:paraId="7515E0EF" w14:textId="77777777" w:rsidTr="0070614E"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AE148" w14:textId="77777777" w:rsidR="0070614E" w:rsidRPr="007F7C8C" w:rsidRDefault="0070614E" w:rsidP="00AC12F5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Variable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1F91803E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STEMI</w:t>
            </w:r>
          </w:p>
          <w:p w14:paraId="2BF19262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(N = 30)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6D89747E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NSTEMI</w:t>
            </w:r>
          </w:p>
          <w:p w14:paraId="4D46FD22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(N = 27)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9E8D4" w14:textId="77777777" w:rsidR="0070614E" w:rsidRPr="007F7C8C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 value</w:t>
            </w:r>
          </w:p>
        </w:tc>
      </w:tr>
      <w:tr w:rsidR="0070614E" w:rsidRPr="009B083C" w14:paraId="07C8EC17" w14:textId="77777777" w:rsidTr="0070614E">
        <w:tc>
          <w:tcPr>
            <w:tcW w:w="1743" w:type="dxa"/>
            <w:shd w:val="clear" w:color="auto" w:fill="auto"/>
            <w:vAlign w:val="center"/>
          </w:tcPr>
          <w:p w14:paraId="63631B72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</w:t>
            </w:r>
            <w:r>
              <w:rPr>
                <w:rFonts w:ascii="Montserrat Extra Bold" w:hAnsi="Montserrat Extra Bold"/>
              </w:rPr>
              <w:t>β-42 (pg/ml)</w:t>
            </w:r>
          </w:p>
        </w:tc>
        <w:tc>
          <w:tcPr>
            <w:tcW w:w="1914" w:type="dxa"/>
          </w:tcPr>
          <w:p w14:paraId="6C20D089" w14:textId="77777777" w:rsidR="0070614E" w:rsidRDefault="0070614E" w:rsidP="00AC12F5">
            <w:pPr>
              <w:pStyle w:val="MDPI42tablebody"/>
              <w:spacing w:line="240" w:lineRule="auto"/>
            </w:pPr>
            <w:r>
              <w:t>35.96 (34.27-39.64)</w:t>
            </w:r>
          </w:p>
        </w:tc>
        <w:tc>
          <w:tcPr>
            <w:tcW w:w="1914" w:type="dxa"/>
          </w:tcPr>
          <w:p w14:paraId="41ECF5BB" w14:textId="77777777" w:rsidR="0070614E" w:rsidRDefault="0070614E" w:rsidP="00AC12F5">
            <w:pPr>
              <w:pStyle w:val="MDPI42tablebody"/>
              <w:spacing w:line="240" w:lineRule="auto"/>
            </w:pPr>
            <w:r>
              <w:t>41.76 (38.99-47.75)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9BD862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0.001</w:t>
            </w:r>
          </w:p>
        </w:tc>
      </w:tr>
      <w:tr w:rsidR="0070614E" w:rsidRPr="009B083C" w14:paraId="4176CA48" w14:textId="77777777" w:rsidTr="0070614E">
        <w:tc>
          <w:tcPr>
            <w:tcW w:w="1743" w:type="dxa"/>
            <w:shd w:val="clear" w:color="auto" w:fill="auto"/>
            <w:vAlign w:val="center"/>
          </w:tcPr>
          <w:p w14:paraId="4215E295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</w:t>
            </w:r>
            <w:r>
              <w:rPr>
                <w:rFonts w:ascii="Montserrat Extra Bold" w:hAnsi="Montserrat Extra Bold"/>
              </w:rPr>
              <w:t>β</w:t>
            </w:r>
            <w:r>
              <w:t>-40 (pg/ml)</w:t>
            </w:r>
          </w:p>
        </w:tc>
        <w:tc>
          <w:tcPr>
            <w:tcW w:w="1914" w:type="dxa"/>
          </w:tcPr>
          <w:p w14:paraId="5CA238C2" w14:textId="77777777" w:rsidR="0070614E" w:rsidRDefault="0070614E" w:rsidP="00AC12F5">
            <w:pPr>
              <w:pStyle w:val="MDPI42tablebody"/>
              <w:spacing w:line="240" w:lineRule="auto"/>
            </w:pPr>
            <w:r>
              <w:t>169.38 ± 88.26</w:t>
            </w:r>
          </w:p>
        </w:tc>
        <w:tc>
          <w:tcPr>
            <w:tcW w:w="1914" w:type="dxa"/>
          </w:tcPr>
          <w:p w14:paraId="56684105" w14:textId="77777777" w:rsidR="0070614E" w:rsidRDefault="0070614E" w:rsidP="00AC12F5">
            <w:pPr>
              <w:pStyle w:val="MDPI42tablebody"/>
              <w:spacing w:line="240" w:lineRule="auto"/>
            </w:pPr>
            <w:r>
              <w:t>183.68 ± 68.96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932EC9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0.472</w:t>
            </w:r>
          </w:p>
        </w:tc>
      </w:tr>
      <w:tr w:rsidR="0070614E" w:rsidRPr="009B083C" w14:paraId="5F01E5F3" w14:textId="77777777" w:rsidTr="0070614E">
        <w:tc>
          <w:tcPr>
            <w:tcW w:w="1743" w:type="dxa"/>
            <w:shd w:val="clear" w:color="auto" w:fill="auto"/>
            <w:vAlign w:val="center"/>
          </w:tcPr>
          <w:p w14:paraId="053B1057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</w:t>
            </w:r>
            <w:r>
              <w:rPr>
                <w:rFonts w:ascii="Montserrat Extra Bold" w:hAnsi="Montserrat Extra Bold"/>
              </w:rPr>
              <w:t>β</w:t>
            </w:r>
            <w:r>
              <w:t>-42/40 ratio</w:t>
            </w:r>
          </w:p>
        </w:tc>
        <w:tc>
          <w:tcPr>
            <w:tcW w:w="1914" w:type="dxa"/>
          </w:tcPr>
          <w:p w14:paraId="45EE8776" w14:textId="77777777" w:rsidR="0070614E" w:rsidRDefault="0070614E" w:rsidP="00AC12F5">
            <w:pPr>
              <w:pStyle w:val="MDPI42tablebody"/>
              <w:spacing w:line="240" w:lineRule="auto"/>
            </w:pPr>
            <w:r>
              <w:t>0.25 (0.21-0.30)</w:t>
            </w:r>
          </w:p>
        </w:tc>
        <w:tc>
          <w:tcPr>
            <w:tcW w:w="1914" w:type="dxa"/>
          </w:tcPr>
          <w:p w14:paraId="6ACF99FF" w14:textId="77777777" w:rsidR="0070614E" w:rsidRDefault="0070614E" w:rsidP="00AC12F5">
            <w:pPr>
              <w:pStyle w:val="MDPI42tablebody"/>
              <w:spacing w:line="240" w:lineRule="auto"/>
            </w:pPr>
            <w:r>
              <w:t>0.24 (0.20-0.38)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53CD90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0.708</w:t>
            </w:r>
          </w:p>
        </w:tc>
      </w:tr>
    </w:tbl>
    <w:p w14:paraId="531DD957" w14:textId="77777777" w:rsidR="0070614E" w:rsidRDefault="0070614E">
      <w:pPr>
        <w:spacing w:after="160" w:line="259" w:lineRule="auto"/>
        <w:jc w:val="left"/>
      </w:pPr>
    </w:p>
    <w:p w14:paraId="0D74A6A0" w14:textId="77777777" w:rsidR="0070614E" w:rsidRDefault="0070614E">
      <w:pPr>
        <w:spacing w:after="160" w:line="259" w:lineRule="auto"/>
        <w:jc w:val="left"/>
      </w:pPr>
    </w:p>
    <w:p w14:paraId="71A53BFC" w14:textId="77777777" w:rsidR="0070614E" w:rsidRDefault="0070614E">
      <w:pPr>
        <w:spacing w:after="160" w:line="259" w:lineRule="auto"/>
        <w:jc w:val="left"/>
      </w:pPr>
    </w:p>
    <w:p w14:paraId="427A9A0D" w14:textId="77777777" w:rsidR="0070614E" w:rsidRDefault="0070614E">
      <w:pPr>
        <w:spacing w:after="160" w:line="259" w:lineRule="auto"/>
        <w:jc w:val="left"/>
      </w:pPr>
    </w:p>
    <w:p w14:paraId="3CFBF4C7" w14:textId="77777777" w:rsidR="0070614E" w:rsidRDefault="0070614E">
      <w:pPr>
        <w:spacing w:after="160" w:line="259" w:lineRule="auto"/>
        <w:jc w:val="left"/>
      </w:pPr>
    </w:p>
    <w:p w14:paraId="41C5E65E" w14:textId="77777777" w:rsidR="0070614E" w:rsidRDefault="0070614E">
      <w:pPr>
        <w:spacing w:after="160" w:line="259" w:lineRule="auto"/>
        <w:jc w:val="left"/>
      </w:pPr>
    </w:p>
    <w:p w14:paraId="4AB0FB16" w14:textId="77777777" w:rsidR="0070614E" w:rsidRDefault="0070614E">
      <w:pPr>
        <w:spacing w:after="160" w:line="259" w:lineRule="auto"/>
        <w:jc w:val="left"/>
      </w:pPr>
    </w:p>
    <w:p w14:paraId="66F4D642" w14:textId="77777777" w:rsidR="0070614E" w:rsidRDefault="0070614E">
      <w:pPr>
        <w:spacing w:after="160" w:line="259" w:lineRule="auto"/>
        <w:jc w:val="left"/>
      </w:pPr>
    </w:p>
    <w:p w14:paraId="18320183" w14:textId="77777777" w:rsidR="0070614E" w:rsidRDefault="0070614E">
      <w:pPr>
        <w:spacing w:after="160" w:line="259" w:lineRule="auto"/>
        <w:jc w:val="left"/>
      </w:pPr>
    </w:p>
    <w:p w14:paraId="6E0409F9" w14:textId="77777777" w:rsidR="0070614E" w:rsidRDefault="0070614E">
      <w:pPr>
        <w:spacing w:after="160" w:line="259" w:lineRule="auto"/>
        <w:jc w:val="left"/>
      </w:pPr>
    </w:p>
    <w:p w14:paraId="025D5CC6" w14:textId="77777777" w:rsidR="0070614E" w:rsidRDefault="0070614E">
      <w:pPr>
        <w:spacing w:after="160" w:line="259" w:lineRule="auto"/>
        <w:jc w:val="left"/>
      </w:pPr>
    </w:p>
    <w:p w14:paraId="3249AA22" w14:textId="77777777" w:rsidR="0070614E" w:rsidRDefault="0070614E">
      <w:pPr>
        <w:spacing w:after="160" w:line="259" w:lineRule="auto"/>
        <w:jc w:val="left"/>
      </w:pPr>
    </w:p>
    <w:p w14:paraId="4F398955" w14:textId="77777777" w:rsidR="0070614E" w:rsidRDefault="0070614E">
      <w:pPr>
        <w:spacing w:after="160" w:line="259" w:lineRule="auto"/>
        <w:jc w:val="left"/>
      </w:pPr>
    </w:p>
    <w:p w14:paraId="28340F0C" w14:textId="77777777" w:rsidR="0070614E" w:rsidRDefault="0070614E">
      <w:pPr>
        <w:spacing w:after="160" w:line="259" w:lineRule="auto"/>
        <w:jc w:val="left"/>
      </w:pPr>
    </w:p>
    <w:p w14:paraId="4B3D1F60" w14:textId="77777777" w:rsidR="0070614E" w:rsidRDefault="0070614E">
      <w:pPr>
        <w:spacing w:after="160" w:line="259" w:lineRule="auto"/>
        <w:jc w:val="left"/>
      </w:pPr>
    </w:p>
    <w:p w14:paraId="516571B5" w14:textId="77777777" w:rsidR="0070614E" w:rsidRDefault="0070614E">
      <w:pPr>
        <w:spacing w:after="160" w:line="259" w:lineRule="auto"/>
        <w:jc w:val="left"/>
      </w:pPr>
    </w:p>
    <w:p w14:paraId="0230AF3A" w14:textId="77777777" w:rsidR="0070614E" w:rsidRDefault="0070614E">
      <w:pPr>
        <w:spacing w:after="160" w:line="259" w:lineRule="auto"/>
        <w:jc w:val="left"/>
      </w:pPr>
    </w:p>
    <w:p w14:paraId="5A031DD5" w14:textId="77777777" w:rsidR="0070614E" w:rsidRDefault="0070614E">
      <w:pPr>
        <w:spacing w:after="160" w:line="259" w:lineRule="auto"/>
        <w:jc w:val="left"/>
      </w:pPr>
    </w:p>
    <w:p w14:paraId="3E7F68D7" w14:textId="77777777" w:rsidR="0070614E" w:rsidRDefault="0070614E">
      <w:pPr>
        <w:spacing w:after="160" w:line="259" w:lineRule="auto"/>
        <w:jc w:val="left"/>
      </w:pPr>
    </w:p>
    <w:p w14:paraId="6393B9D8" w14:textId="77777777" w:rsidR="0070614E" w:rsidRDefault="0070614E">
      <w:pPr>
        <w:spacing w:after="160" w:line="259" w:lineRule="auto"/>
        <w:jc w:val="left"/>
      </w:pPr>
    </w:p>
    <w:p w14:paraId="7A389566" w14:textId="77777777" w:rsidR="0070614E" w:rsidRDefault="0070614E">
      <w:pPr>
        <w:spacing w:after="160" w:line="259" w:lineRule="auto"/>
        <w:jc w:val="left"/>
      </w:pPr>
    </w:p>
    <w:p w14:paraId="0B8D9B2A" w14:textId="77777777" w:rsidR="0070614E" w:rsidRDefault="0070614E">
      <w:pPr>
        <w:spacing w:after="160" w:line="259" w:lineRule="auto"/>
        <w:jc w:val="left"/>
      </w:pPr>
    </w:p>
    <w:p w14:paraId="0319713A" w14:textId="77777777" w:rsidR="0070614E" w:rsidRDefault="0070614E">
      <w:pPr>
        <w:spacing w:after="160" w:line="259" w:lineRule="auto"/>
        <w:jc w:val="left"/>
      </w:pPr>
    </w:p>
    <w:p w14:paraId="23F8071D" w14:textId="77777777" w:rsidR="0070614E" w:rsidRDefault="0070614E">
      <w:pPr>
        <w:spacing w:after="160" w:line="259" w:lineRule="auto"/>
        <w:jc w:val="left"/>
      </w:pPr>
    </w:p>
    <w:p w14:paraId="10EB3857" w14:textId="77777777" w:rsidR="0070614E" w:rsidRDefault="0070614E">
      <w:pPr>
        <w:spacing w:after="160" w:line="259" w:lineRule="auto"/>
        <w:jc w:val="left"/>
      </w:pPr>
    </w:p>
    <w:p w14:paraId="0F20F291" w14:textId="77777777" w:rsidR="0070614E" w:rsidRDefault="0070614E">
      <w:pPr>
        <w:spacing w:after="160" w:line="259" w:lineRule="auto"/>
        <w:jc w:val="left"/>
      </w:pPr>
    </w:p>
    <w:p w14:paraId="15975439" w14:textId="77777777" w:rsidR="0070614E" w:rsidRDefault="0070614E" w:rsidP="0070614E">
      <w:pPr>
        <w:pStyle w:val="MDPI41tablecaption"/>
        <w:ind w:left="0"/>
      </w:pPr>
      <w:r w:rsidRPr="0070614E">
        <w:rPr>
          <w:b/>
        </w:rPr>
        <w:lastRenderedPageBreak/>
        <w:t>Table S4.</w:t>
      </w:r>
      <w:r w:rsidRPr="00325902">
        <w:t xml:space="preserve"> </w:t>
      </w:r>
      <w:r>
        <w:t xml:space="preserve">(Additional analysis without outliers </w:t>
      </w:r>
      <w:r w:rsidRPr="00A550C1">
        <w:rPr>
          <w:b/>
          <w:bCs/>
          <w:vertAlign w:val="superscript"/>
        </w:rPr>
        <w:t>†</w:t>
      </w:r>
      <w:r>
        <w:t>) Biochemical values from 57 patients admitted to the coronary care unit grouped by ST elevation myocardial infarction (STEMI) or non-ST elevation myocardial infarction (NSTEMI). Data is shown as mean ± standard deviation or median (percentile 25 – percentile 75)</w:t>
      </w:r>
    </w:p>
    <w:tbl>
      <w:tblPr>
        <w:tblW w:w="6421" w:type="dxa"/>
        <w:tblInd w:w="104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1914"/>
        <w:gridCol w:w="1914"/>
        <w:gridCol w:w="850"/>
      </w:tblGrid>
      <w:tr w:rsidR="0070614E" w:rsidRPr="009B083C" w14:paraId="32729457" w14:textId="77777777" w:rsidTr="0070614E"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6C4A7" w14:textId="77777777" w:rsidR="0070614E" w:rsidRPr="007F7C8C" w:rsidRDefault="0070614E" w:rsidP="00AC12F5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Variable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7233327A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STEMI</w:t>
            </w:r>
          </w:p>
          <w:p w14:paraId="31245D2B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(N = 30)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5B17155C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NSTEMI</w:t>
            </w:r>
          </w:p>
          <w:p w14:paraId="1F9B42FD" w14:textId="77777777" w:rsidR="0070614E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(N = 27)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B236" w14:textId="77777777" w:rsidR="0070614E" w:rsidRPr="007F7C8C" w:rsidRDefault="0070614E" w:rsidP="00AC12F5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 value</w:t>
            </w:r>
          </w:p>
        </w:tc>
      </w:tr>
      <w:tr w:rsidR="0070614E" w:rsidRPr="009B083C" w14:paraId="18BFCBFE" w14:textId="77777777" w:rsidTr="0070614E">
        <w:tc>
          <w:tcPr>
            <w:tcW w:w="1743" w:type="dxa"/>
            <w:shd w:val="clear" w:color="auto" w:fill="auto"/>
            <w:vAlign w:val="center"/>
          </w:tcPr>
          <w:p w14:paraId="70B19576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</w:t>
            </w:r>
            <w:r>
              <w:rPr>
                <w:rFonts w:ascii="Montserrat Extra Bold" w:hAnsi="Montserrat Extra Bold"/>
              </w:rPr>
              <w:t>β-42 (pg/ml)</w:t>
            </w:r>
          </w:p>
        </w:tc>
        <w:tc>
          <w:tcPr>
            <w:tcW w:w="1914" w:type="dxa"/>
          </w:tcPr>
          <w:p w14:paraId="67BFB11F" w14:textId="77777777" w:rsidR="0070614E" w:rsidRDefault="0070614E" w:rsidP="00AC12F5">
            <w:pPr>
              <w:pStyle w:val="MDPI42tablebody"/>
              <w:spacing w:line="240" w:lineRule="auto"/>
            </w:pPr>
            <w:r>
              <w:t>35.39 (34.27-37.64)</w:t>
            </w:r>
          </w:p>
        </w:tc>
        <w:tc>
          <w:tcPr>
            <w:tcW w:w="1914" w:type="dxa"/>
          </w:tcPr>
          <w:p w14:paraId="3FFAE9C6" w14:textId="77777777" w:rsidR="0070614E" w:rsidRDefault="0070614E" w:rsidP="00AC12F5">
            <w:pPr>
              <w:pStyle w:val="MDPI42tablebody"/>
              <w:spacing w:line="240" w:lineRule="auto"/>
            </w:pPr>
            <w:r>
              <w:t>40.26 (37.64-45.13)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E71FE8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0.001</w:t>
            </w:r>
          </w:p>
        </w:tc>
      </w:tr>
      <w:tr w:rsidR="0070614E" w:rsidRPr="009B083C" w14:paraId="51BE6F16" w14:textId="77777777" w:rsidTr="0070614E">
        <w:tc>
          <w:tcPr>
            <w:tcW w:w="1743" w:type="dxa"/>
            <w:shd w:val="clear" w:color="auto" w:fill="auto"/>
            <w:vAlign w:val="center"/>
          </w:tcPr>
          <w:p w14:paraId="11019868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</w:t>
            </w:r>
            <w:r>
              <w:rPr>
                <w:rFonts w:ascii="Montserrat Extra Bold" w:hAnsi="Montserrat Extra Bold"/>
              </w:rPr>
              <w:t>β</w:t>
            </w:r>
            <w:r>
              <w:t>-40 (pg/ml)</w:t>
            </w:r>
          </w:p>
        </w:tc>
        <w:tc>
          <w:tcPr>
            <w:tcW w:w="1914" w:type="dxa"/>
          </w:tcPr>
          <w:p w14:paraId="05408C0D" w14:textId="77777777" w:rsidR="0070614E" w:rsidRDefault="0070614E" w:rsidP="00AC12F5">
            <w:pPr>
              <w:pStyle w:val="MDPI42tablebody"/>
              <w:spacing w:line="240" w:lineRule="auto"/>
            </w:pPr>
            <w:r>
              <w:t>159.62 ± 49.59</w:t>
            </w:r>
          </w:p>
        </w:tc>
        <w:tc>
          <w:tcPr>
            <w:tcW w:w="1914" w:type="dxa"/>
          </w:tcPr>
          <w:p w14:paraId="18498007" w14:textId="77777777" w:rsidR="0070614E" w:rsidRDefault="0070614E" w:rsidP="00AC12F5">
            <w:pPr>
              <w:pStyle w:val="MDPI42tablebody"/>
              <w:spacing w:line="240" w:lineRule="auto"/>
            </w:pPr>
            <w:r>
              <w:t>172.26 ± 63.56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C153F3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0.399</w:t>
            </w:r>
          </w:p>
        </w:tc>
      </w:tr>
      <w:tr w:rsidR="0070614E" w:rsidRPr="009B083C" w14:paraId="4AE1E1B1" w14:textId="77777777" w:rsidTr="0070614E">
        <w:tc>
          <w:tcPr>
            <w:tcW w:w="1743" w:type="dxa"/>
            <w:shd w:val="clear" w:color="auto" w:fill="auto"/>
            <w:vAlign w:val="center"/>
          </w:tcPr>
          <w:p w14:paraId="11B888B8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</w:t>
            </w:r>
            <w:r>
              <w:rPr>
                <w:rFonts w:ascii="Montserrat Extra Bold" w:hAnsi="Montserrat Extra Bold"/>
              </w:rPr>
              <w:t>β</w:t>
            </w:r>
            <w:r>
              <w:t>-42/40 ratio</w:t>
            </w:r>
          </w:p>
        </w:tc>
        <w:tc>
          <w:tcPr>
            <w:tcW w:w="1914" w:type="dxa"/>
          </w:tcPr>
          <w:p w14:paraId="6F61B9A2" w14:textId="77777777" w:rsidR="0070614E" w:rsidRDefault="0070614E" w:rsidP="00AC12F5">
            <w:pPr>
              <w:pStyle w:val="MDPI42tablebody"/>
              <w:spacing w:line="240" w:lineRule="auto"/>
            </w:pPr>
            <w:r>
              <w:t>0.24 ± 0.07</w:t>
            </w:r>
          </w:p>
        </w:tc>
        <w:tc>
          <w:tcPr>
            <w:tcW w:w="1914" w:type="dxa"/>
          </w:tcPr>
          <w:p w14:paraId="131B5DF0" w14:textId="77777777" w:rsidR="0070614E" w:rsidRDefault="0070614E" w:rsidP="00AC12F5">
            <w:pPr>
              <w:pStyle w:val="MDPI42tablebody"/>
              <w:spacing w:line="240" w:lineRule="auto"/>
            </w:pPr>
            <w:r>
              <w:t>0.28 ± 0.12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EF6AD3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0.118</w:t>
            </w:r>
          </w:p>
        </w:tc>
      </w:tr>
      <w:tr w:rsidR="0070614E" w:rsidRPr="009B083C" w14:paraId="47F0E19F" w14:textId="77777777" w:rsidTr="0070614E">
        <w:tc>
          <w:tcPr>
            <w:tcW w:w="1743" w:type="dxa"/>
            <w:shd w:val="clear" w:color="auto" w:fill="auto"/>
            <w:vAlign w:val="center"/>
          </w:tcPr>
          <w:p w14:paraId="569C1040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High sensitivity troponin I (pg/ml)</w:t>
            </w:r>
          </w:p>
        </w:tc>
        <w:tc>
          <w:tcPr>
            <w:tcW w:w="1914" w:type="dxa"/>
          </w:tcPr>
          <w:p w14:paraId="3C2855FF" w14:textId="77777777" w:rsidR="0070614E" w:rsidRDefault="0070614E" w:rsidP="00AC12F5">
            <w:pPr>
              <w:pStyle w:val="MDPI42tablebody"/>
              <w:spacing w:line="240" w:lineRule="auto"/>
            </w:pPr>
            <w:r>
              <w:t>354.0 (67.10-4742.0)</w:t>
            </w:r>
          </w:p>
        </w:tc>
        <w:tc>
          <w:tcPr>
            <w:tcW w:w="1914" w:type="dxa"/>
          </w:tcPr>
          <w:p w14:paraId="7277DCF1" w14:textId="77777777" w:rsidR="0070614E" w:rsidRDefault="0070614E" w:rsidP="00AC12F5">
            <w:pPr>
              <w:pStyle w:val="MDPI42tablebody"/>
              <w:spacing w:line="240" w:lineRule="auto"/>
            </w:pPr>
            <w:r>
              <w:t>247.0 (65.3-1021.0)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640A6D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0.315</w:t>
            </w:r>
          </w:p>
        </w:tc>
      </w:tr>
      <w:tr w:rsidR="0070614E" w:rsidRPr="009B083C" w14:paraId="14B238C9" w14:textId="77777777" w:rsidTr="0070614E">
        <w:tc>
          <w:tcPr>
            <w:tcW w:w="1743" w:type="dxa"/>
            <w:shd w:val="clear" w:color="auto" w:fill="auto"/>
            <w:vAlign w:val="center"/>
          </w:tcPr>
          <w:p w14:paraId="7F0C6B7F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NT-proBNP (pg/ml)</w:t>
            </w:r>
          </w:p>
        </w:tc>
        <w:tc>
          <w:tcPr>
            <w:tcW w:w="1914" w:type="dxa"/>
          </w:tcPr>
          <w:p w14:paraId="1A84E611" w14:textId="77777777" w:rsidR="0070614E" w:rsidRDefault="0070614E" w:rsidP="00AC12F5">
            <w:pPr>
              <w:pStyle w:val="MDPI42tablebody"/>
              <w:spacing w:line="240" w:lineRule="auto"/>
            </w:pPr>
            <w:r>
              <w:t>231.0 (74.6-642.0)</w:t>
            </w:r>
          </w:p>
        </w:tc>
        <w:tc>
          <w:tcPr>
            <w:tcW w:w="1914" w:type="dxa"/>
          </w:tcPr>
          <w:p w14:paraId="777AE89F" w14:textId="77777777" w:rsidR="0070614E" w:rsidRDefault="0070614E" w:rsidP="00AC12F5">
            <w:pPr>
              <w:pStyle w:val="MDPI42tablebody"/>
              <w:spacing w:line="240" w:lineRule="auto"/>
            </w:pPr>
            <w:r>
              <w:t>315.0 (194.0-978.0)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3B22C8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0.161</w:t>
            </w:r>
          </w:p>
        </w:tc>
      </w:tr>
      <w:tr w:rsidR="0070614E" w:rsidRPr="009B083C" w14:paraId="3DD1473C" w14:textId="77777777" w:rsidTr="0070614E">
        <w:tc>
          <w:tcPr>
            <w:tcW w:w="1743" w:type="dxa"/>
            <w:shd w:val="clear" w:color="auto" w:fill="auto"/>
            <w:vAlign w:val="center"/>
          </w:tcPr>
          <w:p w14:paraId="1439409A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CRP (mg/dl)</w:t>
            </w:r>
          </w:p>
        </w:tc>
        <w:tc>
          <w:tcPr>
            <w:tcW w:w="1914" w:type="dxa"/>
          </w:tcPr>
          <w:p w14:paraId="737015A8" w14:textId="77777777" w:rsidR="0070614E" w:rsidRDefault="0070614E" w:rsidP="00AC12F5">
            <w:pPr>
              <w:pStyle w:val="MDPI42tablebody"/>
              <w:spacing w:line="240" w:lineRule="auto"/>
            </w:pPr>
            <w:r>
              <w:t>4.99 (2.65-9.41)</w:t>
            </w:r>
          </w:p>
        </w:tc>
        <w:tc>
          <w:tcPr>
            <w:tcW w:w="1914" w:type="dxa"/>
          </w:tcPr>
          <w:p w14:paraId="2DFBB356" w14:textId="77777777" w:rsidR="0070614E" w:rsidRDefault="0070614E" w:rsidP="00AC12F5">
            <w:pPr>
              <w:pStyle w:val="MDPI42tablebody"/>
              <w:spacing w:line="240" w:lineRule="auto"/>
            </w:pPr>
            <w:r>
              <w:t>3.84 (0.99-7.52)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1BB3E6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0.198</w:t>
            </w:r>
          </w:p>
        </w:tc>
      </w:tr>
      <w:tr w:rsidR="0070614E" w:rsidRPr="009B083C" w14:paraId="4B411CEF" w14:textId="77777777" w:rsidTr="0070614E">
        <w:tc>
          <w:tcPr>
            <w:tcW w:w="1743" w:type="dxa"/>
            <w:shd w:val="clear" w:color="auto" w:fill="auto"/>
            <w:vAlign w:val="center"/>
          </w:tcPr>
          <w:p w14:paraId="20A6A9FB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Albumin (g/dl)</w:t>
            </w:r>
          </w:p>
        </w:tc>
        <w:tc>
          <w:tcPr>
            <w:tcW w:w="1914" w:type="dxa"/>
          </w:tcPr>
          <w:p w14:paraId="34D3CC37" w14:textId="77777777" w:rsidR="0070614E" w:rsidRDefault="0070614E" w:rsidP="00AC12F5">
            <w:pPr>
              <w:pStyle w:val="MDPI42tablebody"/>
              <w:spacing w:line="240" w:lineRule="auto"/>
            </w:pPr>
            <w:r>
              <w:t>4.14 ± 0.43</w:t>
            </w:r>
          </w:p>
        </w:tc>
        <w:tc>
          <w:tcPr>
            <w:tcW w:w="1914" w:type="dxa"/>
          </w:tcPr>
          <w:p w14:paraId="3C4E1F24" w14:textId="77777777" w:rsidR="0070614E" w:rsidRDefault="0070614E" w:rsidP="00AC12F5">
            <w:pPr>
              <w:pStyle w:val="MDPI42tablebody"/>
              <w:spacing w:line="240" w:lineRule="auto"/>
            </w:pPr>
            <w:r>
              <w:t>4.06 ± 0.46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0D74A8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0.540</w:t>
            </w:r>
          </w:p>
        </w:tc>
      </w:tr>
      <w:tr w:rsidR="0070614E" w:rsidRPr="009B083C" w14:paraId="0C71CCDC" w14:textId="77777777" w:rsidTr="0070614E">
        <w:tc>
          <w:tcPr>
            <w:tcW w:w="1743" w:type="dxa"/>
            <w:shd w:val="clear" w:color="auto" w:fill="auto"/>
            <w:vAlign w:val="center"/>
          </w:tcPr>
          <w:p w14:paraId="1BFFD6BE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Total cholesterol (mg/dl)</w:t>
            </w:r>
          </w:p>
        </w:tc>
        <w:tc>
          <w:tcPr>
            <w:tcW w:w="1914" w:type="dxa"/>
          </w:tcPr>
          <w:p w14:paraId="40DDE94D" w14:textId="77777777" w:rsidR="0070614E" w:rsidRDefault="0070614E" w:rsidP="00AC12F5">
            <w:pPr>
              <w:pStyle w:val="MDPI42tablebody"/>
              <w:spacing w:line="240" w:lineRule="auto"/>
            </w:pPr>
            <w:r>
              <w:t>172.5 ± 40.9</w:t>
            </w:r>
          </w:p>
        </w:tc>
        <w:tc>
          <w:tcPr>
            <w:tcW w:w="1914" w:type="dxa"/>
          </w:tcPr>
          <w:p w14:paraId="1C4C043E" w14:textId="77777777" w:rsidR="0070614E" w:rsidRDefault="0070614E" w:rsidP="00AC12F5">
            <w:pPr>
              <w:pStyle w:val="MDPI42tablebody"/>
              <w:spacing w:line="240" w:lineRule="auto"/>
            </w:pPr>
            <w:r>
              <w:t>163.6 ± 32.7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4B8D20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0.434</w:t>
            </w:r>
          </w:p>
        </w:tc>
      </w:tr>
      <w:tr w:rsidR="0070614E" w:rsidRPr="009B083C" w14:paraId="7828E228" w14:textId="77777777" w:rsidTr="0070614E">
        <w:tc>
          <w:tcPr>
            <w:tcW w:w="1743" w:type="dxa"/>
            <w:shd w:val="clear" w:color="auto" w:fill="auto"/>
            <w:vAlign w:val="center"/>
          </w:tcPr>
          <w:p w14:paraId="04CCCB4C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Triglycerides (mg/dl)</w:t>
            </w:r>
          </w:p>
        </w:tc>
        <w:tc>
          <w:tcPr>
            <w:tcW w:w="1914" w:type="dxa"/>
          </w:tcPr>
          <w:p w14:paraId="3F9FDF00" w14:textId="77777777" w:rsidR="0070614E" w:rsidRDefault="0070614E" w:rsidP="00AC12F5">
            <w:pPr>
              <w:pStyle w:val="MDPI42tablebody"/>
              <w:spacing w:line="240" w:lineRule="auto"/>
            </w:pPr>
            <w:r>
              <w:t>165.5 ± 65.4</w:t>
            </w:r>
          </w:p>
        </w:tc>
        <w:tc>
          <w:tcPr>
            <w:tcW w:w="1914" w:type="dxa"/>
          </w:tcPr>
          <w:p w14:paraId="733AEC45" w14:textId="77777777" w:rsidR="0070614E" w:rsidRDefault="0070614E" w:rsidP="00AC12F5">
            <w:pPr>
              <w:pStyle w:val="MDPI42tablebody"/>
              <w:spacing w:line="240" w:lineRule="auto"/>
            </w:pPr>
            <w:r>
              <w:t>162.9 ± 55.0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871B23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0.889</w:t>
            </w:r>
          </w:p>
        </w:tc>
      </w:tr>
      <w:tr w:rsidR="0070614E" w:rsidRPr="009B083C" w14:paraId="3FA06A9C" w14:textId="77777777" w:rsidTr="0070614E">
        <w:tc>
          <w:tcPr>
            <w:tcW w:w="1743" w:type="dxa"/>
            <w:shd w:val="clear" w:color="auto" w:fill="auto"/>
            <w:vAlign w:val="center"/>
          </w:tcPr>
          <w:p w14:paraId="53790D92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HDL (mg/dl)</w:t>
            </w:r>
          </w:p>
        </w:tc>
        <w:tc>
          <w:tcPr>
            <w:tcW w:w="1914" w:type="dxa"/>
          </w:tcPr>
          <w:p w14:paraId="660A6963" w14:textId="77777777" w:rsidR="0070614E" w:rsidRPr="00815AEE" w:rsidRDefault="0070614E" w:rsidP="00AC12F5">
            <w:pPr>
              <w:pStyle w:val="MDPI42tablebody"/>
              <w:spacing w:line="240" w:lineRule="auto"/>
            </w:pPr>
            <w:r>
              <w:t>38.5 ± 9.1</w:t>
            </w:r>
          </w:p>
        </w:tc>
        <w:tc>
          <w:tcPr>
            <w:tcW w:w="1914" w:type="dxa"/>
          </w:tcPr>
          <w:p w14:paraId="3879E284" w14:textId="77777777" w:rsidR="0070614E" w:rsidRDefault="0070614E" w:rsidP="00AC12F5">
            <w:pPr>
              <w:pStyle w:val="MDPI42tablebody"/>
              <w:spacing w:line="240" w:lineRule="auto"/>
            </w:pPr>
            <w:r>
              <w:t xml:space="preserve">35.7 ± 8.0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F3BCD8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0.273</w:t>
            </w:r>
          </w:p>
        </w:tc>
      </w:tr>
      <w:tr w:rsidR="0070614E" w:rsidRPr="009B083C" w14:paraId="21CED13C" w14:textId="77777777" w:rsidTr="0070614E">
        <w:tc>
          <w:tcPr>
            <w:tcW w:w="1743" w:type="dxa"/>
            <w:shd w:val="clear" w:color="auto" w:fill="auto"/>
            <w:vAlign w:val="center"/>
          </w:tcPr>
          <w:p w14:paraId="0826A8BC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LDL (mg/dl)</w:t>
            </w:r>
          </w:p>
        </w:tc>
        <w:tc>
          <w:tcPr>
            <w:tcW w:w="1914" w:type="dxa"/>
          </w:tcPr>
          <w:p w14:paraId="4E23E167" w14:textId="77777777" w:rsidR="0070614E" w:rsidRDefault="0070614E" w:rsidP="00AC12F5">
            <w:pPr>
              <w:pStyle w:val="MDPI42tablebody"/>
              <w:spacing w:line="240" w:lineRule="auto"/>
            </w:pPr>
            <w:r>
              <w:t>114.7 ± 39.2</w:t>
            </w:r>
          </w:p>
        </w:tc>
        <w:tc>
          <w:tcPr>
            <w:tcW w:w="1914" w:type="dxa"/>
          </w:tcPr>
          <w:p w14:paraId="518B1398" w14:textId="77777777" w:rsidR="0070614E" w:rsidRDefault="0070614E" w:rsidP="00AC12F5">
            <w:pPr>
              <w:pStyle w:val="MDPI42tablebody"/>
              <w:spacing w:line="240" w:lineRule="auto"/>
            </w:pPr>
            <w:r>
              <w:t>102.1 ± 30.8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7B8CA0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0.227</w:t>
            </w:r>
          </w:p>
        </w:tc>
      </w:tr>
      <w:tr w:rsidR="0070614E" w:rsidRPr="009B083C" w14:paraId="552C4B22" w14:textId="77777777" w:rsidTr="0070614E">
        <w:tc>
          <w:tcPr>
            <w:tcW w:w="1743" w:type="dxa"/>
            <w:shd w:val="clear" w:color="auto" w:fill="auto"/>
            <w:vAlign w:val="center"/>
          </w:tcPr>
          <w:p w14:paraId="163DAEFC" w14:textId="77777777" w:rsidR="0070614E" w:rsidRDefault="0070614E" w:rsidP="00AC12F5">
            <w:pPr>
              <w:pStyle w:val="MDPI42tablebody"/>
              <w:spacing w:line="240" w:lineRule="auto"/>
              <w:jc w:val="left"/>
            </w:pPr>
            <w:r>
              <w:t>AIP</w:t>
            </w:r>
          </w:p>
        </w:tc>
        <w:tc>
          <w:tcPr>
            <w:tcW w:w="1914" w:type="dxa"/>
          </w:tcPr>
          <w:p w14:paraId="576EB843" w14:textId="77777777" w:rsidR="0070614E" w:rsidRDefault="0070614E" w:rsidP="00AC12F5">
            <w:pPr>
              <w:pStyle w:val="MDPI42tablebody"/>
              <w:spacing w:line="240" w:lineRule="auto"/>
            </w:pPr>
            <w:r>
              <w:t>0.25 ± 0.22</w:t>
            </w:r>
          </w:p>
        </w:tc>
        <w:tc>
          <w:tcPr>
            <w:tcW w:w="1914" w:type="dxa"/>
          </w:tcPr>
          <w:p w14:paraId="4D9FBD74" w14:textId="77777777" w:rsidR="0070614E" w:rsidRDefault="0070614E" w:rsidP="00AC12F5">
            <w:pPr>
              <w:pStyle w:val="MDPI42tablebody"/>
              <w:spacing w:line="240" w:lineRule="auto"/>
            </w:pPr>
            <w:r>
              <w:t>0.29 ± 0.15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33E030" w14:textId="77777777" w:rsidR="0070614E" w:rsidRPr="00F220D4" w:rsidRDefault="0070614E" w:rsidP="00AC12F5">
            <w:pPr>
              <w:pStyle w:val="MDPI42tablebody"/>
              <w:spacing w:line="240" w:lineRule="auto"/>
            </w:pPr>
            <w:r>
              <w:t>0.472</w:t>
            </w:r>
          </w:p>
        </w:tc>
      </w:tr>
    </w:tbl>
    <w:p w14:paraId="1F4B2BF3" w14:textId="77777777" w:rsidR="0070614E" w:rsidRPr="00BB6149" w:rsidRDefault="0070614E" w:rsidP="0070614E">
      <w:pPr>
        <w:pStyle w:val="MDPI31text"/>
        <w:ind w:left="993" w:right="1133" w:firstLine="0"/>
        <w:rPr>
          <w:rFonts w:ascii="Montserrat Extra Bold" w:hAnsi="Montserrat Extra Bold"/>
        </w:rPr>
      </w:pPr>
      <w:r w:rsidRPr="00A550C1">
        <w:rPr>
          <w:b/>
          <w:bCs/>
          <w:vertAlign w:val="superscript"/>
        </w:rPr>
        <w:t>†</w:t>
      </w:r>
      <w:r>
        <w:t xml:space="preserve"> Outliers defined by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</w:t>
      </w:r>
      <w:r w:rsidRPr="00B363F9">
        <w:rPr>
          <w:b/>
          <w:bCs/>
        </w:rPr>
        <w:t>-42</w:t>
      </w:r>
      <w:r>
        <w:t xml:space="preserve"> &lt;20 pg/ml or &gt;100 pg/ml,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β-40</w:t>
      </w:r>
      <w:r>
        <w:rPr>
          <w:rFonts w:ascii="Montserrat Extra Bold" w:hAnsi="Montserrat Extra Bold"/>
        </w:rPr>
        <w:t xml:space="preserve"> &gt;400 pg/ml, </w:t>
      </w:r>
      <w:r w:rsidRPr="00B363F9">
        <w:rPr>
          <w:b/>
          <w:bCs/>
        </w:rPr>
        <w:t>A</w:t>
      </w:r>
      <w:r w:rsidRPr="00B363F9">
        <w:rPr>
          <w:rFonts w:ascii="Montserrat Extra Bold" w:hAnsi="Montserrat Extra Bold"/>
          <w:b/>
          <w:bCs/>
        </w:rPr>
        <w:t>β-42/40 ratio</w:t>
      </w:r>
      <w:r>
        <w:rPr>
          <w:rFonts w:ascii="Montserrat Extra Bold" w:hAnsi="Montserrat Extra Bold"/>
        </w:rPr>
        <w:t xml:space="preserve"> &lt;1.0 and </w:t>
      </w:r>
      <w:r w:rsidRPr="00B363F9">
        <w:rPr>
          <w:rFonts w:ascii="Montserrat Extra Bold" w:hAnsi="Montserrat Extra Bold"/>
          <w:b/>
          <w:bCs/>
        </w:rPr>
        <w:t>NT-proBNP</w:t>
      </w:r>
      <w:r>
        <w:rPr>
          <w:rFonts w:ascii="Montserrat Extra Bold" w:hAnsi="Montserrat Extra Bold"/>
        </w:rPr>
        <w:t xml:space="preserve"> &gt;10,000 pg/ml.</w:t>
      </w:r>
    </w:p>
    <w:p w14:paraId="565C2BB9" w14:textId="77777777" w:rsidR="0070614E" w:rsidRDefault="0070614E">
      <w:pPr>
        <w:spacing w:after="160" w:line="259" w:lineRule="auto"/>
        <w:jc w:val="left"/>
      </w:pPr>
    </w:p>
    <w:sectPr w:rsidR="007061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ontserrat Extra 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4E"/>
    <w:rsid w:val="0070614E"/>
    <w:rsid w:val="008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A013A"/>
  <w15:chartTrackingRefBased/>
  <w15:docId w15:val="{B5F6B1EA-49E6-43E8-AF8B-5B593D8B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14E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0614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614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614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614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614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614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614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614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614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061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61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61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614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614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614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614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614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614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614E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06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614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06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614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0614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614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szCs w:val="22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0614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61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614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614E"/>
    <w:rPr>
      <w:b/>
      <w:bCs/>
      <w:smallCaps/>
      <w:color w:val="0F4761" w:themeColor="accent1" w:themeShade="BF"/>
      <w:spacing w:val="5"/>
    </w:rPr>
  </w:style>
  <w:style w:type="paragraph" w:customStyle="1" w:styleId="MDPI31text">
    <w:name w:val="MDPI_3.1_text"/>
    <w:qFormat/>
    <w:rsid w:val="0070614E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customStyle="1" w:styleId="MDPI41tablecaption">
    <w:name w:val="MDPI_4.1_table_caption"/>
    <w:qFormat/>
    <w:rsid w:val="0070614E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70614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43tablefooter">
    <w:name w:val="MDPI_4.3_table_footer"/>
    <w:next w:val="MDPI31text"/>
    <w:qFormat/>
    <w:rsid w:val="0070614E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807</Words>
  <Characters>4444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Eduardo Del Moral Wong</dc:creator>
  <cp:keywords/>
  <dc:description/>
  <cp:lastModifiedBy>Luis Eduardo Del Moral Wong</cp:lastModifiedBy>
  <cp:revision>1</cp:revision>
  <dcterms:created xsi:type="dcterms:W3CDTF">2024-01-12T00:17:00Z</dcterms:created>
  <dcterms:modified xsi:type="dcterms:W3CDTF">2024-01-12T00:25:00Z</dcterms:modified>
</cp:coreProperties>
</file>