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70A8" w14:textId="065B984D" w:rsidR="003D2B75" w:rsidRPr="001A40BD" w:rsidRDefault="001A40BD" w:rsidP="00592BA1">
      <w:pPr>
        <w:pStyle w:val="MDPI41tablecaption"/>
        <w:ind w:left="0"/>
        <w:rPr>
          <w:b/>
          <w:sz w:val="24"/>
          <w:szCs w:val="32"/>
        </w:rPr>
      </w:pPr>
      <w:r w:rsidRPr="001A40BD">
        <w:rPr>
          <w:b/>
          <w:sz w:val="24"/>
          <w:szCs w:val="32"/>
        </w:rPr>
        <w:t>Supplement 1</w:t>
      </w:r>
    </w:p>
    <w:p w14:paraId="349CB692" w14:textId="4A6C5157" w:rsidR="000A567F" w:rsidRDefault="000A567F" w:rsidP="00592BA1">
      <w:pPr>
        <w:pStyle w:val="MDPI41tablecaption"/>
        <w:ind w:left="0"/>
      </w:pPr>
      <w:r>
        <w:rPr>
          <w:b/>
        </w:rPr>
        <w:t>Table</w:t>
      </w:r>
      <w:r w:rsidR="00350EA0">
        <w:rPr>
          <w:b/>
        </w:rPr>
        <w:t xml:space="preserve"> S1</w:t>
      </w:r>
      <w:r w:rsidR="00350EA0">
        <w:rPr>
          <w:b/>
          <w:lang w:val="sr-Latn-RS"/>
        </w:rPr>
        <w:t>:</w:t>
      </w:r>
      <w:r w:rsidRPr="00325902">
        <w:t xml:space="preserve"> </w:t>
      </w:r>
      <w:r w:rsidRPr="000A567F">
        <w:t>PPC severity score (modified from reference</w:t>
      </w:r>
      <w:r>
        <w:t>s</w:t>
      </w:r>
      <w:r w:rsidR="0044189B">
        <w:t xml:space="preserve"> in text</w:t>
      </w:r>
      <w:r w:rsidRPr="000A567F">
        <w:t xml:space="preserve"> </w:t>
      </w:r>
      <w:r w:rsidRPr="00BE34B5">
        <w:rPr>
          <w:color w:val="0000FF"/>
        </w:rPr>
        <w:t>[</w:t>
      </w:r>
      <w:r w:rsidR="002716B6" w:rsidRPr="00BE34B5">
        <w:rPr>
          <w:color w:val="0000FF"/>
        </w:rPr>
        <w:t>39-42</w:t>
      </w:r>
      <w:r w:rsidRPr="00BE34B5">
        <w:rPr>
          <w:color w:val="0000FF"/>
        </w:rPr>
        <w:t xml:space="preserve">]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5107"/>
      </w:tblGrid>
      <w:tr w:rsidR="000A567F" w:rsidRPr="004C3F38" w14:paraId="474CBEED" w14:textId="77777777" w:rsidTr="00426EA1">
        <w:tc>
          <w:tcPr>
            <w:tcW w:w="164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14:paraId="7B14D893" w14:textId="511BE75C" w:rsidR="000A567F" w:rsidRPr="004C3F38" w:rsidRDefault="000A567F" w:rsidP="000A567F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4C3F38">
              <w:rPr>
                <w:b/>
                <w:bCs/>
              </w:rPr>
              <w:t>PPC Score</w:t>
            </w:r>
          </w:p>
        </w:tc>
        <w:tc>
          <w:tcPr>
            <w:tcW w:w="510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14:paraId="59164B1F" w14:textId="30B6E607" w:rsidR="000A567F" w:rsidRPr="004C3F38" w:rsidRDefault="000A567F" w:rsidP="000A567F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4C3F38">
              <w:rPr>
                <w:b/>
                <w:bCs/>
              </w:rPr>
              <w:t>Operational Definitions</w:t>
            </w:r>
          </w:p>
        </w:tc>
      </w:tr>
      <w:tr w:rsidR="000A567F" w:rsidRPr="00904B95" w14:paraId="3FA138FC" w14:textId="77777777" w:rsidTr="00426EA1">
        <w:tc>
          <w:tcPr>
            <w:tcW w:w="1645" w:type="dxa"/>
            <w:tcBorders>
              <w:top w:val="single" w:sz="8" w:space="0" w:color="auto"/>
            </w:tcBorders>
          </w:tcPr>
          <w:p w14:paraId="66455BB1" w14:textId="35E64D90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 w:rsidRPr="00C3754B">
              <w:rPr>
                <w:b/>
                <w:bCs/>
                <w:sz w:val="18"/>
                <w:szCs w:val="18"/>
              </w:rPr>
              <w:t>Grad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C3754B">
              <w:rPr>
                <w:b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5107" w:type="dxa"/>
            <w:tcBorders>
              <w:top w:val="single" w:sz="8" w:space="0" w:color="auto"/>
            </w:tcBorders>
          </w:tcPr>
          <w:p w14:paraId="3AE6B457" w14:textId="2A5F970A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>
              <w:rPr>
                <w:sz w:val="18"/>
                <w:szCs w:val="18"/>
              </w:rPr>
              <w:t>No PPC</w:t>
            </w:r>
          </w:p>
        </w:tc>
      </w:tr>
      <w:tr w:rsidR="000A567F" w:rsidRPr="00904B95" w14:paraId="377A0A2B" w14:textId="77777777" w:rsidTr="00426EA1">
        <w:tc>
          <w:tcPr>
            <w:tcW w:w="1645" w:type="dxa"/>
            <w:tcBorders>
              <w:bottom w:val="single" w:sz="4" w:space="0" w:color="auto"/>
            </w:tcBorders>
          </w:tcPr>
          <w:p w14:paraId="5F3A4BBA" w14:textId="77777777" w:rsidR="000A567F" w:rsidRPr="00C3754B" w:rsidRDefault="000A567F" w:rsidP="000A567F">
            <w:pPr>
              <w:spacing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C3754B">
              <w:rPr>
                <w:b/>
                <w:bCs/>
                <w:sz w:val="18"/>
                <w:szCs w:val="18"/>
              </w:rPr>
              <w:t>Grad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C3754B">
              <w:rPr>
                <w:b/>
                <w:bCs/>
                <w:sz w:val="18"/>
                <w:szCs w:val="18"/>
              </w:rPr>
              <w:t xml:space="preserve"> 1</w:t>
            </w:r>
          </w:p>
          <w:p w14:paraId="2BD7112D" w14:textId="5A78042C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bookmarkStart w:id="0" w:name="_Hlk66275882"/>
            <w:r w:rsidRPr="00C3754B">
              <w:rPr>
                <w:sz w:val="18"/>
                <w:szCs w:val="18"/>
              </w:rPr>
              <w:t>(</w:t>
            </w:r>
            <w:r w:rsidRPr="00395F94">
              <w:rPr>
                <w:sz w:val="18"/>
                <w:szCs w:val="18"/>
              </w:rPr>
              <w:t>1 of the items</w:t>
            </w:r>
            <w:r w:rsidRPr="00C3754B">
              <w:rPr>
                <w:sz w:val="18"/>
                <w:szCs w:val="18"/>
              </w:rPr>
              <w:t>)</w:t>
            </w:r>
            <w:bookmarkEnd w:id="0"/>
          </w:p>
        </w:tc>
        <w:tc>
          <w:tcPr>
            <w:tcW w:w="5107" w:type="dxa"/>
            <w:tcBorders>
              <w:bottom w:val="single" w:sz="4" w:space="0" w:color="auto"/>
            </w:tcBorders>
          </w:tcPr>
          <w:p w14:paraId="61575088" w14:textId="77777777" w:rsidR="000A567F" w:rsidRPr="000A567F" w:rsidRDefault="000A567F" w:rsidP="000A567F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A567F">
              <w:rPr>
                <w:sz w:val="18"/>
                <w:szCs w:val="18"/>
              </w:rPr>
              <w:t>a dry cough</w:t>
            </w:r>
          </w:p>
          <w:p w14:paraId="6DB96A90" w14:textId="7DAA932C" w:rsidR="000A567F" w:rsidRPr="000A567F" w:rsidRDefault="000A567F" w:rsidP="000A567F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A567F">
              <w:rPr>
                <w:sz w:val="18"/>
                <w:szCs w:val="18"/>
              </w:rPr>
              <w:t>micro</w:t>
            </w:r>
            <w:r>
              <w:rPr>
                <w:sz w:val="18"/>
                <w:szCs w:val="18"/>
              </w:rPr>
              <w:t xml:space="preserve"> atelectasi</w:t>
            </w:r>
            <w:r w:rsidRPr="000A567F">
              <w:rPr>
                <w:sz w:val="18"/>
                <w:szCs w:val="18"/>
              </w:rPr>
              <w:t>s: abnormal auscultatory findings and temperature ≥ 37.5°C without another documented cause with normal X-ray of the lungs</w:t>
            </w:r>
          </w:p>
          <w:p w14:paraId="74BAA5DD" w14:textId="7D3A0B7F" w:rsidR="000A567F" w:rsidRPr="00F220D4" w:rsidRDefault="000A567F" w:rsidP="000A567F">
            <w:pPr>
              <w:pStyle w:val="MDPI42tablebody"/>
              <w:numPr>
                <w:ilvl w:val="0"/>
                <w:numId w:val="7"/>
              </w:numPr>
              <w:spacing w:line="240" w:lineRule="auto"/>
              <w:jc w:val="left"/>
            </w:pPr>
            <w:r w:rsidRPr="00DF7C0B">
              <w:rPr>
                <w:sz w:val="18"/>
                <w:szCs w:val="18"/>
              </w:rPr>
              <w:t>dyspnea without another documented cause</w:t>
            </w:r>
          </w:p>
        </w:tc>
      </w:tr>
      <w:tr w:rsidR="000A567F" w:rsidRPr="00904B95" w14:paraId="0C586952" w14:textId="77777777" w:rsidTr="00426EA1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14:paraId="4944F183" w14:textId="77777777" w:rsidR="000A567F" w:rsidRPr="00C3754B" w:rsidRDefault="000A567F" w:rsidP="000A567F">
            <w:pPr>
              <w:spacing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C3754B">
              <w:rPr>
                <w:b/>
                <w:bCs/>
                <w:sz w:val="18"/>
                <w:szCs w:val="18"/>
              </w:rPr>
              <w:t>Grad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C3754B">
              <w:rPr>
                <w:b/>
                <w:bCs/>
                <w:sz w:val="18"/>
                <w:szCs w:val="18"/>
              </w:rPr>
              <w:t xml:space="preserve"> 2</w:t>
            </w:r>
          </w:p>
          <w:p w14:paraId="7D85F2A4" w14:textId="74F20D25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 w:rsidRPr="00C3754B">
              <w:rPr>
                <w:sz w:val="18"/>
                <w:szCs w:val="18"/>
              </w:rPr>
              <w:t>(2</w:t>
            </w:r>
            <w:r>
              <w:rPr>
                <w:sz w:val="18"/>
                <w:szCs w:val="18"/>
              </w:rPr>
              <w:t xml:space="preserve"> </w:t>
            </w:r>
            <w:r w:rsidRPr="00395F94">
              <w:rPr>
                <w:sz w:val="18"/>
                <w:szCs w:val="18"/>
              </w:rPr>
              <w:t>of the items</w:t>
            </w:r>
            <w:r w:rsidRPr="00C3754B">
              <w:rPr>
                <w:sz w:val="18"/>
                <w:szCs w:val="18"/>
              </w:rPr>
              <w:t>)</w:t>
            </w:r>
          </w:p>
        </w:tc>
        <w:tc>
          <w:tcPr>
            <w:tcW w:w="5107" w:type="dxa"/>
            <w:tcBorders>
              <w:top w:val="single" w:sz="4" w:space="0" w:color="auto"/>
              <w:bottom w:val="single" w:sz="4" w:space="0" w:color="auto"/>
            </w:tcBorders>
          </w:tcPr>
          <w:p w14:paraId="36D80AA3" w14:textId="77777777" w:rsidR="000A567F" w:rsidRPr="000A567F" w:rsidRDefault="000A567F" w:rsidP="000A567F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A567F">
              <w:rPr>
                <w:sz w:val="18"/>
                <w:szCs w:val="18"/>
              </w:rPr>
              <w:t>productive cough without another documented cause</w:t>
            </w:r>
          </w:p>
          <w:p w14:paraId="191CE0AA" w14:textId="77777777" w:rsidR="000A567F" w:rsidRPr="000A567F" w:rsidRDefault="000A567F" w:rsidP="000A567F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A567F">
              <w:rPr>
                <w:sz w:val="18"/>
                <w:szCs w:val="18"/>
              </w:rPr>
              <w:t>bronchospasm - new wheezing or old wheezing that requires a change in therapy</w:t>
            </w:r>
          </w:p>
          <w:p w14:paraId="03E39E3F" w14:textId="77777777" w:rsidR="000A567F" w:rsidRPr="000A567F" w:rsidRDefault="000A567F" w:rsidP="000A567F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A567F">
              <w:rPr>
                <w:sz w:val="18"/>
                <w:szCs w:val="18"/>
              </w:rPr>
              <w:t>hypoxemia in room air (SpO</w:t>
            </w:r>
            <w:r w:rsidRPr="009D3BC6">
              <w:rPr>
                <w:sz w:val="18"/>
                <w:szCs w:val="18"/>
                <w:vertAlign w:val="subscript"/>
              </w:rPr>
              <w:t>2</w:t>
            </w:r>
            <w:r w:rsidRPr="000A567F">
              <w:rPr>
                <w:sz w:val="18"/>
                <w:szCs w:val="18"/>
              </w:rPr>
              <w:t> ≤ 90%)</w:t>
            </w:r>
          </w:p>
          <w:p w14:paraId="4E3A8B1C" w14:textId="77777777" w:rsidR="000A567F" w:rsidRPr="000A567F" w:rsidRDefault="000A567F" w:rsidP="000A567F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A567F">
              <w:rPr>
                <w:sz w:val="18"/>
                <w:szCs w:val="18"/>
              </w:rPr>
              <w:t xml:space="preserve">radiologically confirmed atelectasis (two independent experts) plus: temperature </w:t>
            </w:r>
            <w:r w:rsidRPr="000A567F">
              <w:rPr>
                <w:rFonts w:cstheme="minorHAnsi"/>
                <w:sz w:val="18"/>
                <w:szCs w:val="18"/>
              </w:rPr>
              <w:t>&gt;</w:t>
            </w:r>
            <w:r w:rsidRPr="000A567F">
              <w:rPr>
                <w:sz w:val="18"/>
                <w:szCs w:val="18"/>
              </w:rPr>
              <w:t>37.5°C or abnormal auscultatory findings</w:t>
            </w:r>
          </w:p>
          <w:p w14:paraId="16BA83A1" w14:textId="36F7A22A" w:rsidR="000A567F" w:rsidRPr="00F220D4" w:rsidRDefault="000A567F" w:rsidP="000A567F">
            <w:pPr>
              <w:pStyle w:val="MDPI42tablebody"/>
              <w:numPr>
                <w:ilvl w:val="0"/>
                <w:numId w:val="4"/>
              </w:numPr>
              <w:spacing w:line="240" w:lineRule="auto"/>
              <w:jc w:val="left"/>
            </w:pPr>
            <w:r w:rsidRPr="00DF7C0B">
              <w:rPr>
                <w:sz w:val="18"/>
                <w:szCs w:val="18"/>
              </w:rPr>
              <w:t>hypercarbia requiring treatment (PaCO</w:t>
            </w:r>
            <w:r w:rsidRPr="001F0F74">
              <w:rPr>
                <w:sz w:val="18"/>
                <w:szCs w:val="18"/>
                <w:vertAlign w:val="subscript"/>
              </w:rPr>
              <w:t>2</w:t>
            </w:r>
            <w:r w:rsidRPr="00DF7C0B">
              <w:rPr>
                <w:sz w:val="18"/>
                <w:szCs w:val="18"/>
              </w:rPr>
              <w:t>&gt;50 mm Hg)</w:t>
            </w:r>
          </w:p>
        </w:tc>
      </w:tr>
      <w:tr w:rsidR="000A567F" w:rsidRPr="00904B95" w14:paraId="6BE25F78" w14:textId="77777777" w:rsidTr="00426EA1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14:paraId="04EF4D7D" w14:textId="3D52AB83" w:rsidR="000A567F" w:rsidRPr="00C3754B" w:rsidRDefault="000A567F" w:rsidP="000A567F">
            <w:pPr>
              <w:spacing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C3754B">
              <w:rPr>
                <w:b/>
                <w:bCs/>
                <w:sz w:val="18"/>
                <w:szCs w:val="18"/>
              </w:rPr>
              <w:t>Grad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C3754B">
              <w:rPr>
                <w:b/>
                <w:bCs/>
                <w:sz w:val="18"/>
                <w:szCs w:val="18"/>
              </w:rPr>
              <w:t xml:space="preserve"> 3</w:t>
            </w:r>
          </w:p>
          <w:p w14:paraId="1C7E65F7" w14:textId="6B7C706D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 w:rsidRPr="00C3754B">
              <w:rPr>
                <w:sz w:val="18"/>
                <w:szCs w:val="18"/>
              </w:rPr>
              <w:t>(</w:t>
            </w:r>
            <w:r w:rsidRPr="00395F94">
              <w:rPr>
                <w:sz w:val="18"/>
                <w:szCs w:val="18"/>
              </w:rPr>
              <w:t>1 of the items</w:t>
            </w:r>
            <w:r w:rsidRPr="00C3754B">
              <w:rPr>
                <w:sz w:val="18"/>
                <w:szCs w:val="18"/>
              </w:rPr>
              <w:t>)</w:t>
            </w:r>
          </w:p>
        </w:tc>
        <w:tc>
          <w:tcPr>
            <w:tcW w:w="5107" w:type="dxa"/>
            <w:tcBorders>
              <w:top w:val="single" w:sz="4" w:space="0" w:color="auto"/>
              <w:bottom w:val="single" w:sz="4" w:space="0" w:color="auto"/>
            </w:tcBorders>
          </w:tcPr>
          <w:p w14:paraId="5514FBCD" w14:textId="77777777" w:rsidR="000A567F" w:rsidRPr="00395F94" w:rsidRDefault="000A567F" w:rsidP="000A567F">
            <w:pPr>
              <w:numPr>
                <w:ilvl w:val="0"/>
                <w:numId w:val="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395F94">
              <w:rPr>
                <w:sz w:val="18"/>
                <w:szCs w:val="18"/>
              </w:rPr>
              <w:t>pleural effusion requiring thoracentesis</w:t>
            </w:r>
          </w:p>
          <w:p w14:paraId="210CB972" w14:textId="77777777" w:rsidR="000A567F" w:rsidRPr="00395F94" w:rsidRDefault="000A567F" w:rsidP="000A567F">
            <w:pPr>
              <w:numPr>
                <w:ilvl w:val="0"/>
                <w:numId w:val="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395F94">
              <w:rPr>
                <w:sz w:val="18"/>
                <w:szCs w:val="18"/>
              </w:rPr>
              <w:t>pneumonia: radiological confirmation (two independent experts) plus clinical symptoms (two of the following: leukocytosis or leukopenia, abnormal temperature, purulent discharge) plus isolation of the causative agent (G+ or G- culture) or necessary change of antibiotic therapy</w:t>
            </w:r>
          </w:p>
          <w:p w14:paraId="00331951" w14:textId="77777777" w:rsidR="000A567F" w:rsidRPr="00395F94" w:rsidRDefault="000A567F" w:rsidP="000A567F">
            <w:pPr>
              <w:numPr>
                <w:ilvl w:val="0"/>
                <w:numId w:val="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395F94">
              <w:rPr>
                <w:sz w:val="18"/>
                <w:szCs w:val="18"/>
              </w:rPr>
              <w:t>pneumothorax</w:t>
            </w:r>
          </w:p>
          <w:p w14:paraId="435EF62B" w14:textId="77777777" w:rsidR="000A567F" w:rsidRPr="00395F94" w:rsidRDefault="000A567F" w:rsidP="000A567F">
            <w:pPr>
              <w:numPr>
                <w:ilvl w:val="0"/>
                <w:numId w:val="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395F94">
              <w:rPr>
                <w:sz w:val="18"/>
                <w:szCs w:val="18"/>
              </w:rPr>
              <w:t>prolonged non-invasive ventilation due to all three reasons: a) SpO</w:t>
            </w:r>
            <w:r w:rsidRPr="001F0F74">
              <w:rPr>
                <w:sz w:val="18"/>
                <w:szCs w:val="18"/>
                <w:vertAlign w:val="subscript"/>
              </w:rPr>
              <w:t>2</w:t>
            </w:r>
            <w:r w:rsidRPr="00395F94">
              <w:rPr>
                <w:sz w:val="18"/>
                <w:szCs w:val="18"/>
              </w:rPr>
              <w:t> ≤ 92% on oxygen supplementation, b) oxygen supplementation &gt;5L, c) RR≥30 bpm</w:t>
            </w:r>
          </w:p>
          <w:p w14:paraId="381A8162" w14:textId="2D169CE0" w:rsidR="000A567F" w:rsidRPr="00F220D4" w:rsidRDefault="000A567F" w:rsidP="000A567F">
            <w:pPr>
              <w:pStyle w:val="MDPI42tablebody"/>
              <w:numPr>
                <w:ilvl w:val="0"/>
                <w:numId w:val="3"/>
              </w:numPr>
              <w:spacing w:line="240" w:lineRule="auto"/>
              <w:jc w:val="left"/>
            </w:pPr>
            <w:r w:rsidRPr="00395F94">
              <w:rPr>
                <w:sz w:val="18"/>
                <w:szCs w:val="18"/>
              </w:rPr>
              <w:t>postoperative intubation or reintubation, i.e. dependence on mechanical ventilation (invasive or non-invasive) lasting less than 48 hours</w:t>
            </w:r>
          </w:p>
        </w:tc>
      </w:tr>
      <w:tr w:rsidR="000A567F" w:rsidRPr="00904B95" w14:paraId="0923C986" w14:textId="77777777" w:rsidTr="00426EA1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14:paraId="5A0E40D2" w14:textId="1FF1F265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 w:rsidRPr="00C3754B">
              <w:rPr>
                <w:b/>
                <w:bCs/>
                <w:sz w:val="18"/>
                <w:szCs w:val="18"/>
              </w:rPr>
              <w:t>Grad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C3754B">
              <w:rPr>
                <w:b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5107" w:type="dxa"/>
            <w:tcBorders>
              <w:top w:val="single" w:sz="4" w:space="0" w:color="auto"/>
              <w:bottom w:val="single" w:sz="4" w:space="0" w:color="auto"/>
            </w:tcBorders>
          </w:tcPr>
          <w:p w14:paraId="6FD99486" w14:textId="578D09A7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 w:rsidRPr="00395F94">
              <w:rPr>
                <w:sz w:val="18"/>
                <w:szCs w:val="18"/>
              </w:rPr>
              <w:t>Ventilatory insufficiency: postoperative dependence on mechanical ventilation for more than 48 hours or reintubation with subsequent dependence on mechanical ventilation for more than 48 hours</w:t>
            </w:r>
          </w:p>
        </w:tc>
      </w:tr>
      <w:tr w:rsidR="000A567F" w:rsidRPr="00904B95" w14:paraId="05CBD127" w14:textId="77777777" w:rsidTr="00426EA1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14:paraId="1807A23B" w14:textId="1FECDCA4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 w:rsidRPr="00C3754B">
              <w:rPr>
                <w:b/>
                <w:bCs/>
                <w:sz w:val="18"/>
                <w:szCs w:val="18"/>
              </w:rPr>
              <w:t>Grad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C3754B">
              <w:rPr>
                <w:b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5107" w:type="dxa"/>
            <w:tcBorders>
              <w:top w:val="single" w:sz="4" w:space="0" w:color="auto"/>
              <w:bottom w:val="single" w:sz="4" w:space="0" w:color="auto"/>
            </w:tcBorders>
          </w:tcPr>
          <w:p w14:paraId="77E776F7" w14:textId="58B8220F" w:rsidR="000A567F" w:rsidRPr="00F220D4" w:rsidRDefault="000A567F" w:rsidP="000A567F">
            <w:pPr>
              <w:pStyle w:val="MDPI42tablebody"/>
              <w:spacing w:line="240" w:lineRule="auto"/>
              <w:jc w:val="left"/>
            </w:pPr>
            <w:r>
              <w:rPr>
                <w:sz w:val="18"/>
                <w:szCs w:val="18"/>
              </w:rPr>
              <w:t>D</w:t>
            </w:r>
            <w:r w:rsidRPr="00395F94">
              <w:rPr>
                <w:sz w:val="18"/>
                <w:szCs w:val="18"/>
              </w:rPr>
              <w:t>eath before hospital discharge</w:t>
            </w:r>
          </w:p>
        </w:tc>
      </w:tr>
    </w:tbl>
    <w:p w14:paraId="1834C492" w14:textId="35542208" w:rsidR="003D2B75" w:rsidRDefault="003D2B75" w:rsidP="000A567F">
      <w:pPr>
        <w:pStyle w:val="MDPI43tablefooter"/>
        <w:ind w:left="0"/>
      </w:pPr>
    </w:p>
    <w:p w14:paraId="77AA5A3B" w14:textId="77777777" w:rsidR="003D2B75" w:rsidRDefault="003D2B75">
      <w:pPr>
        <w:spacing w:after="160" w:line="259" w:lineRule="auto"/>
        <w:jc w:val="left"/>
        <w:rPr>
          <w:rFonts w:eastAsia="Times New Roman" w:cs="Cordia New"/>
          <w:noProof w:val="0"/>
          <w:sz w:val="18"/>
          <w:szCs w:val="22"/>
          <w:lang w:eastAsia="de-DE" w:bidi="en-US"/>
        </w:rPr>
      </w:pPr>
      <w:r>
        <w:br w:type="page"/>
      </w:r>
    </w:p>
    <w:p w14:paraId="18B2146C" w14:textId="77777777" w:rsidR="00BC6F0D" w:rsidRPr="00BC6F0D" w:rsidRDefault="00BC6F0D">
      <w:pPr>
        <w:spacing w:after="160" w:line="259" w:lineRule="auto"/>
        <w:jc w:val="left"/>
        <w:rPr>
          <w:b/>
          <w:color w:val="auto"/>
          <w:sz w:val="18"/>
          <w:szCs w:val="18"/>
        </w:rPr>
      </w:pPr>
      <w:r w:rsidRPr="00BC6F0D">
        <w:rPr>
          <w:b/>
          <w:bCs/>
          <w:color w:val="auto"/>
          <w:sz w:val="18"/>
          <w:szCs w:val="18"/>
        </w:rPr>
        <w:lastRenderedPageBreak/>
        <w:t>Figure S1:</w:t>
      </w:r>
      <w:r w:rsidRPr="00BC6F0D">
        <w:rPr>
          <w:b/>
          <w:color w:val="auto"/>
          <w:sz w:val="18"/>
          <w:szCs w:val="18"/>
        </w:rPr>
        <w:t xml:space="preserve"> </w:t>
      </w:r>
      <w:r w:rsidRPr="00BC6F0D">
        <w:rPr>
          <w:bCs/>
          <w:color w:val="auto"/>
          <w:sz w:val="18"/>
          <w:szCs w:val="18"/>
        </w:rPr>
        <w:t>PPC by grade</w:t>
      </w:r>
      <w:r w:rsidRPr="00BC6F0D">
        <w:rPr>
          <w:b/>
          <w:color w:val="auto"/>
          <w:sz w:val="18"/>
          <w:szCs w:val="18"/>
        </w:rPr>
        <w:t>.</w:t>
      </w:r>
    </w:p>
    <w:p w14:paraId="3A4E9852" w14:textId="0746601A" w:rsidR="00F87A3A" w:rsidRDefault="00BC6F0D">
      <w:pPr>
        <w:spacing w:after="160" w:line="259" w:lineRule="auto"/>
        <w:jc w:val="left"/>
        <w:rPr>
          <w:rFonts w:eastAsia="Times New Roman" w:cs="Cordia New"/>
          <w:b/>
          <w:noProof w:val="0"/>
          <w:color w:val="auto"/>
          <w:sz w:val="18"/>
          <w:szCs w:val="22"/>
          <w:lang w:eastAsia="de-DE" w:bidi="en-US"/>
        </w:rPr>
      </w:pPr>
      <w:r>
        <w:rPr>
          <w:b/>
          <w:color w:val="auto"/>
          <w14:ligatures w14:val="standardContextual"/>
        </w:rPr>
        <w:drawing>
          <wp:inline distT="0" distB="0" distL="0" distR="0" wp14:anchorId="31E182F7" wp14:editId="16F9BADD">
            <wp:extent cx="5458744" cy="3369458"/>
            <wp:effectExtent l="0" t="0" r="8890" b="2540"/>
            <wp:docPr id="473090817" name="Picture 1" descr="A chart of a number of colored squar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090817" name="Picture 1" descr="A chart of a number of colored squares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8744" cy="3369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7A3A">
        <w:rPr>
          <w:b/>
          <w:color w:val="auto"/>
        </w:rPr>
        <w:br w:type="page"/>
      </w:r>
    </w:p>
    <w:p w14:paraId="0E1ACDC1" w14:textId="5D55A959" w:rsidR="000A567F" w:rsidRPr="003604C6" w:rsidRDefault="004C7462" w:rsidP="000A567F">
      <w:pPr>
        <w:pStyle w:val="MDPI43tablefooter"/>
        <w:ind w:left="0"/>
        <w:rPr>
          <w:snapToGrid w:val="0"/>
          <w:color w:val="auto"/>
          <w:szCs w:val="18"/>
        </w:rPr>
      </w:pPr>
      <w:r w:rsidRPr="003604C6">
        <w:rPr>
          <w:b/>
          <w:color w:val="auto"/>
        </w:rPr>
        <w:lastRenderedPageBreak/>
        <w:t>Figure S</w:t>
      </w:r>
      <w:r w:rsidR="00F87A3A">
        <w:rPr>
          <w:b/>
          <w:color w:val="auto"/>
        </w:rPr>
        <w:t>2</w:t>
      </w:r>
      <w:r w:rsidRPr="003604C6">
        <w:rPr>
          <w:b/>
          <w:color w:val="auto"/>
          <w:lang w:val="sr-Latn-RS"/>
        </w:rPr>
        <w:t>:</w:t>
      </w:r>
      <w:r w:rsidRPr="003604C6">
        <w:rPr>
          <w:color w:val="auto"/>
        </w:rPr>
        <w:t xml:space="preserve"> </w:t>
      </w:r>
      <w:r w:rsidR="00627CE8" w:rsidRPr="003604C6">
        <w:rPr>
          <w:snapToGrid w:val="0"/>
          <w:color w:val="auto"/>
          <w:szCs w:val="18"/>
        </w:rPr>
        <w:t>Dynamics of inflammatory markers</w:t>
      </w:r>
    </w:p>
    <w:p w14:paraId="108F93C5" w14:textId="77777777" w:rsidR="008E432A" w:rsidRDefault="008E432A" w:rsidP="008E432A">
      <w:pPr>
        <w:pStyle w:val="MDPI31text"/>
        <w:ind w:left="0" w:firstLine="0"/>
      </w:pPr>
    </w:p>
    <w:p w14:paraId="573EB063" w14:textId="09CE8D34" w:rsidR="008E432A" w:rsidRPr="008E432A" w:rsidRDefault="002A19D4" w:rsidP="008E432A">
      <w:pPr>
        <w:pStyle w:val="MDPI31text"/>
        <w:ind w:left="0" w:firstLine="0"/>
      </w:pPr>
      <w:r>
        <w:rPr>
          <w:noProof/>
          <w:snapToGrid/>
          <w14:ligatures w14:val="standardContextual"/>
        </w:rPr>
        <w:drawing>
          <wp:inline distT="0" distB="0" distL="0" distR="0" wp14:anchorId="540BBA10" wp14:editId="60B555FC">
            <wp:extent cx="5943600" cy="5165090"/>
            <wp:effectExtent l="0" t="0" r="0" b="0"/>
            <wp:docPr id="1637459974" name="Picture 1" descr="A group of graphs showing different types of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459974" name="Picture 1" descr="A group of graphs showing different types of lines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6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B318E" w14:textId="744A5D34" w:rsidR="00B912B6" w:rsidRDefault="00B912B6">
      <w:pPr>
        <w:spacing w:after="160" w:line="259" w:lineRule="auto"/>
        <w:jc w:val="left"/>
        <w:rPr>
          <w:rFonts w:eastAsia="Times New Roman"/>
          <w:noProof w:val="0"/>
          <w:snapToGrid w:val="0"/>
          <w:szCs w:val="22"/>
          <w:lang w:eastAsia="de-DE" w:bidi="en-US"/>
        </w:rPr>
      </w:pPr>
      <w:r>
        <w:br w:type="page"/>
      </w:r>
    </w:p>
    <w:p w14:paraId="5F4CC582" w14:textId="610A87D4" w:rsidR="00F417D1" w:rsidRPr="003604C6" w:rsidRDefault="00F417D1" w:rsidP="00F417D1">
      <w:pPr>
        <w:pStyle w:val="MDPI43tablefooter"/>
        <w:ind w:left="0"/>
        <w:rPr>
          <w:snapToGrid w:val="0"/>
          <w:color w:val="auto"/>
          <w:szCs w:val="18"/>
        </w:rPr>
      </w:pPr>
      <w:r w:rsidRPr="003604C6">
        <w:rPr>
          <w:b/>
          <w:color w:val="auto"/>
        </w:rPr>
        <w:lastRenderedPageBreak/>
        <w:t>Figure S</w:t>
      </w:r>
      <w:r w:rsidR="00F87A3A">
        <w:rPr>
          <w:b/>
          <w:color w:val="auto"/>
        </w:rPr>
        <w:t>3</w:t>
      </w:r>
      <w:r w:rsidRPr="003604C6">
        <w:rPr>
          <w:b/>
          <w:color w:val="auto"/>
          <w:lang w:val="sr-Latn-RS"/>
        </w:rPr>
        <w:t>:</w:t>
      </w:r>
      <w:r w:rsidRPr="003604C6">
        <w:rPr>
          <w:color w:val="auto"/>
        </w:rPr>
        <w:t xml:space="preserve"> </w:t>
      </w:r>
      <w:r w:rsidRPr="003604C6">
        <w:rPr>
          <w:snapToGrid w:val="0"/>
          <w:color w:val="auto"/>
          <w:szCs w:val="18"/>
        </w:rPr>
        <w:t>Dynamics of GFR &lt; 60mL/min</w:t>
      </w:r>
    </w:p>
    <w:p w14:paraId="7A8C177F" w14:textId="77777777" w:rsidR="00F417D1" w:rsidRDefault="00F417D1" w:rsidP="00F417D1">
      <w:pPr>
        <w:pStyle w:val="MDPI31text"/>
        <w:ind w:left="0" w:firstLine="0"/>
      </w:pPr>
    </w:p>
    <w:p w14:paraId="060265A1" w14:textId="77090C50" w:rsidR="00F417D1" w:rsidRPr="00F417D1" w:rsidRDefault="003604C6" w:rsidP="00F417D1">
      <w:pPr>
        <w:pStyle w:val="MDPI31text"/>
        <w:ind w:left="0" w:firstLine="0"/>
      </w:pPr>
      <w:r>
        <w:rPr>
          <w:noProof/>
          <w:snapToGrid/>
          <w14:ligatures w14:val="standardContextual"/>
        </w:rPr>
        <w:drawing>
          <wp:inline distT="0" distB="0" distL="0" distR="0" wp14:anchorId="312A51B3" wp14:editId="61753359">
            <wp:extent cx="4580357" cy="2751539"/>
            <wp:effectExtent l="0" t="0" r="0" b="0"/>
            <wp:docPr id="1789090259" name="Picture 2" descr="A graph of numbers and a number of individua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090259" name="Picture 2" descr="A graph of numbers and a number of individuals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357" cy="275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2A856" w14:textId="77777777" w:rsidR="00F417D1" w:rsidRPr="008E432A" w:rsidRDefault="00F417D1" w:rsidP="00F417D1">
      <w:pPr>
        <w:pStyle w:val="MDPI31text"/>
        <w:ind w:left="0" w:firstLine="0"/>
      </w:pPr>
    </w:p>
    <w:sectPr w:rsidR="00F417D1" w:rsidRPr="008E4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4D8E"/>
    <w:multiLevelType w:val="hybridMultilevel"/>
    <w:tmpl w:val="27483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E64CBE"/>
    <w:multiLevelType w:val="hybridMultilevel"/>
    <w:tmpl w:val="84427E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956AD7"/>
    <w:multiLevelType w:val="hybridMultilevel"/>
    <w:tmpl w:val="B30C55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CF4E8F"/>
    <w:multiLevelType w:val="hybridMultilevel"/>
    <w:tmpl w:val="0DF83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000F0C"/>
    <w:multiLevelType w:val="hybridMultilevel"/>
    <w:tmpl w:val="C4741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782A0F"/>
    <w:multiLevelType w:val="hybridMultilevel"/>
    <w:tmpl w:val="6EDAF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D0B13"/>
    <w:multiLevelType w:val="hybridMultilevel"/>
    <w:tmpl w:val="0FA232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9592444">
    <w:abstractNumId w:val="4"/>
  </w:num>
  <w:num w:numId="2" w16cid:durableId="1420104811">
    <w:abstractNumId w:val="6"/>
  </w:num>
  <w:num w:numId="3" w16cid:durableId="1914929136">
    <w:abstractNumId w:val="0"/>
  </w:num>
  <w:num w:numId="4" w16cid:durableId="72972203">
    <w:abstractNumId w:val="1"/>
  </w:num>
  <w:num w:numId="5" w16cid:durableId="1296137615">
    <w:abstractNumId w:val="3"/>
  </w:num>
  <w:num w:numId="6" w16cid:durableId="1855147922">
    <w:abstractNumId w:val="5"/>
  </w:num>
  <w:num w:numId="7" w16cid:durableId="2024505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Q3sTQzNTYwMjU3NLVQ0lEKTi0uzszPAymwqAUAqQGkIiwAAAA="/>
  </w:docVars>
  <w:rsids>
    <w:rsidRoot w:val="000A567F"/>
    <w:rsid w:val="000A567F"/>
    <w:rsid w:val="000D03D7"/>
    <w:rsid w:val="001A40BD"/>
    <w:rsid w:val="001F0F74"/>
    <w:rsid w:val="002716B6"/>
    <w:rsid w:val="002A19D4"/>
    <w:rsid w:val="00350EA0"/>
    <w:rsid w:val="003604C6"/>
    <w:rsid w:val="003D2B75"/>
    <w:rsid w:val="00426EA1"/>
    <w:rsid w:val="0044189B"/>
    <w:rsid w:val="004C3F38"/>
    <w:rsid w:val="004C7462"/>
    <w:rsid w:val="00592BA1"/>
    <w:rsid w:val="00627CE8"/>
    <w:rsid w:val="00657B73"/>
    <w:rsid w:val="008E432A"/>
    <w:rsid w:val="009D3BC6"/>
    <w:rsid w:val="00B912B6"/>
    <w:rsid w:val="00BC2815"/>
    <w:rsid w:val="00BC6F0D"/>
    <w:rsid w:val="00BE34B5"/>
    <w:rsid w:val="00D7748C"/>
    <w:rsid w:val="00F417D1"/>
    <w:rsid w:val="00F8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0E611"/>
  <w15:chartTrackingRefBased/>
  <w15:docId w15:val="{343C5602-8BBA-4E95-A7E7-3BFB1198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7F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0A567F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41tablecaption">
    <w:name w:val="MDPI_4.1_table_caption"/>
    <w:qFormat/>
    <w:rsid w:val="000A567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  <w14:ligatures w14:val="none"/>
    </w:rPr>
  </w:style>
  <w:style w:type="paragraph" w:customStyle="1" w:styleId="MDPI42tablebody">
    <w:name w:val="MDPI_4.2_table_body"/>
    <w:qFormat/>
    <w:rsid w:val="000A567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43tablefooter">
    <w:name w:val="MDPI_4.3_table_footer"/>
    <w:next w:val="MDPI31text"/>
    <w:qFormat/>
    <w:rsid w:val="000A567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  <w14:ligatures w14:val="none"/>
    </w:rPr>
  </w:style>
  <w:style w:type="paragraph" w:customStyle="1" w:styleId="MDPI22heading2">
    <w:name w:val="MDPI_2.2_heading2"/>
    <w:qFormat/>
    <w:rsid w:val="000A567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  <w14:ligatures w14:val="none"/>
    </w:rPr>
  </w:style>
  <w:style w:type="paragraph" w:styleId="ListParagraph">
    <w:name w:val="List Paragraph"/>
    <w:basedOn w:val="Normal"/>
    <w:uiPriority w:val="34"/>
    <w:qFormat/>
    <w:rsid w:val="000A5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Kocica</dc:creator>
  <cp:keywords/>
  <dc:description/>
  <cp:lastModifiedBy>Mladen Kocica</cp:lastModifiedBy>
  <cp:revision>24</cp:revision>
  <cp:lastPrinted>2024-01-24T23:55:00Z</cp:lastPrinted>
  <dcterms:created xsi:type="dcterms:W3CDTF">2024-01-14T23:47:00Z</dcterms:created>
  <dcterms:modified xsi:type="dcterms:W3CDTF">2024-01-24T23:55:00Z</dcterms:modified>
</cp:coreProperties>
</file>