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B3E8" w14:textId="6AB0A1DD" w:rsidR="0038477E" w:rsidRPr="005342A5" w:rsidRDefault="005D790F" w:rsidP="0038477E">
      <w:pPr>
        <w:pStyle w:val="Heading2"/>
        <w:rPr>
          <w:rFonts w:asciiTheme="minorHAnsi" w:hAnsiTheme="minorHAnsi" w:cstheme="minorHAnsi"/>
          <w:b/>
          <w:color w:val="auto"/>
          <w:lang w:val="en-US"/>
        </w:rPr>
      </w:pPr>
      <w:bookmarkStart w:id="0" w:name="_Hlk105422945"/>
      <w:r>
        <w:rPr>
          <w:rFonts w:asciiTheme="minorHAnsi" w:hAnsiTheme="minorHAnsi" w:cstheme="minorHAnsi"/>
          <w:b/>
          <w:color w:val="auto"/>
          <w:lang w:val="en-US"/>
        </w:rPr>
        <w:t>Supplementary Material</w:t>
      </w:r>
      <w:r w:rsidR="009C32EC" w:rsidRPr="005342A5">
        <w:rPr>
          <w:rFonts w:asciiTheme="minorHAnsi" w:hAnsiTheme="minorHAnsi" w:cstheme="minorHAnsi"/>
          <w:b/>
          <w:color w:val="auto"/>
          <w:lang w:val="en-US"/>
        </w:rPr>
        <w:t xml:space="preserve"> </w:t>
      </w:r>
    </w:p>
    <w:p w14:paraId="2030ABA4" w14:textId="77777777" w:rsidR="0038477E" w:rsidRPr="005342A5" w:rsidRDefault="0038477E" w:rsidP="0038477E">
      <w:pPr>
        <w:rPr>
          <w:lang w:val="en-US"/>
        </w:rPr>
      </w:pPr>
    </w:p>
    <w:p w14:paraId="69F40A97" w14:textId="51D2F73E" w:rsidR="00E02FDF" w:rsidRPr="005342A5" w:rsidRDefault="00E02FDF" w:rsidP="00E02FDF">
      <w:pPr>
        <w:pStyle w:val="Heading2"/>
        <w:numPr>
          <w:ilvl w:val="0"/>
          <w:numId w:val="21"/>
        </w:numPr>
        <w:rPr>
          <w:b/>
          <w:bCs/>
          <w:color w:val="auto"/>
          <w:lang w:val="en-US"/>
        </w:rPr>
      </w:pPr>
      <w:r w:rsidRPr="005342A5">
        <w:rPr>
          <w:b/>
          <w:bCs/>
          <w:color w:val="auto"/>
          <w:lang w:val="en-US"/>
        </w:rPr>
        <w:t>General description</w:t>
      </w:r>
    </w:p>
    <w:p w14:paraId="33FCF7E2" w14:textId="24443B51" w:rsidR="00B91160" w:rsidRPr="00CF6570" w:rsidRDefault="0038477E" w:rsidP="0038477E">
      <w:pPr>
        <w:rPr>
          <w:lang w:val="en-US"/>
        </w:rPr>
      </w:pPr>
      <w:r w:rsidRPr="005342A5">
        <w:rPr>
          <w:lang w:val="en-US"/>
        </w:rPr>
        <w:t>The current document describes a</w:t>
      </w:r>
      <w:r w:rsidR="00B91160" w:rsidRPr="005342A5">
        <w:rPr>
          <w:lang w:val="en-US"/>
        </w:rPr>
        <w:t xml:space="preserve"> </w:t>
      </w:r>
      <w:r w:rsidR="008D3817" w:rsidRPr="005342A5">
        <w:rPr>
          <w:lang w:val="en-US"/>
        </w:rPr>
        <w:t>network</w:t>
      </w:r>
      <w:r w:rsidR="00B91160" w:rsidRPr="005342A5">
        <w:rPr>
          <w:lang w:val="en-US"/>
        </w:rPr>
        <w:t>-based</w:t>
      </w:r>
      <w:r w:rsidRPr="005342A5">
        <w:rPr>
          <w:lang w:val="en-US"/>
        </w:rPr>
        <w:t xml:space="preserve"> model for </w:t>
      </w:r>
      <w:r w:rsidR="00EA0A5F">
        <w:rPr>
          <w:lang w:val="en-US"/>
        </w:rPr>
        <w:t xml:space="preserve">estimating the duration of partnerships among </w:t>
      </w:r>
      <w:r w:rsidRPr="005342A5">
        <w:rPr>
          <w:lang w:val="en-US"/>
        </w:rPr>
        <w:t>men who have sex with men (MSM) and the modules accompanying it. The whole project is developed as an extension of the EpiModel platform (</w:t>
      </w:r>
      <w:hyperlink r:id="rId8" w:history="1">
        <w:r w:rsidRPr="005342A5">
          <w:rPr>
            <w:lang w:val="en-US"/>
          </w:rPr>
          <w:t>https://www.epimodel.org/</w:t>
        </w:r>
      </w:hyperlink>
      <w:r w:rsidRPr="005342A5">
        <w:rPr>
          <w:lang w:val="en-US"/>
        </w:rPr>
        <w:t>)</w:t>
      </w:r>
      <w:r w:rsidR="00EA0A5F">
        <w:rPr>
          <w:lang w:val="en-US"/>
        </w:rPr>
        <w:t>. T</w:t>
      </w:r>
      <w:r w:rsidRPr="005342A5">
        <w:rPr>
          <w:lang w:val="en-US"/>
        </w:rPr>
        <w:t>he current project uses the statistical framework of separable temporal exponential-family random graph models</w:t>
      </w:r>
      <w:r w:rsidR="00B91160" w:rsidRPr="005342A5">
        <w:rPr>
          <w:lang w:val="en-US"/>
        </w:rPr>
        <w:t xml:space="preserve"> (STERGMs)</w:t>
      </w:r>
      <w:r w:rsidRPr="005342A5">
        <w:rPr>
          <w:lang w:val="en-US"/>
        </w:rPr>
        <w:t xml:space="preserve"> to fit and simulate dynamic networks</w:t>
      </w:r>
      <w:r w:rsidR="009C5A52">
        <w:rPr>
          <w:lang w:val="en-US"/>
        </w:rPr>
        <w:fldChar w:fldCharType="begin" w:fldLock="1"/>
      </w:r>
      <w:r w:rsidR="00CA43B3">
        <w:rPr>
          <w:lang w:val="en-US"/>
        </w:rPr>
        <w:instrText>ADDIN CSL_CITATION {"citationItems":[{"id":"ITEM-1","itemData":{"DOI":"10.1111/rssb.12014","ISSN":"13697412","abstract":"Models of dynamic networks-networks that evolve over time-have manifold applications. We develop a discrete time generative model for social network evolution that inherits the richness and flexibility of the class of exponential family random-graph models. The model-a separable temporal exponential family random-graph model-facilitates separable modelling of the tie duration distributions and the structural dynamics of tie formation. We develop likelihood-based inference for the model and provide computational algorithms for maximum likelihood estimation. We illustrate the interpretability of the model in analysing a longitudinal network of friendship ties within a school. © 2013 Royal Statistical Society.","author":[{"dropping-particle":"","family":"Krivitsky","given":"Pavel N.","non-dropping-particle":"","parse-names":false,"suffix":""},{"dropping-particle":"","family":"Handcock","given":"Mark S.","non-dropping-particle":"","parse-names":false,"suffix":""}],"container-title":"Journal of the Royal Statistical Society. Series B: Statistical Methodology","id":"ITEM-1","issue":"1","issued":{"date-parts":[["2014"]]},"page":"29-46","title":"A separable model for dynamic networks","type":"article-journal","volume":"76"},"uris":["http://www.mendeley.com/documents/?uuid=1f57e140-ee66-4735-92dd-310b8dcbd359"]},{"id":"ITEM-2","itemData":{"DOI":"10.18637/jss.v024.i03","ISSN":"15487660","PMID":"19756229","abstract":"We describe some of the capabilities of the ergm package and the statistical theory underlying it. This package contains tools for accomplishing three important, and interrelated, tasks involving exponential-family random graph models (ERGMs): estimation, simulation, and goodness of fit. More precisely, ergm has the capability of approximating a maximum likelihood estimator for an ERGM given a network data set; simulating new network data sets from a fitted ERGM using Markov chain Monte Carlo; and assessing how well a fitted ERGM does at capturing characteristics of a particular network data set.","author":[{"dropping-particle":"","family":"Hunter","given":"David R.","non-dropping-particle":"","parse-names":false,"suffix":""},{"dropping-particle":"","family":"Handcock","given":"Mark S.","non-dropping-particle":"","parse-names":false,"suffix":""},{"dropping-particle":"","family":"Butts","given":"Carter T.","non-dropping-particle":"","parse-names":false,"suffix":""},{"dropping-particle":"","family":"Goodreau","given":"Steven M.","non-dropping-particle":"","parse-names":false,"suffix":""},{"dropping-particle":"","family":"Morris","given":"Martina","non-dropping-particle":"","parse-names":false,"suffix":""}],"container-title":"Journal of Statistical Software","id":"ITEM-2","issue":"3","issued":{"date-parts":[["2008"]]},"page":"1-29","title":"ergm: A package to fit, simulate and diagnose exponential-family models for networks","type":"article-journal","volume":"24"},"uris":["http://www.mendeley.com/documents/?uuid=fa439736-067c-4b30-b2e4-c50d3597bdff"]}],"mendeley":{"formattedCitation":"&lt;sup&gt;1,2&lt;/sup&gt;","plainTextFormattedCitation":"1,2","previouslyFormattedCitation":"&lt;sup&gt;1,2&lt;/sup&gt;"},"properties":{"noteIndex":0},"schema":"https://github.com/citation-style-language/schema/raw/master/csl-citation.json"}</w:instrText>
      </w:r>
      <w:r w:rsidR="009C5A52">
        <w:rPr>
          <w:lang w:val="en-US"/>
        </w:rPr>
        <w:fldChar w:fldCharType="separate"/>
      </w:r>
      <w:r w:rsidR="009C5A52" w:rsidRPr="009C5A52">
        <w:rPr>
          <w:noProof/>
          <w:vertAlign w:val="superscript"/>
          <w:lang w:val="en-US"/>
        </w:rPr>
        <w:t>1,2</w:t>
      </w:r>
      <w:r w:rsidR="009C5A52">
        <w:rPr>
          <w:lang w:val="en-US"/>
        </w:rPr>
        <w:fldChar w:fldCharType="end"/>
      </w:r>
      <w:r w:rsidRPr="005342A5">
        <w:rPr>
          <w:lang w:val="en-US"/>
        </w:rPr>
        <w:t xml:space="preserve">. </w:t>
      </w:r>
      <w:r w:rsidR="003053C5" w:rsidRPr="005342A5">
        <w:rPr>
          <w:lang w:val="en-US"/>
        </w:rPr>
        <w:t>The framework has been extensively described in Goodreau</w:t>
      </w:r>
      <w:r w:rsidR="00F32E41" w:rsidRPr="005342A5">
        <w:rPr>
          <w:lang w:val="en-US"/>
        </w:rPr>
        <w:t xml:space="preserve"> et al</w:t>
      </w:r>
      <w:r w:rsidR="00996386" w:rsidRPr="005342A5">
        <w:rPr>
          <w:lang w:val="en-US"/>
        </w:rPr>
        <w:fldChar w:fldCharType="begin" w:fldLock="1"/>
      </w:r>
      <w:r w:rsidR="00CA43B3">
        <w:rPr>
          <w:lang w:val="en-US"/>
        </w:rPr>
        <w:instrText>ADDIN CSL_CITATION {"citationItems":[{"id":"ITEM-1","itemData":{"DOI":"10.1371/journal.pone.0050522","ISSN":"19326203","PMID":"23209768","abstract":"In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 © 2012 Goodreau et al.","author":[{"dropping-particle":"","family":"Goodreau","given":"Steven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ONE","id":"ITEM-1","issue":"11","issued":{"date-parts":[["2012"]]},"title":"What Drives the US and Peruvian HIV Epidemics in Men Who Have Sex with Men (MSM)?","type":"article-journal","volume":"7"},"uris":["http://www.mendeley.com/documents/?uuid=e1fe2720-48a0-4afd-9317-673d1e7c4791"]}],"mendeley":{"formattedCitation":"&lt;sup&gt;3&lt;/sup&gt;","plainTextFormattedCitation":"3","previouslyFormattedCitation":"&lt;sup&gt;3&lt;/sup&gt;"},"properties":{"noteIndex":0},"schema":"https://github.com/citation-style-language/schema/raw/master/csl-citation.json"}</w:instrText>
      </w:r>
      <w:r w:rsidR="00996386" w:rsidRPr="005342A5">
        <w:rPr>
          <w:lang w:val="en-US"/>
        </w:rPr>
        <w:fldChar w:fldCharType="separate"/>
      </w:r>
      <w:r w:rsidR="009C5A52" w:rsidRPr="009C5A52">
        <w:rPr>
          <w:noProof/>
          <w:vertAlign w:val="superscript"/>
          <w:lang w:val="en-US"/>
        </w:rPr>
        <w:t>3</w:t>
      </w:r>
      <w:r w:rsidR="00996386" w:rsidRPr="005342A5">
        <w:rPr>
          <w:lang w:val="en-US"/>
        </w:rPr>
        <w:fldChar w:fldCharType="end"/>
      </w:r>
      <w:r w:rsidR="00996386" w:rsidRPr="005342A5">
        <w:rPr>
          <w:lang w:val="en-US"/>
        </w:rPr>
        <w:t xml:space="preserve"> and</w:t>
      </w:r>
      <w:r w:rsidR="003053C5" w:rsidRPr="005342A5">
        <w:rPr>
          <w:lang w:val="en-US"/>
        </w:rPr>
        <w:t xml:space="preserve"> Jenness</w:t>
      </w:r>
      <w:r w:rsidR="00996386" w:rsidRPr="005342A5">
        <w:rPr>
          <w:lang w:val="en-US"/>
        </w:rPr>
        <w:t xml:space="preserve"> et al</w:t>
      </w:r>
      <w:r w:rsidR="00996386" w:rsidRPr="005342A5">
        <w:rPr>
          <w:lang w:val="en-US"/>
        </w:rPr>
        <w:fldChar w:fldCharType="begin" w:fldLock="1"/>
      </w:r>
      <w:r w:rsidR="00CA43B3">
        <w:rPr>
          <w:lang w:val="en-US"/>
        </w:rPr>
        <w:instrText>ADDIN CSL_CITATION {"citationItems":[{"id":"ITEM-1","itemData":{"DOI":"10.1093/infdis/jiw223","ISSN":"15376613","PMID":"27418048","abstract":"Background.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NNT.","author":[{"dropping-particle":"","family":"Jenness","given":"Samuel M.","non-dropping-particle":"","parse-names":false,"suffix":""},{"dropping-particle":"","family":"Goodreau","given":"Steven M.","non-dropping-particle":"","parse-names":false,"suffix":""},{"dropping-particle":"","family":"Rosenberg","given":"Eli","non-dropping-particle":"","parse-names":false,"suffix":""},{"dropping-particle":"","family":"Beylerian","given":"Emily N.","non-dropping-particle":"","parse-names":false,"suffix":""},{"dropping-particle":"","family":"Hoover","given":"Karen W.","non-dropping-particle":"","parse-names":false,"suffix":""},{"dropping-particle":"","family":"Smith","given":"Dawn K.","non-dropping-particle":"","parse-names":false,"suffix":""},{"dropping-particle":"","family":"Sullivan","given":"Patrick","non-dropping-particle":"","parse-names":false,"suffix":""}],"container-title":"Journal of Infectious Diseases","id":"ITEM-1","issue":"12","issued":{"date-parts":[["2016"]]},"page":"1800-1807","title":"Impact of the centers for disease control's HIV preexposure prophylaxis guidelines for men who have sex with men in the United States","type":"article-journal","volume":"214"},"uris":["http://www.mendeley.com/documents/?uuid=694050ef-97f4-4ceb-a1ef-d631e55ac98d"]},{"id":"ITEM-2","itemData":{"DOI":"10.1093/cid/cix439","ISSN":"15376591","PMID":"28505240","abstract":"Background. Preexposure prophylaxis (PrEP) is highly effective for preventing human immunodeficiency virus (HIV) infection, but risk compensation (RC) in men who have sex with men (MSM) raises concerns about increased sexually transmitted infections (STIs). The Center for Disease Control and Prevention's (CDC's) PrEP guidelines recommend biannual STI screening, which may reduce incidence by treating STIs that would otherwise remain undiagnosed. We investigated these two counteracting phenomena. Methods. With a network-based mathematical model of HIV, Neisseria gonorrhoeae (NG), and Chlamydia trachomatis (CT) transmission dynamics among MSM in the United States, we simulated PrEP uptake following the prescription indications and HIV/ STI screening recommendations in the CDC guidelines. Scenarios varied PrEP coverage (the proportion of MSM indicated for PrEP who received it), RC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an additional 50%. Conclusions. Implementation of the CDC PrEP guidelines while scaling up PrEP coverage could result in a significant decline in STI incidence among MSM. Our study highlights the design of PrEP not only as antiretroviral medication but as combination HIV/ 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Diseases","id":"ITEM-2","issue":"5","issued":{"date-parts":[["2017"]]},"page":"712-718","title":"Incidence of gonorrhea and chlamydia following human immunodeficiency virus preexposure prophylaxis among men who have sex with men: A modeling study","type":"article-journal","volume":"65"},"uris":["http://www.mendeley.com/documents/?uuid=540db0c7-3605-427b-b2f8-76e71ac042df"]}],"mendeley":{"formattedCitation":"&lt;sup&gt;4,5&lt;/sup&gt;","plainTextFormattedCitation":"4,5","previouslyFormattedCitation":"&lt;sup&gt;4,5&lt;/sup&gt;"},"properties":{"noteIndex":0},"schema":"https://github.com/citation-style-language/schema/raw/master/csl-citation.json"}</w:instrText>
      </w:r>
      <w:r w:rsidR="00996386" w:rsidRPr="005342A5">
        <w:rPr>
          <w:lang w:val="en-US"/>
        </w:rPr>
        <w:fldChar w:fldCharType="separate"/>
      </w:r>
      <w:r w:rsidR="009C5A52" w:rsidRPr="009C5A52">
        <w:rPr>
          <w:noProof/>
          <w:vertAlign w:val="superscript"/>
          <w:lang w:val="en-US"/>
        </w:rPr>
        <w:t>4,5</w:t>
      </w:r>
      <w:r w:rsidR="00996386" w:rsidRPr="005342A5">
        <w:rPr>
          <w:lang w:val="en-US"/>
        </w:rPr>
        <w:fldChar w:fldCharType="end"/>
      </w:r>
      <w:r w:rsidR="00996386" w:rsidRPr="005342A5">
        <w:rPr>
          <w:lang w:val="en-US"/>
        </w:rPr>
        <w:t>,</w:t>
      </w:r>
      <w:r w:rsidR="003053C5" w:rsidRPr="005342A5">
        <w:rPr>
          <w:lang w:val="en-US"/>
        </w:rPr>
        <w:t xml:space="preserve"> as well as in </w:t>
      </w:r>
      <w:r w:rsidRPr="005342A5">
        <w:rPr>
          <w:lang w:val="en-US"/>
        </w:rPr>
        <w:t>the EpiModel page</w:t>
      </w:r>
      <w:r w:rsidR="003053C5" w:rsidRPr="005342A5">
        <w:rPr>
          <w:lang w:val="en-US"/>
        </w:rPr>
        <w:t xml:space="preserve"> </w:t>
      </w:r>
      <w:r w:rsidR="00996386" w:rsidRPr="005342A5">
        <w:rPr>
          <w:lang w:val="en-US"/>
        </w:rPr>
        <w:t>(</w:t>
      </w:r>
      <w:r w:rsidR="00230B3E" w:rsidRPr="005342A5">
        <w:rPr>
          <w:lang w:val="en-US"/>
        </w:rPr>
        <w:t>www.epimodel.org</w:t>
      </w:r>
      <w:r w:rsidR="00996386" w:rsidRPr="005342A5">
        <w:rPr>
          <w:lang w:val="en-US"/>
        </w:rPr>
        <w:t>)</w:t>
      </w:r>
      <w:r w:rsidR="006E0EF9" w:rsidRPr="005342A5">
        <w:rPr>
          <w:lang w:val="en-US"/>
        </w:rPr>
        <w:t xml:space="preserve">. </w:t>
      </w:r>
      <w:r w:rsidR="00CE075F" w:rsidRPr="005342A5">
        <w:rPr>
          <w:lang w:val="en-US"/>
        </w:rPr>
        <w:t xml:space="preserve">Individual attributes related to </w:t>
      </w:r>
      <w:r w:rsidR="000C6DB4">
        <w:rPr>
          <w:lang w:val="en-US"/>
        </w:rPr>
        <w:t>this</w:t>
      </w:r>
      <w:r w:rsidR="000C6DB4" w:rsidRPr="005342A5">
        <w:rPr>
          <w:lang w:val="en-US"/>
        </w:rPr>
        <w:t xml:space="preserve"> </w:t>
      </w:r>
      <w:r w:rsidR="00EA0A5F">
        <w:rPr>
          <w:lang w:val="en-US"/>
        </w:rPr>
        <w:t>partnership formation</w:t>
      </w:r>
      <w:r w:rsidR="00CE075F" w:rsidRPr="005342A5">
        <w:rPr>
          <w:lang w:val="en-US"/>
        </w:rPr>
        <w:t xml:space="preserve"> are stored and updated in discrete time over the course of each epidemic simulation. </w:t>
      </w:r>
      <w:r w:rsidR="006F2023" w:rsidRPr="005342A5">
        <w:rPr>
          <w:lang w:val="en-US"/>
        </w:rPr>
        <w:t xml:space="preserve">Statistical software R </w:t>
      </w:r>
      <w:r w:rsidR="00991B24" w:rsidRPr="005342A5">
        <w:rPr>
          <w:lang w:val="en-US"/>
        </w:rPr>
        <w:t>v.4.3</w:t>
      </w:r>
      <w:r w:rsidR="00FA6CA7" w:rsidRPr="005342A5">
        <w:rPr>
          <w:lang w:val="en-US"/>
        </w:rPr>
        <w:t>.0</w:t>
      </w:r>
      <w:r w:rsidR="00991B24" w:rsidRPr="005342A5">
        <w:rPr>
          <w:lang w:val="en-US"/>
        </w:rPr>
        <w:t xml:space="preserve"> </w:t>
      </w:r>
      <w:r w:rsidR="005060A7" w:rsidRPr="005342A5">
        <w:rPr>
          <w:lang w:val="en-US"/>
        </w:rPr>
        <w:fldChar w:fldCharType="begin" w:fldLock="1"/>
      </w:r>
      <w:r w:rsidR="00CA43B3">
        <w:rPr>
          <w:lang w:val="en-US"/>
        </w:rPr>
        <w:instrText>ADDIN CSL_CITATION {"citationItems":[{"id":"ITEM-1","itemData":{"id":"ITEM-1","issued":{"date-parts":[["0"]]},"title":"R Core Team (2017). R: A language and environment for statistical computing. R Foundation for Statistical Computing, Vienna, Austria. URL https://www.R-project.org/.","type":"article-journal"},"uris":["http://www.mendeley.com/documents/?uuid=698ab7d3-d6bb-4be5-93bf-29d4bc6c5290","http://www.mendeley.com/documents/?uuid=d7753834-9a13-4d0d-b5fa-8873bec2f64c","http://www.mendeley.com/documents/?uuid=9d00a5b6-635f-46f1-a91b-0bfe5b535baf"]}],"mendeley":{"formattedCitation":"&lt;sup&gt;6&lt;/sup&gt;","plainTextFormattedCitation":"6","previouslyFormattedCitation":"&lt;sup&gt;6&lt;/sup&gt;"},"properties":{"noteIndex":0},"schema":"https://github.com/citation-style-language/schema/raw/master/csl-citation.json"}</w:instrText>
      </w:r>
      <w:r w:rsidR="005060A7" w:rsidRPr="005342A5">
        <w:rPr>
          <w:lang w:val="en-US"/>
        </w:rPr>
        <w:fldChar w:fldCharType="separate"/>
      </w:r>
      <w:r w:rsidR="009C5A52" w:rsidRPr="009C5A52">
        <w:rPr>
          <w:noProof/>
          <w:vertAlign w:val="superscript"/>
          <w:lang w:val="en-US"/>
        </w:rPr>
        <w:t>6</w:t>
      </w:r>
      <w:r w:rsidR="005060A7" w:rsidRPr="005342A5">
        <w:rPr>
          <w:lang w:val="en-US"/>
        </w:rPr>
        <w:fldChar w:fldCharType="end"/>
      </w:r>
      <w:r w:rsidR="006F2023" w:rsidRPr="005342A5">
        <w:rPr>
          <w:lang w:val="en-US"/>
        </w:rPr>
        <w:t xml:space="preserve"> and </w:t>
      </w:r>
      <w:r w:rsidR="00036319" w:rsidRPr="005342A5">
        <w:rPr>
          <w:lang w:val="en-US"/>
        </w:rPr>
        <w:t>packages</w:t>
      </w:r>
      <w:r w:rsidR="005060A7" w:rsidRPr="005342A5">
        <w:rPr>
          <w:lang w:val="en-US"/>
        </w:rPr>
        <w:t xml:space="preserve"> Epimodel</w:t>
      </w:r>
      <w:r w:rsidR="005060A7" w:rsidRPr="005342A5">
        <w:rPr>
          <w:lang w:val="en-US"/>
        </w:rPr>
        <w:fldChar w:fldCharType="begin" w:fldLock="1"/>
      </w:r>
      <w:r w:rsidR="00CA43B3">
        <w:rPr>
          <w:lang w:val="en-US"/>
        </w:rPr>
        <w:instrText xml:space="preserve">ADDIN CSL_CITATION {"citationItems":[{"id":"ITEM-1","itemData":{"DOI":"10.18637/jss.v084.i08","ISSN":"15487660","abstract":"Package EpiModel provides tools for building, simulating, and analyzing mathematical models for the population dynamics of infectious disease transmission in R. Several classes of models are included, but the unique contribution of this software package is a general stochastic framework for modeling the spread of epidemics on networks. EpiModel </w:instrText>
      </w:r>
      <w:r w:rsidR="00CA43B3" w:rsidRPr="00CF6570">
        <w:rPr>
          <w:lang w:val="en-US"/>
        </w:rPr>
        <w:instrText>integrates recent advances in statistical methods for network analysis (temporal exponential random graph models) that allow the epidemic modeling to be grounded in empirical data on contacts that can spread infection. This article provides an overview of both the modeling tools built into EpiModel, designed to facilitate learning for students new to modeling, and the application programming interface for extending package EpiModel, designed to facilitate the exploration of novel research questions for advanced modelers.","author":[{"dropping-particle":"","family":"Jenness","given":"Samuel M.","non-dropping-particle":"","parse-names":false,"suffix":""},{"dropping-particle":"","family":"Goodreau","given":"Steven M.","non-dropping-particle":"","parse-names":false,"suffix":""},{"dropping-particle":"","family":"Morris","given":"Martina","non-dropping-particle":"","parse-names":false,"suffix":""}],"container-title":"Journal of Statistical Software","id":"ITEM-1","issue":"8","issued":{"date-parts":[["2018"]]},"title":"Epimodel: An R package for mathematical modeling of infectious disease over networks","type":"article-journal","volume":"84"},"uris":["http://www.mendeley.com/documents/?uuid=72e97531-ee5c-4b34-bd72-f470238ad4cd"]}],"mendeley":{"formattedCitation":"&lt;sup&gt;7&lt;/sup&gt;","plainTextFormattedCitation":"7","previouslyFormattedCitation":"&lt;sup&gt;7&lt;/sup&gt;"},"properties":{"noteIndex":0},"schema":"https://github.com/citation-style-language/schema/raw/master/csl-citation.json"}</w:instrText>
      </w:r>
      <w:r w:rsidR="005060A7" w:rsidRPr="005342A5">
        <w:rPr>
          <w:lang w:val="en-US"/>
        </w:rPr>
        <w:fldChar w:fldCharType="separate"/>
      </w:r>
      <w:r w:rsidR="009C5A52" w:rsidRPr="00CF6570">
        <w:rPr>
          <w:noProof/>
          <w:vertAlign w:val="superscript"/>
          <w:lang w:val="en-US"/>
        </w:rPr>
        <w:t>7</w:t>
      </w:r>
      <w:r w:rsidR="005060A7" w:rsidRPr="005342A5">
        <w:rPr>
          <w:lang w:val="en-US"/>
        </w:rPr>
        <w:fldChar w:fldCharType="end"/>
      </w:r>
      <w:r w:rsidR="005060A7" w:rsidRPr="00CF6570">
        <w:rPr>
          <w:lang w:val="en-US"/>
        </w:rPr>
        <w:t xml:space="preserve"> v2.</w:t>
      </w:r>
      <w:r w:rsidR="00B20F5C" w:rsidRPr="00CF6570">
        <w:rPr>
          <w:lang w:val="en-US"/>
        </w:rPr>
        <w:t>4.</w:t>
      </w:r>
      <w:r w:rsidR="005060A7" w:rsidRPr="00CF6570">
        <w:rPr>
          <w:lang w:val="en-US"/>
        </w:rPr>
        <w:t>0</w:t>
      </w:r>
      <w:r w:rsidR="00CF6570">
        <w:rPr>
          <w:lang w:val="en-US"/>
        </w:rPr>
        <w:t xml:space="preserve"> </w:t>
      </w:r>
      <w:r w:rsidR="00164C24" w:rsidRPr="00CF6570">
        <w:rPr>
          <w:lang w:val="en-US"/>
        </w:rPr>
        <w:t xml:space="preserve">were </w:t>
      </w:r>
      <w:r w:rsidR="00036319" w:rsidRPr="00CF6570">
        <w:rPr>
          <w:lang w:val="en-US"/>
        </w:rPr>
        <w:t xml:space="preserve">used for the programming of this model. </w:t>
      </w:r>
    </w:p>
    <w:p w14:paraId="4D6CC698" w14:textId="2EDBCE79" w:rsidR="00E02FDF" w:rsidRPr="005342A5" w:rsidRDefault="00E02FDF" w:rsidP="00E02FDF">
      <w:pPr>
        <w:pStyle w:val="Heading2"/>
        <w:numPr>
          <w:ilvl w:val="0"/>
          <w:numId w:val="21"/>
        </w:numPr>
        <w:rPr>
          <w:b/>
          <w:bCs/>
          <w:color w:val="auto"/>
          <w:lang w:val="en-US"/>
        </w:rPr>
      </w:pPr>
      <w:r w:rsidRPr="005342A5">
        <w:rPr>
          <w:b/>
          <w:bCs/>
          <w:color w:val="auto"/>
          <w:lang w:val="en-US"/>
        </w:rPr>
        <w:t>Data</w:t>
      </w:r>
    </w:p>
    <w:p w14:paraId="65D792E6" w14:textId="2D398365" w:rsidR="00BD6C33" w:rsidRDefault="00BD6C33" w:rsidP="00BD6C33">
      <w:pPr>
        <w:rPr>
          <w:color w:val="000000"/>
          <w:shd w:val="clear" w:color="auto" w:fill="FFFFFF"/>
          <w:lang w:val="en-US"/>
        </w:rPr>
      </w:pPr>
      <w:bookmarkStart w:id="1" w:name="_Hlk151973533"/>
      <w:r w:rsidRPr="005342A5">
        <w:rPr>
          <w:lang w:val="en-US"/>
        </w:rPr>
        <w:t>Data from the Belgian-based participants of the European MSM Internet Survey (EMIS) 2017 were the primary data source for network structure and behavioral parameters used in the model. EMIS</w:t>
      </w:r>
      <w:r w:rsidR="000C6DB4">
        <w:rPr>
          <w:lang w:val="en-US"/>
        </w:rPr>
        <w:t>-2017</w:t>
      </w:r>
      <w:r w:rsidRPr="005342A5">
        <w:rPr>
          <w:lang w:val="en-US"/>
        </w:rPr>
        <w:t xml:space="preserve"> was an anonymous, self-administered online survey conducted in </w:t>
      </w:r>
      <w:r w:rsidR="00D044C7" w:rsidRPr="005342A5">
        <w:rPr>
          <w:lang w:val="en-US"/>
        </w:rPr>
        <w:t>50</w:t>
      </w:r>
      <w:r w:rsidRPr="005342A5">
        <w:rPr>
          <w:lang w:val="en-US"/>
        </w:rPr>
        <w:t xml:space="preserve"> countries</w:t>
      </w:r>
      <w:r w:rsidR="000C6DB4" w:rsidRPr="000C6DB4">
        <w:rPr>
          <w:lang w:val="en-US"/>
        </w:rPr>
        <w:t xml:space="preserve"> </w:t>
      </w:r>
      <w:r w:rsidR="000C6DB4">
        <w:rPr>
          <w:lang w:val="en-US"/>
        </w:rPr>
        <w:t>and 33 languages</w:t>
      </w:r>
      <w:r w:rsidRPr="005342A5">
        <w:rPr>
          <w:lang w:val="en-US"/>
        </w:rPr>
        <w:t xml:space="preserve">. </w:t>
      </w:r>
      <w:r w:rsidRPr="005342A5">
        <w:rPr>
          <w:color w:val="000000"/>
          <w:shd w:val="clear" w:color="auto" w:fill="FFFFFF"/>
          <w:lang w:val="en-US"/>
        </w:rPr>
        <w:t>Participants were recruited from dating and other social networking websites targeting MSM. The methods of EMIS</w:t>
      </w:r>
      <w:r w:rsidR="000C6DB4">
        <w:rPr>
          <w:color w:val="000000"/>
          <w:shd w:val="clear" w:color="auto" w:fill="FFFFFF"/>
          <w:lang w:val="en-US"/>
        </w:rPr>
        <w:t>-2017</w:t>
      </w:r>
      <w:r w:rsidRPr="005342A5">
        <w:rPr>
          <w:color w:val="000000"/>
          <w:shd w:val="clear" w:color="auto" w:fill="FFFFFF"/>
          <w:lang w:val="en-US"/>
        </w:rPr>
        <w:t xml:space="preserve"> have been described in detail </w:t>
      </w:r>
      <w:r w:rsidR="00331A5E">
        <w:rPr>
          <w:color w:val="000000"/>
          <w:shd w:val="clear" w:color="auto" w:fill="FFFFFF"/>
          <w:lang w:val="en-US"/>
        </w:rPr>
        <w:t>elsewhere</w:t>
      </w:r>
      <w:r w:rsidR="00E202C4">
        <w:rPr>
          <w:color w:val="000000"/>
          <w:shd w:val="clear" w:color="auto" w:fill="FFFFFF"/>
          <w:lang w:val="en-US"/>
        </w:rPr>
        <w:fldChar w:fldCharType="begin" w:fldLock="1"/>
      </w:r>
      <w:r w:rsidR="00702287">
        <w:rPr>
          <w:color w:val="000000"/>
          <w:shd w:val="clear" w:color="auto" w:fill="FFFFFF"/>
          <w:lang w:val="en-US"/>
        </w:rPr>
        <w:instrText>ADDIN CSL_CITATION {"citationItems":[{"id":"ITEM-1","itemData":{"DOI":"10.1007/s13178-019-00413-0","ISSN":"1868-9884","abstract":"Men-who-have-sex-with-men (MSM) carry a disproportionate burden of sexually transmitted infections across Europe. Health planners require sexual health needs assessment data to respond appropriately. In addition, surveillance of risk and precaution behaviours in this population enables evaluative judgements of policy responses. The European MSM Internet Survey (EMIS-2017) aimed to repeat the pan-European online survey on male homosexual behaviour conducted in 2010, both to update information required to plan and monitor health promotion interventions and consolidate harmonisation of existing behavioural surveillance approaches. Our study team collaborated with more than 200 partners from academia, public health and civil society across 50 countries. Starting from our previous EMIS-2010 questionnaire, partners engaged in three rounds of iterative survey development and piloting until the final content was agreed. Transfer to an online survey application was followed by further pre-testing before translation into 32 additional languages, final testing and sign-off. The survey was available to complete online in 33 languages simultaneously from 18 October 2017 to 31 January 2018. Ten international MSM dating mobile apps were paid to send short promotional messages, and national partners promoted the survey via at least another 272 websites and social media accounts. Real-time monitoring of responses facilitated targeted advertising by country and recruitment source. Ultimately 144,305 cases were submitted of which 137,358 (95.2%) were eligible for inclusion. EMIS-2017 demonstrated the feasibility of multi-country online MSM surveying with public funding. Meaningful involvement of a large number of collaborators in the survey design and its execution ensured successful recruitment. Careful design, piloting and presentation ensured the survey was acceptable and had authority and perceived community benefit. Partners in 38 countries have already been supplied with a national database of 100 or more respondents for national analysis, while the study team has focussed on international comparisons among 137,358 respondents in 50 countries.","author":[{"dropping-particle":"","family":"Weatherburn","given":"Peter","non-dropping-particle":"","parse-names":false,"suffix":""},{"dropping-particle":"","family":"Hickson","given":"Ford","non-dropping-particle":"","parse-names":false,"suffix":""},{"dropping-particle":"","family":"Reid","given":"David S.","non-dropping-particle":"","parse-names":false,"suffix":""},{"dropping-particle":"","family":"Marcus","given":"Ulrich","non-dropping-particle":"","parse-names":false,"suffix":""},{"dropping-particle":"","family":"Schmidt","given":"Axel J.","non-dropping-particle":"","parse-names":false,"suffix":""}],"container-title":"Sexuality Research and Social Policy","id":"ITEM-1","issue":"4","issued":{"date-parts":[["2020","12","18"]]},"page":"543-557","publisher":"Sexuality Research and Social Policy","title":"European Men-Who-Have-Sex-With-Men Internet Survey (EMIS-2017): Design and Methods","type":"article-journal","volume":"17"},"uris":["http://www.mendeley.com/documents/?uuid=4c4a933a-e792-4933-84f3-fb569c36db92"]}],"mendeley":{"formattedCitation":"&lt;sup&gt;8&lt;/sup&gt;","plainTextFormattedCitation":"8","previouslyFormattedCitation":"&lt;sup&gt;11&lt;/sup&gt;"},"properties":{"noteIndex":0},"schema":"https://github.com/citation-style-language/schema/raw/master/csl-citation.json"}</w:instrText>
      </w:r>
      <w:r w:rsidR="00E202C4">
        <w:rPr>
          <w:color w:val="000000"/>
          <w:shd w:val="clear" w:color="auto" w:fill="FFFFFF"/>
          <w:lang w:val="en-US"/>
        </w:rPr>
        <w:fldChar w:fldCharType="separate"/>
      </w:r>
      <w:r w:rsidR="00702287" w:rsidRPr="00702287">
        <w:rPr>
          <w:noProof/>
          <w:color w:val="000000"/>
          <w:shd w:val="clear" w:color="auto" w:fill="FFFFFF"/>
          <w:vertAlign w:val="superscript"/>
          <w:lang w:val="en-US"/>
        </w:rPr>
        <w:t>8</w:t>
      </w:r>
      <w:r w:rsidR="00E202C4">
        <w:rPr>
          <w:color w:val="000000"/>
          <w:shd w:val="clear" w:color="auto" w:fill="FFFFFF"/>
          <w:lang w:val="en-US"/>
        </w:rPr>
        <w:fldChar w:fldCharType="end"/>
      </w:r>
      <w:r w:rsidRPr="005342A5">
        <w:rPr>
          <w:color w:val="000000"/>
          <w:shd w:val="clear" w:color="auto" w:fill="FFFFFF"/>
          <w:lang w:val="en-US"/>
        </w:rPr>
        <w:t>. In total 3</w:t>
      </w:r>
      <w:r w:rsidR="00801EB9" w:rsidRPr="005342A5">
        <w:rPr>
          <w:color w:val="000000"/>
          <w:shd w:val="clear" w:color="auto" w:fill="FFFFFF"/>
          <w:lang w:val="en-US"/>
        </w:rPr>
        <w:t>038</w:t>
      </w:r>
      <w:r w:rsidRPr="005342A5">
        <w:rPr>
          <w:color w:val="000000"/>
          <w:shd w:val="clear" w:color="auto" w:fill="FFFFFF"/>
          <w:lang w:val="en-US"/>
        </w:rPr>
        <w:t xml:space="preserve"> persons based in Belgium filled in the study questionnaire</w:t>
      </w:r>
      <w:r w:rsidR="00801EB9" w:rsidRPr="005342A5">
        <w:rPr>
          <w:color w:val="000000"/>
          <w:shd w:val="clear" w:color="auto" w:fill="FFFFFF"/>
          <w:lang w:val="en-US"/>
        </w:rPr>
        <w:t>, with 2763 reporting answers without any inconsistencies</w:t>
      </w:r>
      <w:r w:rsidRPr="005342A5">
        <w:rPr>
          <w:color w:val="000000"/>
          <w:shd w:val="clear" w:color="auto" w:fill="FFFFFF"/>
          <w:lang w:val="en-US"/>
        </w:rPr>
        <w:t xml:space="preserve">. Data recorded in the EMIS </w:t>
      </w:r>
      <w:r w:rsidR="005342A5" w:rsidRPr="005342A5">
        <w:rPr>
          <w:color w:val="000000"/>
          <w:shd w:val="clear" w:color="auto" w:fill="FFFFFF"/>
          <w:lang w:val="en-US"/>
        </w:rPr>
        <w:t>dataset</w:t>
      </w:r>
      <w:r w:rsidRPr="005342A5">
        <w:rPr>
          <w:color w:val="000000"/>
          <w:shd w:val="clear" w:color="auto" w:fill="FFFFFF"/>
          <w:lang w:val="en-US"/>
        </w:rPr>
        <w:t xml:space="preserve"> included information on the</w:t>
      </w:r>
      <w:r w:rsidR="005342A5" w:rsidRPr="005342A5">
        <w:rPr>
          <w:color w:val="000000"/>
          <w:shd w:val="clear" w:color="auto" w:fill="FFFFFF"/>
          <w:lang w:val="en-US"/>
        </w:rPr>
        <w:t xml:space="preserve"> participants’ partnership status, behavioral and epidemiological characteristics. </w:t>
      </w:r>
    </w:p>
    <w:p w14:paraId="30CCE64C" w14:textId="32D44DC6" w:rsidR="00EA0A5F" w:rsidRPr="00EA0A5F" w:rsidRDefault="005A1835" w:rsidP="00BD6C33">
      <w:pPr>
        <w:rPr>
          <w:rFonts w:cstheme="minorHAnsi"/>
          <w:lang w:val="en-US"/>
        </w:rPr>
      </w:pPr>
      <w:r w:rsidRPr="005A1835">
        <w:rPr>
          <w:lang w:val="en-US"/>
        </w:rPr>
        <w:t>The term “</w:t>
      </w:r>
      <w:r w:rsidR="000C6DB4">
        <w:rPr>
          <w:lang w:val="en-US"/>
        </w:rPr>
        <w:t>steady</w:t>
      </w:r>
      <w:r w:rsidRPr="005A1835">
        <w:rPr>
          <w:rFonts w:cstheme="minorHAnsi"/>
          <w:lang w:val="en-US"/>
        </w:rPr>
        <w:t xml:space="preserve"> partners” was used to describe husbands, boyfriends or the partners with whom EMIS participants would not identify themselves as single.</w:t>
      </w:r>
      <w:r w:rsidR="00EA0A5F" w:rsidRPr="00EA0A5F">
        <w:rPr>
          <w:rFonts w:cstheme="minorHAnsi"/>
          <w:lang w:val="en-US"/>
        </w:rPr>
        <w:t xml:space="preserve"> Persistent casual partners </w:t>
      </w:r>
      <w:r w:rsidR="005E1C8E">
        <w:rPr>
          <w:rFonts w:cstheme="minorHAnsi"/>
          <w:lang w:val="en-US"/>
        </w:rPr>
        <w:t>were</w:t>
      </w:r>
      <w:r w:rsidR="00EA0A5F" w:rsidRPr="00EA0A5F">
        <w:rPr>
          <w:rFonts w:cstheme="minorHAnsi"/>
          <w:lang w:val="en-US"/>
        </w:rPr>
        <w:t xml:space="preserve"> the partners that would not qualify as </w:t>
      </w:r>
      <w:r w:rsidR="000C6DB4">
        <w:rPr>
          <w:rFonts w:cstheme="minorHAnsi"/>
          <w:lang w:val="en-US"/>
        </w:rPr>
        <w:t>steady</w:t>
      </w:r>
      <w:r w:rsidR="00EA0A5F" w:rsidRPr="00EA0A5F">
        <w:rPr>
          <w:rFonts w:cstheme="minorHAnsi"/>
          <w:lang w:val="en-US"/>
        </w:rPr>
        <w:t xml:space="preserve">, but the EMIS participants would have sex with more than one time. One-off partners </w:t>
      </w:r>
      <w:r w:rsidR="005E1C8E">
        <w:rPr>
          <w:rFonts w:cstheme="minorHAnsi"/>
          <w:lang w:val="en-US"/>
        </w:rPr>
        <w:t>were</w:t>
      </w:r>
      <w:r w:rsidR="00EA0A5F" w:rsidRPr="00EA0A5F">
        <w:rPr>
          <w:rFonts w:cstheme="minorHAnsi"/>
          <w:lang w:val="en-US"/>
        </w:rPr>
        <w:t xml:space="preserve"> casual partners </w:t>
      </w:r>
      <w:r w:rsidR="005E1C8E">
        <w:rPr>
          <w:rFonts w:cstheme="minorHAnsi"/>
          <w:lang w:val="en-US"/>
        </w:rPr>
        <w:t>whom</w:t>
      </w:r>
      <w:r w:rsidR="005E1C8E" w:rsidRPr="00EA0A5F">
        <w:rPr>
          <w:rFonts w:cstheme="minorHAnsi"/>
          <w:lang w:val="en-US"/>
        </w:rPr>
        <w:t xml:space="preserve"> </w:t>
      </w:r>
      <w:r w:rsidR="00EA0A5F" w:rsidRPr="00EA0A5F">
        <w:rPr>
          <w:rFonts w:cstheme="minorHAnsi"/>
          <w:lang w:val="en-US"/>
        </w:rPr>
        <w:t>EMIS participants would only have sex with once.</w:t>
      </w:r>
    </w:p>
    <w:bookmarkEnd w:id="1"/>
    <w:p w14:paraId="436F85B6" w14:textId="6DBFB9A7" w:rsidR="00B91160" w:rsidRDefault="00B91160" w:rsidP="00E02FDF">
      <w:pPr>
        <w:pStyle w:val="Heading2"/>
        <w:numPr>
          <w:ilvl w:val="0"/>
          <w:numId w:val="21"/>
        </w:numPr>
        <w:rPr>
          <w:b/>
          <w:bCs/>
          <w:color w:val="auto"/>
          <w:lang w:val="en-US"/>
        </w:rPr>
      </w:pPr>
      <w:r w:rsidRPr="005342A5">
        <w:rPr>
          <w:b/>
          <w:bCs/>
          <w:color w:val="auto"/>
          <w:lang w:val="en-US"/>
        </w:rPr>
        <w:t>Model structure</w:t>
      </w:r>
    </w:p>
    <w:p w14:paraId="35D9FB28" w14:textId="17FCDE0C" w:rsidR="00706638" w:rsidRPr="00706638" w:rsidRDefault="00706638" w:rsidP="00706638">
      <w:pPr>
        <w:pStyle w:val="Heading3"/>
        <w:rPr>
          <w:rFonts w:asciiTheme="minorHAnsi" w:hAnsiTheme="minorHAnsi" w:cstheme="minorHAnsi"/>
          <w:color w:val="auto"/>
          <w:lang w:val="en-US"/>
        </w:rPr>
      </w:pPr>
      <w:r w:rsidRPr="00706638">
        <w:rPr>
          <w:rFonts w:asciiTheme="minorHAnsi" w:hAnsiTheme="minorHAnsi" w:cstheme="minorHAnsi"/>
          <w:color w:val="auto"/>
          <w:lang w:val="en-US"/>
        </w:rPr>
        <w:t xml:space="preserve">3.1. Population groups and </w:t>
      </w:r>
      <w:r>
        <w:rPr>
          <w:rFonts w:asciiTheme="minorHAnsi" w:hAnsiTheme="minorHAnsi" w:cstheme="minorHAnsi"/>
          <w:color w:val="auto"/>
          <w:lang w:val="en-US"/>
        </w:rPr>
        <w:t>model initialization</w:t>
      </w:r>
      <w:r w:rsidRPr="00706638">
        <w:rPr>
          <w:rFonts w:asciiTheme="minorHAnsi" w:hAnsiTheme="minorHAnsi" w:cstheme="minorHAnsi"/>
          <w:color w:val="auto"/>
          <w:lang w:val="en-US"/>
        </w:rPr>
        <w:t xml:space="preserve"> </w:t>
      </w:r>
    </w:p>
    <w:p w14:paraId="2BB6EED6" w14:textId="0A2DE7CB" w:rsidR="0095312F" w:rsidRPr="005342A5" w:rsidRDefault="00706638" w:rsidP="0095312F">
      <w:pPr>
        <w:rPr>
          <w:lang w:val="en-US"/>
        </w:rPr>
      </w:pPr>
      <w:r w:rsidRPr="005342A5">
        <w:rPr>
          <w:color w:val="000000"/>
          <w:shd w:val="clear" w:color="auto" w:fill="FFFFFF"/>
          <w:lang w:val="en-US"/>
        </w:rPr>
        <w:t>Individuals</w:t>
      </w:r>
      <w:r w:rsidR="00791D24">
        <w:rPr>
          <w:color w:val="000000"/>
          <w:shd w:val="clear" w:color="auto" w:fill="FFFFFF"/>
          <w:lang w:val="en-US"/>
        </w:rPr>
        <w:t xml:space="preserve"> in the network</w:t>
      </w:r>
      <w:r w:rsidRPr="005342A5">
        <w:rPr>
          <w:color w:val="000000"/>
          <w:shd w:val="clear" w:color="auto" w:fill="FFFFFF"/>
          <w:lang w:val="en-US"/>
        </w:rPr>
        <w:t xml:space="preserve"> were categorized into </w:t>
      </w:r>
      <w:r w:rsidR="00791D24">
        <w:rPr>
          <w:color w:val="000000"/>
          <w:shd w:val="clear" w:color="auto" w:fill="FFFFFF"/>
          <w:lang w:val="en-US"/>
        </w:rPr>
        <w:t xml:space="preserve">two groups, according to their sexual activity level </w:t>
      </w:r>
      <w:r w:rsidRPr="005342A5">
        <w:rPr>
          <w:lang w:val="en-US"/>
        </w:rPr>
        <w:t xml:space="preserve">to account for systematic behavioral patterns within the MSM population. </w:t>
      </w:r>
      <w:r w:rsidR="007D5BA5">
        <w:rPr>
          <w:lang w:val="en-US"/>
        </w:rPr>
        <w:t>Three different definitions were used to define high-activity behavior.  E</w:t>
      </w:r>
      <w:r w:rsidR="0095312F" w:rsidRPr="005342A5">
        <w:rPr>
          <w:lang w:val="en-US"/>
        </w:rPr>
        <w:t>ligibility to receive PrEP</w:t>
      </w:r>
      <w:r w:rsidR="007D5BA5">
        <w:rPr>
          <w:lang w:val="en-US"/>
        </w:rPr>
        <w:t xml:space="preserve">, individuals reporting more than 15 partners over 12 months and individuals reporting more than 15 casual partners over 12 months were all used , </w:t>
      </w:r>
      <w:r w:rsidR="0095312F" w:rsidRPr="005342A5">
        <w:rPr>
          <w:lang w:val="en-US"/>
        </w:rPr>
        <w:t xml:space="preserve">as a proxy to define </w:t>
      </w:r>
      <w:r w:rsidR="0095312F">
        <w:rPr>
          <w:lang w:val="en-US"/>
        </w:rPr>
        <w:t>MSM with a higher</w:t>
      </w:r>
      <w:r w:rsidR="0095312F" w:rsidRPr="005342A5">
        <w:rPr>
          <w:lang w:val="en-US"/>
        </w:rPr>
        <w:t>-risk</w:t>
      </w:r>
      <w:r w:rsidR="0095312F">
        <w:rPr>
          <w:lang w:val="en-US"/>
        </w:rPr>
        <w:t xml:space="preserve"> sex</w:t>
      </w:r>
      <w:r w:rsidR="0095312F" w:rsidRPr="005342A5">
        <w:rPr>
          <w:lang w:val="en-US"/>
        </w:rPr>
        <w:t xml:space="preserve"> behavior. In Belgium, eligibility for PrEP includes being above 18 years old, being HIV negative and fulfilling one of the following criteria: </w:t>
      </w:r>
    </w:p>
    <w:p w14:paraId="23F5408A" w14:textId="797143E9" w:rsidR="0095312F" w:rsidRPr="005342A5" w:rsidRDefault="0095312F" w:rsidP="0095312F">
      <w:pPr>
        <w:pStyle w:val="ListParagraph"/>
        <w:numPr>
          <w:ilvl w:val="0"/>
          <w:numId w:val="37"/>
        </w:numPr>
        <w:rPr>
          <w:lang w:val="en-US"/>
        </w:rPr>
      </w:pPr>
      <w:r w:rsidRPr="005342A5">
        <w:rPr>
          <w:lang w:val="en-US"/>
        </w:rPr>
        <w:t xml:space="preserve">Anal sex without a condom with at least two partners in the </w:t>
      </w:r>
      <w:r w:rsidR="000C6DB4">
        <w:rPr>
          <w:lang w:val="en-US"/>
        </w:rPr>
        <w:t>previous</w:t>
      </w:r>
      <w:r w:rsidR="000C6DB4" w:rsidRPr="005342A5">
        <w:rPr>
          <w:lang w:val="en-US"/>
        </w:rPr>
        <w:t xml:space="preserve"> </w:t>
      </w:r>
      <w:r w:rsidRPr="005342A5">
        <w:rPr>
          <w:lang w:val="en-US"/>
        </w:rPr>
        <w:t>6 months</w:t>
      </w:r>
    </w:p>
    <w:p w14:paraId="12B9BBD6" w14:textId="23C8A3D7" w:rsidR="0095312F" w:rsidRPr="005342A5" w:rsidRDefault="0095312F" w:rsidP="0095312F">
      <w:pPr>
        <w:pStyle w:val="ListParagraph"/>
        <w:numPr>
          <w:ilvl w:val="0"/>
          <w:numId w:val="37"/>
        </w:numPr>
        <w:rPr>
          <w:lang w:val="en-US"/>
        </w:rPr>
      </w:pPr>
      <w:r w:rsidRPr="005342A5">
        <w:rPr>
          <w:lang w:val="en-US"/>
        </w:rPr>
        <w:t xml:space="preserve">Multiple sexually transmitted infections (STIs) in the </w:t>
      </w:r>
      <w:r w:rsidR="000C6DB4">
        <w:rPr>
          <w:lang w:val="en-US"/>
        </w:rPr>
        <w:t>previous 12 months</w:t>
      </w:r>
    </w:p>
    <w:p w14:paraId="7A67C214" w14:textId="2E90A81F" w:rsidR="0095312F" w:rsidRPr="0095312F" w:rsidRDefault="0095312F" w:rsidP="0095312F">
      <w:pPr>
        <w:pStyle w:val="ListParagraph"/>
        <w:numPr>
          <w:ilvl w:val="0"/>
          <w:numId w:val="37"/>
        </w:numPr>
        <w:rPr>
          <w:color w:val="000000"/>
          <w:shd w:val="clear" w:color="auto" w:fill="FFFFFF"/>
          <w:lang w:val="en-US"/>
        </w:rPr>
      </w:pPr>
      <w:r w:rsidRPr="0095312F">
        <w:rPr>
          <w:lang w:val="en-US"/>
        </w:rPr>
        <w:t xml:space="preserve">Post-exposure prophylaxis (PEP) multiple times in the </w:t>
      </w:r>
      <w:r w:rsidR="000C6DB4">
        <w:rPr>
          <w:lang w:val="en-US"/>
        </w:rPr>
        <w:t>previous 12 months</w:t>
      </w:r>
    </w:p>
    <w:p w14:paraId="798D6216" w14:textId="48EC9080" w:rsidR="0095312F" w:rsidRPr="0095312F" w:rsidRDefault="0095312F" w:rsidP="0095312F">
      <w:pPr>
        <w:pStyle w:val="ListParagraph"/>
        <w:numPr>
          <w:ilvl w:val="0"/>
          <w:numId w:val="37"/>
        </w:numPr>
        <w:rPr>
          <w:rStyle w:val="normaltextrun"/>
          <w:color w:val="000000"/>
          <w:shd w:val="clear" w:color="auto" w:fill="FFFFFF"/>
          <w:lang w:val="en-US"/>
        </w:rPr>
      </w:pPr>
      <w:r w:rsidRPr="0095312F">
        <w:rPr>
          <w:lang w:val="en-US"/>
        </w:rPr>
        <w:t xml:space="preserve">Use of </w:t>
      </w:r>
      <w:bookmarkStart w:id="2" w:name="_Hlk152939813"/>
      <w:r w:rsidRPr="0095312F">
        <w:rPr>
          <w:lang w:val="en-US"/>
        </w:rPr>
        <w:t>psycho</w:t>
      </w:r>
      <w:r w:rsidR="00C17F46">
        <w:rPr>
          <w:lang w:val="en-US"/>
        </w:rPr>
        <w:t>tropic</w:t>
      </w:r>
      <w:r w:rsidRPr="0095312F">
        <w:rPr>
          <w:lang w:val="en-US"/>
        </w:rPr>
        <w:t xml:space="preserve"> substances (drugs) during sexual activities</w:t>
      </w:r>
      <w:bookmarkEnd w:id="2"/>
    </w:p>
    <w:p w14:paraId="79ED4DD3" w14:textId="01E9326D" w:rsidR="00706638" w:rsidRPr="0095312F" w:rsidRDefault="00706638" w:rsidP="00706638">
      <w:pPr>
        <w:rPr>
          <w:color w:val="000000"/>
          <w:shd w:val="clear" w:color="auto" w:fill="FFFFFF"/>
          <w:lang w:val="en-US"/>
        </w:rPr>
      </w:pPr>
      <w:r w:rsidRPr="005342A5">
        <w:rPr>
          <w:lang w:val="en-US"/>
        </w:rPr>
        <w:t>Individuals were considered to belong to the high</w:t>
      </w:r>
      <w:r w:rsidR="00791D24">
        <w:rPr>
          <w:lang w:val="en-US"/>
        </w:rPr>
        <w:t>er</w:t>
      </w:r>
      <w:r w:rsidRPr="005342A5">
        <w:rPr>
          <w:lang w:val="en-US"/>
        </w:rPr>
        <w:t>-</w:t>
      </w:r>
      <w:r w:rsidR="00791D24">
        <w:rPr>
          <w:lang w:val="en-US"/>
        </w:rPr>
        <w:t>activity</w:t>
      </w:r>
      <w:r w:rsidRPr="005342A5">
        <w:rPr>
          <w:lang w:val="en-US"/>
        </w:rPr>
        <w:t xml:space="preserve"> group </w:t>
      </w:r>
      <w:r w:rsidR="00791D24">
        <w:rPr>
          <w:lang w:val="en-US"/>
        </w:rPr>
        <w:t xml:space="preserve">(HA-MSM) </w:t>
      </w:r>
      <w:r w:rsidRPr="005342A5">
        <w:rPr>
          <w:lang w:val="en-US"/>
        </w:rPr>
        <w:t xml:space="preserve">if they </w:t>
      </w:r>
      <w:r w:rsidR="00791D24">
        <w:rPr>
          <w:lang w:val="en-US"/>
        </w:rPr>
        <w:t xml:space="preserve">were either taking </w:t>
      </w:r>
      <w:r w:rsidR="00791D24">
        <w:rPr>
          <w:rStyle w:val="normaltextrun"/>
          <w:color w:val="000000"/>
          <w:shd w:val="clear" w:color="auto" w:fill="FFFFFF"/>
          <w:lang w:val="en-US"/>
        </w:rPr>
        <w:t xml:space="preserve">PrEP, or if they were eligible to participate in the PrEP program. </w:t>
      </w:r>
      <w:r w:rsidR="007D5BA5">
        <w:rPr>
          <w:rStyle w:val="normaltextrun"/>
          <w:color w:val="000000"/>
          <w:shd w:val="clear" w:color="auto" w:fill="FFFFFF"/>
          <w:lang w:val="en-US"/>
        </w:rPr>
        <w:t xml:space="preserve">Similarly participants reporting more than 15 </w:t>
      </w:r>
      <w:r w:rsidR="000F39C0">
        <w:rPr>
          <w:rStyle w:val="normaltextrun"/>
          <w:color w:val="000000"/>
          <w:shd w:val="clear" w:color="auto" w:fill="FFFFFF"/>
          <w:lang w:val="en-US"/>
        </w:rPr>
        <w:t xml:space="preserve">(steady and non-steady) </w:t>
      </w:r>
      <w:r w:rsidR="007D5BA5">
        <w:rPr>
          <w:rStyle w:val="normaltextrun"/>
          <w:color w:val="000000"/>
          <w:shd w:val="clear" w:color="auto" w:fill="FFFFFF"/>
          <w:lang w:val="en-US"/>
        </w:rPr>
        <w:t xml:space="preserve">partners over a period of 12 months or participants reporting more than 15 casual partners (non-steady partners) were classified as HA-MSM in their </w:t>
      </w:r>
      <w:r w:rsidR="007D5BA5">
        <w:rPr>
          <w:rStyle w:val="normaltextrun"/>
          <w:color w:val="000000"/>
          <w:shd w:val="clear" w:color="auto" w:fill="FFFFFF"/>
          <w:lang w:val="en-US"/>
        </w:rPr>
        <w:lastRenderedPageBreak/>
        <w:t xml:space="preserve">respective scenarios. </w:t>
      </w:r>
      <w:r w:rsidRPr="005342A5">
        <w:rPr>
          <w:lang w:val="en-US"/>
        </w:rPr>
        <w:t xml:space="preserve">Those not classified </w:t>
      </w:r>
      <w:r w:rsidR="0095312F">
        <w:rPr>
          <w:lang w:val="en-US"/>
        </w:rPr>
        <w:t xml:space="preserve">as HA-MSM, were </w:t>
      </w:r>
      <w:r w:rsidRPr="005342A5">
        <w:rPr>
          <w:lang w:val="en-US"/>
        </w:rPr>
        <w:t>classified in the low</w:t>
      </w:r>
      <w:r w:rsidR="0095312F">
        <w:rPr>
          <w:lang w:val="en-US"/>
        </w:rPr>
        <w:t>er</w:t>
      </w:r>
      <w:r w:rsidRPr="005342A5">
        <w:rPr>
          <w:lang w:val="en-US"/>
        </w:rPr>
        <w:t>-</w:t>
      </w:r>
      <w:r w:rsidR="0095312F">
        <w:rPr>
          <w:lang w:val="en-US"/>
        </w:rPr>
        <w:t>activity</w:t>
      </w:r>
      <w:r w:rsidRPr="005342A5">
        <w:rPr>
          <w:lang w:val="en-US"/>
        </w:rPr>
        <w:t xml:space="preserve"> group</w:t>
      </w:r>
      <w:r w:rsidR="0095312F">
        <w:rPr>
          <w:lang w:val="en-US"/>
        </w:rPr>
        <w:t xml:space="preserve"> (LA-MSM)</w:t>
      </w:r>
      <w:r w:rsidRPr="005342A5">
        <w:rPr>
          <w:lang w:val="en-US"/>
        </w:rPr>
        <w:t>.</w:t>
      </w:r>
    </w:p>
    <w:p w14:paraId="3DB6A74C" w14:textId="38DF929D" w:rsidR="00706638" w:rsidRPr="005342A5" w:rsidRDefault="0095312F" w:rsidP="00706638">
      <w:pPr>
        <w:rPr>
          <w:lang w:val="en-US"/>
        </w:rPr>
      </w:pPr>
      <w:r>
        <w:rPr>
          <w:lang w:val="en-US"/>
        </w:rPr>
        <w:t>According to the EMIS dataset, 3</w:t>
      </w:r>
      <w:r w:rsidR="00EE79B5">
        <w:rPr>
          <w:lang w:val="en-US"/>
        </w:rPr>
        <w:t>4</w:t>
      </w:r>
      <w:r>
        <w:rPr>
          <w:lang w:val="en-US"/>
        </w:rPr>
        <w:t>.</w:t>
      </w:r>
      <w:r w:rsidR="00EE79B5">
        <w:rPr>
          <w:lang w:val="en-US"/>
        </w:rPr>
        <w:t>6</w:t>
      </w:r>
      <w:r>
        <w:rPr>
          <w:lang w:val="en-US"/>
        </w:rPr>
        <w:t>% classified as HA-MSM. This estimate is similar to previously published studies from Belgium and Europe</w:t>
      </w:r>
      <w:r w:rsidR="00706638" w:rsidRPr="005342A5">
        <w:rPr>
          <w:lang w:val="en-US"/>
        </w:rPr>
        <w:fldChar w:fldCharType="begin" w:fldLock="1"/>
      </w:r>
      <w:r w:rsidR="00702287">
        <w:rPr>
          <w:lang w:val="en-US"/>
        </w:rPr>
        <w:instrText>ADDIN CSL_CITATION {"citationItems":[{"id":"ITEM-1","itemData":{"DOI":"10.1007/s10461-021-03526-z","ISBN":"0123456789","ISSN":"15733254","PMID":"34817766","abstract":"We examined PrEP awareness, willingness to take it and early PrEP use among men who have sex with men (MSM) at increased risk of HIV acquisition in Belgium. This analysis of the Belgian EMIS online data of 2017–2018 adopts a cascade approach, with the following steps quantified as conditional probabilities: being eligible for, aware of, willing to take PrEP, and PrEP use. One out of three MSM was eligible to use PrEP according to the operationalized Belgian reimbursement criteria. PrEP awareness was lower among socioeconomically vulnerable MSM, MSM living outside large cities, MSM who were less open about their sexuality and those who did not identify as gay or homosexual. A lack of PrEP knowledge, a higher self-efficacy regarding safe sex, having a steady partner and reporting more symptoms of depression were related to unwillingness to use PrEP. Among those willing to take PrEP, less than one third were actually using PrEP. Not using PrEP was associated with living in small cities and experiencing financial problems.","author":[{"dropping-particle":"","family":"Buffel","given":"Veerle","non-dropping-particle":"","parse-names":false,"suffix":""},{"dropping-particle":"","family":"Reyniers","given":"Thijs","non-dropping-particle":"","parse-names":false,"suffix":""},{"dropping-particle":"","family":"Masquillier","given":"Caroline","non-dropping-particle":"","parse-names":false,"suffix":""},{"dropping-particle":"","family":"Thunissen","given":"Estrelle","non-dropping-particle":"","parse-names":false,"suffix":""},{"dropping-particle":"","family":"Nöstlinger","given":"Christiana","non-dropping-particle":"","parse-names":false,"suffix":""},{"dropping-particle":"","family":"Laga","given":"Marie","non-dropping-particle":"","parse-names":false,"suffix":""},{"dropping-particle":"","family":"Wouters","given":"Edwin","non-dropping-particle":"","parse-names":false,"suffix":""},{"dropping-particle":"Vanden","family":"Berghe","given":"Wim","non-dropping-particle":"","parse-names":false,"suffix":""},{"dropping-particle":"","family":"Deblonde","given":"Jessika","non-dropping-particle":"","parse-names":false,"suffix":""},{"dropping-particle":"","family":"Vuylsteke","given":"Bea","non-dropping-particle":"","parse-names":false,"suffix":""}],"container-title":"AIDS and Behavior","id":"ITEM-1","issue":"6","issued":{"date-parts":[["2022"]]},"page":"1793-1807","publisher":"Springer US","title":"Awareness of, Willingness to Take PrEP and Its Actual Use Among Belgian MSM at High Risk of HIV Infection: Secondary Analysis of the Belgian European MSM Internet Survey","type":"article-journal","volume":"26"},"uris":["http://www.mendeley.com/documents/?uuid=dc5326e5-d8f1-4f1b-ba26-a87d0704ee9d"]},{"id":"ITEM-2","itemData":{"DOI":"10.1093/pubmed/fdz052","ISSN":"17413850","PMID":"31090894","abstract":"Background: Relationship status is an important factor associated with condomless anal intercourse (CAI) amongst men who have sex with men (MSM). Methods: A multi-centre bio-behavioural survey with MSM was conducted in 13 European cities (n = 4901) exploring factors associated with CAI via bivariate and multivariate multilevel logistic regression analyses. Results: Likelihood of CAI with casual partners was associated with being 'out' to a majority (AOR = 1.19;95% CI 1,1.42); knowing their HIV status (AOR = 1.86; 95% CI 1.25,2.76); using substances (1-2 AOR = 1.39; 95% CI 1.16,1.63, 2+ AOR = 1.81; 95% CI 1.35,2.42); being older (AOR = 0.98; 95% CI 0.97,0.99); successful sero-communication (AOR = 0.79; 95% CI 0.67,0.94); and, not having a recent HIV test (AOR = 0.78; 95% CI 0.66,0.92). CAI with steady partners was associated with successful sero-communication (AOR = 2.72; 95% CI 2.72,3.66); not having a recent HIV test (AOR = 1.26; 95% CI 1.09,1.46), and; being older (AOR = 0.99; 95% CI 0.98,0.99). Conclusions: Understandings of partner type and/or relationship status in relation to CAI amongst MSM can potentially play an important role in the development of culturally appropriate HIV/STI prevention and risk-reduction efforts targeting at-risk MSM. Our results speak to the need to consider segmented and tailored public health and health promotion initiatives for MSM with differing CAI behaviours and relationship profiles.","author":[{"dropping-particle":"","family":"Sherriff","given":"Nigel S.","non-dropping-particle":"","parse-names":false,"suffix":""},{"dropping-particle":"","family":"Jones","given":"A. M.","non-dropping-particle":"","parse-names":false,"suffix":""},{"dropping-particle":"","family":"Mirandola","given":"Massimo","non-dropping-particle":"","parse-names":false,"suffix":""},{"dropping-particle":"","family":"Gios","given":"Lorenzo","non-dropping-particle":"","parse-names":false,"suffix":""},{"dropping-particle":"","family":"Marcus","given":"Ulrich","non-dropping-particle":"","parse-names":false,"suffix":""},{"dropping-particle":"","family":"Llewellyn","given":"C.","non-dropping-particle":"","parse-names":false,"suffix":""},{"dropping-particle":"","family":"Rosinska","given":"M.","non-dropping-particle":"","parse-names":false,"suffix":""},{"dropping-particle":"","family":"Folch","given":"Cinta","non-dropping-particle":"","parse-names":false,"suffix":""},{"dropping-particle":"","family":"Dias","given":"Sónia Ferreira","non-dropping-particle":"","parse-names":false,"suffix":""},{"dropping-particle":"","family":"Toskin","given":"Igor","non-dropping-particle":"","parse-names":false,"suffix":""},{"dropping-particle":"","family":"Alexiev","given":"Ivailo","non-dropping-particle":"","parse-names":false,"suffix":""},{"dropping-particle":"","family":"Kühlmann-Berenzon","given":"Sharon","non-dropping-particle":"","parse-names":false,"suffix":""},{"dropping-particle":"","family":"Nöstlinger","given":"Christiana","non-dropping-particle":"","parse-names":false,"suffix":""},{"dropping-particle":"","family":"Berghe","given":"Wim","non-dropping-particle":"Vanden","parse-names":false,"suffix":""},{"dropping-particle":"","family":"Schink","given":"Susanne Barbara","non-dropping-particle":"","parse-names":false,"suffix":""},{"dropping-particle":"","family":"Suligoi","given":"Barbara","non-dropping-particle":"","parse-names":false,"suffix":""},{"dropping-particle":"","family":"Regine","given":"Vincenza","non-dropping-particle":"","parse-names":false,"suffix":""},{"dropping-particle":"","family":"Caplinskas","given":"Saulius","non-dropping-particle":"","parse-names":false,"suffix":""},{"dropping-particle":"","family":"Caplinskiene","given":"Irma","non-dropping-particle":"","parse-names":false,"suffix":""},{"dropping-particle":"","family":"Rosińska","given":"Magdalena","non-dropping-particle":"","parse-names":false,"suffix":""},{"dropping-particle":"","family":"Niedźwiedzka-Stadnik","given":"Marta","non-dropping-particle":"","parse-names":false,"suffix":""},{"dropping-particle":"","family":"Rafila","given":"Alexandru","non-dropping-particle":"","parse-names":false,"suffix":""},{"dropping-particle":"","family":"Pitigoi","given":"Daniela","non-dropping-particle":"","parse-names":false,"suffix":""},{"dropping-particle":"","family":"Bals","given":"Matei","non-dropping-particle":"","parse-names":false,"suffix":""},{"dropping-particle":"","family":"Staneková","given":"Danica","non-dropping-particle":"","parse-names":false,"suffix":""},{"dropping-particle":"","family":"Hábeková","given":"Monika","non-dropping-particle":"","parse-names":false,"suffix":""},{"dropping-particle":"","family":"Klavs","given":"Irena","non-dropping-particle":"","parse-names":false,"suffix":""},{"dropping-particle":"","family":"Ferrer","given":"Laia","non-dropping-particle":"","parse-names":false,"suffix":""},{"dropping-particle":"","family":"Velicko","given":"Inga","non-dropping-particle":"","parse-names":false,"suffix":""}],"container-title":"Journal of Public Health (United Kingdom)","id":"ITEM-2","issue":"2","issued":{"date-parts":[["2020"]]},"page":"1-13","title":"Factors related to condomless anal intercourse between men who have sex with men: Results from a European bio-behavioural survey","type":"article-journal","volume":"42"},"uris":["http://www.mendeley.com/documents/?uuid=a9827706-0a63-40e4-9412-e40bb86b51c3"]},{"id":"ITEM-3","itemData":{"DOI":"10.1136/bmjopen-2019-033852","ISBN":"2019033852","ISSN":"20446055","PMID":"32029492","abstract":"Objectives Since 2017, the Public Health Agency of Sweden recommends that pre-exposure prophylaxis (PrEP) for HIV should be offered to high-risk individuals, in particular to men who have sex with men (MSM). The objective of this study is to develop a mathematical model investigating the effect of introducing PrEP to MSM in Sweden. Design A pair formation model, including steady and casual sex partners, is developed to study the impact of introducing PrEP. Two groups are included in the model: sexually high active MSM and sexually low active MSM. Three mixing assumptions between the groups are considered. Setting A gay-friendly MSM HIV/sexually transmitted infection testing clinic in Stockholm, Sweden. This clinic started offering PrEP to MSM in October 2018. Participants The model is calibrated according to detailed sexual behaviour data gathered in 2015 among 403 MSM. Results By targeting sexually high active MSM, a PrEP coverage of 3.5% of the MSM population (10% of all high actives) would result in the long-term HIV prevalence to drop considerably (close to 0%). While targeting only low actives would require a PrEP coverage of 35% for a similar reduction. The main effect of PrEP is the reduced susceptibility, whereas the increased HIV testing rate (every third month) among PrEP users plays a lesser role. Conclusions To create a multifaceted picture of the effects of interventions against HIV, we need models that include the different stages of HIV infection and real-world data on detailed sexual behaviour to calibrate the mathematical models. Our findings conclude that targeting HIV high-risk individuals, within HIV risk populations such as MSM, with PrEP programmes could greatly decrease the long-term HIV prevalence in Sweden. Therefore, risk stratification of individuals is of importance in PrEP implementation programmes, to ensure optimising the effect and cost-effectiveness of such programmes.","author":[{"dropping-particle":"","family":"Hansson","given":"Disa","non-dropping-particle":"","parse-names":false,"suffix":""},{"dropping-particle":"","family":"Strömdahl","given":"Susanne","non-dropping-particle":"","parse-names":false,"suffix":""},{"dropping-particle":"","family":"Leung","given":"Ka Yin","non-dropping-particle":"","parse-names":false,"suffix":""},{"dropping-particle":"","family":"Britton","given":"Tom","non-dropping-particle":"","parse-names":false,"suffix":""}],"container-title":"BMJ Open","id":"ITEM-3","issue":"2","issued":{"date-parts":[["2020"]]},"title":"Introducing pre-exposure prophylaxis to prevent HIV acquisition among men who have sex with men in Sweden: Insights from a mathematical pair formation model","type":"book","volume":"10"},"uris":["http://www.mendeley.com/documents/?uuid=9f8307bc-afd7-42e8-b465-99bfe7dc1c58"]}],"mendeley":{"formattedCitation":"&lt;sup&gt;9–11&lt;/sup&gt;","plainTextFormattedCitation":"9–11","previouslyFormattedCitation":"&lt;sup&gt;16–18&lt;/sup&gt;"},"properties":{"noteIndex":0},"schema":"https://github.com/citation-style-language/schema/raw/master/csl-citation.json"}</w:instrText>
      </w:r>
      <w:r w:rsidR="00706638" w:rsidRPr="005342A5">
        <w:rPr>
          <w:lang w:val="en-US"/>
        </w:rPr>
        <w:fldChar w:fldCharType="separate"/>
      </w:r>
      <w:r w:rsidR="00702287" w:rsidRPr="00702287">
        <w:rPr>
          <w:noProof/>
          <w:vertAlign w:val="superscript"/>
          <w:lang w:val="en-US"/>
        </w:rPr>
        <w:t>9–11</w:t>
      </w:r>
      <w:r w:rsidR="00706638" w:rsidRPr="005342A5">
        <w:rPr>
          <w:lang w:val="en-US"/>
        </w:rPr>
        <w:fldChar w:fldCharType="end"/>
      </w:r>
      <w:r w:rsidR="00706638" w:rsidRPr="005342A5">
        <w:rPr>
          <w:lang w:val="en-US"/>
        </w:rPr>
        <w:t>. The two groups were assumed to have different sex act rates and condom use</w:t>
      </w:r>
      <w:r w:rsidR="00EE79B5">
        <w:rPr>
          <w:lang w:val="en-US"/>
        </w:rPr>
        <w:t xml:space="preserve"> and screening</w:t>
      </w:r>
      <w:r w:rsidR="00706638" w:rsidRPr="005342A5">
        <w:rPr>
          <w:lang w:val="en-US"/>
        </w:rPr>
        <w:t xml:space="preserve"> behaviors.</w:t>
      </w:r>
    </w:p>
    <w:p w14:paraId="233CD292" w14:textId="0C950DB9" w:rsidR="00706638" w:rsidRDefault="00706638" w:rsidP="00706638">
      <w:pPr>
        <w:rPr>
          <w:lang w:val="en-US"/>
        </w:rPr>
      </w:pPr>
      <w:r w:rsidRPr="005342A5">
        <w:rPr>
          <w:lang w:val="en-US"/>
        </w:rPr>
        <w:t xml:space="preserve">We initialized a population of 10,000 Belgian MSM and randomly allocated them to the two groups according to the estimated proportions. </w:t>
      </w:r>
    </w:p>
    <w:p w14:paraId="5CC02E17" w14:textId="76EB1A3D" w:rsidR="00706638" w:rsidRPr="00706638" w:rsidRDefault="00706638" w:rsidP="00706638">
      <w:pPr>
        <w:pStyle w:val="Heading3"/>
        <w:rPr>
          <w:rFonts w:asciiTheme="minorHAnsi" w:hAnsiTheme="minorHAnsi" w:cstheme="minorHAnsi"/>
          <w:color w:val="auto"/>
          <w:lang w:val="en-US"/>
        </w:rPr>
      </w:pPr>
      <w:r w:rsidRPr="00706638">
        <w:rPr>
          <w:rFonts w:asciiTheme="minorHAnsi" w:hAnsiTheme="minorHAnsi" w:cstheme="minorHAnsi"/>
          <w:color w:val="auto"/>
          <w:lang w:val="en-US"/>
        </w:rPr>
        <w:t>3.</w:t>
      </w:r>
      <w:r>
        <w:rPr>
          <w:rFonts w:asciiTheme="minorHAnsi" w:hAnsiTheme="minorHAnsi" w:cstheme="minorHAnsi"/>
          <w:color w:val="auto"/>
          <w:lang w:val="en-US"/>
        </w:rPr>
        <w:t>2</w:t>
      </w:r>
      <w:r w:rsidRPr="00706638">
        <w:rPr>
          <w:rFonts w:asciiTheme="minorHAnsi" w:hAnsiTheme="minorHAnsi" w:cstheme="minorHAnsi"/>
          <w:color w:val="auto"/>
          <w:lang w:val="en-US"/>
        </w:rPr>
        <w:t xml:space="preserve">. </w:t>
      </w:r>
      <w:r>
        <w:rPr>
          <w:rFonts w:asciiTheme="minorHAnsi" w:hAnsiTheme="minorHAnsi" w:cstheme="minorHAnsi"/>
          <w:color w:val="auto"/>
          <w:lang w:val="en-US"/>
        </w:rPr>
        <w:t>Partnership type</w:t>
      </w:r>
      <w:r w:rsidR="00791D24">
        <w:rPr>
          <w:rFonts w:asciiTheme="minorHAnsi" w:hAnsiTheme="minorHAnsi" w:cstheme="minorHAnsi"/>
          <w:color w:val="auto"/>
          <w:lang w:val="en-US"/>
        </w:rPr>
        <w:t>s</w:t>
      </w:r>
      <w:r w:rsidRPr="00706638">
        <w:rPr>
          <w:rFonts w:asciiTheme="minorHAnsi" w:hAnsiTheme="minorHAnsi" w:cstheme="minorHAnsi"/>
          <w:color w:val="auto"/>
          <w:lang w:val="en-US"/>
        </w:rPr>
        <w:t xml:space="preserve"> </w:t>
      </w:r>
    </w:p>
    <w:p w14:paraId="6A965C71" w14:textId="2994192B" w:rsidR="003D2F66" w:rsidRPr="005342A5" w:rsidRDefault="003D2F66" w:rsidP="00F16BC8">
      <w:pPr>
        <w:rPr>
          <w:lang w:val="en-US"/>
        </w:rPr>
      </w:pPr>
      <w:r w:rsidRPr="005342A5">
        <w:rPr>
          <w:lang w:val="en-US"/>
        </w:rPr>
        <w:t>T</w:t>
      </w:r>
      <w:r w:rsidR="0038477E" w:rsidRPr="005342A5">
        <w:rPr>
          <w:lang w:val="en-US"/>
        </w:rPr>
        <w:t>he model consist</w:t>
      </w:r>
      <w:r w:rsidR="005B7D5A" w:rsidRPr="005342A5">
        <w:rPr>
          <w:lang w:val="en-US"/>
        </w:rPr>
        <w:t>s</w:t>
      </w:r>
      <w:r w:rsidR="0038477E" w:rsidRPr="005342A5">
        <w:rPr>
          <w:lang w:val="en-US"/>
        </w:rPr>
        <w:t xml:space="preserve"> of </w:t>
      </w:r>
      <w:r w:rsidR="00684380">
        <w:rPr>
          <w:lang w:val="en-US"/>
        </w:rPr>
        <w:t>three</w:t>
      </w:r>
      <w:r w:rsidR="00EF258E" w:rsidRPr="005342A5">
        <w:rPr>
          <w:lang w:val="en-US"/>
        </w:rPr>
        <w:t xml:space="preserve"> parallel,</w:t>
      </w:r>
      <w:r w:rsidR="0038477E" w:rsidRPr="005342A5">
        <w:rPr>
          <w:lang w:val="en-US"/>
        </w:rPr>
        <w:t xml:space="preserve"> interacting </w:t>
      </w:r>
      <w:r w:rsidR="00D65B2A" w:rsidRPr="005342A5">
        <w:rPr>
          <w:lang w:val="en-US"/>
        </w:rPr>
        <w:t xml:space="preserve">networks representing </w:t>
      </w:r>
      <w:r w:rsidR="000C6DB4">
        <w:rPr>
          <w:lang w:val="en-US"/>
        </w:rPr>
        <w:t>steady</w:t>
      </w:r>
      <w:r w:rsidR="00684380">
        <w:rPr>
          <w:lang w:val="en-US"/>
        </w:rPr>
        <w:t>, persistent casual and one-off (one-night stand)</w:t>
      </w:r>
      <w:r w:rsidR="0038477E" w:rsidRPr="005342A5">
        <w:rPr>
          <w:lang w:val="en-US"/>
        </w:rPr>
        <w:t xml:space="preserve"> partnerships</w:t>
      </w:r>
      <w:r w:rsidR="0048593A">
        <w:rPr>
          <w:lang w:val="en-US"/>
        </w:rPr>
        <w:t xml:space="preserve">. </w:t>
      </w:r>
      <w:r w:rsidR="00171927">
        <w:rPr>
          <w:lang w:val="en-US"/>
        </w:rPr>
        <w:t xml:space="preserve">As </w:t>
      </w:r>
      <w:r w:rsidR="000C6DB4">
        <w:rPr>
          <w:lang w:val="en-US"/>
        </w:rPr>
        <w:t>steady</w:t>
      </w:r>
      <w:r w:rsidR="00171927">
        <w:rPr>
          <w:lang w:val="en-US"/>
        </w:rPr>
        <w:t xml:space="preserve"> partners, the EMIS questionnaire specified those who are a </w:t>
      </w:r>
      <w:r w:rsidR="00171927" w:rsidRPr="00171927">
        <w:rPr>
          <w:lang w:val="en-US"/>
        </w:rPr>
        <w:t xml:space="preserve">lover or spouse that means </w:t>
      </w:r>
      <w:r w:rsidR="00171927">
        <w:rPr>
          <w:lang w:val="en-US"/>
        </w:rPr>
        <w:t>that participants identif</w:t>
      </w:r>
      <w:r w:rsidR="0048593A">
        <w:rPr>
          <w:lang w:val="en-US"/>
        </w:rPr>
        <w:t>ied</w:t>
      </w:r>
      <w:r w:rsidR="00171927">
        <w:rPr>
          <w:lang w:val="en-US"/>
        </w:rPr>
        <w:t xml:space="preserve"> as “</w:t>
      </w:r>
      <w:proofErr w:type="spellStart"/>
      <w:r w:rsidR="00171927">
        <w:rPr>
          <w:lang w:val="en-US"/>
        </w:rPr>
        <w:t>not</w:t>
      </w:r>
      <w:proofErr w:type="spellEnd"/>
      <w:r w:rsidR="00171927">
        <w:rPr>
          <w:lang w:val="en-US"/>
        </w:rPr>
        <w:t xml:space="preserve"> </w:t>
      </w:r>
      <w:r w:rsidR="00171927" w:rsidRPr="00171927">
        <w:rPr>
          <w:lang w:val="en-US"/>
        </w:rPr>
        <w:t>single</w:t>
      </w:r>
      <w:r w:rsidR="00171927">
        <w:rPr>
          <w:lang w:val="en-US"/>
        </w:rPr>
        <w:t xml:space="preserve">”. All other partners were coded as casual partners. Among casual partners, the EMIS questionnaire </w:t>
      </w:r>
      <w:r w:rsidR="000C6DB4">
        <w:rPr>
          <w:lang w:val="en-US"/>
        </w:rPr>
        <w:t>established whether</w:t>
      </w:r>
      <w:r w:rsidR="00171927">
        <w:rPr>
          <w:lang w:val="en-US"/>
        </w:rPr>
        <w:t xml:space="preserve"> participants have had sex </w:t>
      </w:r>
      <w:r w:rsidR="000C6DB4">
        <w:rPr>
          <w:lang w:val="en-US"/>
        </w:rPr>
        <w:t xml:space="preserve">with them </w:t>
      </w:r>
      <w:r w:rsidR="00171927">
        <w:rPr>
          <w:lang w:val="en-US"/>
        </w:rPr>
        <w:t xml:space="preserve">before (once, or more than once). </w:t>
      </w:r>
      <w:r w:rsidR="00710530">
        <w:rPr>
          <w:lang w:val="en-US"/>
        </w:rPr>
        <w:t xml:space="preserve">Those who reported partners that they had not have sex before, were coded as one-off partners (one-night stands), while the remaining as persistent casual partners. </w:t>
      </w:r>
      <w:r w:rsidR="0086256B" w:rsidRPr="005342A5">
        <w:rPr>
          <w:lang w:val="en-US"/>
        </w:rPr>
        <w:t xml:space="preserve">The </w:t>
      </w:r>
      <w:r w:rsidR="00E2244B">
        <w:rPr>
          <w:lang w:val="en-US"/>
        </w:rPr>
        <w:t>three</w:t>
      </w:r>
      <w:r w:rsidR="0086256B" w:rsidRPr="005342A5">
        <w:rPr>
          <w:lang w:val="en-US"/>
        </w:rPr>
        <w:t xml:space="preserve"> parallel networks contained the same set of persons who were further distinguished into two groups </w:t>
      </w:r>
      <w:r w:rsidR="00786296" w:rsidRPr="005342A5">
        <w:rPr>
          <w:lang w:val="en-US"/>
        </w:rPr>
        <w:t>(</w:t>
      </w:r>
      <w:r w:rsidR="0064388B">
        <w:rPr>
          <w:lang w:val="en-US"/>
        </w:rPr>
        <w:t>LA- and HA-MSM</w:t>
      </w:r>
      <w:r w:rsidR="003157B7" w:rsidRPr="005342A5">
        <w:rPr>
          <w:lang w:val="en-US"/>
        </w:rPr>
        <w:t>)</w:t>
      </w:r>
      <w:r w:rsidR="0048593A">
        <w:rPr>
          <w:lang w:val="en-US"/>
        </w:rPr>
        <w:t xml:space="preserve"> as described above</w:t>
      </w:r>
      <w:r w:rsidR="003157B7" w:rsidRPr="005342A5">
        <w:rPr>
          <w:lang w:val="en-US"/>
        </w:rPr>
        <w:t>.</w:t>
      </w:r>
    </w:p>
    <w:p w14:paraId="17705B5B" w14:textId="24A4874A" w:rsidR="00E870C1" w:rsidRPr="00791D24" w:rsidRDefault="00791D24" w:rsidP="00791D24">
      <w:pPr>
        <w:pStyle w:val="Heading3"/>
        <w:rPr>
          <w:rFonts w:asciiTheme="minorHAnsi" w:hAnsiTheme="minorHAnsi" w:cstheme="minorHAnsi"/>
          <w:color w:val="auto"/>
          <w:lang w:val="en-US"/>
        </w:rPr>
      </w:pPr>
      <w:r>
        <w:rPr>
          <w:rFonts w:asciiTheme="minorHAnsi" w:hAnsiTheme="minorHAnsi" w:cstheme="minorHAnsi"/>
          <w:color w:val="auto"/>
          <w:lang w:val="en-US"/>
        </w:rPr>
        <w:t xml:space="preserve">3.3. </w:t>
      </w:r>
      <w:r w:rsidR="00E870C1" w:rsidRPr="00791D24">
        <w:rPr>
          <w:rFonts w:asciiTheme="minorHAnsi" w:hAnsiTheme="minorHAnsi" w:cstheme="minorHAnsi"/>
          <w:color w:val="auto"/>
          <w:lang w:val="en-US"/>
        </w:rPr>
        <w:t>Partnership formation</w:t>
      </w:r>
      <w:r w:rsidR="00331D70">
        <w:rPr>
          <w:rFonts w:asciiTheme="minorHAnsi" w:hAnsiTheme="minorHAnsi" w:cstheme="minorHAnsi"/>
          <w:color w:val="auto"/>
          <w:lang w:val="en-US"/>
        </w:rPr>
        <w:t xml:space="preserve"> and dissolution</w:t>
      </w:r>
    </w:p>
    <w:p w14:paraId="76236D90" w14:textId="464E13E9" w:rsidR="00EE2533" w:rsidRDefault="00EE2533" w:rsidP="00404408">
      <w:pPr>
        <w:rPr>
          <w:lang w:val="en-US"/>
        </w:rPr>
      </w:pPr>
      <w:bookmarkStart w:id="3" w:name="_Hlk152149617"/>
      <w:r w:rsidRPr="005342A5">
        <w:rPr>
          <w:lang w:val="en-US"/>
        </w:rPr>
        <w:t xml:space="preserve">The formation of partnerships in </w:t>
      </w:r>
      <w:r>
        <w:rPr>
          <w:lang w:val="en-US"/>
        </w:rPr>
        <w:t xml:space="preserve">all three </w:t>
      </w:r>
      <w:r w:rsidRPr="005342A5">
        <w:rPr>
          <w:lang w:val="en-US"/>
        </w:rPr>
        <w:t>networks (</w:t>
      </w:r>
      <w:r w:rsidR="000C6DB4">
        <w:rPr>
          <w:lang w:val="en-US"/>
        </w:rPr>
        <w:t>steady</w:t>
      </w:r>
      <w:r>
        <w:rPr>
          <w:lang w:val="en-US"/>
        </w:rPr>
        <w:t xml:space="preserve">, </w:t>
      </w:r>
      <w:r w:rsidRPr="005342A5">
        <w:rPr>
          <w:lang w:val="en-US"/>
        </w:rPr>
        <w:t>casual,</w:t>
      </w:r>
      <w:r>
        <w:rPr>
          <w:lang w:val="en-US"/>
        </w:rPr>
        <w:t xml:space="preserve"> and one-off</w:t>
      </w:r>
      <w:r w:rsidRPr="005342A5">
        <w:rPr>
          <w:lang w:val="en-US"/>
        </w:rPr>
        <w:t>) was governed by similar formation equations</w:t>
      </w:r>
      <w:r w:rsidR="0048593A" w:rsidRPr="005342A5">
        <w:rPr>
          <w:lang w:val="en-US"/>
        </w:rPr>
        <w:t xml:space="preserve">, in order to be able to preserve </w:t>
      </w:r>
      <w:r w:rsidR="0048593A">
        <w:rPr>
          <w:lang w:val="en-US"/>
        </w:rPr>
        <w:t xml:space="preserve">the distinct </w:t>
      </w:r>
      <w:r w:rsidR="0048593A" w:rsidRPr="005342A5">
        <w:rPr>
          <w:lang w:val="en-US"/>
        </w:rPr>
        <w:t>behavioral characteristics linked to each partnership type.</w:t>
      </w:r>
      <w:r w:rsidRPr="005342A5">
        <w:rPr>
          <w:lang w:val="en-US"/>
        </w:rPr>
        <w:t xml:space="preserve"> </w:t>
      </w:r>
      <w:r>
        <w:rPr>
          <w:lang w:val="en-US"/>
        </w:rPr>
        <w:t xml:space="preserve">The formation of </w:t>
      </w:r>
      <w:r w:rsidR="000C6DB4">
        <w:rPr>
          <w:lang w:val="en-US"/>
        </w:rPr>
        <w:t>steady</w:t>
      </w:r>
      <w:r>
        <w:rPr>
          <w:lang w:val="en-US"/>
        </w:rPr>
        <w:t xml:space="preserve"> (and casual) partnerships was associated with the number of total </w:t>
      </w:r>
      <w:r w:rsidRPr="005342A5">
        <w:rPr>
          <w:lang w:val="en-US"/>
        </w:rPr>
        <w:t xml:space="preserve">number of </w:t>
      </w:r>
      <w:r w:rsidR="000C6DB4">
        <w:rPr>
          <w:lang w:val="en-US"/>
        </w:rPr>
        <w:t>steady</w:t>
      </w:r>
      <w:r>
        <w:rPr>
          <w:lang w:val="en-US"/>
        </w:rPr>
        <w:t xml:space="preserve"> (casual) </w:t>
      </w:r>
      <w:r w:rsidRPr="005342A5">
        <w:rPr>
          <w:lang w:val="en-US"/>
        </w:rPr>
        <w:t>partnerships currently in the network</w:t>
      </w:r>
      <w:r>
        <w:rPr>
          <w:lang w:val="en-US"/>
        </w:rPr>
        <w:t>, the proportion of concordant partnerships (HA-MSM with HA-MSM, or LA-MSM with LA-MSM)</w:t>
      </w:r>
      <w:r w:rsidRPr="005342A5">
        <w:rPr>
          <w:lang w:val="en-US"/>
        </w:rPr>
        <w:t xml:space="preserve"> </w:t>
      </w:r>
      <w:r>
        <w:rPr>
          <w:lang w:val="en-US"/>
        </w:rPr>
        <w:t>different for each group, the proportion of individuals with concurren</w:t>
      </w:r>
      <w:r w:rsidR="0048593A">
        <w:rPr>
          <w:lang w:val="en-US"/>
        </w:rPr>
        <w:t>t partners</w:t>
      </w:r>
      <w:r>
        <w:rPr>
          <w:lang w:val="en-US"/>
        </w:rPr>
        <w:t xml:space="preserve"> (2 or more active partnerships simultaneously) </w:t>
      </w:r>
      <w:r w:rsidRPr="005342A5">
        <w:rPr>
          <w:lang w:val="en-US"/>
        </w:rPr>
        <w:t>and the</w:t>
      </w:r>
      <w:r w:rsidR="0048593A">
        <w:rPr>
          <w:lang w:val="en-US"/>
        </w:rPr>
        <w:t>ir status regarding casual (</w:t>
      </w:r>
      <w:r w:rsidR="000C6DB4">
        <w:rPr>
          <w:lang w:val="en-US"/>
        </w:rPr>
        <w:t>steady</w:t>
      </w:r>
      <w:r w:rsidR="0048593A">
        <w:rPr>
          <w:lang w:val="en-US"/>
        </w:rPr>
        <w:t>) partners (</w:t>
      </w:r>
      <w:r>
        <w:rPr>
          <w:lang w:val="en-US"/>
        </w:rPr>
        <w:t>proportion of individuals with 0, 1, or more than 1 casual (</w:t>
      </w:r>
      <w:r w:rsidR="000C6DB4">
        <w:rPr>
          <w:lang w:val="en-US"/>
        </w:rPr>
        <w:t>steady</w:t>
      </w:r>
      <w:r>
        <w:rPr>
          <w:lang w:val="en-US"/>
        </w:rPr>
        <w:t>) partners</w:t>
      </w:r>
      <w:r w:rsidR="0048593A">
        <w:rPr>
          <w:lang w:val="en-US"/>
        </w:rPr>
        <w:t>)</w:t>
      </w:r>
      <w:r w:rsidRPr="005342A5">
        <w:rPr>
          <w:lang w:val="en-US"/>
        </w:rPr>
        <w:t>.</w:t>
      </w:r>
      <w:r>
        <w:rPr>
          <w:lang w:val="en-US"/>
        </w:rPr>
        <w:t xml:space="preserve"> </w:t>
      </w:r>
      <w:bookmarkStart w:id="4" w:name="_Hlk152149653"/>
      <w:bookmarkEnd w:id="3"/>
      <w:r>
        <w:rPr>
          <w:lang w:val="en-US"/>
        </w:rPr>
        <w:t xml:space="preserve">The formation of one-off partnerships depended on the total number of one-off partnerships, the proportion of concordant partnerships (different for each group), the proportion of individuals with 0, 1 or more than 1 </w:t>
      </w:r>
      <w:r w:rsidR="000C6DB4">
        <w:rPr>
          <w:lang w:val="en-US"/>
        </w:rPr>
        <w:t>steady</w:t>
      </w:r>
      <w:r>
        <w:rPr>
          <w:lang w:val="en-US"/>
        </w:rPr>
        <w:t xml:space="preserve"> partners, and the proportion of individuals with 0, 1, or more than 1 casual partners.</w:t>
      </w:r>
      <w:r w:rsidR="0048593A">
        <w:rPr>
          <w:lang w:val="en-US"/>
        </w:rPr>
        <w:t xml:space="preserve"> A</w:t>
      </w:r>
      <w:r w:rsidRPr="005342A5">
        <w:rPr>
          <w:lang w:val="en-US"/>
        </w:rPr>
        <w:t>ll those characteristics were targeted to match observed statistics from the</w:t>
      </w:r>
      <w:r>
        <w:rPr>
          <w:lang w:val="en-US"/>
        </w:rPr>
        <w:t xml:space="preserve"> EMIS 2017 dataset</w:t>
      </w:r>
      <w:r w:rsidRPr="005342A5">
        <w:rPr>
          <w:lang w:val="en-US"/>
        </w:rPr>
        <w:t xml:space="preserve"> for each group </w:t>
      </w:r>
      <w:r w:rsidR="0048593A">
        <w:rPr>
          <w:lang w:val="en-US"/>
        </w:rPr>
        <w:t xml:space="preserve">and partnership type </w:t>
      </w:r>
      <w:r w:rsidRPr="005342A5">
        <w:rPr>
          <w:lang w:val="en-US"/>
        </w:rPr>
        <w:t xml:space="preserve">and </w:t>
      </w:r>
      <w:r>
        <w:rPr>
          <w:lang w:val="en-US"/>
        </w:rPr>
        <w:t xml:space="preserve">the underlying network was fitted so that they would be </w:t>
      </w:r>
      <w:r w:rsidRPr="005342A5">
        <w:rPr>
          <w:lang w:val="en-US"/>
        </w:rPr>
        <w:t xml:space="preserve">held constant over time. </w:t>
      </w:r>
    </w:p>
    <w:p w14:paraId="59D56C6E" w14:textId="24CFF59C" w:rsidR="000B7440" w:rsidRDefault="00A36236" w:rsidP="00404408">
      <w:pPr>
        <w:rPr>
          <w:lang w:val="en-US"/>
        </w:rPr>
      </w:pPr>
      <w:bookmarkStart w:id="5" w:name="_Hlk152149668"/>
      <w:bookmarkEnd w:id="4"/>
      <w:r w:rsidRPr="005342A5">
        <w:rPr>
          <w:lang w:val="en-US"/>
        </w:rPr>
        <w:t>The number of ongoing partnerships (</w:t>
      </w:r>
      <w:r w:rsidR="000C6DB4">
        <w:rPr>
          <w:lang w:val="en-US"/>
        </w:rPr>
        <w:t>steady</w:t>
      </w:r>
      <w:r w:rsidRPr="005342A5">
        <w:rPr>
          <w:lang w:val="en-US"/>
        </w:rPr>
        <w:t xml:space="preserve"> and </w:t>
      </w:r>
      <w:r w:rsidR="0048593A">
        <w:rPr>
          <w:lang w:val="en-US"/>
        </w:rPr>
        <w:t xml:space="preserve">persistent </w:t>
      </w:r>
      <w:r w:rsidRPr="005342A5">
        <w:rPr>
          <w:lang w:val="en-US"/>
        </w:rPr>
        <w:t>casual) and their combination</w:t>
      </w:r>
      <w:r w:rsidR="00974C4F">
        <w:rPr>
          <w:lang w:val="en-US"/>
        </w:rPr>
        <w:t>s</w:t>
      </w:r>
      <w:r w:rsidRPr="005342A5">
        <w:rPr>
          <w:lang w:val="en-US"/>
        </w:rPr>
        <w:t xml:space="preserve"> w</w:t>
      </w:r>
      <w:r w:rsidR="00974C4F">
        <w:rPr>
          <w:lang w:val="en-US"/>
        </w:rPr>
        <w:t>ere</w:t>
      </w:r>
      <w:r w:rsidRPr="005342A5">
        <w:rPr>
          <w:lang w:val="en-US"/>
        </w:rPr>
        <w:t xml:space="preserve"> </w:t>
      </w:r>
      <w:r w:rsidR="00171927">
        <w:rPr>
          <w:lang w:val="en-US"/>
        </w:rPr>
        <w:t xml:space="preserve">estimated using the EMIS </w:t>
      </w:r>
      <w:r w:rsidR="0048593A">
        <w:rPr>
          <w:lang w:val="en-US"/>
        </w:rPr>
        <w:t xml:space="preserve">2017 </w:t>
      </w:r>
      <w:r w:rsidR="00171927">
        <w:rPr>
          <w:lang w:val="en-US"/>
        </w:rPr>
        <w:t>dat</w:t>
      </w:r>
      <w:r w:rsidR="000B7440">
        <w:rPr>
          <w:lang w:val="en-US"/>
        </w:rPr>
        <w:t>a</w:t>
      </w:r>
      <w:r w:rsidR="00171927">
        <w:rPr>
          <w:lang w:val="en-US"/>
        </w:rPr>
        <w:t xml:space="preserve">set. </w:t>
      </w:r>
      <w:r w:rsidR="0048593A" w:rsidRPr="005342A5">
        <w:rPr>
          <w:lang w:val="en-US"/>
        </w:rPr>
        <w:t xml:space="preserve">We allowed each individual in the model to have zero, one or more than one </w:t>
      </w:r>
      <w:r w:rsidR="000C6DB4">
        <w:rPr>
          <w:lang w:val="en-US"/>
        </w:rPr>
        <w:t>steady</w:t>
      </w:r>
      <w:r w:rsidR="0048593A" w:rsidRPr="005342A5">
        <w:rPr>
          <w:lang w:val="en-US"/>
        </w:rPr>
        <w:t xml:space="preserve"> partner and zero, one or more than one casual partners at any given time step.</w:t>
      </w:r>
    </w:p>
    <w:bookmarkEnd w:id="5"/>
    <w:p w14:paraId="480E06E6" w14:textId="40CCFEB1" w:rsidR="00610196" w:rsidRPr="005342A5" w:rsidRDefault="00F07E61" w:rsidP="00996823">
      <w:pPr>
        <w:pStyle w:val="NoSpacing"/>
        <w:rPr>
          <w:lang w:val="en-US"/>
        </w:rPr>
      </w:pPr>
      <w:r w:rsidRPr="005342A5">
        <w:rPr>
          <w:lang w:val="en-US"/>
        </w:rPr>
        <w:t xml:space="preserve">The distribution of </w:t>
      </w:r>
      <w:r w:rsidR="000C6DB4">
        <w:rPr>
          <w:lang w:val="en-US"/>
        </w:rPr>
        <w:t>steady</w:t>
      </w:r>
      <w:r w:rsidRPr="005342A5">
        <w:rPr>
          <w:lang w:val="en-US"/>
        </w:rPr>
        <w:t xml:space="preserve"> and </w:t>
      </w:r>
      <w:r w:rsidR="0048593A">
        <w:rPr>
          <w:lang w:val="en-US"/>
        </w:rPr>
        <w:t xml:space="preserve">persistent </w:t>
      </w:r>
      <w:r w:rsidRPr="005342A5">
        <w:rPr>
          <w:lang w:val="en-US"/>
        </w:rPr>
        <w:t xml:space="preserve">casual partnerships by group is presented </w:t>
      </w:r>
      <w:r w:rsidR="00E60196" w:rsidRPr="005342A5">
        <w:rPr>
          <w:lang w:val="en-US"/>
        </w:rPr>
        <w:t xml:space="preserve">in </w:t>
      </w:r>
      <w:r w:rsidRPr="005342A5">
        <w:rPr>
          <w:lang w:val="en-US"/>
        </w:rPr>
        <w:fldChar w:fldCharType="begin"/>
      </w:r>
      <w:r w:rsidRPr="005342A5">
        <w:rPr>
          <w:lang w:val="en-US"/>
        </w:rPr>
        <w:instrText xml:space="preserve"> REF _Ref88829229 \h </w:instrText>
      </w:r>
      <w:r w:rsidR="00404408" w:rsidRPr="005342A5">
        <w:rPr>
          <w:lang w:val="en-US"/>
        </w:rPr>
        <w:instrText xml:space="preserve"> \* MERGEFORMAT </w:instrText>
      </w:r>
      <w:r w:rsidRPr="005342A5">
        <w:rPr>
          <w:lang w:val="en-US"/>
        </w:rPr>
      </w:r>
      <w:r w:rsidRPr="005342A5">
        <w:rPr>
          <w:lang w:val="en-US"/>
        </w:rPr>
        <w:fldChar w:fldCharType="separate"/>
      </w:r>
    </w:p>
    <w:p w14:paraId="37C5018F" w14:textId="5216661C" w:rsidR="00404408" w:rsidRPr="005342A5" w:rsidRDefault="00610196" w:rsidP="00996823">
      <w:pPr>
        <w:pStyle w:val="NoSpacing"/>
        <w:rPr>
          <w:lang w:val="en-US"/>
        </w:rPr>
      </w:pPr>
      <w:r w:rsidRPr="005342A5">
        <w:rPr>
          <w:lang w:val="en-US"/>
        </w:rPr>
        <w:t>Table S1</w:t>
      </w:r>
      <w:r w:rsidR="00F07E61" w:rsidRPr="005342A5">
        <w:rPr>
          <w:lang w:val="en-US"/>
        </w:rPr>
        <w:fldChar w:fldCharType="end"/>
      </w:r>
      <w:r w:rsidR="00F07E61" w:rsidRPr="005342A5">
        <w:rPr>
          <w:lang w:val="en-US"/>
        </w:rPr>
        <w:t xml:space="preserve">. </w:t>
      </w:r>
      <w:bookmarkStart w:id="6" w:name="_Ref88829229"/>
    </w:p>
    <w:p w14:paraId="4058343C" w14:textId="77777777" w:rsidR="00996823" w:rsidRPr="005342A5" w:rsidRDefault="00996823" w:rsidP="00996823">
      <w:pPr>
        <w:pStyle w:val="NoSpacing"/>
        <w:rPr>
          <w:lang w:val="en-US"/>
        </w:rPr>
      </w:pPr>
    </w:p>
    <w:p w14:paraId="6F579C19" w14:textId="3CC9E361" w:rsidR="006B5C71" w:rsidRPr="005342A5" w:rsidRDefault="006878B0" w:rsidP="006B5C71">
      <w:pPr>
        <w:pStyle w:val="Caption"/>
        <w:rPr>
          <w:lang w:val="en-US"/>
        </w:rPr>
      </w:pPr>
      <w:r w:rsidRPr="00C10110">
        <w:rPr>
          <w:lang w:val="en-US"/>
        </w:rPr>
        <w:t>Table</w:t>
      </w:r>
      <w:r w:rsidRPr="005342A5">
        <w:rPr>
          <w:lang w:val="en-US"/>
        </w:rPr>
        <w:t xml:space="preserve"> S</w:t>
      </w:r>
      <w:r w:rsidR="00F1222A" w:rsidRPr="005342A5">
        <w:rPr>
          <w:lang w:val="en-US"/>
        </w:rPr>
        <w:fldChar w:fldCharType="begin"/>
      </w:r>
      <w:r w:rsidR="00F1222A" w:rsidRPr="005342A5">
        <w:rPr>
          <w:lang w:val="en-US"/>
        </w:rPr>
        <w:instrText xml:space="preserve"> SEQ Table \* ARABIC </w:instrText>
      </w:r>
      <w:r w:rsidR="00F1222A" w:rsidRPr="005342A5">
        <w:rPr>
          <w:lang w:val="en-US"/>
        </w:rPr>
        <w:fldChar w:fldCharType="separate"/>
      </w:r>
      <w:r w:rsidR="00610196" w:rsidRPr="005342A5">
        <w:rPr>
          <w:noProof/>
          <w:lang w:val="en-US"/>
        </w:rPr>
        <w:t>1</w:t>
      </w:r>
      <w:r w:rsidR="00F1222A" w:rsidRPr="005342A5">
        <w:rPr>
          <w:lang w:val="en-US"/>
        </w:rPr>
        <w:fldChar w:fldCharType="end"/>
      </w:r>
      <w:bookmarkEnd w:id="6"/>
      <w:r w:rsidR="00F1222A" w:rsidRPr="005342A5">
        <w:rPr>
          <w:lang w:val="en-US"/>
        </w:rPr>
        <w:t xml:space="preserve">: </w:t>
      </w:r>
      <w:r w:rsidR="006B5C71" w:rsidRPr="005342A5">
        <w:rPr>
          <w:lang w:val="en-US"/>
        </w:rPr>
        <w:t xml:space="preserve">Partnership formation probabilities </w:t>
      </w:r>
      <w:r w:rsidR="006B5C71">
        <w:rPr>
          <w:lang w:val="en-US"/>
        </w:rPr>
        <w:t xml:space="preserve">for </w:t>
      </w:r>
      <w:r w:rsidR="000C6DB4">
        <w:rPr>
          <w:lang w:val="en-US"/>
        </w:rPr>
        <w:t>steady</w:t>
      </w:r>
      <w:r w:rsidR="006B5C71">
        <w:rPr>
          <w:lang w:val="en-US"/>
        </w:rPr>
        <w:t xml:space="preserve"> and casual partnerships </w:t>
      </w:r>
      <w:r w:rsidR="006B5C71" w:rsidRPr="005342A5">
        <w:rPr>
          <w:lang w:val="en-US"/>
        </w:rPr>
        <w:t>stratified by partnership group</w:t>
      </w:r>
    </w:p>
    <w:tbl>
      <w:tblPr>
        <w:tblStyle w:val="ListTable1Light"/>
        <w:tblW w:w="9072" w:type="dxa"/>
        <w:tblLook w:val="04A0" w:firstRow="1" w:lastRow="0" w:firstColumn="1" w:lastColumn="0" w:noHBand="0" w:noVBand="1"/>
      </w:tblPr>
      <w:tblGrid>
        <w:gridCol w:w="2312"/>
        <w:gridCol w:w="1562"/>
        <w:gridCol w:w="1714"/>
        <w:gridCol w:w="1135"/>
        <w:gridCol w:w="1034"/>
        <w:gridCol w:w="1315"/>
      </w:tblGrid>
      <w:tr w:rsidR="00226F8D" w:rsidRPr="005342A5" w14:paraId="15D95704" w14:textId="77777777" w:rsidTr="00663D8D">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15C4B4A6" w14:textId="77777777" w:rsidR="00226F8D" w:rsidRPr="005342A5" w:rsidRDefault="00226F8D" w:rsidP="00B443DB">
            <w:pPr>
              <w:jc w:val="center"/>
              <w:rPr>
                <w:lang w:val="en-US"/>
              </w:rPr>
            </w:pPr>
          </w:p>
        </w:tc>
        <w:tc>
          <w:tcPr>
            <w:tcW w:w="1562" w:type="dxa"/>
          </w:tcPr>
          <w:p w14:paraId="0D506608" w14:textId="77777777" w:rsidR="00226F8D" w:rsidRPr="005342A5" w:rsidRDefault="00226F8D" w:rsidP="00B443DB">
            <w:pPr>
              <w:jc w:val="center"/>
              <w:cnfStyle w:val="100000000000" w:firstRow="1" w:lastRow="0" w:firstColumn="0" w:lastColumn="0" w:oddVBand="0" w:evenVBand="0" w:oddHBand="0" w:evenHBand="0" w:firstRowFirstColumn="0" w:firstRowLastColumn="0" w:lastRowFirstColumn="0" w:lastRowLastColumn="0"/>
              <w:rPr>
                <w:lang w:val="en-US"/>
              </w:rPr>
            </w:pPr>
          </w:p>
        </w:tc>
        <w:tc>
          <w:tcPr>
            <w:tcW w:w="1714" w:type="dxa"/>
          </w:tcPr>
          <w:p w14:paraId="378136F3" w14:textId="6B112F4C" w:rsidR="00226F8D" w:rsidRPr="005342A5" w:rsidRDefault="00226F8D" w:rsidP="00B443DB">
            <w:pPr>
              <w:jc w:val="center"/>
              <w:cnfStyle w:val="100000000000" w:firstRow="1" w:lastRow="0" w:firstColumn="0" w:lastColumn="0" w:oddVBand="0" w:evenVBand="0" w:oddHBand="0" w:evenHBand="0" w:firstRowFirstColumn="0" w:firstRowLastColumn="0" w:lastRowFirstColumn="0" w:lastRowLastColumn="0"/>
              <w:rPr>
                <w:lang w:val="en-US"/>
              </w:rPr>
            </w:pPr>
          </w:p>
        </w:tc>
        <w:tc>
          <w:tcPr>
            <w:tcW w:w="3484" w:type="dxa"/>
            <w:gridSpan w:val="3"/>
          </w:tcPr>
          <w:p w14:paraId="27F5A576" w14:textId="589B3952" w:rsidR="00226F8D" w:rsidRPr="005342A5" w:rsidRDefault="00226F8D" w:rsidP="00B443DB">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w:t>
            </w:r>
            <w:r>
              <w:t xml:space="preserve">ll </w:t>
            </w:r>
            <w:r>
              <w:rPr>
                <w:lang w:val="en-US"/>
              </w:rPr>
              <w:t>C</w:t>
            </w:r>
            <w:r w:rsidRPr="005342A5">
              <w:rPr>
                <w:lang w:val="en-US"/>
              </w:rPr>
              <w:t>asual partners</w:t>
            </w:r>
          </w:p>
        </w:tc>
      </w:tr>
      <w:tr w:rsidR="00226F8D" w:rsidRPr="005342A5" w14:paraId="0312FAB4"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4DEC024E" w14:textId="6AD5E8CC" w:rsidR="00226F8D" w:rsidRPr="005342A5" w:rsidRDefault="00226F8D" w:rsidP="00226F8D">
            <w:pPr>
              <w:jc w:val="center"/>
              <w:rPr>
                <w:lang w:val="en-US"/>
              </w:rPr>
            </w:pPr>
            <w:r>
              <w:rPr>
                <w:lang w:val="en-US"/>
              </w:rPr>
              <w:t>P</w:t>
            </w:r>
            <w:proofErr w:type="spellStart"/>
            <w:r>
              <w:t>rEP</w:t>
            </w:r>
            <w:proofErr w:type="spellEnd"/>
            <w:r>
              <w:t xml:space="preserve"> </w:t>
            </w:r>
            <w:proofErr w:type="spellStart"/>
            <w:r>
              <w:t>eligibility</w:t>
            </w:r>
            <w:proofErr w:type="spellEnd"/>
          </w:p>
        </w:tc>
        <w:tc>
          <w:tcPr>
            <w:tcW w:w="1562" w:type="dxa"/>
          </w:tcPr>
          <w:p w14:paraId="694F9E8C" w14:textId="46C66DD3"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14" w:type="dxa"/>
          </w:tcPr>
          <w:p w14:paraId="10FB7814" w14:textId="6066F84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35" w:type="dxa"/>
          </w:tcPr>
          <w:p w14:paraId="09FDD8EF" w14:textId="05DFF6A5"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0</w:t>
            </w:r>
          </w:p>
        </w:tc>
        <w:tc>
          <w:tcPr>
            <w:tcW w:w="1034" w:type="dxa"/>
          </w:tcPr>
          <w:p w14:paraId="7221399B" w14:textId="7C05D9F3"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315" w:type="dxa"/>
          </w:tcPr>
          <w:p w14:paraId="7FABF640" w14:textId="50817876"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&gt;1</w:t>
            </w:r>
          </w:p>
        </w:tc>
      </w:tr>
      <w:tr w:rsidR="00226F8D" w:rsidRPr="005342A5" w14:paraId="62C9AEB7"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0A286BD7" w14:textId="77777777" w:rsidR="00226F8D" w:rsidRPr="005342A5" w:rsidRDefault="00226F8D" w:rsidP="00226F8D">
            <w:pPr>
              <w:jc w:val="center"/>
              <w:rPr>
                <w:lang w:val="en-US"/>
              </w:rPr>
            </w:pPr>
          </w:p>
        </w:tc>
        <w:tc>
          <w:tcPr>
            <w:tcW w:w="1562" w:type="dxa"/>
          </w:tcPr>
          <w:p w14:paraId="5762DC0F"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4CEFC30D" w14:textId="2E824A23"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135" w:type="dxa"/>
          </w:tcPr>
          <w:p w14:paraId="18254700" w14:textId="67128632"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D9246A">
              <w:rPr>
                <w:lang w:val="en-US"/>
              </w:rPr>
              <w:t>5</w:t>
            </w:r>
            <w:r>
              <w:rPr>
                <w:lang w:val="en-US"/>
              </w:rPr>
              <w:t>1</w:t>
            </w:r>
            <w:r w:rsidRPr="00D9246A">
              <w:rPr>
                <w:lang w:val="en-US"/>
              </w:rPr>
              <w:t>.</w:t>
            </w:r>
            <w:r>
              <w:rPr>
                <w:lang w:val="en-US"/>
              </w:rPr>
              <w:t xml:space="preserve">51 </w:t>
            </w:r>
            <w:r w:rsidRPr="005342A5">
              <w:rPr>
                <w:lang w:val="en-US"/>
              </w:rPr>
              <w:t>%</w:t>
            </w:r>
          </w:p>
        </w:tc>
        <w:tc>
          <w:tcPr>
            <w:tcW w:w="1034" w:type="dxa"/>
          </w:tcPr>
          <w:p w14:paraId="4BBDBD2C" w14:textId="1D4435C9"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4.35</w:t>
            </w:r>
            <w:r w:rsidRPr="005342A5">
              <w:rPr>
                <w:lang w:val="en-US"/>
              </w:rPr>
              <w:t xml:space="preserve"> %</w:t>
            </w:r>
          </w:p>
        </w:tc>
        <w:tc>
          <w:tcPr>
            <w:tcW w:w="1315" w:type="dxa"/>
          </w:tcPr>
          <w:p w14:paraId="490F15F2" w14:textId="2E94CC2E"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1.03 %</w:t>
            </w:r>
          </w:p>
        </w:tc>
      </w:tr>
      <w:tr w:rsidR="00226F8D" w:rsidRPr="005342A5" w14:paraId="4215ECA4"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08B521B3" w14:textId="77777777" w:rsidR="00226F8D" w:rsidRPr="005342A5" w:rsidRDefault="00226F8D" w:rsidP="00226F8D">
            <w:pPr>
              <w:jc w:val="center"/>
              <w:rPr>
                <w:lang w:val="en-US"/>
              </w:rPr>
            </w:pPr>
          </w:p>
        </w:tc>
        <w:tc>
          <w:tcPr>
            <w:tcW w:w="1562" w:type="dxa"/>
          </w:tcPr>
          <w:p w14:paraId="6985C2DD"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14" w:type="dxa"/>
          </w:tcPr>
          <w:p w14:paraId="27DA8C32" w14:textId="06A0FFE6"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135" w:type="dxa"/>
          </w:tcPr>
          <w:p w14:paraId="4795E21E" w14:textId="6A29F7C1"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32.13 </w:t>
            </w:r>
            <w:r w:rsidRPr="005342A5">
              <w:rPr>
                <w:lang w:val="en-US"/>
              </w:rPr>
              <w:t>%</w:t>
            </w:r>
          </w:p>
        </w:tc>
        <w:tc>
          <w:tcPr>
            <w:tcW w:w="1034" w:type="dxa"/>
          </w:tcPr>
          <w:p w14:paraId="06412E8A" w14:textId="7AA11705"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7.25</w:t>
            </w:r>
            <w:r w:rsidRPr="005342A5">
              <w:rPr>
                <w:lang w:val="en-US"/>
              </w:rPr>
              <w:t xml:space="preserve"> %</w:t>
            </w:r>
          </w:p>
        </w:tc>
        <w:tc>
          <w:tcPr>
            <w:tcW w:w="1315" w:type="dxa"/>
          </w:tcPr>
          <w:p w14:paraId="0DA3057B" w14:textId="65B9E31F"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1.99 %</w:t>
            </w:r>
          </w:p>
        </w:tc>
      </w:tr>
      <w:tr w:rsidR="00226F8D" w:rsidRPr="005342A5" w14:paraId="514B5F7D"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46678D8D" w14:textId="77777777" w:rsidR="00226F8D" w:rsidRPr="005342A5" w:rsidRDefault="00226F8D" w:rsidP="00226F8D">
            <w:pPr>
              <w:jc w:val="center"/>
              <w:rPr>
                <w:lang w:val="en-US"/>
              </w:rPr>
            </w:pPr>
          </w:p>
        </w:tc>
        <w:tc>
          <w:tcPr>
            <w:tcW w:w="1562" w:type="dxa"/>
          </w:tcPr>
          <w:p w14:paraId="29FB9773"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0DAE2DFF" w14:textId="4B918DD9"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135" w:type="dxa"/>
          </w:tcPr>
          <w:p w14:paraId="7F0E62D2" w14:textId="00288952"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1.27</w:t>
            </w:r>
            <w:r w:rsidRPr="005342A5">
              <w:rPr>
                <w:lang w:val="en-US"/>
              </w:rPr>
              <w:t xml:space="preserve"> %</w:t>
            </w:r>
          </w:p>
        </w:tc>
        <w:tc>
          <w:tcPr>
            <w:tcW w:w="1034" w:type="dxa"/>
          </w:tcPr>
          <w:p w14:paraId="6E2745F5" w14:textId="153849D4"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0.30</w:t>
            </w:r>
            <w:r w:rsidRPr="005342A5">
              <w:rPr>
                <w:lang w:val="en-US"/>
              </w:rPr>
              <w:t xml:space="preserve"> %</w:t>
            </w:r>
          </w:p>
        </w:tc>
        <w:tc>
          <w:tcPr>
            <w:tcW w:w="1315" w:type="dxa"/>
          </w:tcPr>
          <w:p w14:paraId="73B3BC4A" w14:textId="48645BF2"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0.18 %</w:t>
            </w:r>
          </w:p>
        </w:tc>
      </w:tr>
      <w:tr w:rsidR="00226F8D" w:rsidRPr="005342A5" w14:paraId="79B4FF48"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6A73E014" w14:textId="1F69A343" w:rsidR="00226F8D" w:rsidRPr="005342A5" w:rsidRDefault="00226F8D" w:rsidP="00226F8D">
            <w:pPr>
              <w:jc w:val="center"/>
              <w:rPr>
                <w:lang w:val="en-US"/>
              </w:rPr>
            </w:pPr>
          </w:p>
        </w:tc>
        <w:tc>
          <w:tcPr>
            <w:tcW w:w="1562" w:type="dxa"/>
          </w:tcPr>
          <w:p w14:paraId="45D96140" w14:textId="45700BF2"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14" w:type="dxa"/>
          </w:tcPr>
          <w:p w14:paraId="7A685BF1" w14:textId="33EDD38C"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35" w:type="dxa"/>
          </w:tcPr>
          <w:p w14:paraId="0F72037E"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34" w:type="dxa"/>
          </w:tcPr>
          <w:p w14:paraId="109C3659" w14:textId="65F1FC89"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315" w:type="dxa"/>
          </w:tcPr>
          <w:p w14:paraId="53DDA94E"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r>
      <w:tr w:rsidR="00226F8D" w:rsidRPr="005342A5" w14:paraId="636F5E7C"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56063D1D" w14:textId="77777777" w:rsidR="00226F8D" w:rsidRPr="005342A5" w:rsidRDefault="00226F8D" w:rsidP="00226F8D">
            <w:pPr>
              <w:jc w:val="center"/>
              <w:rPr>
                <w:lang w:val="en-US"/>
              </w:rPr>
            </w:pPr>
          </w:p>
        </w:tc>
        <w:tc>
          <w:tcPr>
            <w:tcW w:w="1562" w:type="dxa"/>
          </w:tcPr>
          <w:p w14:paraId="785ED002"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486376B9" w14:textId="3F74A15A"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135" w:type="dxa"/>
          </w:tcPr>
          <w:p w14:paraId="2E69106F" w14:textId="18AE1A0C"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49.95 </w:t>
            </w:r>
            <w:r w:rsidRPr="005342A5">
              <w:rPr>
                <w:lang w:val="en-US"/>
              </w:rPr>
              <w:t>%</w:t>
            </w:r>
          </w:p>
        </w:tc>
        <w:tc>
          <w:tcPr>
            <w:tcW w:w="1034" w:type="dxa"/>
          </w:tcPr>
          <w:p w14:paraId="2ACE7458" w14:textId="07523BA3"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9.10</w:t>
            </w:r>
            <w:r w:rsidRPr="005342A5">
              <w:rPr>
                <w:lang w:val="en-US"/>
              </w:rPr>
              <w:t xml:space="preserve"> %</w:t>
            </w:r>
          </w:p>
        </w:tc>
        <w:tc>
          <w:tcPr>
            <w:tcW w:w="1315" w:type="dxa"/>
          </w:tcPr>
          <w:p w14:paraId="4D522557" w14:textId="76CBED31"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4.23</w:t>
            </w:r>
            <w:r w:rsidRPr="005342A5">
              <w:rPr>
                <w:lang w:val="en-US"/>
              </w:rPr>
              <w:t xml:space="preserve"> %</w:t>
            </w:r>
          </w:p>
        </w:tc>
      </w:tr>
      <w:tr w:rsidR="00226F8D" w:rsidRPr="005342A5" w14:paraId="609C3157"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0A1C0F70" w14:textId="77777777" w:rsidR="00226F8D" w:rsidRPr="005342A5" w:rsidRDefault="00226F8D" w:rsidP="00226F8D">
            <w:pPr>
              <w:jc w:val="center"/>
              <w:rPr>
                <w:lang w:val="en-US"/>
              </w:rPr>
            </w:pPr>
          </w:p>
        </w:tc>
        <w:tc>
          <w:tcPr>
            <w:tcW w:w="1562" w:type="dxa"/>
          </w:tcPr>
          <w:p w14:paraId="1BBE57A8"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14" w:type="dxa"/>
          </w:tcPr>
          <w:p w14:paraId="7188EE43" w14:textId="685EE684"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135" w:type="dxa"/>
          </w:tcPr>
          <w:p w14:paraId="2D29717C" w14:textId="577E066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20.59</w:t>
            </w:r>
            <w:r w:rsidRPr="005342A5">
              <w:rPr>
                <w:lang w:val="en-US"/>
              </w:rPr>
              <w:t xml:space="preserve"> %</w:t>
            </w:r>
          </w:p>
        </w:tc>
        <w:tc>
          <w:tcPr>
            <w:tcW w:w="1034" w:type="dxa"/>
          </w:tcPr>
          <w:p w14:paraId="29F36050" w14:textId="30A8A7E9"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10.51</w:t>
            </w:r>
            <w:r w:rsidRPr="005342A5">
              <w:rPr>
                <w:lang w:val="en-US"/>
              </w:rPr>
              <w:t xml:space="preserve"> %</w:t>
            </w:r>
          </w:p>
        </w:tc>
        <w:tc>
          <w:tcPr>
            <w:tcW w:w="1315" w:type="dxa"/>
          </w:tcPr>
          <w:p w14:paraId="78C2B4BA" w14:textId="347DDB15"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3.36</w:t>
            </w:r>
            <w:r w:rsidRPr="005342A5">
              <w:rPr>
                <w:lang w:val="en-US"/>
              </w:rPr>
              <w:t xml:space="preserve"> %</w:t>
            </w:r>
          </w:p>
        </w:tc>
      </w:tr>
      <w:tr w:rsidR="00226F8D" w:rsidRPr="005342A5" w14:paraId="0BE17F06"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799562D1" w14:textId="77777777" w:rsidR="00226F8D" w:rsidRPr="005342A5" w:rsidRDefault="00226F8D" w:rsidP="00226F8D">
            <w:pPr>
              <w:jc w:val="center"/>
              <w:rPr>
                <w:lang w:val="en-US"/>
              </w:rPr>
            </w:pPr>
          </w:p>
        </w:tc>
        <w:tc>
          <w:tcPr>
            <w:tcW w:w="1562" w:type="dxa"/>
          </w:tcPr>
          <w:p w14:paraId="513A0018"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72FCDC3E" w14:textId="70358B9D"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135" w:type="dxa"/>
          </w:tcPr>
          <w:p w14:paraId="43E6B6CE" w14:textId="3AF2B690"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1.19</w:t>
            </w:r>
            <w:r w:rsidRPr="005342A5">
              <w:rPr>
                <w:lang w:val="en-US"/>
              </w:rPr>
              <w:t xml:space="preserve"> %</w:t>
            </w:r>
          </w:p>
        </w:tc>
        <w:tc>
          <w:tcPr>
            <w:tcW w:w="1034" w:type="dxa"/>
          </w:tcPr>
          <w:p w14:paraId="699A1B26" w14:textId="67DBC695"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0.54</w:t>
            </w:r>
            <w:r w:rsidRPr="005342A5">
              <w:rPr>
                <w:lang w:val="en-US"/>
              </w:rPr>
              <w:t xml:space="preserve"> %</w:t>
            </w:r>
          </w:p>
        </w:tc>
        <w:tc>
          <w:tcPr>
            <w:tcW w:w="1315" w:type="dxa"/>
          </w:tcPr>
          <w:p w14:paraId="58107EE8" w14:textId="5719E572" w:rsidR="00226F8D" w:rsidRPr="00226F8D" w:rsidRDefault="00226F8D" w:rsidP="0095701D">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lang w:val="en-US"/>
              </w:rPr>
            </w:pPr>
            <w:r w:rsidRPr="00226F8D">
              <w:rPr>
                <w:lang w:val="en-US"/>
              </w:rPr>
              <w:t>%</w:t>
            </w:r>
          </w:p>
        </w:tc>
      </w:tr>
      <w:tr w:rsidR="00226F8D" w:rsidRPr="005342A5" w14:paraId="4FFDCE29"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51F6F5B5" w14:textId="4A9F80A5" w:rsidR="00226F8D" w:rsidRPr="00226F8D" w:rsidRDefault="00434F27" w:rsidP="00663D8D">
            <w:pPr>
              <w:rPr>
                <w:lang w:val="en-US"/>
              </w:rPr>
            </w:pPr>
            <w:r>
              <w:rPr>
                <w:lang w:val="en-US"/>
              </w:rPr>
              <w:t xml:space="preserve">More than </w:t>
            </w:r>
            <w:r w:rsidR="00226F8D" w:rsidRPr="00226F8D">
              <w:rPr>
                <w:lang w:val="en-US"/>
              </w:rPr>
              <w:t>1</w:t>
            </w:r>
            <w:r w:rsidR="00226F8D" w:rsidRPr="00226F8D">
              <w:t>5 partners</w:t>
            </w:r>
          </w:p>
        </w:tc>
        <w:tc>
          <w:tcPr>
            <w:tcW w:w="1562" w:type="dxa"/>
          </w:tcPr>
          <w:p w14:paraId="0A3CF580" w14:textId="3640C9EE"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14" w:type="dxa"/>
          </w:tcPr>
          <w:p w14:paraId="5FA2F3AF" w14:textId="6E8F7D75"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35" w:type="dxa"/>
          </w:tcPr>
          <w:p w14:paraId="096B65A8" w14:textId="11CCF515"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0</w:t>
            </w:r>
          </w:p>
        </w:tc>
        <w:tc>
          <w:tcPr>
            <w:tcW w:w="1034" w:type="dxa"/>
          </w:tcPr>
          <w:p w14:paraId="782792C7" w14:textId="7EE2D89A"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315" w:type="dxa"/>
          </w:tcPr>
          <w:p w14:paraId="2136D7B4" w14:textId="5F9C9211"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&gt;1</w:t>
            </w:r>
          </w:p>
        </w:tc>
      </w:tr>
      <w:tr w:rsidR="00226F8D" w:rsidRPr="005342A5" w14:paraId="0EFACEC1"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4A0743C2" w14:textId="77777777" w:rsidR="00226F8D" w:rsidRDefault="00226F8D" w:rsidP="00226F8D">
            <w:pPr>
              <w:jc w:val="center"/>
              <w:rPr>
                <w:lang w:val="en-US"/>
              </w:rPr>
            </w:pPr>
          </w:p>
        </w:tc>
        <w:tc>
          <w:tcPr>
            <w:tcW w:w="1562" w:type="dxa"/>
          </w:tcPr>
          <w:p w14:paraId="13BF3C33"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2A753863" w14:textId="46DA865F"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135" w:type="dxa"/>
          </w:tcPr>
          <w:p w14:paraId="6E00E8DB" w14:textId="3E2A47EC" w:rsidR="00226F8D" w:rsidRPr="005342A5"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54.13</w:t>
            </w:r>
            <w:r w:rsidRPr="005342A5">
              <w:rPr>
                <w:lang w:val="en-US"/>
              </w:rPr>
              <w:t xml:space="preserve"> %</w:t>
            </w:r>
          </w:p>
        </w:tc>
        <w:tc>
          <w:tcPr>
            <w:tcW w:w="1034" w:type="dxa"/>
          </w:tcPr>
          <w:p w14:paraId="33F210EC" w14:textId="24B68876" w:rsidR="00226F8D" w:rsidRPr="005342A5"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4.07</w:t>
            </w:r>
            <w:r w:rsidRPr="005342A5">
              <w:rPr>
                <w:lang w:val="en-US"/>
              </w:rPr>
              <w:t xml:space="preserve"> %</w:t>
            </w:r>
          </w:p>
        </w:tc>
        <w:tc>
          <w:tcPr>
            <w:tcW w:w="1315" w:type="dxa"/>
          </w:tcPr>
          <w:p w14:paraId="687FEED8" w14:textId="14F21C16" w:rsidR="00226F8D" w:rsidRPr="005342A5"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0.46</w:t>
            </w:r>
            <w:r w:rsidRPr="005342A5">
              <w:rPr>
                <w:lang w:val="en-US"/>
              </w:rPr>
              <w:t xml:space="preserve"> %</w:t>
            </w:r>
          </w:p>
        </w:tc>
      </w:tr>
      <w:tr w:rsidR="00226F8D" w:rsidRPr="005342A5" w14:paraId="51331C1B"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78ABAA4B" w14:textId="77777777" w:rsidR="00226F8D" w:rsidRDefault="00226F8D" w:rsidP="00226F8D">
            <w:pPr>
              <w:jc w:val="center"/>
              <w:rPr>
                <w:lang w:val="en-US"/>
              </w:rPr>
            </w:pPr>
          </w:p>
        </w:tc>
        <w:tc>
          <w:tcPr>
            <w:tcW w:w="1562" w:type="dxa"/>
          </w:tcPr>
          <w:p w14:paraId="6CB10A50"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14" w:type="dxa"/>
          </w:tcPr>
          <w:p w14:paraId="5EE57DB2" w14:textId="30CA183E"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135" w:type="dxa"/>
          </w:tcPr>
          <w:p w14:paraId="2513FF64" w14:textId="4F15D720" w:rsidR="00226F8D" w:rsidRPr="00D9246A"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32.05</w:t>
            </w:r>
            <w:r w:rsidRPr="005342A5">
              <w:rPr>
                <w:lang w:val="en-US"/>
              </w:rPr>
              <w:t xml:space="preserve"> %</w:t>
            </w:r>
          </w:p>
        </w:tc>
        <w:tc>
          <w:tcPr>
            <w:tcW w:w="1034" w:type="dxa"/>
          </w:tcPr>
          <w:p w14:paraId="0B395E1F" w14:textId="127EB0B7" w:rsidR="0095701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6.94</w:t>
            </w:r>
            <w:r w:rsidRPr="005342A5">
              <w:rPr>
                <w:lang w:val="en-US"/>
              </w:rPr>
              <w:t xml:space="preserve"> %</w:t>
            </w:r>
          </w:p>
        </w:tc>
        <w:tc>
          <w:tcPr>
            <w:tcW w:w="1315" w:type="dxa"/>
          </w:tcPr>
          <w:p w14:paraId="32DC86FB" w14:textId="12046D29"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0.86</w:t>
            </w:r>
            <w:r w:rsidRPr="005342A5">
              <w:rPr>
                <w:lang w:val="en-US"/>
              </w:rPr>
              <w:t xml:space="preserve"> %</w:t>
            </w:r>
          </w:p>
        </w:tc>
      </w:tr>
      <w:tr w:rsidR="00226F8D" w:rsidRPr="005342A5" w14:paraId="1A271F77"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4FC802AA" w14:textId="77777777" w:rsidR="00226F8D" w:rsidRDefault="00226F8D" w:rsidP="00226F8D">
            <w:pPr>
              <w:jc w:val="center"/>
              <w:rPr>
                <w:lang w:val="en-US"/>
              </w:rPr>
            </w:pPr>
          </w:p>
        </w:tc>
        <w:tc>
          <w:tcPr>
            <w:tcW w:w="1562" w:type="dxa"/>
          </w:tcPr>
          <w:p w14:paraId="471B1DA2"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764C9C93" w14:textId="69EEE74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135" w:type="dxa"/>
          </w:tcPr>
          <w:p w14:paraId="741FB39A" w14:textId="48ED369A"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1.26</w:t>
            </w:r>
            <w:r w:rsidRPr="005342A5">
              <w:rPr>
                <w:lang w:val="en-US"/>
              </w:rPr>
              <w:t xml:space="preserve"> %</w:t>
            </w:r>
          </w:p>
        </w:tc>
        <w:tc>
          <w:tcPr>
            <w:tcW w:w="1034" w:type="dxa"/>
          </w:tcPr>
          <w:p w14:paraId="7F3A130D" w14:textId="45F1BD1E"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0.17</w:t>
            </w:r>
            <w:r w:rsidRPr="005342A5">
              <w:rPr>
                <w:lang w:val="en-US"/>
              </w:rPr>
              <w:t xml:space="preserve"> %</w:t>
            </w:r>
          </w:p>
        </w:tc>
        <w:tc>
          <w:tcPr>
            <w:tcW w:w="1315" w:type="dxa"/>
          </w:tcPr>
          <w:p w14:paraId="71F9E084" w14:textId="13F64695"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0.06</w:t>
            </w:r>
            <w:r w:rsidRPr="005342A5">
              <w:rPr>
                <w:lang w:val="en-US"/>
              </w:rPr>
              <w:t xml:space="preserve"> %</w:t>
            </w:r>
          </w:p>
        </w:tc>
      </w:tr>
      <w:tr w:rsidR="00226F8D" w:rsidRPr="005342A5" w14:paraId="2916DC41"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23D5885C" w14:textId="77777777" w:rsidR="00226F8D" w:rsidRDefault="00226F8D" w:rsidP="00226F8D">
            <w:pPr>
              <w:jc w:val="center"/>
              <w:rPr>
                <w:lang w:val="en-US"/>
              </w:rPr>
            </w:pPr>
          </w:p>
        </w:tc>
        <w:tc>
          <w:tcPr>
            <w:tcW w:w="1562" w:type="dxa"/>
          </w:tcPr>
          <w:p w14:paraId="51DCFFDF" w14:textId="6D0C7A4F"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14" w:type="dxa"/>
          </w:tcPr>
          <w:p w14:paraId="2650EEAC" w14:textId="12BD1A98"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35" w:type="dxa"/>
          </w:tcPr>
          <w:p w14:paraId="09E0FC1A"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34" w:type="dxa"/>
          </w:tcPr>
          <w:p w14:paraId="17342D17"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315" w:type="dxa"/>
          </w:tcPr>
          <w:p w14:paraId="47B2954F"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r>
      <w:tr w:rsidR="00226F8D" w:rsidRPr="005342A5" w14:paraId="2EE3B700"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456FCC0F" w14:textId="77777777" w:rsidR="00226F8D" w:rsidRDefault="00226F8D" w:rsidP="00226F8D">
            <w:pPr>
              <w:jc w:val="center"/>
              <w:rPr>
                <w:lang w:val="en-US"/>
              </w:rPr>
            </w:pPr>
          </w:p>
        </w:tc>
        <w:tc>
          <w:tcPr>
            <w:tcW w:w="1562" w:type="dxa"/>
          </w:tcPr>
          <w:p w14:paraId="6CF42F5E"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6ECA13C5" w14:textId="70F037EA"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135" w:type="dxa"/>
          </w:tcPr>
          <w:p w14:paraId="596558B0" w14:textId="2E6F3E8F"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43.73 </w:t>
            </w:r>
            <w:r w:rsidRPr="00226F8D">
              <w:rPr>
                <w:lang w:val="en-US"/>
              </w:rPr>
              <w:t>%</w:t>
            </w:r>
          </w:p>
        </w:tc>
        <w:tc>
          <w:tcPr>
            <w:tcW w:w="1034" w:type="dxa"/>
          </w:tcPr>
          <w:p w14:paraId="200835FA" w14:textId="6BE10D1D"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10.40 </w:t>
            </w:r>
            <w:r w:rsidRPr="00226F8D">
              <w:rPr>
                <w:lang w:val="en-US"/>
              </w:rPr>
              <w:t>%</w:t>
            </w:r>
          </w:p>
        </w:tc>
        <w:tc>
          <w:tcPr>
            <w:tcW w:w="1315" w:type="dxa"/>
          </w:tcPr>
          <w:p w14:paraId="760B69B8" w14:textId="2E1DD521"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5.89 </w:t>
            </w:r>
            <w:r w:rsidRPr="00226F8D">
              <w:rPr>
                <w:lang w:val="en-US"/>
              </w:rPr>
              <w:t>%</w:t>
            </w:r>
          </w:p>
        </w:tc>
      </w:tr>
      <w:tr w:rsidR="00226F8D" w:rsidRPr="005342A5" w14:paraId="783481EA"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2D1500AA" w14:textId="77777777" w:rsidR="00226F8D" w:rsidRDefault="00226F8D" w:rsidP="00226F8D">
            <w:pPr>
              <w:jc w:val="center"/>
              <w:rPr>
                <w:lang w:val="en-US"/>
              </w:rPr>
            </w:pPr>
          </w:p>
        </w:tc>
        <w:tc>
          <w:tcPr>
            <w:tcW w:w="1562" w:type="dxa"/>
          </w:tcPr>
          <w:p w14:paraId="19C741C4"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14" w:type="dxa"/>
          </w:tcPr>
          <w:p w14:paraId="0C32C509" w14:textId="1168DD6E"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135" w:type="dxa"/>
          </w:tcPr>
          <w:p w14:paraId="12BDB307" w14:textId="2BAA165A"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19.05 </w:t>
            </w:r>
            <w:r w:rsidRPr="00226F8D">
              <w:rPr>
                <w:lang w:val="en-US"/>
              </w:rPr>
              <w:t>%</w:t>
            </w:r>
          </w:p>
        </w:tc>
        <w:tc>
          <w:tcPr>
            <w:tcW w:w="1034" w:type="dxa"/>
          </w:tcPr>
          <w:p w14:paraId="1289D555" w14:textId="309543AD"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12.03 </w:t>
            </w:r>
            <w:r w:rsidRPr="00226F8D">
              <w:rPr>
                <w:lang w:val="en-US"/>
              </w:rPr>
              <w:t>%</w:t>
            </w:r>
          </w:p>
        </w:tc>
        <w:tc>
          <w:tcPr>
            <w:tcW w:w="1315" w:type="dxa"/>
          </w:tcPr>
          <w:p w14:paraId="4CC9E3C9" w14:textId="11D21E25"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6.14 </w:t>
            </w:r>
            <w:r w:rsidRPr="00226F8D">
              <w:rPr>
                <w:lang w:val="en-US"/>
              </w:rPr>
              <w:t>%</w:t>
            </w:r>
          </w:p>
        </w:tc>
      </w:tr>
      <w:tr w:rsidR="00226F8D" w:rsidRPr="005342A5" w14:paraId="1BC1537A"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11E785EF" w14:textId="77777777" w:rsidR="00226F8D" w:rsidRDefault="00226F8D" w:rsidP="00226F8D">
            <w:pPr>
              <w:jc w:val="center"/>
              <w:rPr>
                <w:lang w:val="en-US"/>
              </w:rPr>
            </w:pPr>
          </w:p>
        </w:tc>
        <w:tc>
          <w:tcPr>
            <w:tcW w:w="1562" w:type="dxa"/>
          </w:tcPr>
          <w:p w14:paraId="7A09E0B0"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67FDA8FC" w14:textId="62AC32FB"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135" w:type="dxa"/>
          </w:tcPr>
          <w:p w14:paraId="0948BEDD" w14:textId="7BB865C6"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1.00 </w:t>
            </w:r>
            <w:r w:rsidRPr="00226F8D">
              <w:rPr>
                <w:lang w:val="en-US"/>
              </w:rPr>
              <w:t>%</w:t>
            </w:r>
          </w:p>
        </w:tc>
        <w:tc>
          <w:tcPr>
            <w:tcW w:w="1034" w:type="dxa"/>
          </w:tcPr>
          <w:p w14:paraId="46CEECAA" w14:textId="1AC04579"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0.88 </w:t>
            </w:r>
            <w:r w:rsidRPr="00226F8D">
              <w:rPr>
                <w:lang w:val="en-US"/>
              </w:rPr>
              <w:t>%</w:t>
            </w:r>
          </w:p>
        </w:tc>
        <w:tc>
          <w:tcPr>
            <w:tcW w:w="1315" w:type="dxa"/>
          </w:tcPr>
          <w:p w14:paraId="0B5A216F" w14:textId="66CF0958"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0.88 </w:t>
            </w:r>
            <w:r w:rsidRPr="00226F8D">
              <w:rPr>
                <w:lang w:val="en-US"/>
              </w:rPr>
              <w:t>%</w:t>
            </w:r>
          </w:p>
        </w:tc>
      </w:tr>
      <w:tr w:rsidR="00226F8D" w:rsidRPr="005342A5" w14:paraId="2E6608C3"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04B8FB70" w14:textId="4FF69195" w:rsidR="00226F8D" w:rsidRDefault="00434F27" w:rsidP="00663D8D">
            <w:pPr>
              <w:rPr>
                <w:lang w:val="en-US"/>
              </w:rPr>
            </w:pPr>
            <w:r>
              <w:rPr>
                <w:lang w:val="en-US"/>
              </w:rPr>
              <w:t xml:space="preserve">More than </w:t>
            </w:r>
            <w:r w:rsidR="00226F8D" w:rsidRPr="00226F8D">
              <w:rPr>
                <w:lang w:val="en-US"/>
              </w:rPr>
              <w:t>1</w:t>
            </w:r>
            <w:r w:rsidR="00226F8D" w:rsidRPr="00226F8D">
              <w:t xml:space="preserve">5 </w:t>
            </w:r>
            <w:r w:rsidR="00226F8D">
              <w:t xml:space="preserve">casual </w:t>
            </w:r>
            <w:r w:rsidR="00226F8D" w:rsidRPr="00226F8D">
              <w:t>partners</w:t>
            </w:r>
          </w:p>
        </w:tc>
        <w:tc>
          <w:tcPr>
            <w:tcW w:w="1562" w:type="dxa"/>
          </w:tcPr>
          <w:p w14:paraId="4792A9AA" w14:textId="1C92E052"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14" w:type="dxa"/>
          </w:tcPr>
          <w:p w14:paraId="6083BE84" w14:textId="49B4589E"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35" w:type="dxa"/>
          </w:tcPr>
          <w:p w14:paraId="3930AD0A" w14:textId="26B89365"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0</w:t>
            </w:r>
          </w:p>
        </w:tc>
        <w:tc>
          <w:tcPr>
            <w:tcW w:w="1034" w:type="dxa"/>
          </w:tcPr>
          <w:p w14:paraId="1B6B1F5E" w14:textId="11FB560C"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315" w:type="dxa"/>
          </w:tcPr>
          <w:p w14:paraId="779F1E9B" w14:textId="7220C15B"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&gt;1</w:t>
            </w:r>
          </w:p>
        </w:tc>
      </w:tr>
      <w:tr w:rsidR="00226F8D" w:rsidRPr="005342A5" w14:paraId="3E284E27"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191CA3A0" w14:textId="77777777" w:rsidR="00226F8D" w:rsidRDefault="00226F8D" w:rsidP="00226F8D">
            <w:pPr>
              <w:jc w:val="center"/>
              <w:rPr>
                <w:lang w:val="en-US"/>
              </w:rPr>
            </w:pPr>
          </w:p>
        </w:tc>
        <w:tc>
          <w:tcPr>
            <w:tcW w:w="1562" w:type="dxa"/>
          </w:tcPr>
          <w:p w14:paraId="7ABDEB91"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63030D97" w14:textId="2B4B00E4"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135" w:type="dxa"/>
          </w:tcPr>
          <w:p w14:paraId="072D33B3" w14:textId="2639382B" w:rsidR="00226F8D" w:rsidRPr="005342A5"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45.29</w:t>
            </w:r>
            <w:r w:rsidRPr="005342A5">
              <w:rPr>
                <w:lang w:val="en-US"/>
              </w:rPr>
              <w:t xml:space="preserve"> %</w:t>
            </w:r>
          </w:p>
        </w:tc>
        <w:tc>
          <w:tcPr>
            <w:tcW w:w="1034" w:type="dxa"/>
          </w:tcPr>
          <w:p w14:paraId="6C250555" w14:textId="3E60ECED" w:rsidR="00226F8D" w:rsidRPr="005342A5"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11.32</w:t>
            </w:r>
            <w:r w:rsidRPr="005342A5">
              <w:rPr>
                <w:lang w:val="en-US"/>
              </w:rPr>
              <w:t xml:space="preserve"> %</w:t>
            </w:r>
          </w:p>
        </w:tc>
        <w:tc>
          <w:tcPr>
            <w:tcW w:w="1315" w:type="dxa"/>
          </w:tcPr>
          <w:p w14:paraId="634A8DA1" w14:textId="2EA071EF" w:rsidR="00226F8D" w:rsidRPr="005342A5"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6.28</w:t>
            </w:r>
            <w:r w:rsidRPr="005342A5">
              <w:rPr>
                <w:lang w:val="en-US"/>
              </w:rPr>
              <w:t xml:space="preserve"> %</w:t>
            </w:r>
          </w:p>
        </w:tc>
      </w:tr>
      <w:tr w:rsidR="00226F8D" w:rsidRPr="005342A5" w14:paraId="3DE7ACF6"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7E8B35CF" w14:textId="77777777" w:rsidR="00226F8D" w:rsidRDefault="00226F8D" w:rsidP="00226F8D">
            <w:pPr>
              <w:jc w:val="center"/>
              <w:rPr>
                <w:lang w:val="en-US"/>
              </w:rPr>
            </w:pPr>
          </w:p>
        </w:tc>
        <w:tc>
          <w:tcPr>
            <w:tcW w:w="1562" w:type="dxa"/>
          </w:tcPr>
          <w:p w14:paraId="3D9C304C"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14" w:type="dxa"/>
          </w:tcPr>
          <w:p w14:paraId="2BF5B53E" w14:textId="7BE32ABC"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135" w:type="dxa"/>
          </w:tcPr>
          <w:p w14:paraId="0C36D901" w14:textId="7A5CE8A5" w:rsidR="00226F8D" w:rsidRPr="00D9246A"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17.33</w:t>
            </w:r>
            <w:r w:rsidRPr="005342A5">
              <w:rPr>
                <w:lang w:val="en-US"/>
              </w:rPr>
              <w:t xml:space="preserve"> %</w:t>
            </w:r>
          </w:p>
        </w:tc>
        <w:tc>
          <w:tcPr>
            <w:tcW w:w="1034" w:type="dxa"/>
          </w:tcPr>
          <w:p w14:paraId="2F2FA7CC" w14:textId="258173CF"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11.05</w:t>
            </w:r>
            <w:r w:rsidRPr="005342A5">
              <w:rPr>
                <w:lang w:val="en-US"/>
              </w:rPr>
              <w:t xml:space="preserve"> %</w:t>
            </w:r>
          </w:p>
        </w:tc>
        <w:tc>
          <w:tcPr>
            <w:tcW w:w="1315" w:type="dxa"/>
          </w:tcPr>
          <w:p w14:paraId="52450BEF" w14:textId="45854D06"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6.14</w:t>
            </w:r>
            <w:r w:rsidRPr="005342A5">
              <w:rPr>
                <w:lang w:val="en-US"/>
              </w:rPr>
              <w:t xml:space="preserve"> %</w:t>
            </w:r>
          </w:p>
        </w:tc>
      </w:tr>
      <w:tr w:rsidR="00226F8D" w:rsidRPr="005342A5" w14:paraId="1DE1C341"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33FF7996" w14:textId="77777777" w:rsidR="00226F8D" w:rsidRDefault="00226F8D" w:rsidP="00226F8D">
            <w:pPr>
              <w:jc w:val="center"/>
              <w:rPr>
                <w:lang w:val="en-US"/>
              </w:rPr>
            </w:pPr>
          </w:p>
        </w:tc>
        <w:tc>
          <w:tcPr>
            <w:tcW w:w="1562" w:type="dxa"/>
          </w:tcPr>
          <w:p w14:paraId="6AE84C53"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6CC50E60" w14:textId="790C46AA"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135" w:type="dxa"/>
          </w:tcPr>
          <w:p w14:paraId="5EC56D63" w14:textId="4D4EE175"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1.09</w:t>
            </w:r>
            <w:r w:rsidRPr="005342A5">
              <w:rPr>
                <w:lang w:val="en-US"/>
              </w:rPr>
              <w:t xml:space="preserve"> %</w:t>
            </w:r>
          </w:p>
        </w:tc>
        <w:tc>
          <w:tcPr>
            <w:tcW w:w="1034" w:type="dxa"/>
          </w:tcPr>
          <w:p w14:paraId="57025A30" w14:textId="0E6ADB4D"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0.82</w:t>
            </w:r>
            <w:r w:rsidRPr="005342A5">
              <w:rPr>
                <w:lang w:val="en-US"/>
              </w:rPr>
              <w:t xml:space="preserve"> %</w:t>
            </w:r>
          </w:p>
        </w:tc>
        <w:tc>
          <w:tcPr>
            <w:tcW w:w="1315" w:type="dxa"/>
          </w:tcPr>
          <w:p w14:paraId="104ABA82" w14:textId="1628265A"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0.68</w:t>
            </w:r>
            <w:r w:rsidRPr="005342A5">
              <w:rPr>
                <w:lang w:val="en-US"/>
              </w:rPr>
              <w:t xml:space="preserve"> %</w:t>
            </w:r>
          </w:p>
        </w:tc>
      </w:tr>
      <w:tr w:rsidR="00226F8D" w:rsidRPr="005342A5" w14:paraId="27B068E5"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147F08BA" w14:textId="77777777" w:rsidR="00226F8D" w:rsidRDefault="00226F8D" w:rsidP="00226F8D">
            <w:pPr>
              <w:jc w:val="center"/>
              <w:rPr>
                <w:lang w:val="en-US"/>
              </w:rPr>
            </w:pPr>
          </w:p>
        </w:tc>
        <w:tc>
          <w:tcPr>
            <w:tcW w:w="1562" w:type="dxa"/>
          </w:tcPr>
          <w:p w14:paraId="687E866F" w14:textId="35B4E3E5"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14" w:type="dxa"/>
          </w:tcPr>
          <w:p w14:paraId="58F8395F" w14:textId="7797A5B3"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35" w:type="dxa"/>
          </w:tcPr>
          <w:p w14:paraId="45BDE4AD"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34" w:type="dxa"/>
          </w:tcPr>
          <w:p w14:paraId="20FAA1A8"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315" w:type="dxa"/>
          </w:tcPr>
          <w:p w14:paraId="4A187795"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r>
      <w:tr w:rsidR="00226F8D" w:rsidRPr="005342A5" w14:paraId="036BAB88"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66C74C46" w14:textId="77777777" w:rsidR="00226F8D" w:rsidRDefault="00226F8D" w:rsidP="00226F8D">
            <w:pPr>
              <w:jc w:val="center"/>
              <w:rPr>
                <w:lang w:val="en-US"/>
              </w:rPr>
            </w:pPr>
          </w:p>
        </w:tc>
        <w:tc>
          <w:tcPr>
            <w:tcW w:w="1562" w:type="dxa"/>
          </w:tcPr>
          <w:p w14:paraId="06C60794"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761D6CB0" w14:textId="54A043D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135" w:type="dxa"/>
          </w:tcPr>
          <w:p w14:paraId="61DF976B" w14:textId="7F7981D2"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45.29 </w:t>
            </w:r>
            <w:r w:rsidRPr="00226F8D">
              <w:rPr>
                <w:lang w:val="en-US"/>
              </w:rPr>
              <w:t>%</w:t>
            </w:r>
          </w:p>
        </w:tc>
        <w:tc>
          <w:tcPr>
            <w:tcW w:w="1034" w:type="dxa"/>
          </w:tcPr>
          <w:p w14:paraId="59C0CAE5" w14:textId="639227DF"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11.32 </w:t>
            </w:r>
            <w:r w:rsidRPr="00226F8D">
              <w:rPr>
                <w:lang w:val="en-US"/>
              </w:rPr>
              <w:t>%</w:t>
            </w:r>
          </w:p>
        </w:tc>
        <w:tc>
          <w:tcPr>
            <w:tcW w:w="1315" w:type="dxa"/>
          </w:tcPr>
          <w:p w14:paraId="5434AA07" w14:textId="25EE0DAE"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6.28 </w:t>
            </w:r>
            <w:r w:rsidRPr="00226F8D">
              <w:rPr>
                <w:lang w:val="en-US"/>
              </w:rPr>
              <w:t>%</w:t>
            </w:r>
          </w:p>
        </w:tc>
      </w:tr>
      <w:tr w:rsidR="00226F8D" w:rsidRPr="005342A5" w14:paraId="5BCF6479"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12" w:type="dxa"/>
          </w:tcPr>
          <w:p w14:paraId="7522BAC6" w14:textId="77777777" w:rsidR="00226F8D" w:rsidRDefault="00226F8D" w:rsidP="00226F8D">
            <w:pPr>
              <w:jc w:val="center"/>
              <w:rPr>
                <w:lang w:val="en-US"/>
              </w:rPr>
            </w:pPr>
          </w:p>
        </w:tc>
        <w:tc>
          <w:tcPr>
            <w:tcW w:w="1562" w:type="dxa"/>
          </w:tcPr>
          <w:p w14:paraId="50642EEC"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14" w:type="dxa"/>
          </w:tcPr>
          <w:p w14:paraId="2E68EA47" w14:textId="3E4E5A36"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135" w:type="dxa"/>
          </w:tcPr>
          <w:p w14:paraId="09F077C5" w14:textId="158BF8E9"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17.33 </w:t>
            </w:r>
            <w:r w:rsidRPr="00226F8D">
              <w:rPr>
                <w:lang w:val="en-US"/>
              </w:rPr>
              <w:t>%</w:t>
            </w:r>
          </w:p>
        </w:tc>
        <w:tc>
          <w:tcPr>
            <w:tcW w:w="1034" w:type="dxa"/>
          </w:tcPr>
          <w:p w14:paraId="692F691A" w14:textId="495D1AE6"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11.05 </w:t>
            </w:r>
            <w:r w:rsidRPr="00226F8D">
              <w:rPr>
                <w:lang w:val="en-US"/>
              </w:rPr>
              <w:t>%</w:t>
            </w:r>
          </w:p>
        </w:tc>
        <w:tc>
          <w:tcPr>
            <w:tcW w:w="1315" w:type="dxa"/>
          </w:tcPr>
          <w:p w14:paraId="5ADFEE8C" w14:textId="1C51387C" w:rsidR="00226F8D" w:rsidRDefault="0095701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6.14 </w:t>
            </w:r>
            <w:r w:rsidRPr="00226F8D">
              <w:rPr>
                <w:lang w:val="en-US"/>
              </w:rPr>
              <w:t>%</w:t>
            </w:r>
          </w:p>
        </w:tc>
      </w:tr>
      <w:tr w:rsidR="00226F8D" w:rsidRPr="005342A5" w14:paraId="420A938A"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12" w:type="dxa"/>
          </w:tcPr>
          <w:p w14:paraId="39999D63" w14:textId="77777777" w:rsidR="00226F8D" w:rsidRDefault="00226F8D" w:rsidP="00226F8D">
            <w:pPr>
              <w:jc w:val="center"/>
              <w:rPr>
                <w:lang w:val="en-US"/>
              </w:rPr>
            </w:pPr>
          </w:p>
        </w:tc>
        <w:tc>
          <w:tcPr>
            <w:tcW w:w="1562" w:type="dxa"/>
          </w:tcPr>
          <w:p w14:paraId="5537BDC0"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14" w:type="dxa"/>
          </w:tcPr>
          <w:p w14:paraId="56773FF9" w14:textId="2ACAFE8F"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135" w:type="dxa"/>
          </w:tcPr>
          <w:p w14:paraId="37DE0967" w14:textId="4B6CE979"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1.09 </w:t>
            </w:r>
            <w:r w:rsidRPr="00226F8D">
              <w:rPr>
                <w:lang w:val="en-US"/>
              </w:rPr>
              <w:t>%</w:t>
            </w:r>
          </w:p>
        </w:tc>
        <w:tc>
          <w:tcPr>
            <w:tcW w:w="1034" w:type="dxa"/>
          </w:tcPr>
          <w:p w14:paraId="5C1B7501" w14:textId="3109D686"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0.82 </w:t>
            </w:r>
            <w:r w:rsidRPr="00226F8D">
              <w:rPr>
                <w:lang w:val="en-US"/>
              </w:rPr>
              <w:t>%</w:t>
            </w:r>
          </w:p>
        </w:tc>
        <w:tc>
          <w:tcPr>
            <w:tcW w:w="1315" w:type="dxa"/>
          </w:tcPr>
          <w:p w14:paraId="2464973C" w14:textId="0E54C72F" w:rsidR="00226F8D" w:rsidRDefault="0095701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0.68 </w:t>
            </w:r>
            <w:r w:rsidRPr="00226F8D">
              <w:rPr>
                <w:lang w:val="en-US"/>
              </w:rPr>
              <w:t>%</w:t>
            </w:r>
          </w:p>
        </w:tc>
      </w:tr>
    </w:tbl>
    <w:p w14:paraId="67C50586" w14:textId="77777777" w:rsidR="00D9246A" w:rsidRDefault="00D9246A" w:rsidP="005577CE">
      <w:pPr>
        <w:rPr>
          <w:lang w:val="en-US"/>
        </w:rPr>
      </w:pPr>
      <w:bookmarkStart w:id="7" w:name="_Hlk93654362"/>
    </w:p>
    <w:p w14:paraId="71785BCB" w14:textId="391A0CF8" w:rsidR="006B5C71" w:rsidRPr="005342A5" w:rsidRDefault="006B5C71" w:rsidP="006B5C71">
      <w:pPr>
        <w:pStyle w:val="Caption"/>
        <w:rPr>
          <w:lang w:val="en-US"/>
        </w:rPr>
      </w:pPr>
      <w:bookmarkStart w:id="8" w:name="_Hlk152150788"/>
      <w:r w:rsidRPr="005342A5">
        <w:rPr>
          <w:lang w:val="en-US"/>
        </w:rPr>
        <w:t>Table S</w:t>
      </w:r>
      <w:r w:rsidRPr="005342A5">
        <w:rPr>
          <w:lang w:val="en-US"/>
        </w:rPr>
        <w:fldChar w:fldCharType="begin"/>
      </w:r>
      <w:r w:rsidRPr="005342A5">
        <w:rPr>
          <w:lang w:val="en-US"/>
        </w:rPr>
        <w:instrText xml:space="preserve"> SEQ Table \* ARABIC </w:instrText>
      </w:r>
      <w:r w:rsidRPr="005342A5">
        <w:rPr>
          <w:lang w:val="en-US"/>
        </w:rPr>
        <w:fldChar w:fldCharType="separate"/>
      </w:r>
      <w:r>
        <w:rPr>
          <w:noProof/>
          <w:lang w:val="en-US"/>
        </w:rPr>
        <w:t>2</w:t>
      </w:r>
      <w:r w:rsidRPr="005342A5">
        <w:rPr>
          <w:lang w:val="en-US"/>
        </w:rPr>
        <w:fldChar w:fldCharType="end"/>
      </w:r>
      <w:r w:rsidRPr="005342A5">
        <w:rPr>
          <w:lang w:val="en-US"/>
        </w:rPr>
        <w:t xml:space="preserve">: Partnership formation probabilities </w:t>
      </w:r>
      <w:r>
        <w:rPr>
          <w:lang w:val="en-US"/>
        </w:rPr>
        <w:t xml:space="preserve">for </w:t>
      </w:r>
      <w:r w:rsidR="000C6DB4">
        <w:rPr>
          <w:lang w:val="en-US"/>
        </w:rPr>
        <w:t>steady</w:t>
      </w:r>
      <w:r>
        <w:rPr>
          <w:lang w:val="en-US"/>
        </w:rPr>
        <w:t xml:space="preserve"> and persistent casual partnerships </w:t>
      </w:r>
      <w:r w:rsidRPr="005342A5">
        <w:rPr>
          <w:lang w:val="en-US"/>
        </w:rPr>
        <w:t>stratified by partnership group</w:t>
      </w:r>
    </w:p>
    <w:tbl>
      <w:tblPr>
        <w:tblStyle w:val="ListTable1Light"/>
        <w:tblW w:w="9072" w:type="dxa"/>
        <w:tblLook w:val="04A0" w:firstRow="1" w:lastRow="0" w:firstColumn="1" w:lastColumn="0" w:noHBand="0" w:noVBand="1"/>
      </w:tblPr>
      <w:tblGrid>
        <w:gridCol w:w="2370"/>
        <w:gridCol w:w="1627"/>
        <w:gridCol w:w="1784"/>
        <w:gridCol w:w="1208"/>
        <w:gridCol w:w="1041"/>
        <w:gridCol w:w="1042"/>
      </w:tblGrid>
      <w:tr w:rsidR="00226F8D" w:rsidRPr="005342A5" w14:paraId="663B6AB0" w14:textId="77777777" w:rsidTr="00663D8D">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31667182" w14:textId="77777777" w:rsidR="00226F8D" w:rsidRPr="005342A5" w:rsidRDefault="00226F8D" w:rsidP="004F3747">
            <w:pPr>
              <w:jc w:val="center"/>
              <w:rPr>
                <w:lang w:val="en-US"/>
              </w:rPr>
            </w:pPr>
          </w:p>
        </w:tc>
        <w:tc>
          <w:tcPr>
            <w:tcW w:w="1627" w:type="dxa"/>
          </w:tcPr>
          <w:p w14:paraId="0B54809E" w14:textId="77777777" w:rsidR="00226F8D" w:rsidRPr="005342A5" w:rsidRDefault="00226F8D" w:rsidP="004F3747">
            <w:pPr>
              <w:jc w:val="center"/>
              <w:cnfStyle w:val="100000000000" w:firstRow="1" w:lastRow="0" w:firstColumn="0" w:lastColumn="0" w:oddVBand="0" w:evenVBand="0" w:oddHBand="0" w:evenHBand="0" w:firstRowFirstColumn="0" w:firstRowLastColumn="0" w:lastRowFirstColumn="0" w:lastRowLastColumn="0"/>
              <w:rPr>
                <w:lang w:val="en-US"/>
              </w:rPr>
            </w:pPr>
          </w:p>
        </w:tc>
        <w:tc>
          <w:tcPr>
            <w:tcW w:w="1784" w:type="dxa"/>
          </w:tcPr>
          <w:p w14:paraId="421D5E52" w14:textId="72503D81" w:rsidR="00226F8D" w:rsidRPr="005342A5" w:rsidRDefault="00226F8D" w:rsidP="004F3747">
            <w:pPr>
              <w:jc w:val="center"/>
              <w:cnfStyle w:val="100000000000" w:firstRow="1" w:lastRow="0" w:firstColumn="0" w:lastColumn="0" w:oddVBand="0" w:evenVBand="0" w:oddHBand="0" w:evenHBand="0" w:firstRowFirstColumn="0" w:firstRowLastColumn="0" w:lastRowFirstColumn="0" w:lastRowLastColumn="0"/>
              <w:rPr>
                <w:lang w:val="en-US"/>
              </w:rPr>
            </w:pPr>
          </w:p>
        </w:tc>
        <w:tc>
          <w:tcPr>
            <w:tcW w:w="3291" w:type="dxa"/>
            <w:gridSpan w:val="3"/>
          </w:tcPr>
          <w:p w14:paraId="7BB83E50" w14:textId="77777777" w:rsidR="00226F8D" w:rsidRPr="005342A5" w:rsidRDefault="00226F8D" w:rsidP="004F37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Persistent c</w:t>
            </w:r>
            <w:r w:rsidRPr="005342A5">
              <w:rPr>
                <w:lang w:val="en-US"/>
              </w:rPr>
              <w:t>asual partners</w:t>
            </w:r>
          </w:p>
        </w:tc>
      </w:tr>
      <w:tr w:rsidR="00226F8D" w:rsidRPr="005342A5" w14:paraId="7A6E2A34"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1078C3DF" w14:textId="70CD8AAF" w:rsidR="00226F8D" w:rsidRPr="005342A5" w:rsidRDefault="00226F8D" w:rsidP="00226F8D">
            <w:pPr>
              <w:jc w:val="center"/>
              <w:rPr>
                <w:lang w:val="en-US"/>
              </w:rPr>
            </w:pPr>
            <w:r>
              <w:rPr>
                <w:lang w:val="en-US"/>
              </w:rPr>
              <w:t>P</w:t>
            </w:r>
            <w:proofErr w:type="spellStart"/>
            <w:r>
              <w:t>reP</w:t>
            </w:r>
            <w:proofErr w:type="spellEnd"/>
            <w:r>
              <w:t xml:space="preserve"> </w:t>
            </w:r>
            <w:proofErr w:type="spellStart"/>
            <w:r>
              <w:t>eligibility</w:t>
            </w:r>
            <w:proofErr w:type="spellEnd"/>
          </w:p>
        </w:tc>
        <w:tc>
          <w:tcPr>
            <w:tcW w:w="1627" w:type="dxa"/>
          </w:tcPr>
          <w:p w14:paraId="254A0560" w14:textId="132CFE5E"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84" w:type="dxa"/>
          </w:tcPr>
          <w:p w14:paraId="03FF0500" w14:textId="43D6DF8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208" w:type="dxa"/>
          </w:tcPr>
          <w:p w14:paraId="696F934F"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0</w:t>
            </w:r>
          </w:p>
        </w:tc>
        <w:tc>
          <w:tcPr>
            <w:tcW w:w="1041" w:type="dxa"/>
          </w:tcPr>
          <w:p w14:paraId="78733462"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042" w:type="dxa"/>
          </w:tcPr>
          <w:p w14:paraId="76AD8903"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&gt;1</w:t>
            </w:r>
          </w:p>
        </w:tc>
      </w:tr>
      <w:tr w:rsidR="00226F8D" w:rsidRPr="005342A5" w14:paraId="2060C503"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6F55FF4E" w14:textId="77777777" w:rsidR="00226F8D" w:rsidRPr="005342A5" w:rsidRDefault="00226F8D" w:rsidP="00226F8D">
            <w:pPr>
              <w:jc w:val="center"/>
              <w:rPr>
                <w:lang w:val="en-US"/>
              </w:rPr>
            </w:pPr>
          </w:p>
        </w:tc>
        <w:tc>
          <w:tcPr>
            <w:tcW w:w="1627" w:type="dxa"/>
          </w:tcPr>
          <w:p w14:paraId="2650FC54"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51303B43" w14:textId="23BD0AB8"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208" w:type="dxa"/>
          </w:tcPr>
          <w:p w14:paraId="425E50C8"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D9246A">
              <w:rPr>
                <w:lang w:val="en-US"/>
              </w:rPr>
              <w:t>5</w:t>
            </w:r>
            <w:r>
              <w:rPr>
                <w:lang w:val="en-US"/>
              </w:rPr>
              <w:t>4</w:t>
            </w:r>
            <w:r w:rsidRPr="00D9246A">
              <w:rPr>
                <w:lang w:val="en-US"/>
              </w:rPr>
              <w:t>.</w:t>
            </w:r>
            <w:r>
              <w:rPr>
                <w:lang w:val="en-US"/>
              </w:rPr>
              <w:t>47</w:t>
            </w:r>
            <w:r w:rsidRPr="005342A5">
              <w:rPr>
                <w:lang w:val="en-US"/>
              </w:rPr>
              <w:t>%</w:t>
            </w:r>
          </w:p>
        </w:tc>
        <w:tc>
          <w:tcPr>
            <w:tcW w:w="1041" w:type="dxa"/>
          </w:tcPr>
          <w:p w14:paraId="374DE186"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2.11</w:t>
            </w:r>
            <w:r w:rsidRPr="005342A5">
              <w:rPr>
                <w:lang w:val="en-US"/>
              </w:rPr>
              <w:t xml:space="preserve"> %</w:t>
            </w:r>
          </w:p>
        </w:tc>
        <w:tc>
          <w:tcPr>
            <w:tcW w:w="1042" w:type="dxa"/>
          </w:tcPr>
          <w:p w14:paraId="41D1957D"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0.30 %</w:t>
            </w:r>
          </w:p>
        </w:tc>
      </w:tr>
      <w:tr w:rsidR="00226F8D" w:rsidRPr="005342A5" w14:paraId="4F90B2FF"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3B72CD72" w14:textId="77777777" w:rsidR="00226F8D" w:rsidRPr="005342A5" w:rsidRDefault="00226F8D" w:rsidP="00226F8D">
            <w:pPr>
              <w:jc w:val="center"/>
              <w:rPr>
                <w:lang w:val="en-US"/>
              </w:rPr>
            </w:pPr>
          </w:p>
        </w:tc>
        <w:tc>
          <w:tcPr>
            <w:tcW w:w="1627" w:type="dxa"/>
          </w:tcPr>
          <w:p w14:paraId="197DF011"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84" w:type="dxa"/>
          </w:tcPr>
          <w:p w14:paraId="3E406196" w14:textId="0BECE0EF"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208" w:type="dxa"/>
          </w:tcPr>
          <w:p w14:paraId="46EC82CC"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37.50</w:t>
            </w:r>
            <w:r w:rsidRPr="005342A5">
              <w:rPr>
                <w:lang w:val="en-US"/>
              </w:rPr>
              <w:t xml:space="preserve"> %</w:t>
            </w:r>
          </w:p>
        </w:tc>
        <w:tc>
          <w:tcPr>
            <w:tcW w:w="1041" w:type="dxa"/>
          </w:tcPr>
          <w:p w14:paraId="7A6294A3"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3.02</w:t>
            </w:r>
            <w:r w:rsidRPr="005342A5">
              <w:rPr>
                <w:lang w:val="en-US"/>
              </w:rPr>
              <w:t xml:space="preserve"> %</w:t>
            </w:r>
          </w:p>
        </w:tc>
        <w:tc>
          <w:tcPr>
            <w:tcW w:w="1042" w:type="dxa"/>
          </w:tcPr>
          <w:p w14:paraId="32ED2AD3"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0.84 %</w:t>
            </w:r>
          </w:p>
        </w:tc>
      </w:tr>
      <w:tr w:rsidR="00226F8D" w:rsidRPr="005342A5" w14:paraId="4322DF4F"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7D2FD260" w14:textId="77777777" w:rsidR="00226F8D" w:rsidRPr="005342A5" w:rsidRDefault="00226F8D" w:rsidP="00226F8D">
            <w:pPr>
              <w:jc w:val="center"/>
              <w:rPr>
                <w:lang w:val="en-US"/>
              </w:rPr>
            </w:pPr>
          </w:p>
        </w:tc>
        <w:tc>
          <w:tcPr>
            <w:tcW w:w="1627" w:type="dxa"/>
          </w:tcPr>
          <w:p w14:paraId="42DB972A"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2EA6A2BD" w14:textId="0F6F7B58"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208" w:type="dxa"/>
          </w:tcPr>
          <w:p w14:paraId="49BDFBDC"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1.57</w:t>
            </w:r>
            <w:r w:rsidRPr="005342A5">
              <w:rPr>
                <w:lang w:val="en-US"/>
              </w:rPr>
              <w:t xml:space="preserve"> %</w:t>
            </w:r>
          </w:p>
        </w:tc>
        <w:tc>
          <w:tcPr>
            <w:tcW w:w="1041" w:type="dxa"/>
          </w:tcPr>
          <w:p w14:paraId="1874008A"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r w:rsidRPr="005342A5">
              <w:rPr>
                <w:lang w:val="en-US"/>
              </w:rPr>
              <w:t xml:space="preserve"> %</w:t>
            </w:r>
          </w:p>
        </w:tc>
        <w:tc>
          <w:tcPr>
            <w:tcW w:w="1042" w:type="dxa"/>
          </w:tcPr>
          <w:p w14:paraId="35456AE7"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0.18 %</w:t>
            </w:r>
          </w:p>
        </w:tc>
      </w:tr>
      <w:tr w:rsidR="00226F8D" w:rsidRPr="005342A5" w14:paraId="359E7F8F"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2BDDA6CD" w14:textId="52BC06D9" w:rsidR="00226F8D" w:rsidRPr="005342A5" w:rsidRDefault="00226F8D" w:rsidP="00226F8D">
            <w:pPr>
              <w:jc w:val="center"/>
              <w:rPr>
                <w:lang w:val="en-US"/>
              </w:rPr>
            </w:pPr>
          </w:p>
        </w:tc>
        <w:tc>
          <w:tcPr>
            <w:tcW w:w="1627" w:type="dxa"/>
          </w:tcPr>
          <w:p w14:paraId="0FBAC17F" w14:textId="4027061C"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84" w:type="dxa"/>
          </w:tcPr>
          <w:p w14:paraId="7154DCCA" w14:textId="7D4308EF"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208" w:type="dxa"/>
          </w:tcPr>
          <w:p w14:paraId="5FA714D0"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41" w:type="dxa"/>
          </w:tcPr>
          <w:p w14:paraId="27D64AE7"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42" w:type="dxa"/>
          </w:tcPr>
          <w:p w14:paraId="63044380"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r>
      <w:tr w:rsidR="00226F8D" w:rsidRPr="005342A5" w14:paraId="2ECECA29"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1C9066AB" w14:textId="77777777" w:rsidR="00226F8D" w:rsidRPr="005342A5" w:rsidRDefault="00226F8D" w:rsidP="00226F8D">
            <w:pPr>
              <w:jc w:val="center"/>
              <w:rPr>
                <w:lang w:val="en-US"/>
              </w:rPr>
            </w:pPr>
          </w:p>
        </w:tc>
        <w:tc>
          <w:tcPr>
            <w:tcW w:w="1627" w:type="dxa"/>
          </w:tcPr>
          <w:p w14:paraId="6657BC03"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6ABF802A" w14:textId="0A9DE49B"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208" w:type="dxa"/>
          </w:tcPr>
          <w:p w14:paraId="4FA4C77D"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54.71</w:t>
            </w:r>
            <w:r w:rsidRPr="005342A5">
              <w:rPr>
                <w:lang w:val="en-US"/>
              </w:rPr>
              <w:t xml:space="preserve"> %</w:t>
            </w:r>
          </w:p>
        </w:tc>
        <w:tc>
          <w:tcPr>
            <w:tcW w:w="1041" w:type="dxa"/>
          </w:tcPr>
          <w:p w14:paraId="7F85E664"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6.39</w:t>
            </w:r>
            <w:r w:rsidRPr="005342A5">
              <w:rPr>
                <w:lang w:val="en-US"/>
              </w:rPr>
              <w:t xml:space="preserve"> %</w:t>
            </w:r>
          </w:p>
        </w:tc>
        <w:tc>
          <w:tcPr>
            <w:tcW w:w="1042" w:type="dxa"/>
          </w:tcPr>
          <w:p w14:paraId="4EE47E51"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2.17</w:t>
            </w:r>
            <w:r w:rsidRPr="005342A5">
              <w:rPr>
                <w:lang w:val="en-US"/>
              </w:rPr>
              <w:t xml:space="preserve"> %</w:t>
            </w:r>
          </w:p>
        </w:tc>
      </w:tr>
      <w:tr w:rsidR="00226F8D" w:rsidRPr="005342A5" w14:paraId="1A746819" w14:textId="77777777" w:rsidTr="00663D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4E2E4D7A" w14:textId="77777777" w:rsidR="00226F8D" w:rsidRPr="005342A5" w:rsidRDefault="00226F8D" w:rsidP="00226F8D">
            <w:pPr>
              <w:jc w:val="center"/>
              <w:rPr>
                <w:lang w:val="en-US"/>
              </w:rPr>
            </w:pPr>
          </w:p>
        </w:tc>
        <w:tc>
          <w:tcPr>
            <w:tcW w:w="1627" w:type="dxa"/>
          </w:tcPr>
          <w:p w14:paraId="51963F1C"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84" w:type="dxa"/>
          </w:tcPr>
          <w:p w14:paraId="615F1F34" w14:textId="4ED4B7A6"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208" w:type="dxa"/>
          </w:tcPr>
          <w:p w14:paraId="193CFE96"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27.52</w:t>
            </w:r>
            <w:r w:rsidRPr="005342A5">
              <w:rPr>
                <w:lang w:val="en-US"/>
              </w:rPr>
              <w:t xml:space="preserve"> %</w:t>
            </w:r>
          </w:p>
        </w:tc>
        <w:tc>
          <w:tcPr>
            <w:tcW w:w="1041" w:type="dxa"/>
          </w:tcPr>
          <w:p w14:paraId="53FF7B29"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4.98</w:t>
            </w:r>
            <w:r w:rsidRPr="005342A5">
              <w:rPr>
                <w:lang w:val="en-US"/>
              </w:rPr>
              <w:t xml:space="preserve"> %</w:t>
            </w:r>
          </w:p>
        </w:tc>
        <w:tc>
          <w:tcPr>
            <w:tcW w:w="1042" w:type="dxa"/>
          </w:tcPr>
          <w:p w14:paraId="0B24B65B" w14:textId="7777777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1.95</w:t>
            </w:r>
            <w:r w:rsidRPr="005342A5">
              <w:rPr>
                <w:lang w:val="en-US"/>
              </w:rPr>
              <w:t xml:space="preserve"> %</w:t>
            </w:r>
          </w:p>
        </w:tc>
      </w:tr>
      <w:tr w:rsidR="00226F8D" w:rsidRPr="005342A5" w14:paraId="4AE67043" w14:textId="77777777" w:rsidTr="00663D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7ECA52E8" w14:textId="77777777" w:rsidR="00226F8D" w:rsidRPr="005342A5" w:rsidRDefault="00226F8D" w:rsidP="00226F8D">
            <w:pPr>
              <w:jc w:val="center"/>
              <w:rPr>
                <w:lang w:val="en-US"/>
              </w:rPr>
            </w:pPr>
          </w:p>
        </w:tc>
        <w:tc>
          <w:tcPr>
            <w:tcW w:w="1627" w:type="dxa"/>
          </w:tcPr>
          <w:p w14:paraId="74309B61"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32DB8797" w14:textId="0BFFECEB"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208" w:type="dxa"/>
          </w:tcPr>
          <w:p w14:paraId="2AED88B1"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1.30</w:t>
            </w:r>
            <w:r w:rsidRPr="005342A5">
              <w:rPr>
                <w:lang w:val="en-US"/>
              </w:rPr>
              <w:t xml:space="preserve"> %</w:t>
            </w:r>
          </w:p>
        </w:tc>
        <w:tc>
          <w:tcPr>
            <w:tcW w:w="1041" w:type="dxa"/>
          </w:tcPr>
          <w:p w14:paraId="75A1CA29"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0.54</w:t>
            </w:r>
            <w:r w:rsidRPr="005342A5">
              <w:rPr>
                <w:lang w:val="en-US"/>
              </w:rPr>
              <w:t xml:space="preserve"> %</w:t>
            </w:r>
          </w:p>
        </w:tc>
        <w:tc>
          <w:tcPr>
            <w:tcW w:w="1042" w:type="dxa"/>
          </w:tcPr>
          <w:p w14:paraId="5AD57B42" w14:textId="7777777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0.43</w:t>
            </w:r>
            <w:r w:rsidRPr="005342A5">
              <w:rPr>
                <w:lang w:val="en-US"/>
              </w:rPr>
              <w:t xml:space="preserve"> %</w:t>
            </w:r>
          </w:p>
        </w:tc>
      </w:tr>
      <w:tr w:rsidR="00434F27" w:rsidRPr="005342A5" w14:paraId="37406097"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4BA381D5" w14:textId="72E0C686" w:rsidR="00434F27" w:rsidRPr="005342A5" w:rsidRDefault="00434F27" w:rsidP="00434F27">
            <w:pPr>
              <w:jc w:val="center"/>
              <w:rPr>
                <w:lang w:val="en-US"/>
              </w:rPr>
            </w:pPr>
            <w:r>
              <w:rPr>
                <w:lang w:val="en-US"/>
              </w:rPr>
              <w:t xml:space="preserve">More than </w:t>
            </w:r>
            <w:r w:rsidRPr="00226F8D">
              <w:rPr>
                <w:lang w:val="en-US"/>
              </w:rPr>
              <w:t>1</w:t>
            </w:r>
            <w:r w:rsidRPr="00226F8D">
              <w:t>5 partners</w:t>
            </w:r>
          </w:p>
        </w:tc>
        <w:tc>
          <w:tcPr>
            <w:tcW w:w="1627" w:type="dxa"/>
          </w:tcPr>
          <w:p w14:paraId="5AB8B0C1" w14:textId="00310694" w:rsidR="00434F27" w:rsidRPr="005342A5"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84" w:type="dxa"/>
          </w:tcPr>
          <w:p w14:paraId="7A61B6EC" w14:textId="73D61ADA" w:rsidR="00434F27" w:rsidRPr="005342A5"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208" w:type="dxa"/>
          </w:tcPr>
          <w:p w14:paraId="11B381A2" w14:textId="77D11B26"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0</w:t>
            </w:r>
          </w:p>
        </w:tc>
        <w:tc>
          <w:tcPr>
            <w:tcW w:w="1041" w:type="dxa"/>
          </w:tcPr>
          <w:p w14:paraId="2E80EE1B" w14:textId="2C0B7612"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042" w:type="dxa"/>
          </w:tcPr>
          <w:p w14:paraId="233B5BE0" w14:textId="4EBD4E5B"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&gt;1</w:t>
            </w:r>
          </w:p>
        </w:tc>
      </w:tr>
      <w:tr w:rsidR="00226F8D" w:rsidRPr="005342A5" w14:paraId="166A53B3"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53E7351F" w14:textId="77777777" w:rsidR="00226F8D" w:rsidRPr="005342A5" w:rsidRDefault="00226F8D" w:rsidP="00226F8D">
            <w:pPr>
              <w:jc w:val="center"/>
              <w:rPr>
                <w:lang w:val="en-US"/>
              </w:rPr>
            </w:pPr>
          </w:p>
        </w:tc>
        <w:tc>
          <w:tcPr>
            <w:tcW w:w="1627" w:type="dxa"/>
          </w:tcPr>
          <w:p w14:paraId="67EDCB0A"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28933B3E" w14:textId="0819BD9E"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208" w:type="dxa"/>
          </w:tcPr>
          <w:p w14:paraId="33546F9F" w14:textId="1ED4D598" w:rsidR="00226F8D" w:rsidRPr="005342A5"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56.54 </w:t>
            </w:r>
            <w:r w:rsidRPr="005342A5">
              <w:rPr>
                <w:lang w:val="en-US"/>
              </w:rPr>
              <w:t>%</w:t>
            </w:r>
          </w:p>
        </w:tc>
        <w:tc>
          <w:tcPr>
            <w:tcW w:w="1041" w:type="dxa"/>
          </w:tcPr>
          <w:p w14:paraId="494B0625" w14:textId="48BF1C4D" w:rsidR="00226F8D" w:rsidRPr="005342A5"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1.95 </w:t>
            </w:r>
            <w:r w:rsidRPr="005342A5">
              <w:rPr>
                <w:lang w:val="en-US"/>
              </w:rPr>
              <w:t>%</w:t>
            </w:r>
          </w:p>
        </w:tc>
        <w:tc>
          <w:tcPr>
            <w:tcW w:w="1042" w:type="dxa"/>
          </w:tcPr>
          <w:p w14:paraId="5E379C0C" w14:textId="19DB9A53" w:rsidR="00226F8D" w:rsidRPr="005342A5"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0.17 </w:t>
            </w:r>
            <w:r w:rsidRPr="005342A5">
              <w:rPr>
                <w:lang w:val="en-US"/>
              </w:rPr>
              <w:t>%</w:t>
            </w:r>
          </w:p>
        </w:tc>
      </w:tr>
      <w:tr w:rsidR="00226F8D" w:rsidRPr="005342A5" w14:paraId="6239F19B"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3694A811" w14:textId="77777777" w:rsidR="00226F8D" w:rsidRPr="005342A5" w:rsidRDefault="00226F8D" w:rsidP="00226F8D">
            <w:pPr>
              <w:jc w:val="center"/>
              <w:rPr>
                <w:lang w:val="en-US"/>
              </w:rPr>
            </w:pPr>
          </w:p>
        </w:tc>
        <w:tc>
          <w:tcPr>
            <w:tcW w:w="1627" w:type="dxa"/>
          </w:tcPr>
          <w:p w14:paraId="00007536"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84" w:type="dxa"/>
          </w:tcPr>
          <w:p w14:paraId="2C9D54B6" w14:textId="63F6BAEC"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208" w:type="dxa"/>
          </w:tcPr>
          <w:p w14:paraId="2AC79785" w14:textId="2C7B9F32" w:rsidR="00226F8D" w:rsidRPr="00D9246A"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37.04 </w:t>
            </w:r>
            <w:r w:rsidRPr="005342A5">
              <w:rPr>
                <w:lang w:val="en-US"/>
              </w:rPr>
              <w:t>%</w:t>
            </w:r>
          </w:p>
        </w:tc>
        <w:tc>
          <w:tcPr>
            <w:tcW w:w="1041" w:type="dxa"/>
          </w:tcPr>
          <w:p w14:paraId="460CA2EE" w14:textId="2E4A5296"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2.29 </w:t>
            </w:r>
            <w:r w:rsidRPr="005342A5">
              <w:rPr>
                <w:lang w:val="en-US"/>
              </w:rPr>
              <w:t>%</w:t>
            </w:r>
          </w:p>
        </w:tc>
        <w:tc>
          <w:tcPr>
            <w:tcW w:w="1042" w:type="dxa"/>
          </w:tcPr>
          <w:p w14:paraId="6DD36797" w14:textId="39A38FF3"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0.52 </w:t>
            </w:r>
            <w:r w:rsidRPr="005342A5">
              <w:rPr>
                <w:lang w:val="en-US"/>
              </w:rPr>
              <w:t>%</w:t>
            </w:r>
          </w:p>
        </w:tc>
      </w:tr>
      <w:tr w:rsidR="00226F8D" w:rsidRPr="005342A5" w14:paraId="0840391E"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3BB5AAFB" w14:textId="77777777" w:rsidR="00226F8D" w:rsidRPr="005342A5" w:rsidRDefault="00226F8D" w:rsidP="00226F8D">
            <w:pPr>
              <w:jc w:val="center"/>
              <w:rPr>
                <w:lang w:val="en-US"/>
              </w:rPr>
            </w:pPr>
          </w:p>
        </w:tc>
        <w:tc>
          <w:tcPr>
            <w:tcW w:w="1627" w:type="dxa"/>
          </w:tcPr>
          <w:p w14:paraId="436D362D"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4FC431C4" w14:textId="22DBF3F7"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208" w:type="dxa"/>
          </w:tcPr>
          <w:p w14:paraId="34B608BE" w14:textId="17DD559A"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1.38 </w:t>
            </w:r>
            <w:r w:rsidRPr="005342A5">
              <w:rPr>
                <w:lang w:val="en-US"/>
              </w:rPr>
              <w:t>%</w:t>
            </w:r>
          </w:p>
        </w:tc>
        <w:tc>
          <w:tcPr>
            <w:tcW w:w="1041" w:type="dxa"/>
          </w:tcPr>
          <w:p w14:paraId="467A2103" w14:textId="77CB16D6"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0.06 </w:t>
            </w:r>
            <w:r w:rsidRPr="005342A5">
              <w:rPr>
                <w:lang w:val="en-US"/>
              </w:rPr>
              <w:t>%</w:t>
            </w:r>
          </w:p>
        </w:tc>
        <w:tc>
          <w:tcPr>
            <w:tcW w:w="1042" w:type="dxa"/>
          </w:tcPr>
          <w:p w14:paraId="56514E93" w14:textId="17EC100C"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0.06 </w:t>
            </w:r>
            <w:r w:rsidRPr="005342A5">
              <w:rPr>
                <w:lang w:val="en-US"/>
              </w:rPr>
              <w:t>%</w:t>
            </w:r>
          </w:p>
        </w:tc>
      </w:tr>
      <w:tr w:rsidR="00226F8D" w:rsidRPr="005342A5" w14:paraId="0B748C3D"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664F0731" w14:textId="77777777" w:rsidR="00226F8D" w:rsidRPr="005342A5" w:rsidRDefault="00226F8D" w:rsidP="00226F8D">
            <w:pPr>
              <w:jc w:val="center"/>
              <w:rPr>
                <w:lang w:val="en-US"/>
              </w:rPr>
            </w:pPr>
          </w:p>
        </w:tc>
        <w:tc>
          <w:tcPr>
            <w:tcW w:w="1627" w:type="dxa"/>
          </w:tcPr>
          <w:p w14:paraId="00D3BE24" w14:textId="1134A660"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84" w:type="dxa"/>
          </w:tcPr>
          <w:p w14:paraId="56322EAA" w14:textId="2BDF7CC7"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208" w:type="dxa"/>
          </w:tcPr>
          <w:p w14:paraId="5E350374"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41" w:type="dxa"/>
          </w:tcPr>
          <w:p w14:paraId="32D25A53"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42" w:type="dxa"/>
          </w:tcPr>
          <w:p w14:paraId="4ADFEC2E"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r>
      <w:tr w:rsidR="00226F8D" w:rsidRPr="005342A5" w14:paraId="661798BE"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103163B9" w14:textId="77777777" w:rsidR="00226F8D" w:rsidRPr="005342A5" w:rsidRDefault="00226F8D" w:rsidP="00226F8D">
            <w:pPr>
              <w:jc w:val="center"/>
              <w:rPr>
                <w:lang w:val="en-US"/>
              </w:rPr>
            </w:pPr>
          </w:p>
        </w:tc>
        <w:tc>
          <w:tcPr>
            <w:tcW w:w="1627" w:type="dxa"/>
          </w:tcPr>
          <w:p w14:paraId="51CB731E"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050C279C" w14:textId="324B9428"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208" w:type="dxa"/>
          </w:tcPr>
          <w:p w14:paraId="3E5839C1" w14:textId="22DC61CE"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50.00 </w:t>
            </w:r>
            <w:r w:rsidRPr="005342A5">
              <w:rPr>
                <w:lang w:val="en-US"/>
              </w:rPr>
              <w:t>%</w:t>
            </w:r>
          </w:p>
        </w:tc>
        <w:tc>
          <w:tcPr>
            <w:tcW w:w="1041" w:type="dxa"/>
          </w:tcPr>
          <w:p w14:paraId="59AC6FC9" w14:textId="21A64891"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7.27 </w:t>
            </w:r>
            <w:r w:rsidRPr="005342A5">
              <w:rPr>
                <w:lang w:val="en-US"/>
              </w:rPr>
              <w:t>%</w:t>
            </w:r>
          </w:p>
        </w:tc>
        <w:tc>
          <w:tcPr>
            <w:tcW w:w="1042" w:type="dxa"/>
          </w:tcPr>
          <w:p w14:paraId="47496795" w14:textId="09E94F4C"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2.76 </w:t>
            </w:r>
            <w:r w:rsidRPr="005342A5">
              <w:rPr>
                <w:lang w:val="en-US"/>
              </w:rPr>
              <w:t>%</w:t>
            </w:r>
          </w:p>
        </w:tc>
      </w:tr>
      <w:tr w:rsidR="00226F8D" w:rsidRPr="005342A5" w14:paraId="57F00852"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20D27373" w14:textId="77777777" w:rsidR="00226F8D" w:rsidRPr="005342A5" w:rsidRDefault="00226F8D" w:rsidP="00226F8D">
            <w:pPr>
              <w:jc w:val="center"/>
              <w:rPr>
                <w:lang w:val="en-US"/>
              </w:rPr>
            </w:pPr>
          </w:p>
        </w:tc>
        <w:tc>
          <w:tcPr>
            <w:tcW w:w="1627" w:type="dxa"/>
          </w:tcPr>
          <w:p w14:paraId="44A3B701"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84" w:type="dxa"/>
          </w:tcPr>
          <w:p w14:paraId="57B06BFE" w14:textId="2E7C0603"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208" w:type="dxa"/>
          </w:tcPr>
          <w:p w14:paraId="262BC5D1" w14:textId="5EAE55A3"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27.32 </w:t>
            </w:r>
            <w:r w:rsidRPr="005342A5">
              <w:rPr>
                <w:lang w:val="en-US"/>
              </w:rPr>
              <w:t>%</w:t>
            </w:r>
          </w:p>
        </w:tc>
        <w:tc>
          <w:tcPr>
            <w:tcW w:w="1041" w:type="dxa"/>
          </w:tcPr>
          <w:p w14:paraId="7850B4E5" w14:textId="0C2F57EF"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7.02 </w:t>
            </w:r>
            <w:r w:rsidRPr="005342A5">
              <w:rPr>
                <w:lang w:val="en-US"/>
              </w:rPr>
              <w:t>%</w:t>
            </w:r>
          </w:p>
        </w:tc>
        <w:tc>
          <w:tcPr>
            <w:tcW w:w="1042" w:type="dxa"/>
          </w:tcPr>
          <w:p w14:paraId="4B38AA74" w14:textId="3817A3E6"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2.88 </w:t>
            </w:r>
            <w:r w:rsidRPr="005342A5">
              <w:rPr>
                <w:lang w:val="en-US"/>
              </w:rPr>
              <w:t>%</w:t>
            </w:r>
          </w:p>
        </w:tc>
      </w:tr>
      <w:tr w:rsidR="00226F8D" w:rsidRPr="005342A5" w14:paraId="518D166E"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2A2F8F91" w14:textId="77777777" w:rsidR="00226F8D" w:rsidRPr="005342A5" w:rsidRDefault="00226F8D" w:rsidP="00226F8D">
            <w:pPr>
              <w:jc w:val="center"/>
              <w:rPr>
                <w:lang w:val="en-US"/>
              </w:rPr>
            </w:pPr>
          </w:p>
        </w:tc>
        <w:tc>
          <w:tcPr>
            <w:tcW w:w="1627" w:type="dxa"/>
          </w:tcPr>
          <w:p w14:paraId="7DA37EBF"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044253C3" w14:textId="2CA26961"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208" w:type="dxa"/>
          </w:tcPr>
          <w:p w14:paraId="7F940261" w14:textId="70377790"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1.50 </w:t>
            </w:r>
            <w:r w:rsidRPr="005342A5">
              <w:rPr>
                <w:lang w:val="en-US"/>
              </w:rPr>
              <w:t>%</w:t>
            </w:r>
          </w:p>
        </w:tc>
        <w:tc>
          <w:tcPr>
            <w:tcW w:w="1041" w:type="dxa"/>
          </w:tcPr>
          <w:p w14:paraId="6C2C3953" w14:textId="35E6F292"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0.50 </w:t>
            </w:r>
            <w:r w:rsidRPr="005342A5">
              <w:rPr>
                <w:lang w:val="en-US"/>
              </w:rPr>
              <w:t>%</w:t>
            </w:r>
          </w:p>
        </w:tc>
        <w:tc>
          <w:tcPr>
            <w:tcW w:w="1042" w:type="dxa"/>
          </w:tcPr>
          <w:p w14:paraId="77A0092E" w14:textId="01574307"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0.75 </w:t>
            </w:r>
            <w:r w:rsidRPr="005342A5">
              <w:rPr>
                <w:lang w:val="en-US"/>
              </w:rPr>
              <w:t>%</w:t>
            </w:r>
          </w:p>
        </w:tc>
      </w:tr>
      <w:tr w:rsidR="00434F27" w:rsidRPr="005342A5" w14:paraId="7ECCBB92"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4B92AA76" w14:textId="672A9316" w:rsidR="00434F27" w:rsidRPr="005342A5" w:rsidRDefault="00434F27" w:rsidP="00434F27">
            <w:pPr>
              <w:jc w:val="center"/>
              <w:rPr>
                <w:lang w:val="en-US"/>
              </w:rPr>
            </w:pPr>
            <w:r>
              <w:rPr>
                <w:lang w:val="en-US"/>
              </w:rPr>
              <w:t xml:space="preserve">More than </w:t>
            </w:r>
            <w:r w:rsidRPr="00226F8D">
              <w:rPr>
                <w:lang w:val="en-US"/>
              </w:rPr>
              <w:t>1</w:t>
            </w:r>
            <w:r w:rsidRPr="00226F8D">
              <w:t>5</w:t>
            </w:r>
            <w:r>
              <w:t xml:space="preserve"> casual</w:t>
            </w:r>
            <w:r w:rsidRPr="00226F8D">
              <w:t xml:space="preserve"> partners</w:t>
            </w:r>
          </w:p>
        </w:tc>
        <w:tc>
          <w:tcPr>
            <w:tcW w:w="1627" w:type="dxa"/>
          </w:tcPr>
          <w:p w14:paraId="54A25785" w14:textId="6F85B38D"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84" w:type="dxa"/>
          </w:tcPr>
          <w:p w14:paraId="73045D4F" w14:textId="77461251" w:rsidR="00434F27" w:rsidRPr="005342A5"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208" w:type="dxa"/>
          </w:tcPr>
          <w:p w14:paraId="097C914B" w14:textId="5639B56B"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0</w:t>
            </w:r>
          </w:p>
        </w:tc>
        <w:tc>
          <w:tcPr>
            <w:tcW w:w="1041" w:type="dxa"/>
          </w:tcPr>
          <w:p w14:paraId="0ADEABD0" w14:textId="7EF1BDC8"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042" w:type="dxa"/>
          </w:tcPr>
          <w:p w14:paraId="1B71FB91" w14:textId="1B0AA1C9"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&gt;1</w:t>
            </w:r>
          </w:p>
        </w:tc>
      </w:tr>
      <w:tr w:rsidR="00226F8D" w:rsidRPr="005342A5" w14:paraId="3CD8470A"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299C685B" w14:textId="77777777" w:rsidR="00226F8D" w:rsidRPr="005342A5" w:rsidRDefault="00226F8D" w:rsidP="00226F8D">
            <w:pPr>
              <w:jc w:val="center"/>
              <w:rPr>
                <w:lang w:val="en-US"/>
              </w:rPr>
            </w:pPr>
          </w:p>
        </w:tc>
        <w:tc>
          <w:tcPr>
            <w:tcW w:w="1627" w:type="dxa"/>
          </w:tcPr>
          <w:p w14:paraId="705C311D"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1BD51F5F" w14:textId="502A28AB"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208" w:type="dxa"/>
          </w:tcPr>
          <w:p w14:paraId="5A214079" w14:textId="56E9616A" w:rsidR="00226F8D" w:rsidRPr="005342A5"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55.44 </w:t>
            </w:r>
            <w:r w:rsidRPr="005342A5">
              <w:rPr>
                <w:lang w:val="en-US"/>
              </w:rPr>
              <w:t>%</w:t>
            </w:r>
          </w:p>
        </w:tc>
        <w:tc>
          <w:tcPr>
            <w:tcW w:w="1041" w:type="dxa"/>
          </w:tcPr>
          <w:p w14:paraId="48B34E4E" w14:textId="6067671A" w:rsidR="00226F8D" w:rsidRPr="005342A5"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1.88 </w:t>
            </w:r>
            <w:r w:rsidRPr="005342A5">
              <w:rPr>
                <w:lang w:val="en-US"/>
              </w:rPr>
              <w:t>%</w:t>
            </w:r>
          </w:p>
        </w:tc>
        <w:tc>
          <w:tcPr>
            <w:tcW w:w="1042" w:type="dxa"/>
          </w:tcPr>
          <w:p w14:paraId="21CFD2D7" w14:textId="7E980D71" w:rsidR="00226F8D" w:rsidRPr="005342A5"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0.22 </w:t>
            </w:r>
            <w:r w:rsidRPr="005342A5">
              <w:rPr>
                <w:lang w:val="en-US"/>
              </w:rPr>
              <w:t>%</w:t>
            </w:r>
          </w:p>
        </w:tc>
      </w:tr>
      <w:tr w:rsidR="00226F8D" w:rsidRPr="005342A5" w14:paraId="6DC940CB"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43AE40BC" w14:textId="77777777" w:rsidR="00226F8D" w:rsidRPr="005342A5" w:rsidRDefault="00226F8D" w:rsidP="00226F8D">
            <w:pPr>
              <w:jc w:val="center"/>
              <w:rPr>
                <w:lang w:val="en-US"/>
              </w:rPr>
            </w:pPr>
          </w:p>
        </w:tc>
        <w:tc>
          <w:tcPr>
            <w:tcW w:w="1627" w:type="dxa"/>
          </w:tcPr>
          <w:p w14:paraId="0EF63368"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84" w:type="dxa"/>
          </w:tcPr>
          <w:p w14:paraId="161EDEB9" w14:textId="5CC7AB0C"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208" w:type="dxa"/>
          </w:tcPr>
          <w:p w14:paraId="39530CB0" w14:textId="193DE2C9" w:rsidR="00226F8D" w:rsidRPr="00D9246A"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37.76 </w:t>
            </w:r>
            <w:r w:rsidRPr="005342A5">
              <w:rPr>
                <w:lang w:val="en-US"/>
              </w:rPr>
              <w:t>%</w:t>
            </w:r>
          </w:p>
        </w:tc>
        <w:tc>
          <w:tcPr>
            <w:tcW w:w="1041" w:type="dxa"/>
          </w:tcPr>
          <w:p w14:paraId="421A9F98" w14:textId="3091DBEB"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2.38 </w:t>
            </w:r>
            <w:r w:rsidRPr="005342A5">
              <w:rPr>
                <w:lang w:val="en-US"/>
              </w:rPr>
              <w:t>%</w:t>
            </w:r>
          </w:p>
        </w:tc>
        <w:tc>
          <w:tcPr>
            <w:tcW w:w="1042" w:type="dxa"/>
          </w:tcPr>
          <w:p w14:paraId="12695407" w14:textId="57BF6E4C"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0.72 </w:t>
            </w:r>
            <w:r w:rsidRPr="005342A5">
              <w:rPr>
                <w:lang w:val="en-US"/>
              </w:rPr>
              <w:t>%</w:t>
            </w:r>
          </w:p>
        </w:tc>
      </w:tr>
      <w:tr w:rsidR="00226F8D" w:rsidRPr="005342A5" w14:paraId="124E279B"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21FC851D" w14:textId="77777777" w:rsidR="00226F8D" w:rsidRPr="005342A5" w:rsidRDefault="00226F8D" w:rsidP="00226F8D">
            <w:pPr>
              <w:jc w:val="center"/>
              <w:rPr>
                <w:lang w:val="en-US"/>
              </w:rPr>
            </w:pPr>
          </w:p>
        </w:tc>
        <w:tc>
          <w:tcPr>
            <w:tcW w:w="1627" w:type="dxa"/>
          </w:tcPr>
          <w:p w14:paraId="6F8B5F8E"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50DDC95D" w14:textId="5B5212CA"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208" w:type="dxa"/>
          </w:tcPr>
          <w:p w14:paraId="6782DB82" w14:textId="5E7BA194"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1.38 </w:t>
            </w:r>
            <w:r w:rsidRPr="005342A5">
              <w:rPr>
                <w:lang w:val="en-US"/>
              </w:rPr>
              <w:t>%</w:t>
            </w:r>
          </w:p>
        </w:tc>
        <w:tc>
          <w:tcPr>
            <w:tcW w:w="1041" w:type="dxa"/>
          </w:tcPr>
          <w:p w14:paraId="222C0B8E" w14:textId="70B71B85"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0.06 </w:t>
            </w:r>
            <w:r w:rsidRPr="005342A5">
              <w:rPr>
                <w:lang w:val="en-US"/>
              </w:rPr>
              <w:t>%</w:t>
            </w:r>
          </w:p>
        </w:tc>
        <w:tc>
          <w:tcPr>
            <w:tcW w:w="1042" w:type="dxa"/>
          </w:tcPr>
          <w:p w14:paraId="0EC40DB2" w14:textId="4A122724"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0.17 </w:t>
            </w:r>
            <w:r w:rsidRPr="005342A5">
              <w:rPr>
                <w:lang w:val="en-US"/>
              </w:rPr>
              <w:t>%</w:t>
            </w:r>
          </w:p>
        </w:tc>
      </w:tr>
      <w:tr w:rsidR="00226F8D" w:rsidRPr="005342A5" w14:paraId="34A134FC"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36D2F414" w14:textId="77777777" w:rsidR="00226F8D" w:rsidRPr="005342A5" w:rsidRDefault="00226F8D" w:rsidP="00226F8D">
            <w:pPr>
              <w:jc w:val="center"/>
              <w:rPr>
                <w:lang w:val="en-US"/>
              </w:rPr>
            </w:pPr>
          </w:p>
        </w:tc>
        <w:tc>
          <w:tcPr>
            <w:tcW w:w="1627" w:type="dxa"/>
          </w:tcPr>
          <w:p w14:paraId="55EA82B9" w14:textId="277A7B78"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84" w:type="dxa"/>
          </w:tcPr>
          <w:p w14:paraId="20A5DCC9" w14:textId="20DF6EDB"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208" w:type="dxa"/>
          </w:tcPr>
          <w:p w14:paraId="1613BBE0"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41" w:type="dxa"/>
          </w:tcPr>
          <w:p w14:paraId="0E1B4457"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042" w:type="dxa"/>
          </w:tcPr>
          <w:p w14:paraId="4719676A"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r>
      <w:tr w:rsidR="00226F8D" w:rsidRPr="005342A5" w14:paraId="4745D6BC"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1301C1A9" w14:textId="77777777" w:rsidR="00226F8D" w:rsidRPr="005342A5" w:rsidRDefault="00226F8D" w:rsidP="00226F8D">
            <w:pPr>
              <w:jc w:val="center"/>
              <w:rPr>
                <w:lang w:val="en-US"/>
              </w:rPr>
            </w:pPr>
          </w:p>
        </w:tc>
        <w:tc>
          <w:tcPr>
            <w:tcW w:w="1627" w:type="dxa"/>
          </w:tcPr>
          <w:p w14:paraId="456F3075"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55A2DDF5" w14:textId="5D4BD2F8"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0</w:t>
            </w:r>
          </w:p>
        </w:tc>
        <w:tc>
          <w:tcPr>
            <w:tcW w:w="1208" w:type="dxa"/>
          </w:tcPr>
          <w:p w14:paraId="6429D798" w14:textId="41A0357C"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52.11 </w:t>
            </w:r>
            <w:r w:rsidRPr="005342A5">
              <w:rPr>
                <w:lang w:val="en-US"/>
              </w:rPr>
              <w:t>%</w:t>
            </w:r>
          </w:p>
        </w:tc>
        <w:tc>
          <w:tcPr>
            <w:tcW w:w="1041" w:type="dxa"/>
          </w:tcPr>
          <w:p w14:paraId="3440C905" w14:textId="297F7918"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7.91 </w:t>
            </w:r>
            <w:r w:rsidRPr="005342A5">
              <w:rPr>
                <w:lang w:val="en-US"/>
              </w:rPr>
              <w:t>%</w:t>
            </w:r>
          </w:p>
        </w:tc>
        <w:tc>
          <w:tcPr>
            <w:tcW w:w="1042" w:type="dxa"/>
          </w:tcPr>
          <w:p w14:paraId="346CA6C0" w14:textId="0085AC30"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2.86 </w:t>
            </w:r>
            <w:r w:rsidRPr="005342A5">
              <w:rPr>
                <w:lang w:val="en-US"/>
              </w:rPr>
              <w:t>%</w:t>
            </w:r>
          </w:p>
        </w:tc>
      </w:tr>
      <w:tr w:rsidR="00226F8D" w:rsidRPr="005342A5" w14:paraId="5BCF7F37" w14:textId="77777777" w:rsidTr="00226F8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70" w:type="dxa"/>
          </w:tcPr>
          <w:p w14:paraId="5762CD68" w14:textId="77777777" w:rsidR="00226F8D" w:rsidRPr="005342A5" w:rsidRDefault="00226F8D" w:rsidP="00226F8D">
            <w:pPr>
              <w:jc w:val="center"/>
              <w:rPr>
                <w:lang w:val="en-US"/>
              </w:rPr>
            </w:pPr>
          </w:p>
        </w:tc>
        <w:tc>
          <w:tcPr>
            <w:tcW w:w="1627" w:type="dxa"/>
          </w:tcPr>
          <w:p w14:paraId="046EFA3B" w14:textId="77777777" w:rsidR="00226F8D"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84" w:type="dxa"/>
          </w:tcPr>
          <w:p w14:paraId="30826F0B" w14:textId="42505412" w:rsidR="00226F8D" w:rsidRPr="005342A5" w:rsidRDefault="00226F8D" w:rsidP="00226F8D">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1</w:t>
            </w:r>
          </w:p>
        </w:tc>
        <w:tc>
          <w:tcPr>
            <w:tcW w:w="1208" w:type="dxa"/>
          </w:tcPr>
          <w:p w14:paraId="16EAC906" w14:textId="11925958"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24.68 </w:t>
            </w:r>
            <w:r w:rsidRPr="005342A5">
              <w:rPr>
                <w:lang w:val="en-US"/>
              </w:rPr>
              <w:t>%</w:t>
            </w:r>
          </w:p>
        </w:tc>
        <w:tc>
          <w:tcPr>
            <w:tcW w:w="1041" w:type="dxa"/>
          </w:tcPr>
          <w:p w14:paraId="482E9E5B" w14:textId="58530DCA"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7.23 </w:t>
            </w:r>
            <w:r w:rsidRPr="005342A5">
              <w:rPr>
                <w:lang w:val="en-US"/>
              </w:rPr>
              <w:t>%</w:t>
            </w:r>
          </w:p>
        </w:tc>
        <w:tc>
          <w:tcPr>
            <w:tcW w:w="1042" w:type="dxa"/>
          </w:tcPr>
          <w:p w14:paraId="3F7DE539" w14:textId="098AA981" w:rsidR="00226F8D" w:rsidRDefault="003B04D8" w:rsidP="00226F8D">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2.59 </w:t>
            </w:r>
            <w:r w:rsidRPr="005342A5">
              <w:rPr>
                <w:lang w:val="en-US"/>
              </w:rPr>
              <w:t>%</w:t>
            </w:r>
          </w:p>
        </w:tc>
      </w:tr>
      <w:tr w:rsidR="00226F8D" w:rsidRPr="005342A5" w14:paraId="75A8F793" w14:textId="77777777" w:rsidTr="00226F8D">
        <w:trPr>
          <w:trHeight w:val="250"/>
        </w:trPr>
        <w:tc>
          <w:tcPr>
            <w:cnfStyle w:val="001000000000" w:firstRow="0" w:lastRow="0" w:firstColumn="1" w:lastColumn="0" w:oddVBand="0" w:evenVBand="0" w:oddHBand="0" w:evenHBand="0" w:firstRowFirstColumn="0" w:firstRowLastColumn="0" w:lastRowFirstColumn="0" w:lastRowLastColumn="0"/>
            <w:tcW w:w="2370" w:type="dxa"/>
          </w:tcPr>
          <w:p w14:paraId="5CA8EC0A" w14:textId="77777777" w:rsidR="00226F8D" w:rsidRPr="005342A5" w:rsidRDefault="00226F8D" w:rsidP="00226F8D">
            <w:pPr>
              <w:jc w:val="center"/>
              <w:rPr>
                <w:lang w:val="en-US"/>
              </w:rPr>
            </w:pPr>
          </w:p>
        </w:tc>
        <w:tc>
          <w:tcPr>
            <w:tcW w:w="1627" w:type="dxa"/>
          </w:tcPr>
          <w:p w14:paraId="5774159F" w14:textId="77777777" w:rsidR="00226F8D"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84" w:type="dxa"/>
          </w:tcPr>
          <w:p w14:paraId="1B6E545F" w14:textId="6E2EC526" w:rsidR="00226F8D" w:rsidRPr="005342A5" w:rsidRDefault="00226F8D" w:rsidP="00226F8D">
            <w:pPr>
              <w:jc w:val="center"/>
              <w:cnfStyle w:val="000000000000" w:firstRow="0" w:lastRow="0" w:firstColumn="0" w:lastColumn="0" w:oddVBand="0" w:evenVBand="0" w:oddHBand="0" w:evenHBand="0" w:firstRowFirstColumn="0" w:firstRowLastColumn="0" w:lastRowFirstColumn="0" w:lastRowLastColumn="0"/>
              <w:rPr>
                <w:lang w:val="en-US"/>
              </w:rPr>
            </w:pPr>
            <w:r w:rsidRPr="005342A5">
              <w:rPr>
                <w:lang w:val="en-US"/>
              </w:rPr>
              <w:t>&gt; 1</w:t>
            </w:r>
          </w:p>
        </w:tc>
        <w:tc>
          <w:tcPr>
            <w:tcW w:w="1208" w:type="dxa"/>
          </w:tcPr>
          <w:p w14:paraId="72A791A8" w14:textId="6239633A"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1.50 </w:t>
            </w:r>
            <w:r w:rsidRPr="005342A5">
              <w:rPr>
                <w:lang w:val="en-US"/>
              </w:rPr>
              <w:t>%</w:t>
            </w:r>
          </w:p>
        </w:tc>
        <w:tc>
          <w:tcPr>
            <w:tcW w:w="1041" w:type="dxa"/>
          </w:tcPr>
          <w:p w14:paraId="218BCF5F" w14:textId="0E560431"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0.55 </w:t>
            </w:r>
            <w:r w:rsidRPr="005342A5">
              <w:rPr>
                <w:lang w:val="en-US"/>
              </w:rPr>
              <w:t>%</w:t>
            </w:r>
          </w:p>
        </w:tc>
        <w:tc>
          <w:tcPr>
            <w:tcW w:w="1042" w:type="dxa"/>
          </w:tcPr>
          <w:p w14:paraId="0B9F3460" w14:textId="414AB4BC" w:rsidR="00226F8D" w:rsidRDefault="003B04D8" w:rsidP="00226F8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0.55 </w:t>
            </w:r>
            <w:r w:rsidRPr="005342A5">
              <w:rPr>
                <w:lang w:val="en-US"/>
              </w:rPr>
              <w:t>%</w:t>
            </w:r>
          </w:p>
        </w:tc>
      </w:tr>
    </w:tbl>
    <w:p w14:paraId="056D99A7" w14:textId="77777777" w:rsidR="006B5C71" w:rsidRDefault="006B5C71" w:rsidP="006B5C71">
      <w:pPr>
        <w:rPr>
          <w:lang w:val="en-US"/>
        </w:rPr>
      </w:pPr>
    </w:p>
    <w:p w14:paraId="1C064556" w14:textId="77777777" w:rsidR="00C10110" w:rsidRDefault="00C10110" w:rsidP="00C10110">
      <w:pPr>
        <w:pStyle w:val="Caption"/>
        <w:rPr>
          <w:lang w:val="en-US"/>
        </w:rPr>
      </w:pPr>
    </w:p>
    <w:p w14:paraId="1FA5CE7D" w14:textId="51019667" w:rsidR="00C10110" w:rsidRPr="005342A5" w:rsidRDefault="00C10110" w:rsidP="00C10110">
      <w:pPr>
        <w:pStyle w:val="Caption"/>
        <w:rPr>
          <w:lang w:val="en-US"/>
        </w:rPr>
      </w:pPr>
      <w:r w:rsidRPr="005342A5">
        <w:rPr>
          <w:lang w:val="en-US"/>
        </w:rPr>
        <w:t>Table S</w:t>
      </w:r>
      <w:r w:rsidRPr="005342A5">
        <w:rPr>
          <w:lang w:val="en-US"/>
        </w:rPr>
        <w:fldChar w:fldCharType="begin"/>
      </w:r>
      <w:r w:rsidRPr="005342A5">
        <w:rPr>
          <w:lang w:val="en-US"/>
        </w:rPr>
        <w:instrText xml:space="preserve"> SEQ Table \* ARABIC </w:instrText>
      </w:r>
      <w:r w:rsidRPr="005342A5">
        <w:rPr>
          <w:lang w:val="en-US"/>
        </w:rPr>
        <w:fldChar w:fldCharType="separate"/>
      </w:r>
      <w:r>
        <w:rPr>
          <w:noProof/>
          <w:lang w:val="en-US"/>
        </w:rPr>
        <w:t>3</w:t>
      </w:r>
      <w:r w:rsidRPr="005342A5">
        <w:rPr>
          <w:lang w:val="en-US"/>
        </w:rPr>
        <w:fldChar w:fldCharType="end"/>
      </w:r>
      <w:r w:rsidRPr="005342A5">
        <w:rPr>
          <w:lang w:val="en-US"/>
        </w:rPr>
        <w:t xml:space="preserve">: Partnership </w:t>
      </w:r>
      <w:r>
        <w:rPr>
          <w:lang w:val="en-US"/>
        </w:rPr>
        <w:t xml:space="preserve">distribution among persons with an one-off partner </w:t>
      </w:r>
      <w:r w:rsidRPr="005342A5">
        <w:rPr>
          <w:lang w:val="en-US"/>
        </w:rPr>
        <w:t>stratified by partnership group</w:t>
      </w:r>
    </w:p>
    <w:tbl>
      <w:tblPr>
        <w:tblStyle w:val="ListTable2"/>
        <w:tblW w:w="9493" w:type="dxa"/>
        <w:tblLook w:val="04A0" w:firstRow="1" w:lastRow="0" w:firstColumn="1" w:lastColumn="0" w:noHBand="0" w:noVBand="1"/>
      </w:tblPr>
      <w:tblGrid>
        <w:gridCol w:w="2351"/>
        <w:gridCol w:w="1613"/>
        <w:gridCol w:w="1769"/>
        <w:gridCol w:w="1197"/>
        <w:gridCol w:w="1055"/>
        <w:gridCol w:w="1508"/>
      </w:tblGrid>
      <w:tr w:rsidR="00837744" w:rsidRPr="005342A5" w14:paraId="0918C942" w14:textId="775971CF" w:rsidTr="00663D8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4D69A3F4" w14:textId="6CC91ED3" w:rsidR="00837744" w:rsidRPr="005342A5" w:rsidRDefault="00837744" w:rsidP="006411E3">
            <w:pPr>
              <w:jc w:val="center"/>
              <w:rPr>
                <w:lang w:val="en-US"/>
              </w:rPr>
            </w:pPr>
            <w:proofErr w:type="spellStart"/>
            <w:r>
              <w:rPr>
                <w:lang w:val="en-US"/>
              </w:rPr>
              <w:t>PreP</w:t>
            </w:r>
            <w:proofErr w:type="spellEnd"/>
            <w:r>
              <w:rPr>
                <w:lang w:val="en-US"/>
              </w:rPr>
              <w:t xml:space="preserve"> eligibility</w:t>
            </w:r>
          </w:p>
        </w:tc>
        <w:tc>
          <w:tcPr>
            <w:tcW w:w="1613" w:type="dxa"/>
          </w:tcPr>
          <w:p w14:paraId="7BA9B880" w14:textId="5EB394F0" w:rsidR="00837744" w:rsidRDefault="00837744" w:rsidP="006411E3">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69" w:type="dxa"/>
          </w:tcPr>
          <w:p w14:paraId="68C397F6" w14:textId="4D13622A" w:rsidR="00837744" w:rsidRPr="005342A5" w:rsidRDefault="00837744" w:rsidP="006411E3">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Steady</w:t>
            </w:r>
            <w:r w:rsidRPr="005342A5">
              <w:rPr>
                <w:lang w:val="en-US"/>
              </w:rPr>
              <w:t xml:space="preserve"> partners</w:t>
            </w:r>
          </w:p>
        </w:tc>
        <w:tc>
          <w:tcPr>
            <w:tcW w:w="1197" w:type="dxa"/>
          </w:tcPr>
          <w:p w14:paraId="32A9ADC8" w14:textId="77777777" w:rsidR="00837744" w:rsidRPr="005342A5" w:rsidRDefault="00837744" w:rsidP="006411E3">
            <w:pPr>
              <w:jc w:val="center"/>
              <w:cnfStyle w:val="100000000000" w:firstRow="1" w:lastRow="0" w:firstColumn="0" w:lastColumn="0" w:oddVBand="0" w:evenVBand="0" w:oddHBand="0" w:evenHBand="0" w:firstRowFirstColumn="0" w:firstRowLastColumn="0" w:lastRowFirstColumn="0" w:lastRowLastColumn="0"/>
              <w:rPr>
                <w:lang w:val="en-US"/>
              </w:rPr>
            </w:pPr>
            <w:r w:rsidRPr="005342A5">
              <w:rPr>
                <w:lang w:val="en-US"/>
              </w:rPr>
              <w:t>0</w:t>
            </w:r>
          </w:p>
        </w:tc>
        <w:tc>
          <w:tcPr>
            <w:tcW w:w="1055" w:type="dxa"/>
          </w:tcPr>
          <w:p w14:paraId="327C9D56" w14:textId="5FBAA4C1" w:rsidR="00837744" w:rsidRPr="005342A5" w:rsidRDefault="00837744" w:rsidP="006411E3">
            <w:pPr>
              <w:jc w:val="center"/>
              <w:cnfStyle w:val="100000000000" w:firstRow="1" w:lastRow="0" w:firstColumn="0" w:lastColumn="0" w:oddVBand="0" w:evenVBand="0" w:oddHBand="0" w:evenHBand="0" w:firstRowFirstColumn="0" w:firstRowLastColumn="0" w:lastRowFirstColumn="0" w:lastRowLastColumn="0"/>
              <w:rPr>
                <w:lang w:val="en-US"/>
              </w:rPr>
            </w:pPr>
            <w:r w:rsidRPr="005342A5">
              <w:rPr>
                <w:lang w:val="en-US"/>
              </w:rPr>
              <w:t>1</w:t>
            </w:r>
          </w:p>
        </w:tc>
        <w:tc>
          <w:tcPr>
            <w:tcW w:w="1508" w:type="dxa"/>
          </w:tcPr>
          <w:p w14:paraId="3D701972" w14:textId="09CB2708" w:rsidR="00837744" w:rsidRDefault="00837744" w:rsidP="006411E3">
            <w:pPr>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&gt; 1</w:t>
            </w:r>
          </w:p>
        </w:tc>
      </w:tr>
      <w:tr w:rsidR="00837744" w:rsidRPr="005342A5" w14:paraId="62B71F81" w14:textId="108CFF03" w:rsidTr="00663D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16ED96C3" w14:textId="77777777" w:rsidR="00837744" w:rsidRPr="005342A5" w:rsidRDefault="00837744" w:rsidP="00837744">
            <w:pPr>
              <w:jc w:val="center"/>
              <w:rPr>
                <w:lang w:val="en-US"/>
              </w:rPr>
            </w:pPr>
          </w:p>
        </w:tc>
        <w:tc>
          <w:tcPr>
            <w:tcW w:w="1613" w:type="dxa"/>
          </w:tcPr>
          <w:p w14:paraId="68A3A646" w14:textId="77777777" w:rsidR="00837744" w:rsidRPr="005342A5" w:rsidRDefault="00837744" w:rsidP="00837744">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69" w:type="dxa"/>
          </w:tcPr>
          <w:p w14:paraId="33BD69A4" w14:textId="164F6724" w:rsidR="00837744" w:rsidRPr="005342A5" w:rsidRDefault="00837744"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97" w:type="dxa"/>
          </w:tcPr>
          <w:p w14:paraId="048A9844" w14:textId="6B64DBB6" w:rsidR="00837744" w:rsidRPr="005342A5" w:rsidRDefault="00237BB1"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3.38 %</w:t>
            </w:r>
          </w:p>
        </w:tc>
        <w:tc>
          <w:tcPr>
            <w:tcW w:w="1055" w:type="dxa"/>
          </w:tcPr>
          <w:p w14:paraId="54001A74" w14:textId="1FFD7C8A" w:rsidR="00837744" w:rsidRPr="005342A5" w:rsidRDefault="00237BB1"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5.98 %</w:t>
            </w:r>
          </w:p>
        </w:tc>
        <w:tc>
          <w:tcPr>
            <w:tcW w:w="1508" w:type="dxa"/>
          </w:tcPr>
          <w:p w14:paraId="0C1FCC57" w14:textId="4F41863F" w:rsidR="00837744" w:rsidRDefault="00237BB1"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0.28 %</w:t>
            </w:r>
          </w:p>
        </w:tc>
      </w:tr>
      <w:tr w:rsidR="00837744" w:rsidRPr="005342A5" w14:paraId="0788A802" w14:textId="3AEEEC90" w:rsidTr="00663D8D">
        <w:trPr>
          <w:trHeight w:val="259"/>
        </w:trPr>
        <w:tc>
          <w:tcPr>
            <w:cnfStyle w:val="001000000000" w:firstRow="0" w:lastRow="0" w:firstColumn="1" w:lastColumn="0" w:oddVBand="0" w:evenVBand="0" w:oddHBand="0" w:evenHBand="0" w:firstRowFirstColumn="0" w:firstRowLastColumn="0" w:lastRowFirstColumn="0" w:lastRowLastColumn="0"/>
            <w:tcW w:w="2351" w:type="dxa"/>
          </w:tcPr>
          <w:p w14:paraId="264083D6" w14:textId="77777777" w:rsidR="00837744" w:rsidRPr="005342A5" w:rsidRDefault="00837744" w:rsidP="00837744">
            <w:pPr>
              <w:jc w:val="center"/>
              <w:rPr>
                <w:lang w:val="en-US"/>
              </w:rPr>
            </w:pPr>
          </w:p>
        </w:tc>
        <w:tc>
          <w:tcPr>
            <w:tcW w:w="1613" w:type="dxa"/>
          </w:tcPr>
          <w:p w14:paraId="3EAF2C6B" w14:textId="77777777"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1769" w:type="dxa"/>
          </w:tcPr>
          <w:p w14:paraId="140E78C5" w14:textId="72442C57" w:rsidR="00837744" w:rsidRPr="005342A5"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Persistent casual</w:t>
            </w:r>
          </w:p>
        </w:tc>
        <w:tc>
          <w:tcPr>
            <w:tcW w:w="1197" w:type="dxa"/>
          </w:tcPr>
          <w:p w14:paraId="0A3BD0BF" w14:textId="2C536D03" w:rsidR="00837744" w:rsidRPr="005342A5"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7.97 %</w:t>
            </w:r>
          </w:p>
        </w:tc>
        <w:tc>
          <w:tcPr>
            <w:tcW w:w="1055" w:type="dxa"/>
          </w:tcPr>
          <w:p w14:paraId="33C3E530" w14:textId="20A2A8FF" w:rsidR="00837744" w:rsidRPr="005342A5"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1.83 %</w:t>
            </w:r>
          </w:p>
        </w:tc>
        <w:tc>
          <w:tcPr>
            <w:tcW w:w="1508" w:type="dxa"/>
          </w:tcPr>
          <w:p w14:paraId="7AF62AAC" w14:textId="1934F9B2"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0.00 %</w:t>
            </w:r>
          </w:p>
        </w:tc>
      </w:tr>
      <w:tr w:rsidR="00837744" w:rsidRPr="005342A5" w14:paraId="5559412A" w14:textId="50D00AEF" w:rsidTr="00663D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73C511D4" w14:textId="2C46B3D0" w:rsidR="00837744" w:rsidRPr="005342A5" w:rsidRDefault="00837744" w:rsidP="00837744">
            <w:pPr>
              <w:jc w:val="center"/>
              <w:rPr>
                <w:lang w:val="en-US"/>
              </w:rPr>
            </w:pPr>
          </w:p>
        </w:tc>
        <w:tc>
          <w:tcPr>
            <w:tcW w:w="1613" w:type="dxa"/>
          </w:tcPr>
          <w:p w14:paraId="1CC7A2D6" w14:textId="2A65AB0F" w:rsidR="00837744" w:rsidRDefault="00837744"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69" w:type="dxa"/>
          </w:tcPr>
          <w:p w14:paraId="6A49F3CA" w14:textId="6147DBC9" w:rsidR="00837744" w:rsidRPr="005342A5" w:rsidRDefault="00837744"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Steady</w:t>
            </w:r>
            <w:r w:rsidRPr="005342A5">
              <w:rPr>
                <w:lang w:val="en-US"/>
              </w:rPr>
              <w:t xml:space="preserve"> partners</w:t>
            </w:r>
          </w:p>
        </w:tc>
        <w:tc>
          <w:tcPr>
            <w:tcW w:w="1197" w:type="dxa"/>
          </w:tcPr>
          <w:p w14:paraId="321A7D4D" w14:textId="192F861A" w:rsidR="00837744" w:rsidRPr="005342A5"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6.58 %</w:t>
            </w:r>
          </w:p>
        </w:tc>
        <w:tc>
          <w:tcPr>
            <w:tcW w:w="1055" w:type="dxa"/>
          </w:tcPr>
          <w:p w14:paraId="3D45C28C" w14:textId="0B692C74" w:rsidR="00837744" w:rsidRPr="005342A5"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8.05 %</w:t>
            </w:r>
          </w:p>
        </w:tc>
        <w:tc>
          <w:tcPr>
            <w:tcW w:w="1508" w:type="dxa"/>
          </w:tcPr>
          <w:p w14:paraId="584055CE" w14:textId="52AE3F03" w:rsidR="00837744" w:rsidRPr="005342A5"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0.21 %</w:t>
            </w:r>
          </w:p>
        </w:tc>
      </w:tr>
      <w:tr w:rsidR="00837744" w:rsidRPr="005342A5" w14:paraId="365918EF" w14:textId="372897A7" w:rsidTr="00663D8D">
        <w:trPr>
          <w:trHeight w:val="259"/>
        </w:trPr>
        <w:tc>
          <w:tcPr>
            <w:cnfStyle w:val="001000000000" w:firstRow="0" w:lastRow="0" w:firstColumn="1" w:lastColumn="0" w:oddVBand="0" w:evenVBand="0" w:oddHBand="0" w:evenHBand="0" w:firstRowFirstColumn="0" w:firstRowLastColumn="0" w:lastRowFirstColumn="0" w:lastRowLastColumn="0"/>
            <w:tcW w:w="2351" w:type="dxa"/>
          </w:tcPr>
          <w:p w14:paraId="5C25CFE2" w14:textId="77777777" w:rsidR="00837744" w:rsidRPr="005342A5" w:rsidRDefault="00837744" w:rsidP="00837744">
            <w:pPr>
              <w:jc w:val="center"/>
              <w:rPr>
                <w:lang w:val="en-US"/>
              </w:rPr>
            </w:pPr>
          </w:p>
        </w:tc>
        <w:tc>
          <w:tcPr>
            <w:tcW w:w="1613" w:type="dxa"/>
          </w:tcPr>
          <w:p w14:paraId="79F48D3E" w14:textId="77777777" w:rsidR="00837744" w:rsidRPr="005342A5"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69" w:type="dxa"/>
          </w:tcPr>
          <w:p w14:paraId="31A4F2F6" w14:textId="44D29EFF" w:rsidR="00837744" w:rsidRPr="005342A5"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Persistent casual</w:t>
            </w:r>
          </w:p>
        </w:tc>
        <w:tc>
          <w:tcPr>
            <w:tcW w:w="1197" w:type="dxa"/>
          </w:tcPr>
          <w:p w14:paraId="20098363" w14:textId="1FF34A22" w:rsidR="00837744" w:rsidRPr="005342A5"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837744">
              <w:rPr>
                <w:lang w:val="en-US"/>
              </w:rPr>
              <w:t>1.</w:t>
            </w:r>
            <w:r>
              <w:rPr>
                <w:lang w:val="en-US"/>
              </w:rPr>
              <w:t>7</w:t>
            </w:r>
            <w:r w:rsidR="00837744">
              <w:rPr>
                <w:lang w:val="en-US"/>
              </w:rPr>
              <w:t>0</w:t>
            </w:r>
            <w:r w:rsidR="00837744" w:rsidRPr="005342A5">
              <w:rPr>
                <w:lang w:val="en-US"/>
              </w:rPr>
              <w:t xml:space="preserve"> %</w:t>
            </w:r>
          </w:p>
        </w:tc>
        <w:tc>
          <w:tcPr>
            <w:tcW w:w="1055" w:type="dxa"/>
          </w:tcPr>
          <w:p w14:paraId="28023366" w14:textId="039F53D0" w:rsidR="00837744" w:rsidRPr="005342A5"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102F79">
              <w:rPr>
                <w:lang w:val="en-US"/>
              </w:rPr>
              <w:t>55</w:t>
            </w:r>
            <w:r w:rsidRPr="005342A5">
              <w:rPr>
                <w:lang w:val="en-US"/>
              </w:rPr>
              <w:t xml:space="preserve"> %</w:t>
            </w:r>
          </w:p>
        </w:tc>
        <w:tc>
          <w:tcPr>
            <w:tcW w:w="1508" w:type="dxa"/>
          </w:tcPr>
          <w:p w14:paraId="2B4EB703" w14:textId="123E9CB1"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0.00 %</w:t>
            </w:r>
          </w:p>
        </w:tc>
      </w:tr>
      <w:tr w:rsidR="00434F27" w:rsidRPr="005342A5" w14:paraId="086558A7" w14:textId="0F77A8FA" w:rsidTr="00663D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1C1F8E0B" w14:textId="4C1BE66C" w:rsidR="00434F27" w:rsidRPr="005342A5" w:rsidRDefault="00434F27" w:rsidP="00434F27">
            <w:pPr>
              <w:jc w:val="center"/>
              <w:rPr>
                <w:lang w:val="en-US"/>
              </w:rPr>
            </w:pPr>
            <w:r>
              <w:rPr>
                <w:lang w:val="en-US"/>
              </w:rPr>
              <w:t xml:space="preserve">More than </w:t>
            </w:r>
            <w:r w:rsidRPr="00226F8D">
              <w:rPr>
                <w:lang w:val="en-US"/>
              </w:rPr>
              <w:t>1</w:t>
            </w:r>
            <w:r w:rsidRPr="00226F8D">
              <w:t>5 partners</w:t>
            </w:r>
          </w:p>
        </w:tc>
        <w:tc>
          <w:tcPr>
            <w:tcW w:w="1613" w:type="dxa"/>
          </w:tcPr>
          <w:p w14:paraId="0198FE16" w14:textId="6EEFF1FE"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lang w:val="en-US"/>
              </w:rPr>
              <w:t>Lower-activity</w:t>
            </w:r>
            <w:r w:rsidRPr="005342A5">
              <w:rPr>
                <w:lang w:val="en-US"/>
              </w:rPr>
              <w:t xml:space="preserve"> </w:t>
            </w:r>
            <w:r>
              <w:rPr>
                <w:lang w:val="en-US"/>
              </w:rPr>
              <w:t>MSM</w:t>
            </w:r>
          </w:p>
        </w:tc>
        <w:tc>
          <w:tcPr>
            <w:tcW w:w="1769" w:type="dxa"/>
          </w:tcPr>
          <w:p w14:paraId="65584D69" w14:textId="06239A55"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lang w:val="en-US"/>
              </w:rPr>
              <w:t>Steady</w:t>
            </w:r>
            <w:r w:rsidRPr="005342A5">
              <w:rPr>
                <w:lang w:val="en-US"/>
              </w:rPr>
              <w:t xml:space="preserve"> partners</w:t>
            </w:r>
          </w:p>
        </w:tc>
        <w:tc>
          <w:tcPr>
            <w:tcW w:w="1197" w:type="dxa"/>
          </w:tcPr>
          <w:p w14:paraId="079E9090" w14:textId="08DFA68D"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2.43 %</w:t>
            </w:r>
          </w:p>
        </w:tc>
        <w:tc>
          <w:tcPr>
            <w:tcW w:w="1055" w:type="dxa"/>
          </w:tcPr>
          <w:p w14:paraId="691C93F7" w14:textId="0A104C66"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4.80  %</w:t>
            </w:r>
          </w:p>
        </w:tc>
        <w:tc>
          <w:tcPr>
            <w:tcW w:w="1508" w:type="dxa"/>
          </w:tcPr>
          <w:p w14:paraId="7C9A37B0" w14:textId="7DA5D828"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0.10</w:t>
            </w:r>
            <w:r>
              <w:rPr>
                <w:lang w:val="en-US"/>
              </w:rPr>
              <w:t xml:space="preserve"> %</w:t>
            </w:r>
          </w:p>
        </w:tc>
      </w:tr>
      <w:tr w:rsidR="00837744" w:rsidRPr="005342A5" w14:paraId="1D416E36" w14:textId="435755F8" w:rsidTr="00663D8D">
        <w:trPr>
          <w:trHeight w:val="259"/>
        </w:trPr>
        <w:tc>
          <w:tcPr>
            <w:cnfStyle w:val="001000000000" w:firstRow="0" w:lastRow="0" w:firstColumn="1" w:lastColumn="0" w:oddVBand="0" w:evenVBand="0" w:oddHBand="0" w:evenHBand="0" w:firstRowFirstColumn="0" w:firstRowLastColumn="0" w:lastRowFirstColumn="0" w:lastRowLastColumn="0"/>
            <w:tcW w:w="2351" w:type="dxa"/>
          </w:tcPr>
          <w:p w14:paraId="288BB791" w14:textId="77777777" w:rsidR="00837744" w:rsidRPr="005342A5" w:rsidRDefault="00837744" w:rsidP="00837744">
            <w:pPr>
              <w:jc w:val="center"/>
              <w:rPr>
                <w:lang w:val="en-US"/>
              </w:rPr>
            </w:pPr>
          </w:p>
        </w:tc>
        <w:tc>
          <w:tcPr>
            <w:tcW w:w="1613" w:type="dxa"/>
          </w:tcPr>
          <w:p w14:paraId="130E0314" w14:textId="77777777"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69" w:type="dxa"/>
          </w:tcPr>
          <w:p w14:paraId="1B98E218" w14:textId="36108C16"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Persistent casual</w:t>
            </w:r>
          </w:p>
        </w:tc>
        <w:tc>
          <w:tcPr>
            <w:tcW w:w="1197" w:type="dxa"/>
          </w:tcPr>
          <w:p w14:paraId="532685AA" w14:textId="6C09F966" w:rsidR="00837744" w:rsidRPr="005342A5"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6.91 %</w:t>
            </w:r>
          </w:p>
        </w:tc>
        <w:tc>
          <w:tcPr>
            <w:tcW w:w="1055" w:type="dxa"/>
          </w:tcPr>
          <w:p w14:paraId="07E2A786" w14:textId="62103FF0" w:rsidR="00102F79" w:rsidRDefault="00102F79" w:rsidP="00102F79">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0.72</w:t>
            </w:r>
            <w:r>
              <w:rPr>
                <w:lang w:val="en-US"/>
              </w:rPr>
              <w:t xml:space="preserve"> %</w:t>
            </w:r>
          </w:p>
        </w:tc>
        <w:tc>
          <w:tcPr>
            <w:tcW w:w="1508" w:type="dxa"/>
          </w:tcPr>
          <w:p w14:paraId="0889EED4" w14:textId="6957C6AB"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0.00</w:t>
            </w:r>
            <w:r>
              <w:rPr>
                <w:lang w:val="en-US"/>
              </w:rPr>
              <w:t xml:space="preserve"> %</w:t>
            </w:r>
          </w:p>
        </w:tc>
      </w:tr>
      <w:tr w:rsidR="00837744" w:rsidRPr="005342A5" w14:paraId="4A2E9CB6" w14:textId="540FC708" w:rsidTr="00663D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72FAEBB9" w14:textId="77777777" w:rsidR="00837744" w:rsidRPr="005342A5" w:rsidRDefault="00837744" w:rsidP="00837744">
            <w:pPr>
              <w:jc w:val="center"/>
              <w:rPr>
                <w:lang w:val="en-US"/>
              </w:rPr>
            </w:pPr>
          </w:p>
        </w:tc>
        <w:tc>
          <w:tcPr>
            <w:tcW w:w="1613" w:type="dxa"/>
          </w:tcPr>
          <w:p w14:paraId="1F320275" w14:textId="793EC55C" w:rsidR="00837744" w:rsidRDefault="00837744"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69" w:type="dxa"/>
          </w:tcPr>
          <w:p w14:paraId="5C950BDB" w14:textId="7826530E" w:rsidR="00837744" w:rsidRDefault="00837744" w:rsidP="00837744">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lang w:val="en-US"/>
              </w:rPr>
              <w:t>Steady</w:t>
            </w:r>
            <w:r w:rsidRPr="005342A5">
              <w:rPr>
                <w:lang w:val="en-US"/>
              </w:rPr>
              <w:t xml:space="preserve"> partners</w:t>
            </w:r>
          </w:p>
        </w:tc>
        <w:tc>
          <w:tcPr>
            <w:tcW w:w="1197" w:type="dxa"/>
          </w:tcPr>
          <w:p w14:paraId="5CF4CA17" w14:textId="6CEBACED" w:rsidR="00837744"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8.57 %</w:t>
            </w:r>
          </w:p>
        </w:tc>
        <w:tc>
          <w:tcPr>
            <w:tcW w:w="1055" w:type="dxa"/>
          </w:tcPr>
          <w:p w14:paraId="35F9C606" w14:textId="7CAFFC3D" w:rsidR="00837744"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10.51 %</w:t>
            </w:r>
          </w:p>
        </w:tc>
        <w:tc>
          <w:tcPr>
            <w:tcW w:w="1508" w:type="dxa"/>
          </w:tcPr>
          <w:p w14:paraId="7C536B86" w14:textId="5E4A63C6" w:rsidR="00837744"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0.57 %</w:t>
            </w:r>
          </w:p>
        </w:tc>
      </w:tr>
      <w:tr w:rsidR="00837744" w:rsidRPr="005342A5" w14:paraId="7A8DBBA9" w14:textId="2750E9EB" w:rsidTr="00663D8D">
        <w:trPr>
          <w:trHeight w:val="259"/>
        </w:trPr>
        <w:tc>
          <w:tcPr>
            <w:cnfStyle w:val="001000000000" w:firstRow="0" w:lastRow="0" w:firstColumn="1" w:lastColumn="0" w:oddVBand="0" w:evenVBand="0" w:oddHBand="0" w:evenHBand="0" w:firstRowFirstColumn="0" w:firstRowLastColumn="0" w:lastRowFirstColumn="0" w:lastRowLastColumn="0"/>
            <w:tcW w:w="2351" w:type="dxa"/>
          </w:tcPr>
          <w:p w14:paraId="31DDBFA8" w14:textId="77777777" w:rsidR="00837744" w:rsidRPr="005342A5" w:rsidRDefault="00837744" w:rsidP="00837744">
            <w:pPr>
              <w:jc w:val="center"/>
              <w:rPr>
                <w:lang w:val="en-US"/>
              </w:rPr>
            </w:pPr>
          </w:p>
        </w:tc>
        <w:tc>
          <w:tcPr>
            <w:tcW w:w="1613" w:type="dxa"/>
          </w:tcPr>
          <w:p w14:paraId="230E5DE2" w14:textId="77777777"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69" w:type="dxa"/>
          </w:tcPr>
          <w:p w14:paraId="7934765F" w14:textId="0B595906"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Persistent casual</w:t>
            </w:r>
          </w:p>
        </w:tc>
        <w:tc>
          <w:tcPr>
            <w:tcW w:w="1197" w:type="dxa"/>
          </w:tcPr>
          <w:p w14:paraId="6CAE2175" w14:textId="008F840E"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13.83 %</w:t>
            </w:r>
          </w:p>
        </w:tc>
        <w:tc>
          <w:tcPr>
            <w:tcW w:w="1055" w:type="dxa"/>
          </w:tcPr>
          <w:p w14:paraId="6F466496" w14:textId="55204913"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5.94 %</w:t>
            </w:r>
          </w:p>
        </w:tc>
        <w:tc>
          <w:tcPr>
            <w:tcW w:w="1508" w:type="dxa"/>
          </w:tcPr>
          <w:p w14:paraId="662AA81F" w14:textId="36B8FA37"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0.00 %</w:t>
            </w:r>
          </w:p>
        </w:tc>
      </w:tr>
      <w:tr w:rsidR="00434F27" w:rsidRPr="005342A5" w14:paraId="6E378F95" w14:textId="7DD41488" w:rsidTr="00663D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6BEBC80C" w14:textId="7C82E75F" w:rsidR="00434F27" w:rsidRPr="005342A5" w:rsidRDefault="00434F27" w:rsidP="00434F27">
            <w:pPr>
              <w:jc w:val="center"/>
              <w:rPr>
                <w:lang w:val="en-US"/>
              </w:rPr>
            </w:pPr>
            <w:r>
              <w:rPr>
                <w:lang w:val="en-US"/>
              </w:rPr>
              <w:t xml:space="preserve">More than </w:t>
            </w:r>
            <w:r w:rsidRPr="00226F8D">
              <w:rPr>
                <w:lang w:val="en-US"/>
              </w:rPr>
              <w:t>1</w:t>
            </w:r>
            <w:r w:rsidRPr="00226F8D">
              <w:t xml:space="preserve">5 </w:t>
            </w:r>
            <w:r>
              <w:t xml:space="preserve">casual </w:t>
            </w:r>
            <w:r w:rsidRPr="00226F8D">
              <w:t>partners</w:t>
            </w:r>
          </w:p>
        </w:tc>
        <w:tc>
          <w:tcPr>
            <w:tcW w:w="1613" w:type="dxa"/>
          </w:tcPr>
          <w:p w14:paraId="4F666FEA" w14:textId="334FEB72"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769" w:type="dxa"/>
          </w:tcPr>
          <w:p w14:paraId="27E05214" w14:textId="1C0835AE"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lang w:val="en-US"/>
              </w:rPr>
              <w:t>Steady</w:t>
            </w:r>
            <w:r w:rsidRPr="005342A5">
              <w:rPr>
                <w:lang w:val="en-US"/>
              </w:rPr>
              <w:t xml:space="preserve"> partners</w:t>
            </w:r>
          </w:p>
        </w:tc>
        <w:tc>
          <w:tcPr>
            <w:tcW w:w="1197" w:type="dxa"/>
          </w:tcPr>
          <w:p w14:paraId="63B99C96" w14:textId="7347766D"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2.34 %</w:t>
            </w:r>
          </w:p>
        </w:tc>
        <w:tc>
          <w:tcPr>
            <w:tcW w:w="1055" w:type="dxa"/>
          </w:tcPr>
          <w:p w14:paraId="62B8FFBB" w14:textId="2042723E"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5.23 %</w:t>
            </w:r>
          </w:p>
        </w:tc>
        <w:tc>
          <w:tcPr>
            <w:tcW w:w="1508" w:type="dxa"/>
          </w:tcPr>
          <w:p w14:paraId="4C24A16A" w14:textId="14FE84F6"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0.15</w:t>
            </w:r>
            <w:r>
              <w:rPr>
                <w:lang w:val="en-US"/>
              </w:rPr>
              <w:t xml:space="preserve"> %</w:t>
            </w:r>
          </w:p>
        </w:tc>
      </w:tr>
      <w:tr w:rsidR="00837744" w:rsidRPr="005342A5" w14:paraId="09819727" w14:textId="34512AA9" w:rsidTr="00663D8D">
        <w:trPr>
          <w:trHeight w:val="259"/>
        </w:trPr>
        <w:tc>
          <w:tcPr>
            <w:cnfStyle w:val="001000000000" w:firstRow="0" w:lastRow="0" w:firstColumn="1" w:lastColumn="0" w:oddVBand="0" w:evenVBand="0" w:oddHBand="0" w:evenHBand="0" w:firstRowFirstColumn="0" w:firstRowLastColumn="0" w:lastRowFirstColumn="0" w:lastRowLastColumn="0"/>
            <w:tcW w:w="2351" w:type="dxa"/>
          </w:tcPr>
          <w:p w14:paraId="60BFABE5" w14:textId="77777777" w:rsidR="00837744" w:rsidRDefault="00837744" w:rsidP="00837744">
            <w:pPr>
              <w:jc w:val="center"/>
              <w:rPr>
                <w:lang w:val="en-US"/>
              </w:rPr>
            </w:pPr>
          </w:p>
        </w:tc>
        <w:tc>
          <w:tcPr>
            <w:tcW w:w="1613" w:type="dxa"/>
          </w:tcPr>
          <w:p w14:paraId="343262C2" w14:textId="77777777"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69" w:type="dxa"/>
          </w:tcPr>
          <w:p w14:paraId="0C037BE7" w14:textId="38FA6D35"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Persistent casual</w:t>
            </w:r>
          </w:p>
        </w:tc>
        <w:tc>
          <w:tcPr>
            <w:tcW w:w="1197" w:type="dxa"/>
          </w:tcPr>
          <w:p w14:paraId="7CB51512" w14:textId="0E3318D1" w:rsidR="00837744" w:rsidRPr="005342A5"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7.33 %</w:t>
            </w:r>
          </w:p>
        </w:tc>
        <w:tc>
          <w:tcPr>
            <w:tcW w:w="1055" w:type="dxa"/>
          </w:tcPr>
          <w:p w14:paraId="49F650AB" w14:textId="2F5EF902"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0.70</w:t>
            </w:r>
            <w:r>
              <w:rPr>
                <w:lang w:val="en-US"/>
              </w:rPr>
              <w:t xml:space="preserve"> %</w:t>
            </w:r>
          </w:p>
        </w:tc>
        <w:tc>
          <w:tcPr>
            <w:tcW w:w="1508" w:type="dxa"/>
          </w:tcPr>
          <w:p w14:paraId="28DE765A" w14:textId="4446BD6B"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0.00</w:t>
            </w:r>
            <w:r>
              <w:rPr>
                <w:lang w:val="en-US"/>
              </w:rPr>
              <w:t xml:space="preserve"> %</w:t>
            </w:r>
          </w:p>
        </w:tc>
      </w:tr>
      <w:tr w:rsidR="00837744" w:rsidRPr="005342A5" w14:paraId="0E0C1A87" w14:textId="21320B09" w:rsidTr="00663D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51" w:type="dxa"/>
          </w:tcPr>
          <w:p w14:paraId="3DAF01A0" w14:textId="77777777" w:rsidR="00837744" w:rsidRDefault="00837744" w:rsidP="00837744">
            <w:pPr>
              <w:jc w:val="center"/>
              <w:rPr>
                <w:lang w:val="en-US"/>
              </w:rPr>
            </w:pPr>
          </w:p>
        </w:tc>
        <w:tc>
          <w:tcPr>
            <w:tcW w:w="1613" w:type="dxa"/>
          </w:tcPr>
          <w:p w14:paraId="7DDE256C" w14:textId="01626E16" w:rsidR="00837744" w:rsidRDefault="00837744"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c>
          <w:tcPr>
            <w:tcW w:w="1769" w:type="dxa"/>
          </w:tcPr>
          <w:p w14:paraId="4E4E9951" w14:textId="3825E895" w:rsidR="00837744" w:rsidRDefault="00837744" w:rsidP="00837744">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lang w:val="en-US"/>
              </w:rPr>
              <w:t>Steady</w:t>
            </w:r>
            <w:r w:rsidRPr="005342A5">
              <w:rPr>
                <w:lang w:val="en-US"/>
              </w:rPr>
              <w:t xml:space="preserve"> partners</w:t>
            </w:r>
          </w:p>
        </w:tc>
        <w:tc>
          <w:tcPr>
            <w:tcW w:w="1197" w:type="dxa"/>
          </w:tcPr>
          <w:p w14:paraId="385CA6A5" w14:textId="39298B41" w:rsidR="00837744"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9.29 %</w:t>
            </w:r>
          </w:p>
        </w:tc>
        <w:tc>
          <w:tcPr>
            <w:tcW w:w="1055" w:type="dxa"/>
          </w:tcPr>
          <w:p w14:paraId="5571E933" w14:textId="65E4832D" w:rsidR="00837744"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9.91 %</w:t>
            </w:r>
          </w:p>
        </w:tc>
        <w:tc>
          <w:tcPr>
            <w:tcW w:w="1508" w:type="dxa"/>
          </w:tcPr>
          <w:p w14:paraId="17DE2EBD" w14:textId="23FC2DEE" w:rsidR="00837744" w:rsidRDefault="00102F79" w:rsidP="0083774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0.50 %</w:t>
            </w:r>
          </w:p>
        </w:tc>
      </w:tr>
      <w:tr w:rsidR="00837744" w:rsidRPr="005342A5" w14:paraId="665B4F8A" w14:textId="6D53FD05" w:rsidTr="00663D8D">
        <w:trPr>
          <w:trHeight w:val="259"/>
        </w:trPr>
        <w:tc>
          <w:tcPr>
            <w:cnfStyle w:val="001000000000" w:firstRow="0" w:lastRow="0" w:firstColumn="1" w:lastColumn="0" w:oddVBand="0" w:evenVBand="0" w:oddHBand="0" w:evenHBand="0" w:firstRowFirstColumn="0" w:firstRowLastColumn="0" w:lastRowFirstColumn="0" w:lastRowLastColumn="0"/>
            <w:tcW w:w="2351" w:type="dxa"/>
          </w:tcPr>
          <w:p w14:paraId="5D3EEEB2" w14:textId="77777777" w:rsidR="00837744" w:rsidRDefault="00837744" w:rsidP="00837744">
            <w:pPr>
              <w:jc w:val="center"/>
              <w:rPr>
                <w:lang w:val="en-US"/>
              </w:rPr>
            </w:pPr>
          </w:p>
        </w:tc>
        <w:tc>
          <w:tcPr>
            <w:tcW w:w="1613" w:type="dxa"/>
          </w:tcPr>
          <w:p w14:paraId="52580A37" w14:textId="77777777" w:rsidR="00837744"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769" w:type="dxa"/>
          </w:tcPr>
          <w:p w14:paraId="168CBADF" w14:textId="412875FE" w:rsidR="00837744" w:rsidRPr="005342A5" w:rsidRDefault="00837744"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Persistent casual</w:t>
            </w:r>
          </w:p>
        </w:tc>
        <w:tc>
          <w:tcPr>
            <w:tcW w:w="1197" w:type="dxa"/>
          </w:tcPr>
          <w:p w14:paraId="2FE9BD27" w14:textId="2B6A5ECD"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13.38 %</w:t>
            </w:r>
          </w:p>
        </w:tc>
        <w:tc>
          <w:tcPr>
            <w:tcW w:w="1055" w:type="dxa"/>
          </w:tcPr>
          <w:p w14:paraId="350A473A" w14:textId="562EAA27"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6.44 %</w:t>
            </w:r>
          </w:p>
        </w:tc>
        <w:tc>
          <w:tcPr>
            <w:tcW w:w="1508" w:type="dxa"/>
          </w:tcPr>
          <w:p w14:paraId="4A1E9FF4" w14:textId="6EED58F2" w:rsidR="00837744" w:rsidRDefault="00102F79" w:rsidP="0083774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0.00 %</w:t>
            </w:r>
          </w:p>
        </w:tc>
      </w:tr>
    </w:tbl>
    <w:p w14:paraId="60BC9FAA" w14:textId="77777777" w:rsidR="00C10110" w:rsidRDefault="00C10110" w:rsidP="00C10110">
      <w:pPr>
        <w:pStyle w:val="Caption"/>
        <w:rPr>
          <w:lang w:val="en-US"/>
        </w:rPr>
      </w:pPr>
    </w:p>
    <w:p w14:paraId="00422D39" w14:textId="77777777" w:rsidR="00C10110" w:rsidRDefault="00C10110" w:rsidP="00C10110">
      <w:pPr>
        <w:pStyle w:val="Caption"/>
        <w:rPr>
          <w:lang w:val="en-US"/>
        </w:rPr>
      </w:pPr>
    </w:p>
    <w:p w14:paraId="0BD17499" w14:textId="036AB2D8" w:rsidR="00C10110" w:rsidRPr="005342A5" w:rsidRDefault="00C10110" w:rsidP="00C10110">
      <w:pPr>
        <w:pStyle w:val="Caption"/>
        <w:rPr>
          <w:lang w:val="en-US"/>
        </w:rPr>
      </w:pPr>
      <w:r w:rsidRPr="005342A5">
        <w:rPr>
          <w:lang w:val="en-US"/>
        </w:rPr>
        <w:t>Table S</w:t>
      </w:r>
      <w:r w:rsidRPr="005342A5">
        <w:rPr>
          <w:lang w:val="en-US"/>
        </w:rPr>
        <w:fldChar w:fldCharType="begin"/>
      </w:r>
      <w:r w:rsidRPr="005342A5">
        <w:rPr>
          <w:lang w:val="en-US"/>
        </w:rPr>
        <w:instrText xml:space="preserve"> SEQ Table \* ARABIC </w:instrText>
      </w:r>
      <w:r w:rsidRPr="005342A5">
        <w:rPr>
          <w:lang w:val="en-US"/>
        </w:rPr>
        <w:fldChar w:fldCharType="separate"/>
      </w:r>
      <w:r w:rsidR="00A1207D">
        <w:rPr>
          <w:noProof/>
          <w:lang w:val="en-US"/>
        </w:rPr>
        <w:t>4</w:t>
      </w:r>
      <w:r w:rsidRPr="005342A5">
        <w:rPr>
          <w:lang w:val="en-US"/>
        </w:rPr>
        <w:fldChar w:fldCharType="end"/>
      </w:r>
      <w:r w:rsidRPr="005342A5">
        <w:rPr>
          <w:lang w:val="en-US"/>
        </w:rPr>
        <w:t xml:space="preserve">: </w:t>
      </w:r>
      <w:r w:rsidR="00A229D4">
        <w:rPr>
          <w:lang w:val="en-US"/>
        </w:rPr>
        <w:t>One-off partnership parameters</w:t>
      </w:r>
    </w:p>
    <w:tbl>
      <w:tblPr>
        <w:tblStyle w:val="ListTable1Light"/>
        <w:tblW w:w="9214" w:type="dxa"/>
        <w:tblLook w:val="04A0" w:firstRow="1" w:lastRow="0" w:firstColumn="1" w:lastColumn="0" w:noHBand="0" w:noVBand="1"/>
      </w:tblPr>
      <w:tblGrid>
        <w:gridCol w:w="1662"/>
        <w:gridCol w:w="4434"/>
        <w:gridCol w:w="1559"/>
        <w:gridCol w:w="1559"/>
      </w:tblGrid>
      <w:tr w:rsidR="00A91631" w14:paraId="06A26300" w14:textId="77777777" w:rsidTr="00663D8D">
        <w:trPr>
          <w:cnfStyle w:val="100000000000" w:firstRow="1" w:lastRow="0" w:firstColumn="0" w:lastColumn="0" w:oddVBand="0" w:evenVBand="0" w:oddHBand="0"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1662" w:type="dxa"/>
          </w:tcPr>
          <w:p w14:paraId="35C63B06" w14:textId="77777777" w:rsidR="00A91631" w:rsidRDefault="00A91631" w:rsidP="00350F66">
            <w:pPr>
              <w:rPr>
                <w:lang w:val="en-US"/>
              </w:rPr>
            </w:pPr>
          </w:p>
        </w:tc>
        <w:tc>
          <w:tcPr>
            <w:tcW w:w="4434" w:type="dxa"/>
          </w:tcPr>
          <w:p w14:paraId="49180009" w14:textId="77777777" w:rsidR="00A91631" w:rsidRDefault="00A91631" w:rsidP="00350F66">
            <w:pPr>
              <w:cnfStyle w:val="100000000000" w:firstRow="1" w:lastRow="0" w:firstColumn="0" w:lastColumn="0" w:oddVBand="0" w:evenVBand="0" w:oddHBand="0" w:evenHBand="0" w:firstRowFirstColumn="0" w:firstRowLastColumn="0" w:lastRowFirstColumn="0" w:lastRowLastColumn="0"/>
              <w:rPr>
                <w:lang w:val="en-US"/>
              </w:rPr>
            </w:pPr>
          </w:p>
        </w:tc>
        <w:tc>
          <w:tcPr>
            <w:tcW w:w="1559" w:type="dxa"/>
          </w:tcPr>
          <w:p w14:paraId="10D329ED" w14:textId="1E5F4CF4" w:rsidR="00A91631" w:rsidRDefault="00A91631" w:rsidP="00350F66">
            <w:pPr>
              <w:cnfStyle w:val="100000000000" w:firstRow="1" w:lastRow="0" w:firstColumn="0" w:lastColumn="0" w:oddVBand="0" w:evenVBand="0" w:oddHBand="0" w:evenHBand="0" w:firstRowFirstColumn="0" w:firstRowLastColumn="0" w:lastRowFirstColumn="0" w:lastRowLastColumn="0"/>
              <w:rPr>
                <w:lang w:val="en-US"/>
              </w:rPr>
            </w:pPr>
            <w:r>
              <w:rPr>
                <w:lang w:val="en-US"/>
              </w:rPr>
              <w:t>Lower-activity</w:t>
            </w:r>
            <w:r w:rsidRPr="005342A5">
              <w:rPr>
                <w:lang w:val="en-US"/>
              </w:rPr>
              <w:t xml:space="preserve"> </w:t>
            </w:r>
            <w:r>
              <w:rPr>
                <w:lang w:val="en-US"/>
              </w:rPr>
              <w:t>MSM</w:t>
            </w:r>
          </w:p>
        </w:tc>
        <w:tc>
          <w:tcPr>
            <w:tcW w:w="1559" w:type="dxa"/>
          </w:tcPr>
          <w:p w14:paraId="0FFC2D49" w14:textId="03C3338B" w:rsidR="00A91631" w:rsidRDefault="00A91631" w:rsidP="00350F66">
            <w:pPr>
              <w:cnfStyle w:val="100000000000" w:firstRow="1" w:lastRow="0" w:firstColumn="0" w:lastColumn="0" w:oddVBand="0" w:evenVBand="0" w:oddHBand="0" w:evenHBand="0" w:firstRowFirstColumn="0" w:firstRowLastColumn="0" w:lastRowFirstColumn="0" w:lastRowLastColumn="0"/>
              <w:rPr>
                <w:lang w:val="en-US"/>
              </w:rPr>
            </w:pPr>
            <w:r>
              <w:rPr>
                <w:lang w:val="en-US"/>
              </w:rPr>
              <w:t>Higher-activity</w:t>
            </w:r>
            <w:r w:rsidRPr="005342A5">
              <w:rPr>
                <w:lang w:val="en-US"/>
              </w:rPr>
              <w:t xml:space="preserve"> </w:t>
            </w:r>
            <w:r>
              <w:rPr>
                <w:lang w:val="en-US"/>
              </w:rPr>
              <w:t>MSM</w:t>
            </w:r>
          </w:p>
        </w:tc>
      </w:tr>
      <w:tr w:rsidR="00A91631" w14:paraId="0EA1C3A9" w14:textId="77777777" w:rsidTr="00663D8D">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662" w:type="dxa"/>
          </w:tcPr>
          <w:p w14:paraId="1EBCA562" w14:textId="3BAF1396" w:rsidR="00A91631" w:rsidRDefault="00A91631" w:rsidP="00A91631">
            <w:pPr>
              <w:rPr>
                <w:lang w:val="en-US"/>
              </w:rPr>
            </w:pPr>
            <w:bookmarkStart w:id="9" w:name="_Hlk152225922"/>
            <w:r>
              <w:rPr>
                <w:lang w:val="en-US"/>
              </w:rPr>
              <w:t>Prep Eligibility</w:t>
            </w:r>
          </w:p>
        </w:tc>
        <w:tc>
          <w:tcPr>
            <w:tcW w:w="4434" w:type="dxa"/>
          </w:tcPr>
          <w:p w14:paraId="2797DFDA" w14:textId="438B6E06" w:rsidR="00A91631" w:rsidRPr="0055391D" w:rsidRDefault="00A91631" w:rsidP="00A91631">
            <w:pPr>
              <w:cnfStyle w:val="000000100000" w:firstRow="0" w:lastRow="0" w:firstColumn="0" w:lastColumn="0" w:oddVBand="0" w:evenVBand="0" w:oddHBand="1" w:evenHBand="0" w:firstRowFirstColumn="0" w:firstRowLastColumn="0" w:lastRowFirstColumn="0" w:lastRowLastColumn="0"/>
              <w:rPr>
                <w:b/>
                <w:bCs/>
                <w:lang w:val="en-US"/>
              </w:rPr>
            </w:pPr>
            <w:r w:rsidRPr="0055391D">
              <w:rPr>
                <w:b/>
                <w:bCs/>
                <w:lang w:val="en-US"/>
              </w:rPr>
              <w:t>Proportion of one-off partnerships among persons with at least 1 casual partner</w:t>
            </w:r>
          </w:p>
        </w:tc>
        <w:tc>
          <w:tcPr>
            <w:tcW w:w="1559" w:type="dxa"/>
          </w:tcPr>
          <w:p w14:paraId="462164C9" w14:textId="38C6397A" w:rsidR="00A91631" w:rsidRDefault="00A91631" w:rsidP="00A91631">
            <w:pPr>
              <w:cnfStyle w:val="000000100000" w:firstRow="0" w:lastRow="0" w:firstColumn="0" w:lastColumn="0" w:oddVBand="0" w:evenVBand="0" w:oddHBand="1" w:evenHBand="0" w:firstRowFirstColumn="0" w:firstRowLastColumn="0" w:lastRowFirstColumn="0" w:lastRowLastColumn="0"/>
              <w:rPr>
                <w:lang w:val="en-US"/>
              </w:rPr>
            </w:pPr>
            <w:r>
              <w:rPr>
                <w:lang w:val="en-US"/>
              </w:rPr>
              <w:t>69.14%</w:t>
            </w:r>
          </w:p>
        </w:tc>
        <w:tc>
          <w:tcPr>
            <w:tcW w:w="1559" w:type="dxa"/>
          </w:tcPr>
          <w:p w14:paraId="0A24581A" w14:textId="7FCB1D0D" w:rsidR="00A91631" w:rsidRDefault="00A91631" w:rsidP="00A91631">
            <w:pPr>
              <w:cnfStyle w:val="000000100000" w:firstRow="0" w:lastRow="0" w:firstColumn="0" w:lastColumn="0" w:oddVBand="0" w:evenVBand="0" w:oddHBand="1" w:evenHBand="0" w:firstRowFirstColumn="0" w:firstRowLastColumn="0" w:lastRowFirstColumn="0" w:lastRowLastColumn="0"/>
              <w:rPr>
                <w:lang w:val="en-US"/>
              </w:rPr>
            </w:pPr>
            <w:r>
              <w:rPr>
                <w:lang w:val="en-US"/>
              </w:rPr>
              <w:t>54.48%</w:t>
            </w:r>
          </w:p>
        </w:tc>
      </w:tr>
      <w:bookmarkEnd w:id="9"/>
      <w:tr w:rsidR="00A91631" w14:paraId="3E0D3CAD" w14:textId="77777777" w:rsidTr="00663D8D">
        <w:trPr>
          <w:trHeight w:val="550"/>
        </w:trPr>
        <w:tc>
          <w:tcPr>
            <w:cnfStyle w:val="001000000000" w:firstRow="0" w:lastRow="0" w:firstColumn="1" w:lastColumn="0" w:oddVBand="0" w:evenVBand="0" w:oddHBand="0" w:evenHBand="0" w:firstRowFirstColumn="0" w:firstRowLastColumn="0" w:lastRowFirstColumn="0" w:lastRowLastColumn="0"/>
            <w:tcW w:w="1662" w:type="dxa"/>
          </w:tcPr>
          <w:p w14:paraId="6EDBE0B7" w14:textId="04DB3F6E" w:rsidR="00A91631" w:rsidRDefault="00A91631" w:rsidP="00A91631">
            <w:pPr>
              <w:rPr>
                <w:lang w:val="en-US"/>
              </w:rPr>
            </w:pPr>
          </w:p>
        </w:tc>
        <w:tc>
          <w:tcPr>
            <w:tcW w:w="4434" w:type="dxa"/>
          </w:tcPr>
          <w:p w14:paraId="5264BC62" w14:textId="5708A383" w:rsidR="00A91631" w:rsidRPr="0055391D" w:rsidRDefault="00A91631" w:rsidP="00A91631">
            <w:pPr>
              <w:cnfStyle w:val="000000000000" w:firstRow="0" w:lastRow="0" w:firstColumn="0" w:lastColumn="0" w:oddVBand="0" w:evenVBand="0" w:oddHBand="0" w:evenHBand="0" w:firstRowFirstColumn="0" w:firstRowLastColumn="0" w:lastRowFirstColumn="0" w:lastRowLastColumn="0"/>
              <w:rPr>
                <w:b/>
                <w:bCs/>
                <w:lang w:val="en-US"/>
              </w:rPr>
            </w:pPr>
            <w:r w:rsidRPr="0055391D">
              <w:rPr>
                <w:b/>
                <w:bCs/>
                <w:lang w:val="en-US"/>
              </w:rPr>
              <w:t>Proportion of concurrent one-off partners</w:t>
            </w:r>
          </w:p>
        </w:tc>
        <w:tc>
          <w:tcPr>
            <w:tcW w:w="1559" w:type="dxa"/>
          </w:tcPr>
          <w:p w14:paraId="0448C0C6" w14:textId="08738291" w:rsidR="00A91631" w:rsidRDefault="00A91631" w:rsidP="00A91631">
            <w:pPr>
              <w:cnfStyle w:val="000000000000" w:firstRow="0" w:lastRow="0" w:firstColumn="0" w:lastColumn="0" w:oddVBand="0" w:evenVBand="0" w:oddHBand="0" w:evenHBand="0" w:firstRowFirstColumn="0" w:firstRowLastColumn="0" w:lastRowFirstColumn="0" w:lastRowLastColumn="0"/>
              <w:rPr>
                <w:lang w:val="en-US"/>
              </w:rPr>
            </w:pPr>
            <w:r>
              <w:rPr>
                <w:lang w:val="en-US"/>
              </w:rPr>
              <w:t>57.89%</w:t>
            </w:r>
          </w:p>
        </w:tc>
        <w:tc>
          <w:tcPr>
            <w:tcW w:w="1559" w:type="dxa"/>
          </w:tcPr>
          <w:p w14:paraId="76181BCE" w14:textId="6056CD01" w:rsidR="00A91631" w:rsidRDefault="00A91631" w:rsidP="00A91631">
            <w:pPr>
              <w:cnfStyle w:val="000000000000" w:firstRow="0" w:lastRow="0" w:firstColumn="0" w:lastColumn="0" w:oddVBand="0" w:evenVBand="0" w:oddHBand="0" w:evenHBand="0" w:firstRowFirstColumn="0" w:firstRowLastColumn="0" w:lastRowFirstColumn="0" w:lastRowLastColumn="0"/>
              <w:rPr>
                <w:lang w:val="en-US"/>
              </w:rPr>
            </w:pPr>
            <w:r>
              <w:rPr>
                <w:lang w:val="en-US"/>
              </w:rPr>
              <w:t>43.59%</w:t>
            </w:r>
          </w:p>
        </w:tc>
      </w:tr>
      <w:tr w:rsidR="00434F27" w14:paraId="29CD2AE3" w14:textId="77777777" w:rsidTr="00663D8D">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1662" w:type="dxa"/>
          </w:tcPr>
          <w:p w14:paraId="751AABB5" w14:textId="2133E88B" w:rsidR="00434F27" w:rsidRDefault="00434F27" w:rsidP="00434F27">
            <w:pPr>
              <w:rPr>
                <w:lang w:val="en-US"/>
              </w:rPr>
            </w:pPr>
            <w:r>
              <w:rPr>
                <w:lang w:val="en-US"/>
              </w:rPr>
              <w:t xml:space="preserve">More than </w:t>
            </w:r>
            <w:r w:rsidRPr="00226F8D">
              <w:rPr>
                <w:lang w:val="en-US"/>
              </w:rPr>
              <w:t>1</w:t>
            </w:r>
            <w:r w:rsidRPr="00226F8D">
              <w:t>5 partners</w:t>
            </w:r>
          </w:p>
        </w:tc>
        <w:tc>
          <w:tcPr>
            <w:tcW w:w="4434" w:type="dxa"/>
          </w:tcPr>
          <w:p w14:paraId="1B3A422E" w14:textId="0FC53D74" w:rsidR="00434F27" w:rsidRPr="00A91631" w:rsidRDefault="00434F27" w:rsidP="00434F27">
            <w:pPr>
              <w:cnfStyle w:val="000000100000" w:firstRow="0" w:lastRow="0" w:firstColumn="0" w:lastColumn="0" w:oddVBand="0" w:evenVBand="0" w:oddHBand="1" w:evenHBand="0" w:firstRowFirstColumn="0" w:firstRowLastColumn="0" w:lastRowFirstColumn="0" w:lastRowLastColumn="0"/>
              <w:rPr>
                <w:b/>
                <w:bCs/>
                <w:lang w:val="en-US"/>
              </w:rPr>
            </w:pPr>
            <w:r w:rsidRPr="00CF4F1C">
              <w:rPr>
                <w:b/>
                <w:bCs/>
                <w:lang w:val="en-US"/>
              </w:rPr>
              <w:t>Proportion of one-off partnerships among persons with at least 1 casual partner</w:t>
            </w:r>
          </w:p>
        </w:tc>
        <w:tc>
          <w:tcPr>
            <w:tcW w:w="1559" w:type="dxa"/>
          </w:tcPr>
          <w:p w14:paraId="2509A944" w14:textId="3BCF7DE9" w:rsidR="00434F27" w:rsidRDefault="00434F27" w:rsidP="00434F27">
            <w:pPr>
              <w:cnfStyle w:val="000000100000" w:firstRow="0" w:lastRow="0" w:firstColumn="0" w:lastColumn="0" w:oddVBand="0" w:evenVBand="0" w:oddHBand="1" w:evenHBand="0" w:firstRowFirstColumn="0" w:firstRowLastColumn="0" w:lastRowFirstColumn="0" w:lastRowLastColumn="0"/>
              <w:rPr>
                <w:lang w:val="en-US"/>
              </w:rPr>
            </w:pPr>
            <w:r>
              <w:rPr>
                <w:lang w:val="en-US"/>
              </w:rPr>
              <w:t>65.49 %</w:t>
            </w:r>
          </w:p>
        </w:tc>
        <w:tc>
          <w:tcPr>
            <w:tcW w:w="1559" w:type="dxa"/>
          </w:tcPr>
          <w:p w14:paraId="7EAF6546" w14:textId="5C9B9265" w:rsidR="00434F27" w:rsidRDefault="00434F27" w:rsidP="00434F27">
            <w:pPr>
              <w:cnfStyle w:val="000000100000" w:firstRow="0" w:lastRow="0" w:firstColumn="0" w:lastColumn="0" w:oddVBand="0" w:evenVBand="0" w:oddHBand="1" w:evenHBand="0" w:firstRowFirstColumn="0" w:firstRowLastColumn="0" w:lastRowFirstColumn="0" w:lastRowLastColumn="0"/>
              <w:rPr>
                <w:lang w:val="en-US"/>
              </w:rPr>
            </w:pPr>
            <w:r>
              <w:rPr>
                <w:lang w:val="en-US"/>
              </w:rPr>
              <w:t>58.64 %</w:t>
            </w:r>
          </w:p>
        </w:tc>
      </w:tr>
      <w:tr w:rsidR="00A91631" w14:paraId="7F3F7799" w14:textId="77777777" w:rsidTr="00663D8D">
        <w:trPr>
          <w:trHeight w:val="550"/>
        </w:trPr>
        <w:tc>
          <w:tcPr>
            <w:cnfStyle w:val="001000000000" w:firstRow="0" w:lastRow="0" w:firstColumn="1" w:lastColumn="0" w:oddVBand="0" w:evenVBand="0" w:oddHBand="0" w:evenHBand="0" w:firstRowFirstColumn="0" w:firstRowLastColumn="0" w:lastRowFirstColumn="0" w:lastRowLastColumn="0"/>
            <w:tcW w:w="1662" w:type="dxa"/>
          </w:tcPr>
          <w:p w14:paraId="1DA26B50" w14:textId="77777777" w:rsidR="00A91631" w:rsidRDefault="00A91631" w:rsidP="00A91631">
            <w:pPr>
              <w:rPr>
                <w:lang w:val="en-US"/>
              </w:rPr>
            </w:pPr>
          </w:p>
        </w:tc>
        <w:tc>
          <w:tcPr>
            <w:tcW w:w="4434" w:type="dxa"/>
          </w:tcPr>
          <w:p w14:paraId="7AFBA0B2" w14:textId="40DC15C1" w:rsidR="00A91631" w:rsidRPr="00CF4F1C" w:rsidRDefault="00A91631" w:rsidP="00A91631">
            <w:pPr>
              <w:cnfStyle w:val="000000000000" w:firstRow="0" w:lastRow="0" w:firstColumn="0" w:lastColumn="0" w:oddVBand="0" w:evenVBand="0" w:oddHBand="0" w:evenHBand="0" w:firstRowFirstColumn="0" w:firstRowLastColumn="0" w:lastRowFirstColumn="0" w:lastRowLastColumn="0"/>
              <w:rPr>
                <w:b/>
                <w:bCs/>
                <w:lang w:val="en-US"/>
              </w:rPr>
            </w:pPr>
            <w:r w:rsidRPr="00CF4F1C">
              <w:rPr>
                <w:b/>
                <w:bCs/>
                <w:lang w:val="en-US"/>
              </w:rPr>
              <w:t>Proportion of concurrent one-off partners</w:t>
            </w:r>
          </w:p>
        </w:tc>
        <w:tc>
          <w:tcPr>
            <w:tcW w:w="1559" w:type="dxa"/>
          </w:tcPr>
          <w:p w14:paraId="2250B531" w14:textId="004927D8" w:rsidR="00A91631" w:rsidRDefault="0019055C" w:rsidP="00A91631">
            <w:pPr>
              <w:cnfStyle w:val="000000000000" w:firstRow="0" w:lastRow="0" w:firstColumn="0" w:lastColumn="0" w:oddVBand="0" w:evenVBand="0" w:oddHBand="0" w:evenHBand="0" w:firstRowFirstColumn="0" w:firstRowLastColumn="0" w:lastRowFirstColumn="0" w:lastRowLastColumn="0"/>
              <w:rPr>
                <w:lang w:val="en-US"/>
              </w:rPr>
            </w:pPr>
            <w:r>
              <w:rPr>
                <w:lang w:val="en-US"/>
              </w:rPr>
              <w:t>51.85 %</w:t>
            </w:r>
          </w:p>
        </w:tc>
        <w:tc>
          <w:tcPr>
            <w:tcW w:w="1559" w:type="dxa"/>
          </w:tcPr>
          <w:p w14:paraId="0D43DB44" w14:textId="521402A6" w:rsidR="00A91631" w:rsidRDefault="0019055C" w:rsidP="00A91631">
            <w:pPr>
              <w:cnfStyle w:val="000000000000" w:firstRow="0" w:lastRow="0" w:firstColumn="0" w:lastColumn="0" w:oddVBand="0" w:evenVBand="0" w:oddHBand="0" w:evenHBand="0" w:firstRowFirstColumn="0" w:firstRowLastColumn="0" w:lastRowFirstColumn="0" w:lastRowLastColumn="0"/>
              <w:rPr>
                <w:lang w:val="en-US"/>
              </w:rPr>
            </w:pPr>
            <w:r>
              <w:rPr>
                <w:lang w:val="en-US"/>
              </w:rPr>
              <w:t>48.60 %</w:t>
            </w:r>
          </w:p>
        </w:tc>
      </w:tr>
      <w:tr w:rsidR="00434F27" w14:paraId="4ADA4A85" w14:textId="77777777" w:rsidTr="00663D8D">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1662" w:type="dxa"/>
          </w:tcPr>
          <w:p w14:paraId="4CDFF17D" w14:textId="48801EC9" w:rsidR="00434F27" w:rsidRDefault="00434F27" w:rsidP="00434F27">
            <w:pPr>
              <w:rPr>
                <w:lang w:val="en-US"/>
              </w:rPr>
            </w:pPr>
            <w:r>
              <w:rPr>
                <w:lang w:val="en-US"/>
              </w:rPr>
              <w:t xml:space="preserve">More than </w:t>
            </w:r>
            <w:r w:rsidRPr="00226F8D">
              <w:rPr>
                <w:lang w:val="en-US"/>
              </w:rPr>
              <w:t>1</w:t>
            </w:r>
            <w:r w:rsidRPr="00226F8D">
              <w:t>5</w:t>
            </w:r>
            <w:r>
              <w:t xml:space="preserve"> casual</w:t>
            </w:r>
            <w:r w:rsidRPr="00226F8D">
              <w:t xml:space="preserve"> partners</w:t>
            </w:r>
          </w:p>
        </w:tc>
        <w:tc>
          <w:tcPr>
            <w:tcW w:w="4434" w:type="dxa"/>
          </w:tcPr>
          <w:p w14:paraId="46402984" w14:textId="196FE41A" w:rsidR="00434F27" w:rsidRPr="00CF4F1C" w:rsidRDefault="00434F27" w:rsidP="00434F27">
            <w:pPr>
              <w:cnfStyle w:val="000000100000" w:firstRow="0" w:lastRow="0" w:firstColumn="0" w:lastColumn="0" w:oddVBand="0" w:evenVBand="0" w:oddHBand="1" w:evenHBand="0" w:firstRowFirstColumn="0" w:firstRowLastColumn="0" w:lastRowFirstColumn="0" w:lastRowLastColumn="0"/>
              <w:rPr>
                <w:b/>
                <w:bCs/>
                <w:lang w:val="en-US"/>
              </w:rPr>
            </w:pPr>
            <w:r w:rsidRPr="00CF4F1C">
              <w:rPr>
                <w:b/>
                <w:bCs/>
                <w:lang w:val="en-US"/>
              </w:rPr>
              <w:t>Proportion of one-off partnerships among persons with at least 1 casual partner</w:t>
            </w:r>
          </w:p>
        </w:tc>
        <w:tc>
          <w:tcPr>
            <w:tcW w:w="1559" w:type="dxa"/>
          </w:tcPr>
          <w:p w14:paraId="26859661" w14:textId="2097F7B4" w:rsidR="00434F27" w:rsidRDefault="00434F27" w:rsidP="00434F27">
            <w:pPr>
              <w:cnfStyle w:val="000000100000" w:firstRow="0" w:lastRow="0" w:firstColumn="0" w:lastColumn="0" w:oddVBand="0" w:evenVBand="0" w:oddHBand="1" w:evenHBand="0" w:firstRowFirstColumn="0" w:firstRowLastColumn="0" w:lastRowFirstColumn="0" w:lastRowLastColumn="0"/>
              <w:rPr>
                <w:lang w:val="en-US"/>
              </w:rPr>
            </w:pPr>
            <w:r>
              <w:rPr>
                <w:lang w:val="en-US"/>
              </w:rPr>
              <w:t>64.40 %</w:t>
            </w:r>
          </w:p>
        </w:tc>
        <w:tc>
          <w:tcPr>
            <w:tcW w:w="1559" w:type="dxa"/>
          </w:tcPr>
          <w:p w14:paraId="6DE6D084" w14:textId="50CB4EB5" w:rsidR="00434F27" w:rsidRDefault="00434F27" w:rsidP="00434F27">
            <w:pPr>
              <w:cnfStyle w:val="000000100000" w:firstRow="0" w:lastRow="0" w:firstColumn="0" w:lastColumn="0" w:oddVBand="0" w:evenVBand="0" w:oddHBand="1" w:evenHBand="0" w:firstRowFirstColumn="0" w:firstRowLastColumn="0" w:lastRowFirstColumn="0" w:lastRowLastColumn="0"/>
              <w:rPr>
                <w:lang w:val="en-US"/>
              </w:rPr>
            </w:pPr>
            <w:r>
              <w:rPr>
                <w:lang w:val="en-US"/>
              </w:rPr>
              <w:t>59.04 %</w:t>
            </w:r>
          </w:p>
        </w:tc>
      </w:tr>
      <w:tr w:rsidR="00434F27" w:rsidRPr="0019055C" w14:paraId="5E1D909F" w14:textId="77777777" w:rsidTr="00663D8D">
        <w:trPr>
          <w:trHeight w:val="550"/>
        </w:trPr>
        <w:tc>
          <w:tcPr>
            <w:cnfStyle w:val="001000000000" w:firstRow="0" w:lastRow="0" w:firstColumn="1" w:lastColumn="0" w:oddVBand="0" w:evenVBand="0" w:oddHBand="0" w:evenHBand="0" w:firstRowFirstColumn="0" w:firstRowLastColumn="0" w:lastRowFirstColumn="0" w:lastRowLastColumn="0"/>
            <w:tcW w:w="1662" w:type="dxa"/>
          </w:tcPr>
          <w:p w14:paraId="2AF6F8D3" w14:textId="77777777" w:rsidR="00434F27" w:rsidRDefault="00434F27" w:rsidP="00434F27">
            <w:pPr>
              <w:rPr>
                <w:lang w:val="en-US"/>
              </w:rPr>
            </w:pPr>
          </w:p>
        </w:tc>
        <w:tc>
          <w:tcPr>
            <w:tcW w:w="4434" w:type="dxa"/>
          </w:tcPr>
          <w:p w14:paraId="5FB479C9" w14:textId="1C4AAAFB" w:rsidR="00434F27" w:rsidRPr="00CF4F1C" w:rsidRDefault="00434F27" w:rsidP="00434F27">
            <w:pPr>
              <w:cnfStyle w:val="000000000000" w:firstRow="0" w:lastRow="0" w:firstColumn="0" w:lastColumn="0" w:oddVBand="0" w:evenVBand="0" w:oddHBand="0" w:evenHBand="0" w:firstRowFirstColumn="0" w:firstRowLastColumn="0" w:lastRowFirstColumn="0" w:lastRowLastColumn="0"/>
              <w:rPr>
                <w:b/>
                <w:bCs/>
                <w:lang w:val="en-US"/>
              </w:rPr>
            </w:pPr>
            <w:r w:rsidRPr="00CF4F1C">
              <w:rPr>
                <w:b/>
                <w:bCs/>
                <w:lang w:val="en-US"/>
              </w:rPr>
              <w:t>Proportion of concurrent one-off partners</w:t>
            </w:r>
          </w:p>
        </w:tc>
        <w:tc>
          <w:tcPr>
            <w:tcW w:w="1559" w:type="dxa"/>
          </w:tcPr>
          <w:p w14:paraId="29B10AA2" w14:textId="33CF2BDB" w:rsidR="00434F27" w:rsidRDefault="00434F27" w:rsidP="00434F27">
            <w:pPr>
              <w:cnfStyle w:val="000000000000" w:firstRow="0" w:lastRow="0" w:firstColumn="0" w:lastColumn="0" w:oddVBand="0" w:evenVBand="0" w:oddHBand="0" w:evenHBand="0" w:firstRowFirstColumn="0" w:firstRowLastColumn="0" w:lastRowFirstColumn="0" w:lastRowLastColumn="0"/>
              <w:rPr>
                <w:lang w:val="en-US"/>
              </w:rPr>
            </w:pPr>
            <w:r>
              <w:rPr>
                <w:lang w:val="en-US"/>
              </w:rPr>
              <w:t>40.00 %</w:t>
            </w:r>
          </w:p>
        </w:tc>
        <w:tc>
          <w:tcPr>
            <w:tcW w:w="1559" w:type="dxa"/>
          </w:tcPr>
          <w:p w14:paraId="07F1B0F0" w14:textId="366ED075" w:rsidR="00434F27" w:rsidRDefault="00434F27" w:rsidP="00434F27">
            <w:pPr>
              <w:cnfStyle w:val="000000000000" w:firstRow="0" w:lastRow="0" w:firstColumn="0" w:lastColumn="0" w:oddVBand="0" w:evenVBand="0" w:oddHBand="0" w:evenHBand="0" w:firstRowFirstColumn="0" w:firstRowLastColumn="0" w:lastRowFirstColumn="0" w:lastRowLastColumn="0"/>
              <w:rPr>
                <w:lang w:val="en-US"/>
              </w:rPr>
            </w:pPr>
            <w:r>
              <w:rPr>
                <w:lang w:val="en-US"/>
              </w:rPr>
              <w:t>52.53%</w:t>
            </w:r>
          </w:p>
        </w:tc>
      </w:tr>
    </w:tbl>
    <w:p w14:paraId="053119E1" w14:textId="77777777" w:rsidR="00350F66" w:rsidRDefault="00350F66" w:rsidP="005577CE">
      <w:pPr>
        <w:rPr>
          <w:lang w:val="en-US"/>
        </w:rPr>
      </w:pPr>
    </w:p>
    <w:p w14:paraId="1DC3884A" w14:textId="77777777" w:rsidR="00350F66" w:rsidRDefault="00350F66" w:rsidP="005577CE">
      <w:pPr>
        <w:rPr>
          <w:lang w:val="en-US"/>
        </w:rPr>
      </w:pPr>
    </w:p>
    <w:p w14:paraId="2C8366C7" w14:textId="77777777" w:rsidR="00350F66" w:rsidRDefault="00350F66" w:rsidP="005577CE">
      <w:pPr>
        <w:rPr>
          <w:lang w:val="en-US"/>
        </w:rPr>
      </w:pPr>
    </w:p>
    <w:p w14:paraId="4C546FE9" w14:textId="709FD0CD" w:rsidR="00331D70" w:rsidRDefault="00EE2533" w:rsidP="005577CE">
      <w:pPr>
        <w:rPr>
          <w:lang w:val="en-US"/>
        </w:rPr>
      </w:pPr>
      <w:r w:rsidRPr="005342A5">
        <w:rPr>
          <w:lang w:val="en-US"/>
        </w:rPr>
        <w:t xml:space="preserve">For both </w:t>
      </w:r>
      <w:r w:rsidR="000C6DB4">
        <w:rPr>
          <w:lang w:val="en-US"/>
        </w:rPr>
        <w:t>steady</w:t>
      </w:r>
      <w:r w:rsidRPr="005342A5">
        <w:rPr>
          <w:lang w:val="en-US"/>
        </w:rPr>
        <w:t xml:space="preserve"> and </w:t>
      </w:r>
      <w:r w:rsidR="00D9246A">
        <w:rPr>
          <w:lang w:val="en-US"/>
        </w:rPr>
        <w:t xml:space="preserve">persistent </w:t>
      </w:r>
      <w:r w:rsidRPr="005342A5">
        <w:rPr>
          <w:lang w:val="en-US"/>
        </w:rPr>
        <w:t>casual partnerships, there was a constant hazard of relationship dissolution</w:t>
      </w:r>
      <w:r w:rsidR="00D9246A">
        <w:rPr>
          <w:lang w:val="en-US"/>
        </w:rPr>
        <w:t xml:space="preserve">, </w:t>
      </w:r>
      <w:r w:rsidRPr="005342A5">
        <w:rPr>
          <w:lang w:val="en-US"/>
        </w:rPr>
        <w:t>modeled as a memoryless process</w:t>
      </w:r>
      <w:r w:rsidR="00D9246A">
        <w:rPr>
          <w:lang w:val="en-US"/>
        </w:rPr>
        <w:t xml:space="preserve">. For </w:t>
      </w:r>
      <w:r w:rsidR="000C6DB4">
        <w:rPr>
          <w:lang w:val="en-US"/>
        </w:rPr>
        <w:t>steady</w:t>
      </w:r>
      <w:r w:rsidR="00D9246A">
        <w:rPr>
          <w:lang w:val="en-US"/>
        </w:rPr>
        <w:t xml:space="preserve"> partnerships, we used a constant hazard depending on the number of total number of partnerships present in the network. For casual partners, the dissolution of partnerships</w:t>
      </w:r>
      <w:r w:rsidRPr="005342A5">
        <w:rPr>
          <w:lang w:val="en-US"/>
        </w:rPr>
        <w:t xml:space="preserve"> depending on the </w:t>
      </w:r>
      <w:r>
        <w:rPr>
          <w:lang w:val="en-US"/>
        </w:rPr>
        <w:t>group of the two partners in a dyad (different for the HA- and LA-MSM)</w:t>
      </w:r>
      <w:r w:rsidRPr="005342A5">
        <w:rPr>
          <w:lang w:val="en-US"/>
        </w:rPr>
        <w:t>.</w:t>
      </w:r>
      <w:r>
        <w:rPr>
          <w:lang w:val="en-US"/>
        </w:rPr>
        <w:t xml:space="preserve"> </w:t>
      </w:r>
      <w:r w:rsidR="00980E13">
        <w:rPr>
          <w:lang w:val="en-US"/>
        </w:rPr>
        <w:t xml:space="preserve">The duration of one-off partnerships was set to 1 day. </w:t>
      </w:r>
      <w:bookmarkEnd w:id="8"/>
    </w:p>
    <w:p w14:paraId="593D6BAF" w14:textId="511ADEEE" w:rsidR="00886321" w:rsidRPr="00791D24" w:rsidRDefault="00791D24" w:rsidP="00791D24">
      <w:pPr>
        <w:pStyle w:val="Heading3"/>
        <w:rPr>
          <w:rFonts w:asciiTheme="minorHAnsi" w:hAnsiTheme="minorHAnsi" w:cstheme="minorHAnsi"/>
          <w:color w:val="auto"/>
          <w:lang w:val="en-US"/>
        </w:rPr>
      </w:pPr>
      <w:r>
        <w:rPr>
          <w:rFonts w:asciiTheme="minorHAnsi" w:hAnsiTheme="minorHAnsi" w:cstheme="minorHAnsi"/>
          <w:color w:val="auto"/>
          <w:lang w:val="en-US"/>
        </w:rPr>
        <w:t xml:space="preserve">3.4. </w:t>
      </w:r>
      <w:r w:rsidR="00886321" w:rsidRPr="00791D24">
        <w:rPr>
          <w:rFonts w:asciiTheme="minorHAnsi" w:hAnsiTheme="minorHAnsi" w:cstheme="minorHAnsi"/>
          <w:color w:val="auto"/>
          <w:lang w:val="en-US"/>
        </w:rPr>
        <w:t>Homophily in partnership formation by group</w:t>
      </w:r>
    </w:p>
    <w:p w14:paraId="24590E71" w14:textId="219FF643" w:rsidR="00886321" w:rsidRPr="005342A5" w:rsidRDefault="00886321" w:rsidP="00886321">
      <w:pPr>
        <w:rPr>
          <w:lang w:val="en-US"/>
        </w:rPr>
      </w:pPr>
      <w:bookmarkStart w:id="10" w:name="_Hlk152150978"/>
      <w:r w:rsidRPr="005342A5">
        <w:rPr>
          <w:lang w:val="en-US"/>
        </w:rPr>
        <w:t>The role of homophily, or tendency of people to form sexual partnerships or other kind of social bonds with persons similar to them in terms of various characteristics has been well established in the social network literature</w:t>
      </w:r>
      <w:r w:rsidRPr="005342A5">
        <w:rPr>
          <w:lang w:val="en-US"/>
        </w:rPr>
        <w:fldChar w:fldCharType="begin" w:fldLock="1"/>
      </w:r>
      <w:r w:rsidR="00702287">
        <w:rPr>
          <w:lang w:val="en-US"/>
        </w:rPr>
        <w:instrText>ADDIN CSL_CITATION {"citationItems":[{"id":"ITEM-1","itemData":{"DOI":"10.1016/j.stamet.2011.01.005","ISSN":"15723127","abstract":"Exponential-family random graph models (ERGMs) provide a principled way to model and simulate features common in human social networks, such as propensities for homophily and friend-of-a-friend triad closure. We show that, without adjustment, ERGMs preserve density as network size increases. Density invariance is often not appropriate for social networks. We suggest a simple modification based on an offset which instead preserves the mean degree and accommodates changes in network composition asymptotically. We demonstrate that this approach allows ERGMs to be applied to the important situation of egocentrically sampled data. We analyze data from the National Health and Social Life Survey (NHSLS). © 2011 Elsevier B.V.","author":[{"dropping-particle":"","family":"Krivitsky","given":"Pavel N.","non-dropping-particle":"","parse-names":false,"suffix":""},{"dropping-particle":"","family":"Handcock","given":"Mark S.","non-dropping-particle":"","parse-names":false,"suffix":""},{"dropping-particle":"","family":"Morris","given":"Martina","non-dropping-particle":"","parse-names":false,"suffix":""}],"container-title":"Statistical Methodology","id":"ITEM-1","issue":"4","issued":{"date-parts":[["2011"]]},"page":"319-339","title":"Adjusting for network size and composition effects in exponential-family random graph models","type":"article-journal","volume":"8"},"uris":["http://www.mendeley.com/documents/?uuid=0e641ab0-5b1d-42cb-b8d1-cc936e18bcf9"]},{"id":"ITEM-2","itemData":{"DOI":"10.3390/ijerph16224322","ISSN":"16604601","PMID":"31698801","abstract":"Due to multiple sexual partners and low rates of condom use, the HIV infection rate among MSM (men who have sex with men) is much higher than that of the general population. In order to analyze the characteristics of online activities of MSM, and to understand the evolution of their social networks, in this study we collect a comprehensive dataset, covering the period from January 2005 to June 2018, from the largest Chinese online community, Baidu Tieba. We build an online dating network for MSM-related individuals in the gay-bar community, and analyze the network from static and dynamic aspects. It is found that there is a strong homophily regarding the cities where users reside when developing interactions with others, and that most network measurements tend to be stable at the later stages of evolution, while the size of the largest community fluctuates. This is an indication that the network is formed of rapidly flexible interactions which changes quickly. In comparison with studies on heterosexual networks, we find that the MSM dating network shows differences in many aspects, such as the positive degree-degree correlation and high clustering coefficient, suggesting different thinking and measures should be taken in the policy making of public health management towards the MSM population.","author":[{"dropping-particle":"","family":"Liu","given":"Chuchu","non-dropping-particle":"","parse-names":false,"suffix":""},{"dropping-particle":"","family":"Lu","given":"Xin","non-dropping-particle":"","parse-names":false,"suffix":""}],"container-title":"International Journal of Environmental Research and Public Health","id":"ITEM-2","issue":"22","issued":{"date-parts":[["2019"]]},"title":"Network evolution of a large online MSM dating community: 2005–2018","type":"article-journal","volume":"16"},"uris":["http://www.mendeley.com/documents/?uuid=d1adc8a2-7030-406b-b777-c45816f6203e"]},{"id":"ITEM-3","itemData":{"abstract":"Biases in meeting opportunities have been recently shown to play a key role for the emergence of homophily in social networks (see Currarini, Jackson and Pin 2009). The aim of this paper is to provide a simple microfoundation of these biases in a model where the size and type-composition of the meeting pools are shaped by agents' socialization decisions. In particular, agents either inbreed (direct search only to similar types) or outbreed (direct search to population at large). When outbreeding is costly, this is shown to induce stark equilibrium behavior of a threshold type: agents \" inbreed \" (i.e. mostly meet their own type) if, and only if, their group is above certain size. We show that this threshold equilibrium generates patterns of in-group and cross-group ties that are consistent with empirical evidence of homophily in two paradigmatic instances: high school friendships and interethnic marriages.","author":[{"dropping-particle":"","family":"Currarini","given":"Sergio","non-dropping-particle":"","parse-names":false,"suffix":""},{"dropping-particle":"","family":"Vega Redondo","given":"Fernando","non-dropping-particle":"","parse-names":false,"suffix":""}],"id":"ITEM-3","issue":"16","issued":{"date-parts":[["2011"]]},"title":"A Simple Model of Homophily in Social Networks Department of Economics A Simple Model of Homophily in Social Networks","type":"article-journal"},"uris":["http://www.mendeley.com/documents/?uuid=9817ed37-53d8-4a6e-ba97-6c1799d7f632","http://www.mendeley.com/documents/?uuid=201d080b-f9ca-4f7c-b260-ae2b4f559dfb","http://www.mendeley.com/documents/?uuid=0efd707d-e71e-4f3d-aecc-9ae73938c49c"]},{"id":"ITEM-4","itemData":{"DOI":"10.1109/TNSE.2021.3085984","ISSN":"23274697","abstract":"Traditional survey-based methods are limited in the sample size and inference ability for the study of men who have sex with men (MSM), one of the most vulnerable groups at increased risk of HIV. Internet data, on the other hand, have provided publicly accessible information about such groups at unprecedented scale and resolution. Here we present statistics for the user demographics characteristics in the world's largest MSM geosocial networking application, Blued, and analyze the social network structure with 11,408,872 nodes and 838,910,078 edges extracted from user-following relationships on Blued. Network features, such as degree distribution, reciprocity, degree assortativity, homophily, and community are studied. We find that, in contrast to earlier analyses on social networks of general populations, the MSM social network is disassortative and shows extremely low reciprocity. Users in their twenties are excessively followed by users from all age groups, and network homophily for age and country are strong.","author":[{"dropping-particle":"","family":"Cai","given":"Mengsi","non-dropping-particle":"","parse-names":false,"suffix":""},{"dropping-particle":"","family":"Huang","given":"Ge","non-dropping-particle":"","parse-names":false,"suffix":""},{"dropping-particle":"","family":"Kretzschmar","given":"Mirjam E.","non-dropping-particle":"","parse-names":false,"suffix":""},{"dropping-particle":"","family":"Chen","given":"Xiaohong","non-dropping-particle":"","parse-names":false,"suffix":""},{"dropping-particle":"","family":"Lu","given":"Xin","non-dropping-particle":"","parse-names":false,"suffix":""}],"container-title":"IEEE Transactions on Network Science and Engineering","id":"ITEM-4","issue":"3","issued":{"date-parts":[["2021"]]},"page":"2279-2287","title":"Extremely Low Reciprocity and Strong Homophily in the World Largest MSM Social Network","type":"article-journal","volume":"8"},"uris":["http://www.mendeley.com/documents/?uuid=0ac15872-ee69-40fa-a9a5-e02548cdc292"]},{"id":"ITEM-5","itemData":{"DOI":"10.1038/s41598-019-40990-z","ISSN":"20452322","PMID":"30867537","abstract":"We introduce a model for the formation of social networks, which takes into account the homophily or the tendency of individuals to associate and bond with similar others, and the mechanisms of global and local attachment as well as tie reinforcement due to social interactions between people. We generalize the weighted social network model such that the nodes or individuals have F features and each feature can have q different values. Here the tendency for the tie formation between two individuals due to the overlap in their features represents homophily. We find a phase transition as a function of F or q, resulting in a phase diagram. For fixed q and as a function of F the system shows two phases separated at F c . For F &lt; F c large, homogeneous, and well separated communities can be identified within which the features match almost perfectly (segregated phase). When F becomes larger than F c , the nodes start to belong to several communities and within a community the features match only partially (overlapping phase). Several quantities reflect this transition, including the average degree, clustering coefficient, feature overlap, and the number of communities per node. We also make an attempt to interpret these results in terms of observations on social behavior of humans.","author":[{"dropping-particle":"","family":"Murase","given":"Yohsuke","non-dropping-particle":"","parse-names":false,"suffix":""},{"dropping-particle":"","family":"Jo","given":"Hang Hyun","non-dropping-particle":"","parse-names":false,"suffix":""},{"dropping-particle":"","family":"Török","given":"János","non-dropping-particle":"","parse-names":false,"suffix":""},{"dropping-particle":"","family":"Kertész","given":"János","non-dropping-particle":"","parse-names":false,"suffix":""},{"dropping-particle":"","family":"Kaski","given":"Kimmo","non-dropping-particle":"","parse-names":false,"suffix":""}],"container-title":"Scientific Reports","id":"ITEM-5","issue":"1","issued":{"date-parts":[["2019"]]},"page":"1-8","title":"Structural transition in social networks: The role of homophily","type":"article-journal","volume":"9"},"uris":["http://www.mendeley.com/documents/?uuid=1bba5188-d84a-4d73-9cc5-203e763c4de9"]}],"mendeley":{"formattedCitation":"&lt;sup&gt;12–16&lt;/sup&gt;","plainTextFormattedCitation":"12–16","previouslyFormattedCitation":"&lt;sup&gt;22–26&lt;/sup&gt;"},"properties":{"noteIndex":0},"schema":"https://github.com/citation-style-language/schema/raw/master/csl-citation.json"}</w:instrText>
      </w:r>
      <w:r w:rsidRPr="005342A5">
        <w:rPr>
          <w:lang w:val="en-US"/>
        </w:rPr>
        <w:fldChar w:fldCharType="separate"/>
      </w:r>
      <w:r w:rsidR="00702287" w:rsidRPr="00702287">
        <w:rPr>
          <w:noProof/>
          <w:vertAlign w:val="superscript"/>
          <w:lang w:val="en-US"/>
        </w:rPr>
        <w:t>12–16</w:t>
      </w:r>
      <w:r w:rsidRPr="005342A5">
        <w:rPr>
          <w:lang w:val="en-US"/>
        </w:rPr>
        <w:fldChar w:fldCharType="end"/>
      </w:r>
      <w:r w:rsidRPr="005342A5">
        <w:rPr>
          <w:lang w:val="en-US"/>
        </w:rPr>
        <w:t xml:space="preserve">. </w:t>
      </w:r>
    </w:p>
    <w:p w14:paraId="078BB948" w14:textId="294F4DBA" w:rsidR="00886321" w:rsidRPr="005342A5" w:rsidRDefault="00886321" w:rsidP="00886321">
      <w:pPr>
        <w:rPr>
          <w:rFonts w:eastAsiaTheme="minorEastAsia"/>
          <w:lang w:val="en-US"/>
        </w:rPr>
      </w:pPr>
      <w:bookmarkStart w:id="11" w:name="_Hlk152150993"/>
      <w:bookmarkEnd w:id="10"/>
      <w:r w:rsidRPr="005342A5">
        <w:rPr>
          <w:lang w:val="en-US"/>
        </w:rPr>
        <w:t xml:space="preserve">We adopted the </w:t>
      </w:r>
      <w:r w:rsidR="00980E13">
        <w:rPr>
          <w:lang w:val="en-US"/>
        </w:rPr>
        <w:t>premise</w:t>
      </w:r>
      <w:r w:rsidRPr="005342A5">
        <w:rPr>
          <w:lang w:val="en-US"/>
        </w:rPr>
        <w:t xml:space="preserve"> from the paper of Hansson et al</w:t>
      </w:r>
      <w:r w:rsidRPr="005342A5">
        <w:rPr>
          <w:lang w:val="en-US"/>
        </w:rPr>
        <w:fldChar w:fldCharType="begin" w:fldLock="1"/>
      </w:r>
      <w:r w:rsidR="00702287">
        <w:rPr>
          <w:lang w:val="en-US"/>
        </w:rPr>
        <w:instrText>ADDIN CSL_CITATION {"citationItems":[{"id":"ITEM-1","itemData":{"DOI":"10.1136/bmjopen-2019-033852","ISBN":"2019033852","ISSN":"20446055","PMID":"32029492","abstract":"Objectives Since 2017, the Public Health Agency of Sweden recommends that pre-exposure prophylaxis (PrEP) for HIV should be offered to high-risk individuals, in particular to men who have sex with men (MSM). The objective of this study is to develop a mathematical model investigating the effect of introducing PrEP to MSM in Sweden. Design A pair formation model, including steady and casual sex partners, is developed to study the impact of introducing PrEP. Two groups are included in the model: sexually high active MSM and sexually low active MSM. Three mixing assumptions between the groups are considered. Setting A gay-friendly MSM HIV/sexually transmitted infection testing clinic in Stockholm, Sweden. This clinic started offering PrEP to MSM in October 2018. Participants The model is calibrated according to detailed sexual behaviour data gathered in 2015 among 403 MSM. Results By targeting sexually high active MSM, a PrEP coverage of 3.5% of the MSM population (10% of all high actives) would result in the long-term HIV prevalence to drop considerably (close to 0%). While targeting only low actives would require a PrEP coverage of 35% for a similar reduction. The main effect of PrEP is the reduced susceptibility, whereas the increased HIV testing rate (every third month) among PrEP users plays a lesser role. Conclusions To create a multifaceted picture of the effects of interventions against HIV, we need models that include the different stages of HIV infection and real-world data on detailed sexual behaviour to calibrate the mathematical models. Our findings conclude that targeting HIV high-risk individuals, within HIV risk populations such as MSM, with PrEP programmes could greatly decrease the long-term HIV prevalence in Sweden. Therefore, risk stratification of individuals is of importance in PrEP implementation programmes, to ensure optimising the effect and cost-effectiveness of such programmes.","author":[{"dropping-particle":"","family":"Hansson","given":"Disa","non-dropping-particle":"","parse-names":false,"suffix":""},{"dropping-particle":"","family":"Strömdahl","given":"Susanne","non-dropping-particle":"","parse-names":false,"suffix":""},{"dropping-particle":"","family":"Leung","given":"Ka Yin","non-dropping-particle":"","parse-names":false,"suffix":""},{"dropping-particle":"","family":"Britton","given":"Tom","non-dropping-particle":"","parse-names":false,"suffix":""}],"container-title":"BMJ Open","id":"ITEM-1","issue":"2","issued":{"date-parts":[["2020"]]},"title":"Introducing pre-exposure prophylaxis to prevent HIV acquisition among men who have sex with men in Sweden: Insights from a mathematical pair formation model","type":"book","volume":"10"},"uris":["http://www.mendeley.com/documents/?uuid=9f8307bc-afd7-42e8-b465-99bfe7dc1c58"]}],"mendeley":{"formattedCitation":"&lt;sup&gt;11&lt;/sup&gt;","plainTextFormattedCitation":"11","previouslyFormattedCitation":"&lt;sup&gt;18&lt;/sup&gt;"},"properties":{"noteIndex":0},"schema":"https://github.com/citation-style-language/schema/raw/master/csl-citation.json"}</w:instrText>
      </w:r>
      <w:r w:rsidRPr="005342A5">
        <w:rPr>
          <w:lang w:val="en-US"/>
        </w:rPr>
        <w:fldChar w:fldCharType="separate"/>
      </w:r>
      <w:r w:rsidR="00702287" w:rsidRPr="00702287">
        <w:rPr>
          <w:noProof/>
          <w:vertAlign w:val="superscript"/>
          <w:lang w:val="en-US"/>
        </w:rPr>
        <w:t>11</w:t>
      </w:r>
      <w:r w:rsidRPr="005342A5">
        <w:rPr>
          <w:lang w:val="en-US"/>
        </w:rPr>
        <w:fldChar w:fldCharType="end"/>
      </w:r>
      <w:r w:rsidRPr="005342A5">
        <w:rPr>
          <w:lang w:val="en-US"/>
        </w:rPr>
        <w:t xml:space="preserve"> that the number of </w:t>
      </w:r>
      <w:r w:rsidR="00980E13">
        <w:rPr>
          <w:lang w:val="en-US"/>
        </w:rPr>
        <w:t>HA-</w:t>
      </w:r>
      <w:r w:rsidRPr="005342A5">
        <w:rPr>
          <w:lang w:val="en-US"/>
        </w:rPr>
        <w:t xml:space="preserve">individuals having </w:t>
      </w:r>
      <w:r w:rsidR="00980E13">
        <w:rPr>
          <w:lang w:val="en-US"/>
        </w:rPr>
        <w:t>LA-</w:t>
      </w:r>
      <w:r w:rsidRPr="005342A5">
        <w:rPr>
          <w:lang w:val="en-US"/>
        </w:rPr>
        <w:t xml:space="preserve">partners should be the same as the number of </w:t>
      </w:r>
      <w:r w:rsidR="00980E13">
        <w:rPr>
          <w:lang w:val="en-US"/>
        </w:rPr>
        <w:t>LA-</w:t>
      </w:r>
      <w:r w:rsidRPr="005342A5">
        <w:rPr>
          <w:lang w:val="en-US"/>
        </w:rPr>
        <w:t xml:space="preserve">individuals having a </w:t>
      </w:r>
      <w:r w:rsidR="00980E13">
        <w:rPr>
          <w:lang w:val="en-US"/>
        </w:rPr>
        <w:t>HA-</w:t>
      </w:r>
      <w:r w:rsidRPr="005342A5">
        <w:rPr>
          <w:lang w:val="en-US"/>
        </w:rPr>
        <w:t xml:space="preserve">partner within the same MSM population. </w:t>
      </w:r>
      <w:bookmarkEnd w:id="11"/>
      <w:r w:rsidRPr="005342A5">
        <w:rPr>
          <w:lang w:val="en-US"/>
        </w:rPr>
        <w:t xml:space="preserve">This can be written as </w:t>
      </w:r>
    </w:p>
    <w:p w14:paraId="164FA36D" w14:textId="77777777" w:rsidR="00886321" w:rsidRPr="005342A5" w:rsidRDefault="00000000" w:rsidP="00886321">
      <w:pPr>
        <w:jc w:val="center"/>
        <w:rPr>
          <w:lang w:val="en-US"/>
        </w:rPr>
      </w:pPr>
      <m:oMath>
        <m:sSup>
          <m:sSupPr>
            <m:ctrlPr>
              <w:rPr>
                <w:rFonts w:ascii="Cambria Math" w:hAnsi="Cambria Math"/>
                <w:lang w:val="en-US"/>
              </w:rPr>
            </m:ctrlPr>
          </m:sSupPr>
          <m:e>
            <m:r>
              <w:rPr>
                <w:rFonts w:ascii="Cambria Math" w:hAnsi="Cambria Math"/>
                <w:lang w:val="en-US"/>
              </w:rPr>
              <m:t>B</m:t>
            </m:r>
          </m:e>
          <m:sup>
            <m:r>
              <w:rPr>
                <w:rFonts w:ascii="Cambria Math" w:hAnsi="Cambria Math"/>
                <w:lang w:val="en-US"/>
              </w:rPr>
              <m:t>HL</m:t>
            </m:r>
          </m:sup>
        </m:sSup>
        <m:r>
          <m:rPr>
            <m:sty m:val="p"/>
          </m:rPr>
          <w:rPr>
            <w:rFonts w:ascii="Cambria Math" w:hAnsi="Cambria Math"/>
            <w:lang w:val="en-US"/>
          </w:rPr>
          <m:t xml:space="preserve"> = </m:t>
        </m:r>
        <m:sSup>
          <m:sSupPr>
            <m:ctrlPr>
              <w:rPr>
                <w:rFonts w:ascii="Cambria Math" w:hAnsi="Cambria Math"/>
                <w:lang w:val="en-US"/>
              </w:rPr>
            </m:ctrlPr>
          </m:sSupPr>
          <m:e>
            <m:r>
              <w:rPr>
                <w:rFonts w:ascii="Cambria Math" w:hAnsi="Cambria Math"/>
                <w:lang w:val="en-US"/>
              </w:rPr>
              <m:t>B</m:t>
            </m:r>
          </m:e>
          <m:sup>
            <m:r>
              <w:rPr>
                <w:rFonts w:ascii="Cambria Math" w:hAnsi="Cambria Math"/>
                <w:lang w:val="en-US"/>
              </w:rPr>
              <m:t>LH</m:t>
            </m:r>
          </m:sup>
        </m:sSup>
      </m:oMath>
      <w:r w:rsidR="00886321" w:rsidRPr="005342A5">
        <w:rPr>
          <w:rFonts w:eastAsiaTheme="minorEastAsia"/>
          <w:lang w:val="en-US"/>
        </w:rPr>
        <w:t xml:space="preserve"> (1)</w:t>
      </w:r>
      <w:r w:rsidR="00886321" w:rsidRPr="005342A5">
        <w:rPr>
          <w:lang w:val="en-US"/>
        </w:rPr>
        <w:t>,</w:t>
      </w:r>
    </w:p>
    <w:p w14:paraId="1365E49B" w14:textId="2DB9C654" w:rsidR="00484419" w:rsidRDefault="00886321" w:rsidP="00886321">
      <w:pPr>
        <w:rPr>
          <w:lang w:val="en-US"/>
        </w:rPr>
      </w:pPr>
      <w:r w:rsidRPr="005342A5">
        <w:rPr>
          <w:lang w:val="en-US"/>
        </w:rPr>
        <w:t xml:space="preserve">where </w:t>
      </w:r>
      <w:proofErr w:type="spellStart"/>
      <w:r w:rsidRPr="005342A5">
        <w:rPr>
          <w:lang w:val="en-US"/>
        </w:rPr>
        <w:t>B</w:t>
      </w:r>
      <w:r w:rsidRPr="005342A5">
        <w:rPr>
          <w:vertAlign w:val="superscript"/>
          <w:lang w:val="en-US"/>
        </w:rPr>
        <w:t>ij</w:t>
      </w:r>
      <w:proofErr w:type="spellEnd"/>
      <w:r w:rsidRPr="005342A5">
        <w:rPr>
          <w:lang w:val="en-US"/>
        </w:rPr>
        <w:t xml:space="preserve"> is the number of disassortative (mixed) partnerships between an individual of group </w:t>
      </w:r>
      <w:proofErr w:type="spellStart"/>
      <w:r w:rsidRPr="005342A5">
        <w:rPr>
          <w:lang w:val="en-US"/>
        </w:rPr>
        <w:t>i</w:t>
      </w:r>
      <w:proofErr w:type="spellEnd"/>
      <w:r w:rsidRPr="005342A5">
        <w:rPr>
          <w:lang w:val="en-US"/>
        </w:rPr>
        <w:t xml:space="preserve"> and an individual from group j, with </w:t>
      </w:r>
      <w:proofErr w:type="spellStart"/>
      <w:r w:rsidRPr="005342A5">
        <w:rPr>
          <w:lang w:val="en-US"/>
        </w:rPr>
        <w:t>i</w:t>
      </w:r>
      <w:proofErr w:type="spellEnd"/>
      <w:r w:rsidRPr="005342A5">
        <w:rPr>
          <w:lang w:val="en-US"/>
        </w:rPr>
        <w:t xml:space="preserve"> </w:t>
      </w:r>
      <w:r w:rsidRPr="005342A5">
        <w:rPr>
          <w:rFonts w:cstheme="minorHAnsi"/>
          <w:lang w:val="en-US"/>
        </w:rPr>
        <w:t>≠</w:t>
      </w:r>
      <w:r w:rsidRPr="005342A5">
        <w:rPr>
          <w:lang w:val="en-US"/>
        </w:rPr>
        <w:t xml:space="preserve"> j</w:t>
      </w:r>
      <w:r w:rsidR="000D0032">
        <w:rPr>
          <w:lang w:val="en-US"/>
        </w:rPr>
        <w:t xml:space="preserve">, where the type of partnerships </w:t>
      </w:r>
      <w:r w:rsidRPr="005342A5">
        <w:rPr>
          <w:lang w:val="en-US"/>
        </w:rPr>
        <w:t xml:space="preserve">could be </w:t>
      </w:r>
      <w:r w:rsidR="000C6DB4">
        <w:rPr>
          <w:lang w:val="en-US"/>
        </w:rPr>
        <w:t>steady</w:t>
      </w:r>
      <w:r w:rsidR="00C20830">
        <w:rPr>
          <w:lang w:val="en-US"/>
        </w:rPr>
        <w:t xml:space="preserve">, </w:t>
      </w:r>
      <w:r w:rsidRPr="005342A5">
        <w:rPr>
          <w:lang w:val="en-US"/>
        </w:rPr>
        <w:t>casual</w:t>
      </w:r>
      <w:r w:rsidR="00C20830">
        <w:rPr>
          <w:lang w:val="en-US"/>
        </w:rPr>
        <w:t>, or one-off</w:t>
      </w:r>
      <w:r w:rsidRPr="005342A5">
        <w:rPr>
          <w:lang w:val="en-US"/>
        </w:rPr>
        <w:t xml:space="preserve">. The number of disassortative partnerships B is the product of </w:t>
      </w:r>
      <w:r w:rsidR="00C20830" w:rsidRPr="005342A5">
        <w:rPr>
          <w:lang w:val="en-US"/>
        </w:rPr>
        <w:t xml:space="preserve">the complementary of the proportion of assortative partnerships in the group </w:t>
      </w:r>
      <w:r w:rsidR="00C20830">
        <w:rPr>
          <w:lang w:val="en-US"/>
        </w:rPr>
        <w:t xml:space="preserve">and the </w:t>
      </w:r>
      <w:r w:rsidR="000D0032">
        <w:rPr>
          <w:lang w:val="en-US"/>
        </w:rPr>
        <w:t xml:space="preserve">total </w:t>
      </w:r>
      <w:r w:rsidR="00C20830">
        <w:rPr>
          <w:lang w:val="en-US"/>
        </w:rPr>
        <w:t xml:space="preserve">number of </w:t>
      </w:r>
      <w:r w:rsidRPr="005342A5">
        <w:rPr>
          <w:lang w:val="en-US"/>
        </w:rPr>
        <w:t xml:space="preserve">partnerships </w:t>
      </w:r>
      <w:r w:rsidR="000D0032">
        <w:rPr>
          <w:lang w:val="en-US"/>
        </w:rPr>
        <w:t xml:space="preserve">among individuals in </w:t>
      </w:r>
      <w:r w:rsidRPr="005342A5">
        <w:rPr>
          <w:lang w:val="en-US"/>
        </w:rPr>
        <w:t xml:space="preserve">group </w:t>
      </w:r>
      <w:proofErr w:type="spellStart"/>
      <w:r w:rsidRPr="005342A5">
        <w:rPr>
          <w:lang w:val="en-US"/>
        </w:rPr>
        <w:t>i</w:t>
      </w:r>
      <w:proofErr w:type="spellEnd"/>
      <w:r w:rsidR="000D0032">
        <w:rPr>
          <w:lang w:val="en-US"/>
        </w:rPr>
        <w:t xml:space="preserve">. </w:t>
      </w:r>
      <w:r w:rsidRPr="005342A5">
        <w:rPr>
          <w:lang w:val="en-US"/>
        </w:rPr>
        <w:t xml:space="preserve">For example, for the </w:t>
      </w:r>
      <w:r w:rsidR="00980E13">
        <w:rPr>
          <w:lang w:val="en-US"/>
        </w:rPr>
        <w:t>HA-</w:t>
      </w:r>
      <w:r w:rsidRPr="005342A5">
        <w:rPr>
          <w:lang w:val="en-US"/>
        </w:rPr>
        <w:t xml:space="preserve">group, </w:t>
      </w:r>
    </w:p>
    <w:p w14:paraId="607A227F" w14:textId="488A402C" w:rsidR="00484419" w:rsidRDefault="00886321" w:rsidP="00484419">
      <w:pPr>
        <w:jc w:val="center"/>
        <w:rPr>
          <w:lang w:val="en-US"/>
        </w:rPr>
      </w:pPr>
      <w:r w:rsidRPr="005342A5">
        <w:rPr>
          <w:lang w:val="en-US"/>
        </w:rPr>
        <w:t>B</w:t>
      </w:r>
      <w:r w:rsidRPr="005342A5">
        <w:rPr>
          <w:vertAlign w:val="superscript"/>
          <w:lang w:val="en-US"/>
        </w:rPr>
        <w:t>HL</w:t>
      </w:r>
      <w:r w:rsidRPr="005342A5">
        <w:rPr>
          <w:lang w:val="en-US"/>
        </w:rPr>
        <w:t xml:space="preserve"> = F</w:t>
      </w:r>
      <w:r w:rsidRPr="005342A5">
        <w:rPr>
          <w:vertAlign w:val="subscript"/>
          <w:lang w:val="en-US"/>
        </w:rPr>
        <w:t>H</w:t>
      </w:r>
      <w:r w:rsidRPr="005342A5">
        <w:rPr>
          <w:lang w:val="en-US"/>
        </w:rPr>
        <w:t xml:space="preserve"> </w:t>
      </w:r>
      <w:r w:rsidRPr="005342A5">
        <w:rPr>
          <w:rFonts w:cstheme="minorHAnsi"/>
          <w:lang w:val="en-US"/>
        </w:rPr>
        <w:t>·</w:t>
      </w:r>
      <w:r w:rsidRPr="005342A5">
        <w:rPr>
          <w:lang w:val="en-US"/>
        </w:rPr>
        <w:t xml:space="preserve"> (1 - </w:t>
      </w:r>
      <w:proofErr w:type="spellStart"/>
      <w:r w:rsidRPr="005342A5">
        <w:rPr>
          <w:lang w:val="en-US"/>
        </w:rPr>
        <w:t>h</w:t>
      </w:r>
      <w:r w:rsidRPr="005342A5">
        <w:rPr>
          <w:vertAlign w:val="subscript"/>
          <w:lang w:val="en-US"/>
        </w:rPr>
        <w:t>HH</w:t>
      </w:r>
      <w:proofErr w:type="spellEnd"/>
      <w:r w:rsidRPr="005342A5">
        <w:rPr>
          <w:lang w:val="en-US"/>
        </w:rPr>
        <w:t>)</w:t>
      </w:r>
      <w:r w:rsidR="00484419">
        <w:rPr>
          <w:lang w:val="en-US"/>
        </w:rPr>
        <w:t xml:space="preserve"> (2)</w:t>
      </w:r>
      <w:r w:rsidRPr="005342A5">
        <w:rPr>
          <w:lang w:val="en-US"/>
        </w:rPr>
        <w:t>,</w:t>
      </w:r>
    </w:p>
    <w:p w14:paraId="083D3CC8" w14:textId="20BBE62E" w:rsidR="00886321" w:rsidRPr="005342A5" w:rsidRDefault="00886321" w:rsidP="00886321">
      <w:pPr>
        <w:rPr>
          <w:lang w:val="en-US"/>
        </w:rPr>
      </w:pPr>
      <w:r w:rsidRPr="005342A5">
        <w:rPr>
          <w:lang w:val="en-US"/>
        </w:rPr>
        <w:t>where F</w:t>
      </w:r>
      <w:r w:rsidRPr="005342A5">
        <w:rPr>
          <w:vertAlign w:val="subscript"/>
          <w:lang w:val="en-US"/>
        </w:rPr>
        <w:t>H</w:t>
      </w:r>
      <w:r w:rsidRPr="005342A5">
        <w:rPr>
          <w:lang w:val="en-US"/>
        </w:rPr>
        <w:t xml:space="preserve"> = number of partnerships that </w:t>
      </w:r>
      <w:r w:rsidR="00484419">
        <w:rPr>
          <w:lang w:val="en-US"/>
        </w:rPr>
        <w:t>HA-</w:t>
      </w:r>
      <w:r w:rsidRPr="005342A5">
        <w:rPr>
          <w:lang w:val="en-US"/>
        </w:rPr>
        <w:t xml:space="preserve">individuals have and </w:t>
      </w:r>
      <w:proofErr w:type="spellStart"/>
      <w:r w:rsidRPr="005342A5">
        <w:rPr>
          <w:lang w:val="en-US"/>
        </w:rPr>
        <w:t>h</w:t>
      </w:r>
      <w:r w:rsidRPr="005342A5">
        <w:rPr>
          <w:vertAlign w:val="subscript"/>
          <w:lang w:val="en-US"/>
        </w:rPr>
        <w:t>HH</w:t>
      </w:r>
      <w:proofErr w:type="spellEnd"/>
      <w:r w:rsidRPr="005342A5">
        <w:rPr>
          <w:lang w:val="en-US"/>
        </w:rPr>
        <w:t xml:space="preserve"> is the proportion of assortative (</w:t>
      </w:r>
      <w:r w:rsidR="00484419">
        <w:rPr>
          <w:lang w:val="en-US"/>
        </w:rPr>
        <w:t>H</w:t>
      </w:r>
      <w:r w:rsidRPr="005342A5">
        <w:rPr>
          <w:lang w:val="en-US"/>
        </w:rPr>
        <w:t>-</w:t>
      </w:r>
      <w:r w:rsidR="00484419">
        <w:rPr>
          <w:lang w:val="en-US"/>
        </w:rPr>
        <w:t>H</w:t>
      </w:r>
      <w:r w:rsidRPr="005342A5">
        <w:rPr>
          <w:lang w:val="en-US"/>
        </w:rPr>
        <w:t xml:space="preserve">) partnerships (homophily). </w:t>
      </w:r>
      <w:r w:rsidR="00484419">
        <w:rPr>
          <w:lang w:val="en-US"/>
        </w:rPr>
        <w:t xml:space="preserve">Quantity F in equation (2) could denote </w:t>
      </w:r>
      <w:r w:rsidR="000C6DB4">
        <w:rPr>
          <w:lang w:val="en-US"/>
        </w:rPr>
        <w:t>steady</w:t>
      </w:r>
      <w:r w:rsidR="00484419">
        <w:rPr>
          <w:lang w:val="en-US"/>
        </w:rPr>
        <w:t>, casual or one-off partnerships. I</w:t>
      </w:r>
      <w:r w:rsidRPr="005342A5">
        <w:rPr>
          <w:lang w:val="en-US"/>
        </w:rPr>
        <w:t>f F denotes casual partnerships, then F</w:t>
      </w:r>
      <w:r w:rsidRPr="005342A5">
        <w:rPr>
          <w:vertAlign w:val="subscript"/>
          <w:lang w:val="en-US"/>
        </w:rPr>
        <w:t xml:space="preserve">H </w:t>
      </w:r>
      <w:r w:rsidRPr="005342A5">
        <w:rPr>
          <w:lang w:val="en-US"/>
        </w:rPr>
        <w:t>= C</w:t>
      </w:r>
      <w:r w:rsidRPr="005342A5">
        <w:rPr>
          <w:vertAlign w:val="subscript"/>
          <w:lang w:val="en-US"/>
        </w:rPr>
        <w:t>H</w:t>
      </w:r>
      <w:r w:rsidRPr="005342A5">
        <w:rPr>
          <w:lang w:val="en-US"/>
        </w:rPr>
        <w:t xml:space="preserve"> </w:t>
      </w:r>
      <w:r w:rsidRPr="005342A5">
        <w:rPr>
          <w:rFonts w:cstheme="minorHAnsi"/>
          <w:lang w:val="en-US"/>
        </w:rPr>
        <w:t>·</w:t>
      </w:r>
      <w:r w:rsidRPr="005342A5">
        <w:rPr>
          <w:lang w:val="en-US"/>
        </w:rPr>
        <w:t xml:space="preserve"> </w:t>
      </w:r>
      <w:proofErr w:type="spellStart"/>
      <w:r w:rsidRPr="005342A5">
        <w:rPr>
          <w:lang w:val="en-US"/>
        </w:rPr>
        <w:t>n</w:t>
      </w:r>
      <w:r w:rsidRPr="005342A5">
        <w:rPr>
          <w:vertAlign w:val="subscript"/>
          <w:lang w:val="en-US"/>
        </w:rPr>
        <w:t>H</w:t>
      </w:r>
      <w:proofErr w:type="spellEnd"/>
      <w:r w:rsidRPr="005342A5">
        <w:rPr>
          <w:lang w:val="en-US"/>
        </w:rPr>
        <w:t>, where C</w:t>
      </w:r>
      <w:r w:rsidRPr="005342A5">
        <w:rPr>
          <w:vertAlign w:val="subscript"/>
          <w:lang w:val="en-US"/>
        </w:rPr>
        <w:t>H</w:t>
      </w:r>
      <w:r w:rsidRPr="005342A5">
        <w:rPr>
          <w:lang w:val="en-US"/>
        </w:rPr>
        <w:t xml:space="preserve"> is the proportion of </w:t>
      </w:r>
      <w:r w:rsidR="00484419">
        <w:rPr>
          <w:lang w:val="en-US"/>
        </w:rPr>
        <w:t>HA-i</w:t>
      </w:r>
      <w:r w:rsidRPr="005342A5">
        <w:rPr>
          <w:lang w:val="en-US"/>
        </w:rPr>
        <w:t>ndividuals with casual partner</w:t>
      </w:r>
      <w:r w:rsidR="00484419">
        <w:rPr>
          <w:lang w:val="en-US"/>
        </w:rPr>
        <w:t>s</w:t>
      </w:r>
      <w:r w:rsidRPr="005342A5">
        <w:rPr>
          <w:lang w:val="en-US"/>
        </w:rPr>
        <w:t xml:space="preserve"> and </w:t>
      </w:r>
      <w:proofErr w:type="spellStart"/>
      <w:r w:rsidRPr="005342A5">
        <w:rPr>
          <w:lang w:val="en-US"/>
        </w:rPr>
        <w:t>n</w:t>
      </w:r>
      <w:r w:rsidRPr="005342A5">
        <w:rPr>
          <w:vertAlign w:val="subscript"/>
          <w:lang w:val="en-US"/>
        </w:rPr>
        <w:t>H</w:t>
      </w:r>
      <w:proofErr w:type="spellEnd"/>
      <w:r w:rsidRPr="005342A5">
        <w:rPr>
          <w:vertAlign w:val="subscript"/>
          <w:lang w:val="en-US"/>
        </w:rPr>
        <w:t xml:space="preserve"> </w:t>
      </w:r>
      <w:r w:rsidRPr="005342A5">
        <w:rPr>
          <w:lang w:val="en-US"/>
        </w:rPr>
        <w:t xml:space="preserve">is the number of </w:t>
      </w:r>
      <w:r w:rsidR="00484419">
        <w:rPr>
          <w:lang w:val="en-US"/>
        </w:rPr>
        <w:t>HA-</w:t>
      </w:r>
      <w:r w:rsidRPr="005342A5">
        <w:rPr>
          <w:lang w:val="en-US"/>
        </w:rPr>
        <w:t xml:space="preserve">individuals in the population, which can be easily calculated as the product of the proportion of </w:t>
      </w:r>
      <w:r w:rsidR="00484419">
        <w:rPr>
          <w:lang w:val="en-US"/>
        </w:rPr>
        <w:t>HA-</w:t>
      </w:r>
      <w:r w:rsidRPr="005342A5">
        <w:rPr>
          <w:lang w:val="en-US"/>
        </w:rPr>
        <w:t>individuals in the population (p</w:t>
      </w:r>
      <w:r w:rsidRPr="005342A5">
        <w:rPr>
          <w:vertAlign w:val="subscript"/>
          <w:lang w:val="en-US"/>
        </w:rPr>
        <w:t>H</w:t>
      </w:r>
      <w:r w:rsidRPr="005342A5">
        <w:rPr>
          <w:lang w:val="en-US"/>
        </w:rPr>
        <w:t xml:space="preserve">) times the population size. The equations for the </w:t>
      </w:r>
      <w:r w:rsidR="00484419">
        <w:rPr>
          <w:lang w:val="en-US"/>
        </w:rPr>
        <w:t>LA-</w:t>
      </w:r>
      <w:r w:rsidRPr="005342A5">
        <w:rPr>
          <w:lang w:val="en-US"/>
        </w:rPr>
        <w:t>group can be easily constructed in the same manner. By replacing each side of equation (1) we get</w:t>
      </w:r>
    </w:p>
    <w:p w14:paraId="30517044" w14:textId="77777777" w:rsidR="00886321" w:rsidRPr="005342A5" w:rsidRDefault="00886321" w:rsidP="00886321">
      <w:pPr>
        <w:rPr>
          <w:lang w:val="en-US"/>
        </w:rPr>
      </w:pPr>
      <m:oMathPara>
        <m:oMath>
          <m:r>
            <w:rPr>
              <w:rFonts w:ascii="Cambria Math" w:hAnsi="Cambria Math"/>
              <w:lang w:val="en-US"/>
            </w:rPr>
            <m:t xml:space="preserve">n∙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HH</m:t>
                  </m:r>
                </m:sub>
              </m:sSub>
            </m:e>
          </m:d>
          <m:r>
            <w:rPr>
              <w:rFonts w:ascii="Cambria Math" w:hAnsi="Cambria Math"/>
              <w:lang w:val="en-US"/>
            </w:rPr>
            <m:t xml:space="preserve">= n∙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L</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LL</m:t>
                  </m:r>
                </m:sub>
              </m:sSub>
            </m:e>
          </m:d>
        </m:oMath>
      </m:oMathPara>
    </w:p>
    <w:p w14:paraId="3F4CAF9A" w14:textId="77777777" w:rsidR="00886321" w:rsidRPr="005342A5" w:rsidRDefault="00886321" w:rsidP="00886321">
      <w:pPr>
        <w:rPr>
          <w:lang w:val="en-US"/>
        </w:rPr>
      </w:pPr>
      <w:r w:rsidRPr="005342A5">
        <w:rPr>
          <w:lang w:val="en-US"/>
        </w:rPr>
        <w:t xml:space="preserve"> which simplifies into:</w:t>
      </w:r>
    </w:p>
    <w:p w14:paraId="7BF98B0C" w14:textId="45BF52F2" w:rsidR="00886321" w:rsidRPr="005342A5" w:rsidRDefault="00000000" w:rsidP="00886321">
      <w:pPr>
        <w:jc w:val="center"/>
        <w:rPr>
          <w:rFonts w:eastAsiaTheme="minorEastAsia"/>
          <w:lang w:val="en-US"/>
        </w:rPr>
      </w:pP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m:t>
                </m:r>
              </m:sub>
            </m:sSub>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L</m:t>
                </m:r>
              </m:sub>
            </m:sSub>
          </m:den>
        </m:f>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m:t>
                </m:r>
              </m:sub>
            </m:sSub>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LL</m:t>
                </m:r>
              </m:sub>
            </m:sSub>
            <m:r>
              <w:rPr>
                <w:rFonts w:ascii="Cambria Math" w:hAnsi="Cambria Math"/>
                <w:lang w:val="en-US"/>
              </w:rPr>
              <m:t>)</m:t>
            </m:r>
          </m:num>
          <m:den>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HH</m:t>
                </m:r>
              </m:sub>
            </m:sSub>
            <m:r>
              <w:rPr>
                <w:rFonts w:ascii="Cambria Math" w:hAnsi="Cambria Math"/>
                <w:lang w:val="en-US"/>
              </w:rPr>
              <m:t>)</m:t>
            </m:r>
          </m:den>
        </m:f>
      </m:oMath>
      <w:r w:rsidR="00886321" w:rsidRPr="005342A5">
        <w:rPr>
          <w:rFonts w:eastAsiaTheme="minorEastAsia"/>
          <w:lang w:val="en-US"/>
        </w:rPr>
        <w:t xml:space="preserve"> (</w:t>
      </w:r>
      <w:r w:rsidR="000F39C0">
        <w:rPr>
          <w:rFonts w:eastAsiaTheme="minorEastAsia"/>
          <w:lang w:val="en-US"/>
        </w:rPr>
        <w:t>3</w:t>
      </w:r>
      <w:r w:rsidR="00886321" w:rsidRPr="005342A5">
        <w:rPr>
          <w:rFonts w:eastAsiaTheme="minorEastAsia"/>
          <w:lang w:val="en-US"/>
        </w:rPr>
        <w:t>)</w:t>
      </w:r>
    </w:p>
    <w:p w14:paraId="2F583EFA" w14:textId="41DB00D0" w:rsidR="00886321" w:rsidRPr="005342A5" w:rsidRDefault="00886321" w:rsidP="00886321">
      <w:pPr>
        <w:rPr>
          <w:lang w:val="en-US"/>
        </w:rPr>
      </w:pPr>
      <w:r w:rsidRPr="005342A5">
        <w:rPr>
          <w:lang w:val="en-US"/>
        </w:rPr>
        <w:lastRenderedPageBreak/>
        <w:t xml:space="preserve">By replacing the estimated risk group ratio in the population and the ratio of </w:t>
      </w:r>
      <w:r w:rsidR="000C6DB4">
        <w:rPr>
          <w:lang w:val="en-US"/>
        </w:rPr>
        <w:t>steady</w:t>
      </w:r>
      <w:r w:rsidR="00484419">
        <w:rPr>
          <w:lang w:val="en-US"/>
        </w:rPr>
        <w:t>, casual or one-off</w:t>
      </w:r>
      <w:r w:rsidRPr="005342A5">
        <w:rPr>
          <w:lang w:val="en-US"/>
        </w:rPr>
        <w:t xml:space="preserve"> partnerships, we end up with an equation of the form </w:t>
      </w:r>
      <w:proofErr w:type="spellStart"/>
      <w:r w:rsidRPr="005342A5">
        <w:rPr>
          <w:lang w:val="en-US"/>
        </w:rPr>
        <w:t>h</w:t>
      </w:r>
      <w:r w:rsidRPr="005342A5">
        <w:rPr>
          <w:vertAlign w:val="subscript"/>
          <w:lang w:val="en-US"/>
        </w:rPr>
        <w:t>LL</w:t>
      </w:r>
      <w:proofErr w:type="spellEnd"/>
      <w:r w:rsidRPr="005342A5">
        <w:rPr>
          <w:lang w:val="en-US"/>
        </w:rPr>
        <w:t xml:space="preserve"> = a + b </w:t>
      </w:r>
      <w:r w:rsidRPr="005342A5">
        <w:rPr>
          <w:rFonts w:cstheme="minorHAnsi"/>
          <w:lang w:val="en-US"/>
        </w:rPr>
        <w:t>·</w:t>
      </w:r>
      <w:r w:rsidRPr="005342A5">
        <w:rPr>
          <w:lang w:val="en-US"/>
        </w:rPr>
        <w:t xml:space="preserve"> </w:t>
      </w:r>
      <w:proofErr w:type="spellStart"/>
      <w:r w:rsidRPr="005342A5">
        <w:rPr>
          <w:lang w:val="en-US"/>
        </w:rPr>
        <w:t>h</w:t>
      </w:r>
      <w:r w:rsidRPr="005342A5">
        <w:rPr>
          <w:vertAlign w:val="subscript"/>
          <w:lang w:val="en-US"/>
        </w:rPr>
        <w:t>HH</w:t>
      </w:r>
      <w:proofErr w:type="spellEnd"/>
      <w:r w:rsidR="000F39C0">
        <w:rPr>
          <w:lang w:val="en-US"/>
        </w:rPr>
        <w:t xml:space="preserve">, as shown in Table S5 below. </w:t>
      </w:r>
    </w:p>
    <w:p w14:paraId="2486C386" w14:textId="09A4D256" w:rsidR="0055391D" w:rsidRPr="007276F2" w:rsidRDefault="0055391D" w:rsidP="00484419">
      <w:pPr>
        <w:rPr>
          <w:rFonts w:eastAsiaTheme="minorEastAsia"/>
          <w:lang w:val="en-US"/>
        </w:rPr>
      </w:pPr>
    </w:p>
    <w:p w14:paraId="65F1CFB0" w14:textId="5D7E6B44" w:rsidR="007276F2" w:rsidRPr="00AF02B2" w:rsidRDefault="007276F2" w:rsidP="007276F2">
      <w:pPr>
        <w:pStyle w:val="Caption"/>
        <w:rPr>
          <w:lang w:val="en-US"/>
        </w:rPr>
      </w:pPr>
      <w:r w:rsidRPr="005342A5">
        <w:rPr>
          <w:lang w:val="en-US"/>
        </w:rPr>
        <w:t>Table S</w:t>
      </w:r>
      <w:r w:rsidRPr="005342A5">
        <w:rPr>
          <w:lang w:val="en-US"/>
        </w:rPr>
        <w:fldChar w:fldCharType="begin"/>
      </w:r>
      <w:r w:rsidRPr="005342A5">
        <w:rPr>
          <w:lang w:val="en-US"/>
        </w:rPr>
        <w:instrText xml:space="preserve"> SEQ Table \* ARABIC </w:instrText>
      </w:r>
      <w:r w:rsidRPr="005342A5">
        <w:rPr>
          <w:lang w:val="en-US"/>
        </w:rPr>
        <w:fldChar w:fldCharType="separate"/>
      </w:r>
      <w:r>
        <w:rPr>
          <w:noProof/>
          <w:lang w:val="en-US"/>
        </w:rPr>
        <w:t>5</w:t>
      </w:r>
      <w:r w:rsidRPr="005342A5">
        <w:rPr>
          <w:lang w:val="en-US"/>
        </w:rPr>
        <w:fldChar w:fldCharType="end"/>
      </w:r>
      <w:r w:rsidRPr="005342A5">
        <w:rPr>
          <w:lang w:val="en-US"/>
        </w:rPr>
        <w:t xml:space="preserve">: </w:t>
      </w:r>
      <w:r>
        <w:rPr>
          <w:lang w:val="en-US"/>
        </w:rPr>
        <w:t>Homophily rates</w:t>
      </w:r>
      <w:r>
        <w:rPr>
          <w:lang w:val="en-US"/>
        </w:rPr>
        <w:t xml:space="preserve"> parameters</w:t>
      </w:r>
    </w:p>
    <w:tbl>
      <w:tblPr>
        <w:tblStyle w:val="ListTable2"/>
        <w:tblW w:w="0" w:type="auto"/>
        <w:tblLook w:val="04A0" w:firstRow="1" w:lastRow="0" w:firstColumn="1" w:lastColumn="0" w:noHBand="0" w:noVBand="1"/>
      </w:tblPr>
      <w:tblGrid>
        <w:gridCol w:w="2969"/>
        <w:gridCol w:w="2969"/>
        <w:gridCol w:w="2971"/>
      </w:tblGrid>
      <w:tr w:rsidR="0055391D" w14:paraId="3371098E" w14:textId="77777777" w:rsidTr="00663D8D">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69" w:type="dxa"/>
          </w:tcPr>
          <w:p w14:paraId="259F8380" w14:textId="66FD821C" w:rsidR="0055391D" w:rsidRPr="00663D8D" w:rsidRDefault="0055391D" w:rsidP="00484419">
            <w:pPr>
              <w:rPr>
                <w:rFonts w:eastAsiaTheme="minorEastAsia"/>
                <w:lang w:val="en-US"/>
              </w:rPr>
            </w:pPr>
            <w:proofErr w:type="spellStart"/>
            <w:r w:rsidRPr="00663D8D">
              <w:rPr>
                <w:rFonts w:eastAsiaTheme="minorEastAsia"/>
                <w:lang w:val="en-US"/>
              </w:rPr>
              <w:t>PreP</w:t>
            </w:r>
            <w:proofErr w:type="spellEnd"/>
            <w:r w:rsidRPr="00663D8D">
              <w:rPr>
                <w:rFonts w:eastAsiaTheme="minorEastAsia"/>
                <w:lang w:val="en-US"/>
              </w:rPr>
              <w:t xml:space="preserve"> </w:t>
            </w:r>
            <w:proofErr w:type="spellStart"/>
            <w:r w:rsidRPr="00663D8D">
              <w:rPr>
                <w:rFonts w:eastAsiaTheme="minorEastAsia"/>
                <w:lang w:val="en-US"/>
              </w:rPr>
              <w:t>eligbility</w:t>
            </w:r>
            <w:proofErr w:type="spellEnd"/>
          </w:p>
        </w:tc>
        <w:tc>
          <w:tcPr>
            <w:tcW w:w="2969" w:type="dxa"/>
          </w:tcPr>
          <w:p w14:paraId="73849CF0" w14:textId="36702C6D" w:rsidR="0055391D" w:rsidRPr="00663D8D" w:rsidRDefault="0055391D" w:rsidP="00484419">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en-US"/>
              </w:rPr>
            </w:pPr>
            <w:r w:rsidRPr="00663D8D">
              <w:rPr>
                <w:rFonts w:eastAsiaTheme="minorEastAsia"/>
                <w:b w:val="0"/>
                <w:bCs w:val="0"/>
                <w:lang w:val="en-US"/>
              </w:rPr>
              <w:t>Main</w:t>
            </w:r>
          </w:p>
        </w:tc>
        <w:tc>
          <w:tcPr>
            <w:tcW w:w="2971" w:type="dxa"/>
          </w:tcPr>
          <w:p w14:paraId="4185A26A" w14:textId="40D71D34" w:rsidR="0055391D" w:rsidRPr="00663D8D" w:rsidRDefault="0055391D" w:rsidP="00484419">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en-US"/>
              </w:rPr>
            </w:pPr>
            <w:r w:rsidRPr="00663D8D">
              <w:rPr>
                <w:rFonts w:eastAsiaTheme="minorEastAsia"/>
                <w:b w:val="0"/>
                <w:bCs w:val="0"/>
                <w:lang w:val="en-US"/>
              </w:rPr>
              <w:t>H</w:t>
            </w:r>
            <w:r w:rsidRPr="00663D8D">
              <w:rPr>
                <w:rFonts w:eastAsiaTheme="minorEastAsia"/>
                <w:b w:val="0"/>
                <w:bCs w:val="0"/>
                <w:vertAlign w:val="subscript"/>
                <w:lang w:val="en-US"/>
              </w:rPr>
              <w:t>LL</w:t>
            </w:r>
            <w:r w:rsidRPr="00663D8D">
              <w:rPr>
                <w:rFonts w:eastAsiaTheme="minorEastAsia"/>
                <w:b w:val="0"/>
                <w:bCs w:val="0"/>
                <w:lang w:val="en-US"/>
              </w:rPr>
              <w:t xml:space="preserve"> = 0.44 * </w:t>
            </w:r>
            <w:proofErr w:type="spellStart"/>
            <w:r w:rsidRPr="00663D8D">
              <w:rPr>
                <w:rFonts w:eastAsiaTheme="minorEastAsia"/>
                <w:b w:val="0"/>
                <w:bCs w:val="0"/>
                <w:lang w:val="en-US"/>
              </w:rPr>
              <w:t>h</w:t>
            </w:r>
            <w:r w:rsidRPr="00663D8D">
              <w:rPr>
                <w:rFonts w:eastAsiaTheme="minorEastAsia"/>
                <w:b w:val="0"/>
                <w:bCs w:val="0"/>
                <w:vertAlign w:val="subscript"/>
                <w:lang w:val="en-US"/>
              </w:rPr>
              <w:t>HH</w:t>
            </w:r>
            <w:proofErr w:type="spellEnd"/>
            <w:r w:rsidRPr="00663D8D">
              <w:rPr>
                <w:rFonts w:eastAsiaTheme="minorEastAsia"/>
                <w:b w:val="0"/>
                <w:bCs w:val="0"/>
                <w:lang w:val="en-US"/>
              </w:rPr>
              <w:t xml:space="preserve"> + 0.55</w:t>
            </w:r>
          </w:p>
        </w:tc>
      </w:tr>
      <w:tr w:rsidR="0055391D" w14:paraId="53B02911" w14:textId="77777777" w:rsidTr="00663D8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69" w:type="dxa"/>
          </w:tcPr>
          <w:p w14:paraId="12884DB4" w14:textId="77777777" w:rsidR="0055391D" w:rsidRDefault="0055391D" w:rsidP="0055391D">
            <w:pPr>
              <w:rPr>
                <w:rFonts w:eastAsiaTheme="minorEastAsia"/>
                <w:lang w:val="en-US"/>
              </w:rPr>
            </w:pPr>
          </w:p>
        </w:tc>
        <w:tc>
          <w:tcPr>
            <w:tcW w:w="2969" w:type="dxa"/>
          </w:tcPr>
          <w:p w14:paraId="12199FF3" w14:textId="51857ADD" w:rsidR="0055391D" w:rsidRDefault="0055391D" w:rsidP="0055391D">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Persistent casual</w:t>
            </w:r>
          </w:p>
        </w:tc>
        <w:tc>
          <w:tcPr>
            <w:tcW w:w="2971" w:type="dxa"/>
          </w:tcPr>
          <w:p w14:paraId="7C19F189" w14:textId="7DBB3311" w:rsidR="0055391D" w:rsidRDefault="0055391D" w:rsidP="0055391D">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1.37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 0.37</w:t>
            </w:r>
          </w:p>
        </w:tc>
      </w:tr>
      <w:tr w:rsidR="0055391D" w14:paraId="0C6F00D4" w14:textId="77777777" w:rsidTr="00663D8D">
        <w:trPr>
          <w:trHeight w:val="273"/>
        </w:trPr>
        <w:tc>
          <w:tcPr>
            <w:cnfStyle w:val="001000000000" w:firstRow="0" w:lastRow="0" w:firstColumn="1" w:lastColumn="0" w:oddVBand="0" w:evenVBand="0" w:oddHBand="0" w:evenHBand="0" w:firstRowFirstColumn="0" w:firstRowLastColumn="0" w:lastRowFirstColumn="0" w:lastRowLastColumn="0"/>
            <w:tcW w:w="2969" w:type="dxa"/>
          </w:tcPr>
          <w:p w14:paraId="28245488" w14:textId="77777777" w:rsidR="0055391D" w:rsidRDefault="0055391D" w:rsidP="0055391D">
            <w:pPr>
              <w:rPr>
                <w:rFonts w:eastAsiaTheme="minorEastAsia"/>
                <w:lang w:val="en-US"/>
              </w:rPr>
            </w:pPr>
          </w:p>
        </w:tc>
        <w:tc>
          <w:tcPr>
            <w:tcW w:w="2969" w:type="dxa"/>
          </w:tcPr>
          <w:p w14:paraId="14CBB9B4" w14:textId="1D8BCCF3" w:rsidR="0055391D" w:rsidRDefault="0055391D" w:rsidP="0055391D">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One-off</w:t>
            </w:r>
          </w:p>
        </w:tc>
        <w:tc>
          <w:tcPr>
            <w:tcW w:w="2971" w:type="dxa"/>
          </w:tcPr>
          <w:p w14:paraId="669FEF20" w14:textId="5FB5B200" w:rsidR="0055391D" w:rsidRDefault="0055391D" w:rsidP="0055391D">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0.75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+ 0.25</w:t>
            </w:r>
          </w:p>
        </w:tc>
      </w:tr>
      <w:tr w:rsidR="00434F27" w14:paraId="7E97C601" w14:textId="77777777" w:rsidTr="00663D8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969" w:type="dxa"/>
          </w:tcPr>
          <w:p w14:paraId="197F88D4" w14:textId="63C7A8BD" w:rsidR="00434F27" w:rsidRDefault="00434F27" w:rsidP="00434F27">
            <w:pPr>
              <w:rPr>
                <w:rFonts w:eastAsiaTheme="minorEastAsia"/>
                <w:lang w:val="en-US"/>
              </w:rPr>
            </w:pPr>
            <w:r>
              <w:rPr>
                <w:lang w:val="en-US"/>
              </w:rPr>
              <w:t xml:space="preserve">More than </w:t>
            </w:r>
            <w:r w:rsidRPr="00226F8D">
              <w:rPr>
                <w:lang w:val="en-US"/>
              </w:rPr>
              <w:t>1</w:t>
            </w:r>
            <w:r w:rsidRPr="00226F8D">
              <w:t>5 partners</w:t>
            </w:r>
          </w:p>
        </w:tc>
        <w:tc>
          <w:tcPr>
            <w:tcW w:w="2969" w:type="dxa"/>
          </w:tcPr>
          <w:p w14:paraId="4CB0EF40" w14:textId="38839ED4" w:rsidR="00434F27" w:rsidRDefault="00434F27" w:rsidP="00434F27">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Main</w:t>
            </w:r>
          </w:p>
        </w:tc>
        <w:tc>
          <w:tcPr>
            <w:tcW w:w="2971" w:type="dxa"/>
          </w:tcPr>
          <w:p w14:paraId="3AD759F8" w14:textId="0E2BCBA4" w:rsidR="00434F27" w:rsidRDefault="00434F27" w:rsidP="00434F27">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0.44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+ 0.5</w:t>
            </w:r>
            <w:r>
              <w:rPr>
                <w:rFonts w:eastAsiaTheme="minorEastAsia"/>
                <w:lang w:val="en-US"/>
              </w:rPr>
              <w:t>6</w:t>
            </w:r>
          </w:p>
        </w:tc>
      </w:tr>
      <w:tr w:rsidR="0055391D" w14:paraId="7DEA4168" w14:textId="77777777" w:rsidTr="00663D8D">
        <w:trPr>
          <w:trHeight w:val="547"/>
        </w:trPr>
        <w:tc>
          <w:tcPr>
            <w:cnfStyle w:val="001000000000" w:firstRow="0" w:lastRow="0" w:firstColumn="1" w:lastColumn="0" w:oddVBand="0" w:evenVBand="0" w:oddHBand="0" w:evenHBand="0" w:firstRowFirstColumn="0" w:firstRowLastColumn="0" w:lastRowFirstColumn="0" w:lastRowLastColumn="0"/>
            <w:tcW w:w="2969" w:type="dxa"/>
          </w:tcPr>
          <w:p w14:paraId="1F940356" w14:textId="77777777" w:rsidR="0055391D" w:rsidRDefault="0055391D" w:rsidP="0055391D">
            <w:pPr>
              <w:rPr>
                <w:rFonts w:eastAsiaTheme="minorEastAsia"/>
                <w:lang w:val="en-US"/>
              </w:rPr>
            </w:pPr>
          </w:p>
        </w:tc>
        <w:tc>
          <w:tcPr>
            <w:tcW w:w="2969" w:type="dxa"/>
          </w:tcPr>
          <w:p w14:paraId="0C50AE2C" w14:textId="2C70FBB7" w:rsidR="0055391D" w:rsidRDefault="0055391D" w:rsidP="0055391D">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Persistent casual</w:t>
            </w:r>
          </w:p>
        </w:tc>
        <w:tc>
          <w:tcPr>
            <w:tcW w:w="2971" w:type="dxa"/>
          </w:tcPr>
          <w:p w14:paraId="0E367CBE" w14:textId="6F788FFC" w:rsidR="0055391D" w:rsidRDefault="0055391D" w:rsidP="0055391D">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w:t>
            </w:r>
            <w:r w:rsidR="00332B6F">
              <w:rPr>
                <w:rFonts w:eastAsiaTheme="minorEastAsia"/>
                <w:lang w:val="en-US"/>
              </w:rPr>
              <w:t>2.08</w:t>
            </w:r>
            <w:r>
              <w:rPr>
                <w:rFonts w:eastAsiaTheme="minorEastAsia"/>
                <w:lang w:val="en-US"/>
              </w:rPr>
              <w:t xml:space="preserve">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w:t>
            </w:r>
            <w:r w:rsidR="00332B6F">
              <w:rPr>
                <w:rFonts w:eastAsiaTheme="minorEastAsia"/>
                <w:lang w:val="en-US"/>
              </w:rPr>
              <w:t xml:space="preserve">– 1.08 </w:t>
            </w:r>
          </w:p>
        </w:tc>
      </w:tr>
      <w:tr w:rsidR="0055391D" w14:paraId="1ABCBFC1" w14:textId="77777777" w:rsidTr="00663D8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969" w:type="dxa"/>
          </w:tcPr>
          <w:p w14:paraId="49C6BF79" w14:textId="77777777" w:rsidR="0055391D" w:rsidRDefault="0055391D" w:rsidP="0055391D">
            <w:pPr>
              <w:rPr>
                <w:rFonts w:eastAsiaTheme="minorEastAsia"/>
                <w:lang w:val="en-US"/>
              </w:rPr>
            </w:pPr>
          </w:p>
        </w:tc>
        <w:tc>
          <w:tcPr>
            <w:tcW w:w="2969" w:type="dxa"/>
          </w:tcPr>
          <w:p w14:paraId="68AC652A" w14:textId="561516D2" w:rsidR="0055391D" w:rsidRDefault="0055391D" w:rsidP="0055391D">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One-off</w:t>
            </w:r>
          </w:p>
        </w:tc>
        <w:tc>
          <w:tcPr>
            <w:tcW w:w="2971" w:type="dxa"/>
          </w:tcPr>
          <w:p w14:paraId="38B1DECA" w14:textId="15F87CCB" w:rsidR="0055391D" w:rsidRDefault="0055391D" w:rsidP="0055391D">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w:t>
            </w:r>
            <w:r w:rsidR="00332B6F">
              <w:rPr>
                <w:rFonts w:eastAsiaTheme="minorEastAsia"/>
                <w:lang w:val="en-US"/>
              </w:rPr>
              <w:t>1.29</w:t>
            </w:r>
            <w:r>
              <w:rPr>
                <w:rFonts w:eastAsiaTheme="minorEastAsia"/>
                <w:lang w:val="en-US"/>
              </w:rPr>
              <w:t xml:space="preserve">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w:t>
            </w:r>
            <w:r w:rsidR="00332B6F">
              <w:rPr>
                <w:rFonts w:eastAsiaTheme="minorEastAsia"/>
                <w:lang w:val="en-US"/>
              </w:rPr>
              <w:t>– 0.13</w:t>
            </w:r>
            <w:r>
              <w:rPr>
                <w:rFonts w:eastAsiaTheme="minorEastAsia"/>
                <w:lang w:val="en-US"/>
              </w:rPr>
              <w:t xml:space="preserve"> </w:t>
            </w:r>
          </w:p>
        </w:tc>
      </w:tr>
      <w:tr w:rsidR="00434F27" w14:paraId="3AA23746" w14:textId="77777777" w:rsidTr="00663D8D">
        <w:trPr>
          <w:trHeight w:val="273"/>
        </w:trPr>
        <w:tc>
          <w:tcPr>
            <w:cnfStyle w:val="001000000000" w:firstRow="0" w:lastRow="0" w:firstColumn="1" w:lastColumn="0" w:oddVBand="0" w:evenVBand="0" w:oddHBand="0" w:evenHBand="0" w:firstRowFirstColumn="0" w:firstRowLastColumn="0" w:lastRowFirstColumn="0" w:lastRowLastColumn="0"/>
            <w:tcW w:w="2969" w:type="dxa"/>
          </w:tcPr>
          <w:p w14:paraId="634F403E" w14:textId="758EA738" w:rsidR="00434F27" w:rsidRDefault="00434F27" w:rsidP="00434F27">
            <w:pPr>
              <w:rPr>
                <w:rFonts w:eastAsiaTheme="minorEastAsia"/>
                <w:lang w:val="en-US"/>
              </w:rPr>
            </w:pPr>
            <w:r>
              <w:rPr>
                <w:lang w:val="en-US"/>
              </w:rPr>
              <w:t xml:space="preserve">More than </w:t>
            </w:r>
            <w:r w:rsidRPr="00226F8D">
              <w:rPr>
                <w:lang w:val="en-US"/>
              </w:rPr>
              <w:t>1</w:t>
            </w:r>
            <w:r w:rsidRPr="00226F8D">
              <w:t>5</w:t>
            </w:r>
            <w:r>
              <w:t xml:space="preserve"> casual</w:t>
            </w:r>
            <w:r w:rsidRPr="00226F8D">
              <w:t xml:space="preserve"> partners</w:t>
            </w:r>
          </w:p>
        </w:tc>
        <w:tc>
          <w:tcPr>
            <w:tcW w:w="2969" w:type="dxa"/>
          </w:tcPr>
          <w:p w14:paraId="726075F8" w14:textId="3BF6B469" w:rsidR="00434F27" w:rsidRDefault="00434F27" w:rsidP="00434F27">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Main</w:t>
            </w:r>
          </w:p>
        </w:tc>
        <w:tc>
          <w:tcPr>
            <w:tcW w:w="2971" w:type="dxa"/>
          </w:tcPr>
          <w:p w14:paraId="799A9710" w14:textId="1F8D4B5E" w:rsidR="00434F27" w:rsidRDefault="00434F27" w:rsidP="00434F27">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0.</w:t>
            </w:r>
            <w:r>
              <w:rPr>
                <w:rFonts w:eastAsiaTheme="minorEastAsia"/>
                <w:lang w:val="en-US"/>
              </w:rPr>
              <w:t>35</w:t>
            </w:r>
            <w:r>
              <w:rPr>
                <w:rFonts w:eastAsiaTheme="minorEastAsia"/>
                <w:lang w:val="en-US"/>
              </w:rPr>
              <w:t xml:space="preserve">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+ 0.</w:t>
            </w:r>
            <w:r>
              <w:rPr>
                <w:rFonts w:eastAsiaTheme="minorEastAsia"/>
                <w:lang w:val="en-US"/>
              </w:rPr>
              <w:t>6</w:t>
            </w:r>
            <w:r>
              <w:rPr>
                <w:rFonts w:eastAsiaTheme="minorEastAsia"/>
                <w:lang w:val="en-US"/>
              </w:rPr>
              <w:t>5</w:t>
            </w:r>
          </w:p>
        </w:tc>
      </w:tr>
      <w:tr w:rsidR="0055391D" w14:paraId="1827F9D2" w14:textId="77777777" w:rsidTr="00663D8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69" w:type="dxa"/>
          </w:tcPr>
          <w:p w14:paraId="7BEE162E" w14:textId="77777777" w:rsidR="0055391D" w:rsidRDefault="0055391D" w:rsidP="0055391D">
            <w:pPr>
              <w:rPr>
                <w:rFonts w:eastAsiaTheme="minorEastAsia"/>
                <w:lang w:val="en-US"/>
              </w:rPr>
            </w:pPr>
          </w:p>
        </w:tc>
        <w:tc>
          <w:tcPr>
            <w:tcW w:w="2969" w:type="dxa"/>
          </w:tcPr>
          <w:p w14:paraId="77D5E8FB" w14:textId="50A7BA77" w:rsidR="0055391D" w:rsidRDefault="0055391D" w:rsidP="0055391D">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Persistent casual</w:t>
            </w:r>
          </w:p>
        </w:tc>
        <w:tc>
          <w:tcPr>
            <w:tcW w:w="2971" w:type="dxa"/>
          </w:tcPr>
          <w:p w14:paraId="6457D234" w14:textId="4726EC60" w:rsidR="0055391D" w:rsidRDefault="0055391D" w:rsidP="0055391D">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w:t>
            </w:r>
            <w:r w:rsidR="00DD7CFB">
              <w:rPr>
                <w:rFonts w:eastAsiaTheme="minorEastAsia"/>
                <w:lang w:val="en-US"/>
              </w:rPr>
              <w:t>1.64</w:t>
            </w:r>
            <w:r>
              <w:rPr>
                <w:rFonts w:eastAsiaTheme="minorEastAsia"/>
                <w:lang w:val="en-US"/>
              </w:rPr>
              <w:t xml:space="preserve">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w:t>
            </w:r>
            <w:r w:rsidR="00DD7CFB">
              <w:rPr>
                <w:rFonts w:eastAsiaTheme="minorEastAsia"/>
                <w:lang w:val="en-US"/>
              </w:rPr>
              <w:t>– 0.64</w:t>
            </w:r>
          </w:p>
        </w:tc>
      </w:tr>
      <w:tr w:rsidR="0055391D" w14:paraId="7BE04433" w14:textId="77777777" w:rsidTr="00663D8D">
        <w:trPr>
          <w:trHeight w:val="273"/>
        </w:trPr>
        <w:tc>
          <w:tcPr>
            <w:cnfStyle w:val="001000000000" w:firstRow="0" w:lastRow="0" w:firstColumn="1" w:lastColumn="0" w:oddVBand="0" w:evenVBand="0" w:oddHBand="0" w:evenHBand="0" w:firstRowFirstColumn="0" w:firstRowLastColumn="0" w:lastRowFirstColumn="0" w:lastRowLastColumn="0"/>
            <w:tcW w:w="2969" w:type="dxa"/>
          </w:tcPr>
          <w:p w14:paraId="26DDFA5B" w14:textId="77777777" w:rsidR="0055391D" w:rsidRDefault="0055391D" w:rsidP="0055391D">
            <w:pPr>
              <w:rPr>
                <w:rFonts w:eastAsiaTheme="minorEastAsia"/>
                <w:lang w:val="en-US"/>
              </w:rPr>
            </w:pPr>
          </w:p>
        </w:tc>
        <w:tc>
          <w:tcPr>
            <w:tcW w:w="2969" w:type="dxa"/>
          </w:tcPr>
          <w:p w14:paraId="2CDA3F50" w14:textId="65A54BEA" w:rsidR="0055391D" w:rsidRDefault="0055391D" w:rsidP="0055391D">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One-off</w:t>
            </w:r>
          </w:p>
        </w:tc>
        <w:tc>
          <w:tcPr>
            <w:tcW w:w="2971" w:type="dxa"/>
          </w:tcPr>
          <w:p w14:paraId="4BBBBA20" w14:textId="1D326FBC" w:rsidR="0055391D" w:rsidRDefault="0055391D" w:rsidP="0055391D">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H</w:t>
            </w:r>
            <w:r>
              <w:rPr>
                <w:rFonts w:eastAsiaTheme="minorEastAsia"/>
                <w:vertAlign w:val="subscript"/>
                <w:lang w:val="en-US"/>
              </w:rPr>
              <w:t>LL</w:t>
            </w:r>
            <w:r>
              <w:rPr>
                <w:rFonts w:eastAsiaTheme="minorEastAsia"/>
                <w:lang w:val="en-US"/>
              </w:rPr>
              <w:t xml:space="preserve"> = 0.</w:t>
            </w:r>
            <w:r w:rsidR="00DD7CFB">
              <w:rPr>
                <w:rFonts w:eastAsiaTheme="minorEastAsia"/>
                <w:lang w:val="en-US"/>
              </w:rPr>
              <w:t>96</w:t>
            </w:r>
            <w:r>
              <w:rPr>
                <w:rFonts w:eastAsiaTheme="minorEastAsia"/>
                <w:lang w:val="en-US"/>
              </w:rPr>
              <w:t xml:space="preserve"> * </w:t>
            </w:r>
            <w:proofErr w:type="spellStart"/>
            <w:r>
              <w:rPr>
                <w:rFonts w:eastAsiaTheme="minorEastAsia"/>
                <w:lang w:val="en-US"/>
              </w:rPr>
              <w:t>h</w:t>
            </w:r>
            <w:r>
              <w:rPr>
                <w:rFonts w:eastAsiaTheme="minorEastAsia"/>
                <w:vertAlign w:val="subscript"/>
                <w:lang w:val="en-US"/>
              </w:rPr>
              <w:t>HH</w:t>
            </w:r>
            <w:proofErr w:type="spellEnd"/>
            <w:r>
              <w:rPr>
                <w:rFonts w:eastAsiaTheme="minorEastAsia"/>
                <w:lang w:val="en-US"/>
              </w:rPr>
              <w:t xml:space="preserve"> + 0.</w:t>
            </w:r>
            <w:r w:rsidR="00DD7CFB">
              <w:rPr>
                <w:rFonts w:eastAsiaTheme="minorEastAsia"/>
                <w:lang w:val="en-US"/>
              </w:rPr>
              <w:t>04</w:t>
            </w:r>
          </w:p>
        </w:tc>
      </w:tr>
    </w:tbl>
    <w:p w14:paraId="2DEBBE31" w14:textId="77777777" w:rsidR="0055391D" w:rsidRPr="005342A5" w:rsidRDefault="0055391D" w:rsidP="00484419">
      <w:pPr>
        <w:rPr>
          <w:rFonts w:eastAsiaTheme="minorEastAsia"/>
          <w:lang w:val="en-US"/>
        </w:rPr>
      </w:pPr>
    </w:p>
    <w:p w14:paraId="6BB5D4E6" w14:textId="26C95C25" w:rsidR="00886321" w:rsidRDefault="00484419" w:rsidP="005577CE">
      <w:pPr>
        <w:rPr>
          <w:lang w:val="en-US"/>
        </w:rPr>
      </w:pPr>
      <w:r>
        <w:rPr>
          <w:lang w:val="en-US"/>
        </w:rPr>
        <w:t xml:space="preserve">Homophily rate estimates were not available in the EMIS 2017 dataset, nor in the literature, thus we calibrated these parameters together with the duration parameters as described in </w:t>
      </w:r>
      <w:r w:rsidRPr="005342A5">
        <w:rPr>
          <w:lang w:val="en-US"/>
        </w:rPr>
        <w:t xml:space="preserve">more detail in Section </w:t>
      </w:r>
      <w:r w:rsidRPr="005342A5">
        <w:rPr>
          <w:lang w:val="en-US"/>
        </w:rPr>
        <w:fldChar w:fldCharType="begin"/>
      </w:r>
      <w:r w:rsidRPr="005342A5">
        <w:rPr>
          <w:lang w:val="en-US"/>
        </w:rPr>
        <w:instrText xml:space="preserve"> REF _Ref114239267 \r \h </w:instrText>
      </w:r>
      <w:r w:rsidRPr="005342A5">
        <w:rPr>
          <w:lang w:val="en-US"/>
        </w:rPr>
      </w:r>
      <w:r w:rsidRPr="005342A5">
        <w:rPr>
          <w:lang w:val="en-US"/>
        </w:rPr>
        <w:fldChar w:fldCharType="separate"/>
      </w:r>
      <w:r w:rsidRPr="005342A5">
        <w:rPr>
          <w:lang w:val="en-US"/>
        </w:rPr>
        <w:t>5</w:t>
      </w:r>
      <w:r w:rsidRPr="005342A5">
        <w:rPr>
          <w:lang w:val="en-US"/>
        </w:rPr>
        <w:fldChar w:fldCharType="end"/>
      </w:r>
      <w:r w:rsidRPr="005342A5">
        <w:rPr>
          <w:lang w:val="en-US"/>
        </w:rPr>
        <w:t>.</w:t>
      </w:r>
      <w:r w:rsidR="00EB7A8D">
        <w:rPr>
          <w:lang w:val="en-US"/>
        </w:rPr>
        <w:t xml:space="preserve"> </w:t>
      </w:r>
    </w:p>
    <w:p w14:paraId="505D82AE" w14:textId="1AF730CE" w:rsidR="00EB7A8D" w:rsidRPr="005342A5" w:rsidRDefault="00EB7A8D" w:rsidP="005577CE">
      <w:pPr>
        <w:rPr>
          <w:lang w:val="en-US"/>
        </w:rPr>
      </w:pPr>
    </w:p>
    <w:bookmarkEnd w:id="7"/>
    <w:p w14:paraId="573E3008" w14:textId="34A0A047" w:rsidR="00162616" w:rsidRPr="005342A5" w:rsidRDefault="00162616" w:rsidP="00751DF0">
      <w:pPr>
        <w:pStyle w:val="Heading2"/>
        <w:numPr>
          <w:ilvl w:val="0"/>
          <w:numId w:val="21"/>
        </w:numPr>
        <w:rPr>
          <w:b/>
          <w:bCs/>
          <w:color w:val="auto"/>
          <w:lang w:val="en-US"/>
        </w:rPr>
      </w:pPr>
      <w:r w:rsidRPr="005342A5">
        <w:rPr>
          <w:b/>
          <w:bCs/>
          <w:color w:val="auto"/>
          <w:lang w:val="en-US"/>
        </w:rPr>
        <w:t>Model processes</w:t>
      </w:r>
    </w:p>
    <w:p w14:paraId="1131A368" w14:textId="2FE0D8B4" w:rsidR="00162616" w:rsidRPr="005342A5" w:rsidRDefault="00162616" w:rsidP="00162616">
      <w:pPr>
        <w:rPr>
          <w:lang w:val="en-US"/>
        </w:rPr>
      </w:pPr>
      <w:r w:rsidRPr="005342A5">
        <w:rPr>
          <w:lang w:val="en-US"/>
        </w:rPr>
        <w:t xml:space="preserve">Once the network of interest was initialized, the following steps </w:t>
      </w:r>
      <w:r w:rsidR="00980577" w:rsidRPr="005342A5">
        <w:rPr>
          <w:lang w:val="en-US"/>
        </w:rPr>
        <w:t>occurred</w:t>
      </w:r>
      <w:r w:rsidRPr="005342A5">
        <w:rPr>
          <w:lang w:val="en-US"/>
        </w:rPr>
        <w:t xml:space="preserve"> at each simulation:</w:t>
      </w:r>
    </w:p>
    <w:p w14:paraId="75C41F23" w14:textId="77777777" w:rsidR="00E81BEB" w:rsidRPr="005342A5" w:rsidRDefault="00E81BEB" w:rsidP="00E81BEB">
      <w:pPr>
        <w:rPr>
          <w:lang w:val="en-US"/>
        </w:rPr>
      </w:pPr>
      <w:r w:rsidRPr="005342A5">
        <w:rPr>
          <w:lang w:val="en-US"/>
        </w:rPr>
        <w:t xml:space="preserve">At time step 1: </w:t>
      </w:r>
    </w:p>
    <w:p w14:paraId="770D8797" w14:textId="76286ABD" w:rsidR="00162616" w:rsidRPr="005342A5" w:rsidRDefault="00162616" w:rsidP="00E81BEB">
      <w:pPr>
        <w:numPr>
          <w:ilvl w:val="0"/>
          <w:numId w:val="29"/>
        </w:numPr>
        <w:rPr>
          <w:lang w:val="en-US"/>
        </w:rPr>
      </w:pPr>
      <w:r w:rsidRPr="005342A5">
        <w:rPr>
          <w:lang w:val="en-US"/>
        </w:rPr>
        <w:t>Random allocat</w:t>
      </w:r>
      <w:r w:rsidR="00980577" w:rsidRPr="005342A5">
        <w:rPr>
          <w:lang w:val="en-US"/>
        </w:rPr>
        <w:t xml:space="preserve">ion of </w:t>
      </w:r>
      <w:r w:rsidR="00E81BEB" w:rsidRPr="005342A5">
        <w:rPr>
          <w:lang w:val="en-US"/>
        </w:rPr>
        <w:t xml:space="preserve">characteristics behavioral characteristics </w:t>
      </w:r>
      <w:r w:rsidR="00421C6E">
        <w:rPr>
          <w:lang w:val="en-US"/>
        </w:rPr>
        <w:t>like</w:t>
      </w:r>
      <w:r w:rsidR="00E81BEB" w:rsidRPr="005342A5">
        <w:rPr>
          <w:lang w:val="en-US"/>
        </w:rPr>
        <w:t xml:space="preserve"> condom use</w:t>
      </w:r>
      <w:r w:rsidR="00421C6E">
        <w:rPr>
          <w:lang w:val="en-US"/>
        </w:rPr>
        <w:t xml:space="preserve"> and screening behavior</w:t>
      </w:r>
      <w:r w:rsidR="00E81BEB" w:rsidRPr="005342A5">
        <w:rPr>
          <w:lang w:val="en-US"/>
        </w:rPr>
        <w:t xml:space="preserve">. </w:t>
      </w:r>
    </w:p>
    <w:p w14:paraId="4EC81049" w14:textId="28F0FF75" w:rsidR="00E81BEB" w:rsidRPr="005342A5" w:rsidRDefault="00E81BEB" w:rsidP="00E81BEB">
      <w:pPr>
        <w:numPr>
          <w:ilvl w:val="0"/>
          <w:numId w:val="29"/>
        </w:numPr>
        <w:rPr>
          <w:lang w:val="en-US"/>
        </w:rPr>
      </w:pPr>
      <w:r w:rsidRPr="005342A5">
        <w:rPr>
          <w:lang w:val="en-US"/>
        </w:rPr>
        <w:t>Increment time by one step</w:t>
      </w:r>
    </w:p>
    <w:p w14:paraId="0BAD6001" w14:textId="25A99E87" w:rsidR="00E81BEB" w:rsidRPr="005342A5" w:rsidRDefault="00E81BEB" w:rsidP="00E81BEB">
      <w:pPr>
        <w:rPr>
          <w:lang w:val="en-US"/>
        </w:rPr>
      </w:pPr>
      <w:r w:rsidRPr="005342A5">
        <w:rPr>
          <w:lang w:val="en-US"/>
        </w:rPr>
        <w:t>At time step &gt; 1:</w:t>
      </w:r>
    </w:p>
    <w:p w14:paraId="77335F75" w14:textId="1F3CD2BD" w:rsidR="00E81BEB" w:rsidRPr="005342A5" w:rsidRDefault="00E81BEB" w:rsidP="00E81BEB">
      <w:pPr>
        <w:numPr>
          <w:ilvl w:val="0"/>
          <w:numId w:val="30"/>
        </w:numPr>
        <w:rPr>
          <w:lang w:val="en-US"/>
        </w:rPr>
      </w:pPr>
      <w:r w:rsidRPr="005342A5">
        <w:rPr>
          <w:lang w:val="en-US"/>
        </w:rPr>
        <w:t xml:space="preserve">Update </w:t>
      </w:r>
      <w:r w:rsidR="00980577" w:rsidRPr="005342A5">
        <w:rPr>
          <w:lang w:val="en-US"/>
        </w:rPr>
        <w:t xml:space="preserve">of </w:t>
      </w:r>
      <w:r w:rsidRPr="005342A5">
        <w:rPr>
          <w:lang w:val="en-US"/>
        </w:rPr>
        <w:t>network given the new time point in terms of creating new relationships or dis</w:t>
      </w:r>
      <w:r w:rsidR="009801AD" w:rsidRPr="005342A5">
        <w:rPr>
          <w:lang w:val="en-US"/>
        </w:rPr>
        <w:t>s</w:t>
      </w:r>
      <w:r w:rsidRPr="005342A5">
        <w:rPr>
          <w:lang w:val="en-US"/>
        </w:rPr>
        <w:t xml:space="preserve">olving current ones. </w:t>
      </w:r>
    </w:p>
    <w:p w14:paraId="712CB6FD" w14:textId="4D15C168" w:rsidR="00E81BEB" w:rsidRPr="005342A5" w:rsidRDefault="00980577" w:rsidP="00E81BEB">
      <w:pPr>
        <w:numPr>
          <w:ilvl w:val="0"/>
          <w:numId w:val="30"/>
        </w:numPr>
        <w:rPr>
          <w:lang w:val="en-US"/>
        </w:rPr>
      </w:pPr>
      <w:r w:rsidRPr="005342A5">
        <w:rPr>
          <w:lang w:val="en-US"/>
        </w:rPr>
        <w:t>Calculation of the number of sex acts that will occur in each active partnership.</w:t>
      </w:r>
    </w:p>
    <w:p w14:paraId="239D3002" w14:textId="0464FBE4" w:rsidR="00BA1AE0" w:rsidRPr="005342A5" w:rsidRDefault="00BA1AE0" w:rsidP="00E81BEB">
      <w:pPr>
        <w:numPr>
          <w:ilvl w:val="0"/>
          <w:numId w:val="30"/>
        </w:numPr>
        <w:rPr>
          <w:lang w:val="en-US"/>
        </w:rPr>
      </w:pPr>
      <w:r w:rsidRPr="005342A5">
        <w:rPr>
          <w:lang w:val="en-US"/>
        </w:rPr>
        <w:t xml:space="preserve">Calculation of </w:t>
      </w:r>
      <w:r w:rsidR="00563A5C">
        <w:rPr>
          <w:lang w:val="en-US"/>
        </w:rPr>
        <w:t xml:space="preserve">network summary </w:t>
      </w:r>
      <w:r w:rsidRPr="005342A5">
        <w:rPr>
          <w:lang w:val="en-US"/>
        </w:rPr>
        <w:t>statistics</w:t>
      </w:r>
    </w:p>
    <w:p w14:paraId="1F555847" w14:textId="628A4687" w:rsidR="00BA1AE0" w:rsidRPr="005342A5" w:rsidRDefault="00BA1AE0" w:rsidP="00E81BEB">
      <w:pPr>
        <w:numPr>
          <w:ilvl w:val="0"/>
          <w:numId w:val="30"/>
        </w:numPr>
        <w:rPr>
          <w:lang w:val="en-US"/>
        </w:rPr>
      </w:pPr>
      <w:r w:rsidRPr="005342A5">
        <w:rPr>
          <w:lang w:val="en-US"/>
        </w:rPr>
        <w:t xml:space="preserve">Increment time by one step. </w:t>
      </w:r>
    </w:p>
    <w:p w14:paraId="6DC0A2E0" w14:textId="32D6B171" w:rsidR="00BA1AE0" w:rsidRDefault="000B094A" w:rsidP="004D7054">
      <w:pPr>
        <w:rPr>
          <w:lang w:val="en-US"/>
        </w:rPr>
      </w:pPr>
      <w:r w:rsidRPr="005342A5">
        <w:rPr>
          <w:lang w:val="en-US"/>
        </w:rPr>
        <w:t xml:space="preserve">In this document as well as in the </w:t>
      </w:r>
      <w:r w:rsidR="000C6DB4">
        <w:rPr>
          <w:lang w:val="en-US"/>
        </w:rPr>
        <w:t>steady</w:t>
      </w:r>
      <w:r w:rsidRPr="005342A5">
        <w:rPr>
          <w:lang w:val="en-US"/>
        </w:rPr>
        <w:t xml:space="preserve"> text, </w:t>
      </w:r>
      <w:r w:rsidR="006822F6">
        <w:rPr>
          <w:lang w:val="en-US"/>
        </w:rPr>
        <w:t xml:space="preserve">a time step refers to one day, </w:t>
      </w:r>
      <w:r w:rsidRPr="005342A5">
        <w:rPr>
          <w:lang w:val="en-US"/>
        </w:rPr>
        <w:t>a month refers to a period of 30 days, and a year is a period of 12 months or 360 days.</w:t>
      </w:r>
    </w:p>
    <w:p w14:paraId="798DE48B" w14:textId="55C67BF8" w:rsidR="00CE602B" w:rsidRDefault="00CE602B" w:rsidP="00CE602B">
      <w:pPr>
        <w:rPr>
          <w:lang w:val="en-US"/>
        </w:rPr>
      </w:pPr>
      <w:r w:rsidRPr="00CE602B">
        <w:rPr>
          <w:lang w:val="en-US"/>
        </w:rPr>
        <w:t xml:space="preserve">We simulated the model </w:t>
      </w:r>
      <w:r w:rsidR="00F86A2A">
        <w:rPr>
          <w:lang w:val="en-US"/>
        </w:rPr>
        <w:t>50</w:t>
      </w:r>
      <w:r w:rsidRPr="00CE602B">
        <w:rPr>
          <w:lang w:val="en-US"/>
        </w:rPr>
        <w:t xml:space="preserve"> times for</w:t>
      </w:r>
      <w:r w:rsidR="00F86A2A">
        <w:rPr>
          <w:lang w:val="en-US"/>
        </w:rPr>
        <w:t xml:space="preserve"> 360</w:t>
      </w:r>
      <w:r w:rsidR="004D204F">
        <w:rPr>
          <w:lang w:val="en-US"/>
        </w:rPr>
        <w:t xml:space="preserve"> days</w:t>
      </w:r>
      <w:r w:rsidRPr="00CE602B">
        <w:rPr>
          <w:lang w:val="en-US"/>
        </w:rPr>
        <w:t xml:space="preserve">. The merged data from all </w:t>
      </w:r>
      <w:r w:rsidR="00F86A2A">
        <w:rPr>
          <w:lang w:val="en-US"/>
        </w:rPr>
        <w:t>50</w:t>
      </w:r>
      <w:r w:rsidRPr="00CE602B">
        <w:rPr>
          <w:lang w:val="en-US"/>
        </w:rPr>
        <w:t xml:space="preserve"> simulations were used to analyze the results. The computational resources and services used in this work were provided by </w:t>
      </w:r>
      <w:r w:rsidRPr="00CE602B">
        <w:rPr>
          <w:lang w:val="en-US"/>
        </w:rPr>
        <w:lastRenderedPageBreak/>
        <w:t>the HPC core facility CalcUA of the Universiteit Antwerpen, and VSC (Flemish Supercomputer Center), funded by the Research Foundation - Flanders (FWO) and the Flemish Government.</w:t>
      </w:r>
    </w:p>
    <w:p w14:paraId="7B663B0B" w14:textId="77777777" w:rsidR="00F86A2A" w:rsidRPr="00CE602B" w:rsidRDefault="00F86A2A" w:rsidP="00CE602B">
      <w:pPr>
        <w:rPr>
          <w:lang w:val="en-US"/>
        </w:rPr>
      </w:pPr>
    </w:p>
    <w:p w14:paraId="32BB8EB4" w14:textId="251FB140" w:rsidR="00E0016B" w:rsidRPr="005342A5" w:rsidRDefault="008A2A82" w:rsidP="005F0E25">
      <w:pPr>
        <w:pStyle w:val="Heading3"/>
        <w:numPr>
          <w:ilvl w:val="1"/>
          <w:numId w:val="21"/>
        </w:numPr>
        <w:rPr>
          <w:rFonts w:asciiTheme="minorHAnsi" w:hAnsiTheme="minorHAnsi" w:cstheme="minorHAnsi"/>
          <w:b/>
          <w:bCs/>
          <w:color w:val="auto"/>
          <w:u w:val="single"/>
          <w:lang w:val="en-US"/>
        </w:rPr>
      </w:pPr>
      <w:r>
        <w:rPr>
          <w:rFonts w:asciiTheme="minorHAnsi" w:hAnsiTheme="minorHAnsi" w:cstheme="minorHAnsi"/>
          <w:b/>
          <w:bCs/>
          <w:color w:val="auto"/>
          <w:u w:val="single"/>
          <w:lang w:val="en-US"/>
        </w:rPr>
        <w:t>Sex acts</w:t>
      </w:r>
    </w:p>
    <w:p w14:paraId="66735B75" w14:textId="7291B3D8" w:rsidR="00B053C2" w:rsidRPr="005342A5" w:rsidRDefault="00CD0192" w:rsidP="00F96448">
      <w:pPr>
        <w:rPr>
          <w:lang w:val="en-US"/>
        </w:rPr>
      </w:pPr>
      <w:r w:rsidRPr="005342A5">
        <w:rPr>
          <w:lang w:val="en-US"/>
        </w:rPr>
        <w:t xml:space="preserve">At each time step of the simulation, a list of active partnerships </w:t>
      </w:r>
      <w:r w:rsidR="00B053C2" w:rsidRPr="005342A5">
        <w:rPr>
          <w:lang w:val="en-US"/>
        </w:rPr>
        <w:t>and their respective type (</w:t>
      </w:r>
      <w:r w:rsidR="000C6DB4">
        <w:rPr>
          <w:lang w:val="en-US"/>
        </w:rPr>
        <w:t>steady</w:t>
      </w:r>
      <w:r w:rsidR="0042682F">
        <w:rPr>
          <w:lang w:val="en-US"/>
        </w:rPr>
        <w:t xml:space="preserve">, </w:t>
      </w:r>
      <w:r w:rsidR="00B053C2" w:rsidRPr="005342A5">
        <w:rPr>
          <w:lang w:val="en-US"/>
        </w:rPr>
        <w:t>casual</w:t>
      </w:r>
      <w:r w:rsidR="0042682F">
        <w:rPr>
          <w:lang w:val="en-US"/>
        </w:rPr>
        <w:t xml:space="preserve"> or one-off</w:t>
      </w:r>
      <w:r w:rsidR="00B053C2" w:rsidRPr="005342A5">
        <w:rPr>
          <w:lang w:val="en-US"/>
        </w:rPr>
        <w:t xml:space="preserve">) </w:t>
      </w:r>
      <w:r w:rsidR="004B5CC1" w:rsidRPr="005342A5">
        <w:rPr>
          <w:lang w:val="en-US"/>
        </w:rPr>
        <w:t>wa</w:t>
      </w:r>
      <w:r w:rsidRPr="005342A5">
        <w:rPr>
          <w:lang w:val="en-US"/>
        </w:rPr>
        <w:t>s created based on the current composition of the network</w:t>
      </w:r>
      <w:r w:rsidR="00D87420" w:rsidRPr="005342A5">
        <w:rPr>
          <w:lang w:val="en-US"/>
        </w:rPr>
        <w:t xml:space="preserve">, which </w:t>
      </w:r>
      <w:r w:rsidRPr="005342A5">
        <w:rPr>
          <w:lang w:val="en-US"/>
        </w:rPr>
        <w:t>is called an “edge</w:t>
      </w:r>
      <w:r w:rsidR="00404408" w:rsidRPr="005342A5">
        <w:rPr>
          <w:lang w:val="en-US"/>
        </w:rPr>
        <w:t>-</w:t>
      </w:r>
      <w:r w:rsidRPr="005342A5">
        <w:rPr>
          <w:lang w:val="en-US"/>
        </w:rPr>
        <w:t xml:space="preserve">list”. </w:t>
      </w:r>
      <w:r w:rsidR="00D87420" w:rsidRPr="005342A5">
        <w:rPr>
          <w:lang w:val="en-US"/>
        </w:rPr>
        <w:t xml:space="preserve">Partnerships were considered as active at a particular time step if the terminus of the partnership was </w:t>
      </w:r>
      <w:r w:rsidR="004B5CC1" w:rsidRPr="005342A5">
        <w:rPr>
          <w:lang w:val="en-US"/>
        </w:rPr>
        <w:t>equal to or</w:t>
      </w:r>
      <w:r w:rsidR="00D87420" w:rsidRPr="005342A5">
        <w:rPr>
          <w:lang w:val="en-US"/>
        </w:rPr>
        <w:t xml:space="preserve"> greater than the current time step. </w:t>
      </w:r>
      <w:r w:rsidRPr="005342A5">
        <w:rPr>
          <w:lang w:val="en-US"/>
        </w:rPr>
        <w:t xml:space="preserve">Based on the type of relationship and the group combination of the </w:t>
      </w:r>
      <w:r w:rsidR="00B97CA0" w:rsidRPr="005342A5">
        <w:rPr>
          <w:lang w:val="en-US"/>
        </w:rPr>
        <w:t>partnership</w:t>
      </w:r>
      <w:r w:rsidRPr="005342A5">
        <w:rPr>
          <w:lang w:val="en-US"/>
        </w:rPr>
        <w:t xml:space="preserve">, the number of sex acts that </w:t>
      </w:r>
      <w:r w:rsidR="00DB348A" w:rsidRPr="005342A5">
        <w:rPr>
          <w:lang w:val="en-US"/>
        </w:rPr>
        <w:t>occurred</w:t>
      </w:r>
      <w:r w:rsidRPr="005342A5">
        <w:rPr>
          <w:lang w:val="en-US"/>
        </w:rPr>
        <w:t xml:space="preserve"> between the two partners </w:t>
      </w:r>
      <w:r w:rsidR="00B97CA0" w:rsidRPr="005342A5">
        <w:rPr>
          <w:lang w:val="en-US"/>
        </w:rPr>
        <w:t>on a</w:t>
      </w:r>
      <w:r w:rsidRPr="005342A5">
        <w:rPr>
          <w:lang w:val="en-US"/>
        </w:rPr>
        <w:t xml:space="preserve"> given time step </w:t>
      </w:r>
      <w:r w:rsidR="004B5CC1" w:rsidRPr="005342A5">
        <w:rPr>
          <w:lang w:val="en-US"/>
        </w:rPr>
        <w:t>wa</w:t>
      </w:r>
      <w:r w:rsidRPr="005342A5">
        <w:rPr>
          <w:lang w:val="en-US"/>
        </w:rPr>
        <w:t xml:space="preserve">s calculated by random draws from a </w:t>
      </w:r>
      <w:r w:rsidR="002B27E8">
        <w:rPr>
          <w:lang w:val="en-US"/>
        </w:rPr>
        <w:t>Binomial</w:t>
      </w:r>
      <w:r w:rsidRPr="005342A5">
        <w:rPr>
          <w:lang w:val="en-US"/>
        </w:rPr>
        <w:t xml:space="preserve"> distribution</w:t>
      </w:r>
      <w:r w:rsidR="0088720A" w:rsidRPr="005342A5">
        <w:rPr>
          <w:lang w:val="en-US"/>
        </w:rPr>
        <w:t xml:space="preserve"> with a </w:t>
      </w:r>
      <w:r w:rsidR="002B27E8">
        <w:rPr>
          <w:lang w:val="en-US"/>
        </w:rPr>
        <w:t xml:space="preserve">success probability </w:t>
      </w:r>
      <w:r w:rsidR="0088720A" w:rsidRPr="005342A5">
        <w:rPr>
          <w:lang w:val="en-US"/>
        </w:rPr>
        <w:t xml:space="preserve">depending on the type of partnership and the group of the two partners, as shown in the </w:t>
      </w:r>
      <w:r w:rsidR="00A51A32" w:rsidRPr="005342A5">
        <w:rPr>
          <w:lang w:val="en-US"/>
        </w:rPr>
        <w:fldChar w:fldCharType="begin"/>
      </w:r>
      <w:r w:rsidR="00A51A32" w:rsidRPr="005342A5">
        <w:rPr>
          <w:lang w:val="en-US"/>
        </w:rPr>
        <w:instrText xml:space="preserve"> REF _Ref84003022 \h </w:instrText>
      </w:r>
      <w:r w:rsidR="00A51A32" w:rsidRPr="005342A5">
        <w:rPr>
          <w:lang w:val="en-US"/>
        </w:rPr>
      </w:r>
      <w:r w:rsidR="00A51A32" w:rsidRPr="005342A5">
        <w:rPr>
          <w:lang w:val="en-US"/>
        </w:rPr>
        <w:fldChar w:fldCharType="separate"/>
      </w:r>
      <w:r w:rsidR="002B27E8" w:rsidRPr="005342A5">
        <w:rPr>
          <w:lang w:val="en-US"/>
        </w:rPr>
        <w:t>Table S</w:t>
      </w:r>
      <w:r w:rsidR="002B27E8">
        <w:rPr>
          <w:noProof/>
          <w:lang w:val="en-US"/>
        </w:rPr>
        <w:t>6</w:t>
      </w:r>
      <w:r w:rsidR="00A51A32" w:rsidRPr="005342A5">
        <w:rPr>
          <w:lang w:val="en-US"/>
        </w:rPr>
        <w:fldChar w:fldCharType="end"/>
      </w:r>
      <w:r w:rsidR="00A51A32" w:rsidRPr="005342A5">
        <w:rPr>
          <w:lang w:val="en-US"/>
        </w:rPr>
        <w:t xml:space="preserve"> </w:t>
      </w:r>
      <w:r w:rsidR="0088720A" w:rsidRPr="005342A5">
        <w:rPr>
          <w:lang w:val="en-US"/>
        </w:rPr>
        <w:t>below</w:t>
      </w:r>
      <w:r w:rsidRPr="005342A5">
        <w:rPr>
          <w:lang w:val="en-US"/>
        </w:rPr>
        <w:t xml:space="preserve">. </w:t>
      </w:r>
      <w:r w:rsidR="0053264A" w:rsidRPr="005342A5">
        <w:rPr>
          <w:lang w:val="en-US"/>
        </w:rPr>
        <w:t>The mean sex act rate for mixed partnerships (a high</w:t>
      </w:r>
      <w:r w:rsidR="0042682F">
        <w:rPr>
          <w:lang w:val="en-US"/>
        </w:rPr>
        <w:t>er</w:t>
      </w:r>
      <w:r w:rsidR="0053264A" w:rsidRPr="005342A5">
        <w:rPr>
          <w:lang w:val="en-US"/>
        </w:rPr>
        <w:t>- and a low</w:t>
      </w:r>
      <w:r w:rsidR="0042682F">
        <w:rPr>
          <w:lang w:val="en-US"/>
        </w:rPr>
        <w:t>er</w:t>
      </w:r>
      <w:r w:rsidR="0053264A" w:rsidRPr="005342A5">
        <w:rPr>
          <w:lang w:val="en-US"/>
        </w:rPr>
        <w:t>-</w:t>
      </w:r>
      <w:r w:rsidR="0042682F">
        <w:rPr>
          <w:lang w:val="en-US"/>
        </w:rPr>
        <w:t>activity</w:t>
      </w:r>
      <w:r w:rsidR="0053264A" w:rsidRPr="005342A5">
        <w:rPr>
          <w:lang w:val="en-US"/>
        </w:rPr>
        <w:t xml:space="preserve"> partner) was not available in </w:t>
      </w:r>
      <w:r w:rsidR="0042682F">
        <w:rPr>
          <w:lang w:val="en-US"/>
        </w:rPr>
        <w:t>the primary</w:t>
      </w:r>
      <w:r w:rsidR="00A51A32" w:rsidRPr="005342A5">
        <w:rPr>
          <w:lang w:val="en-US"/>
        </w:rPr>
        <w:t xml:space="preserve"> data source</w:t>
      </w:r>
      <w:r w:rsidR="00815B2D" w:rsidRPr="005342A5">
        <w:rPr>
          <w:lang w:val="en-US"/>
        </w:rPr>
        <w:t>,</w:t>
      </w:r>
      <w:r w:rsidR="00A51A32" w:rsidRPr="005342A5">
        <w:rPr>
          <w:lang w:val="en-US"/>
        </w:rPr>
        <w:t xml:space="preserve"> </w:t>
      </w:r>
      <w:r w:rsidR="0053264A" w:rsidRPr="005342A5">
        <w:rPr>
          <w:lang w:val="en-US"/>
        </w:rPr>
        <w:t>and the average of</w:t>
      </w:r>
      <w:r w:rsidR="006E0EF9" w:rsidRPr="005342A5">
        <w:rPr>
          <w:lang w:val="en-US"/>
        </w:rPr>
        <w:t xml:space="preserve"> the act rates of the two homogenous</w:t>
      </w:r>
      <w:r w:rsidR="0053264A" w:rsidRPr="005342A5">
        <w:rPr>
          <w:lang w:val="en-US"/>
        </w:rPr>
        <w:t xml:space="preserve"> partnership</w:t>
      </w:r>
      <w:r w:rsidR="006E0EF9" w:rsidRPr="005342A5">
        <w:rPr>
          <w:lang w:val="en-US"/>
        </w:rPr>
        <w:t xml:space="preserve"> combinations</w:t>
      </w:r>
      <w:r w:rsidR="0053264A" w:rsidRPr="005342A5">
        <w:rPr>
          <w:lang w:val="en-US"/>
        </w:rPr>
        <w:t xml:space="preserve"> was assumed instead. </w:t>
      </w:r>
      <w:r w:rsidR="00480EEB">
        <w:rPr>
          <w:lang w:val="en-US"/>
        </w:rPr>
        <w:t xml:space="preserve">The act rate for one-off partnerships was set to 100%. </w:t>
      </w:r>
    </w:p>
    <w:p w14:paraId="7B34F045" w14:textId="4448986A" w:rsidR="00B053C2" w:rsidRPr="005342A5" w:rsidRDefault="006878B0" w:rsidP="00F1222A">
      <w:pPr>
        <w:pStyle w:val="Caption"/>
        <w:rPr>
          <w:lang w:val="en-US"/>
        </w:rPr>
      </w:pPr>
      <w:bookmarkStart w:id="12" w:name="_Ref84003022"/>
      <w:r w:rsidRPr="005342A5">
        <w:rPr>
          <w:lang w:val="en-US"/>
        </w:rPr>
        <w:t>Table S</w:t>
      </w:r>
      <w:r w:rsidR="00F1222A" w:rsidRPr="005342A5">
        <w:rPr>
          <w:lang w:val="en-US"/>
        </w:rPr>
        <w:fldChar w:fldCharType="begin"/>
      </w:r>
      <w:r w:rsidR="00F1222A" w:rsidRPr="005342A5">
        <w:rPr>
          <w:lang w:val="en-US"/>
        </w:rPr>
        <w:instrText xml:space="preserve"> SEQ Table \* ARABIC </w:instrText>
      </w:r>
      <w:r w:rsidR="00F1222A" w:rsidRPr="005342A5">
        <w:rPr>
          <w:lang w:val="en-US"/>
        </w:rPr>
        <w:fldChar w:fldCharType="separate"/>
      </w:r>
      <w:r w:rsidR="00A1207D">
        <w:rPr>
          <w:noProof/>
          <w:lang w:val="en-US"/>
        </w:rPr>
        <w:t>6</w:t>
      </w:r>
      <w:r w:rsidR="00F1222A" w:rsidRPr="005342A5">
        <w:rPr>
          <w:lang w:val="en-US"/>
        </w:rPr>
        <w:fldChar w:fldCharType="end"/>
      </w:r>
      <w:bookmarkEnd w:id="12"/>
      <w:r w:rsidR="00F1222A" w:rsidRPr="005342A5">
        <w:rPr>
          <w:lang w:val="en-US"/>
        </w:rPr>
        <w:t>: Sex a</w:t>
      </w:r>
      <w:r w:rsidR="00C444C1" w:rsidRPr="005342A5">
        <w:rPr>
          <w:lang w:val="en-US"/>
        </w:rPr>
        <w:t>c</w:t>
      </w:r>
      <w:r w:rsidR="00F1222A" w:rsidRPr="005342A5">
        <w:rPr>
          <w:lang w:val="en-US"/>
        </w:rPr>
        <w:t>t rate probabilities per partnership type</w:t>
      </w:r>
    </w:p>
    <w:tbl>
      <w:tblPr>
        <w:tblStyle w:val="ListTable1Light"/>
        <w:tblW w:w="9923" w:type="dxa"/>
        <w:tblLook w:val="04A0" w:firstRow="1" w:lastRow="0" w:firstColumn="1" w:lastColumn="0" w:noHBand="0" w:noVBand="1"/>
      </w:tblPr>
      <w:tblGrid>
        <w:gridCol w:w="1054"/>
        <w:gridCol w:w="1362"/>
        <w:gridCol w:w="1545"/>
        <w:gridCol w:w="1568"/>
        <w:gridCol w:w="1266"/>
        <w:gridCol w:w="1569"/>
        <w:gridCol w:w="1559"/>
      </w:tblGrid>
      <w:tr w:rsidR="00434F27" w:rsidRPr="005342A5" w14:paraId="0DBE8D5B" w14:textId="77777777" w:rsidTr="00434F2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54" w:type="dxa"/>
          </w:tcPr>
          <w:p w14:paraId="17B7B72C" w14:textId="77777777" w:rsidR="007276F2" w:rsidRPr="005342A5" w:rsidRDefault="007276F2" w:rsidP="00B443DB">
            <w:pPr>
              <w:jc w:val="center"/>
              <w:rPr>
                <w:lang w:val="en-US"/>
              </w:rPr>
            </w:pPr>
          </w:p>
        </w:tc>
        <w:tc>
          <w:tcPr>
            <w:tcW w:w="1362" w:type="dxa"/>
          </w:tcPr>
          <w:p w14:paraId="4C65945E" w14:textId="61F88FF6" w:rsidR="007276F2" w:rsidRPr="005342A5" w:rsidRDefault="007276F2" w:rsidP="00B443DB">
            <w:pPr>
              <w:jc w:val="center"/>
              <w:cnfStyle w:val="100000000000" w:firstRow="1" w:lastRow="0" w:firstColumn="0" w:lastColumn="0" w:oddVBand="0" w:evenVBand="0" w:oddHBand="0" w:evenHBand="0" w:firstRowFirstColumn="0" w:firstRowLastColumn="0" w:lastRowFirstColumn="0" w:lastRowLastColumn="0"/>
              <w:rPr>
                <w:lang w:val="en-US"/>
              </w:rPr>
            </w:pPr>
          </w:p>
        </w:tc>
        <w:tc>
          <w:tcPr>
            <w:tcW w:w="3113" w:type="dxa"/>
            <w:gridSpan w:val="2"/>
          </w:tcPr>
          <w:p w14:paraId="43BDE0D1" w14:textId="369EACB9" w:rsidR="007276F2" w:rsidRPr="005342A5" w:rsidRDefault="007276F2" w:rsidP="00B443DB">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Steady</w:t>
            </w:r>
            <w:r w:rsidRPr="005342A5">
              <w:rPr>
                <w:lang w:val="en-US"/>
              </w:rPr>
              <w:t xml:space="preserve"> partnerships</w:t>
            </w:r>
          </w:p>
        </w:tc>
        <w:tc>
          <w:tcPr>
            <w:tcW w:w="4394" w:type="dxa"/>
            <w:gridSpan w:val="3"/>
          </w:tcPr>
          <w:p w14:paraId="55BEA4A1" w14:textId="61E906FC" w:rsidR="007276F2" w:rsidRPr="005342A5" w:rsidRDefault="007276F2" w:rsidP="00B443DB">
            <w:pPr>
              <w:jc w:val="center"/>
              <w:cnfStyle w:val="100000000000" w:firstRow="1" w:lastRow="0" w:firstColumn="0" w:lastColumn="0" w:oddVBand="0" w:evenVBand="0" w:oddHBand="0" w:evenHBand="0" w:firstRowFirstColumn="0" w:firstRowLastColumn="0" w:lastRowFirstColumn="0" w:lastRowLastColumn="0"/>
              <w:rPr>
                <w:lang w:val="en-US"/>
              </w:rPr>
            </w:pPr>
            <w:r w:rsidRPr="005342A5">
              <w:rPr>
                <w:lang w:val="en-US"/>
              </w:rPr>
              <w:t>Casual partnerships</w:t>
            </w:r>
          </w:p>
        </w:tc>
      </w:tr>
      <w:tr w:rsidR="00261272" w:rsidRPr="005342A5" w14:paraId="16B21560" w14:textId="77777777" w:rsidTr="00434F27">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054" w:type="dxa"/>
          </w:tcPr>
          <w:p w14:paraId="19D2E093" w14:textId="0DBC0DB6" w:rsidR="007276F2" w:rsidRPr="0042682F" w:rsidRDefault="007276F2" w:rsidP="00134A4C">
            <w:pPr>
              <w:jc w:val="center"/>
              <w:rPr>
                <w:lang w:val="en-US"/>
              </w:rPr>
            </w:pPr>
            <w:r>
              <w:rPr>
                <w:lang w:val="en-US"/>
              </w:rPr>
              <w:t>PrEP eligibility</w:t>
            </w:r>
          </w:p>
        </w:tc>
        <w:tc>
          <w:tcPr>
            <w:tcW w:w="1362" w:type="dxa"/>
          </w:tcPr>
          <w:p w14:paraId="58D6E9F4" w14:textId="7DFACE8D" w:rsidR="007276F2" w:rsidRPr="0042682F"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545" w:type="dxa"/>
          </w:tcPr>
          <w:p w14:paraId="79982083" w14:textId="6FF9AFB7"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Lower-activity MSM</w:t>
            </w:r>
          </w:p>
        </w:tc>
        <w:tc>
          <w:tcPr>
            <w:tcW w:w="1568" w:type="dxa"/>
          </w:tcPr>
          <w:p w14:paraId="0588A156" w14:textId="4B7CF137"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Higher-activity MSM</w:t>
            </w:r>
          </w:p>
        </w:tc>
        <w:tc>
          <w:tcPr>
            <w:tcW w:w="1266" w:type="dxa"/>
          </w:tcPr>
          <w:p w14:paraId="027F5D7C" w14:textId="666681A6"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569" w:type="dxa"/>
          </w:tcPr>
          <w:p w14:paraId="6B3202FC" w14:textId="2E2756AB"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Lower-activity MSM</w:t>
            </w:r>
          </w:p>
        </w:tc>
        <w:tc>
          <w:tcPr>
            <w:tcW w:w="1559" w:type="dxa"/>
          </w:tcPr>
          <w:p w14:paraId="78A96C71" w14:textId="1D65C25B"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Higher-activity MSM</w:t>
            </w:r>
          </w:p>
        </w:tc>
      </w:tr>
      <w:tr w:rsidR="00261272" w:rsidRPr="005342A5" w14:paraId="1BE69B8D" w14:textId="77777777" w:rsidTr="00434F27">
        <w:trPr>
          <w:trHeight w:val="853"/>
        </w:trPr>
        <w:tc>
          <w:tcPr>
            <w:cnfStyle w:val="001000000000" w:firstRow="0" w:lastRow="0" w:firstColumn="1" w:lastColumn="0" w:oddVBand="0" w:evenVBand="0" w:oddHBand="0" w:evenHBand="0" w:firstRowFirstColumn="0" w:firstRowLastColumn="0" w:lastRowFirstColumn="0" w:lastRowLastColumn="0"/>
            <w:tcW w:w="1054" w:type="dxa"/>
          </w:tcPr>
          <w:p w14:paraId="3698E18C" w14:textId="77777777" w:rsidR="007276F2" w:rsidRPr="00F35581" w:rsidRDefault="007276F2" w:rsidP="00134A4C">
            <w:pPr>
              <w:jc w:val="center"/>
              <w:rPr>
                <w:lang w:val="en-US"/>
              </w:rPr>
            </w:pPr>
          </w:p>
        </w:tc>
        <w:tc>
          <w:tcPr>
            <w:tcW w:w="1362" w:type="dxa"/>
          </w:tcPr>
          <w:p w14:paraId="14376BDC" w14:textId="49FE29DD" w:rsidR="007276F2" w:rsidRPr="00F35581" w:rsidRDefault="007276F2" w:rsidP="00134A4C">
            <w:pPr>
              <w:jc w:val="center"/>
              <w:cnfStyle w:val="000000000000" w:firstRow="0" w:lastRow="0" w:firstColumn="0" w:lastColumn="0" w:oddVBand="0" w:evenVBand="0" w:oddHBand="0" w:evenHBand="0" w:firstRowFirstColumn="0" w:firstRowLastColumn="0" w:lastRowFirstColumn="0" w:lastRowLastColumn="0"/>
              <w:rPr>
                <w:b/>
                <w:bCs/>
                <w:lang w:val="en-US"/>
              </w:rPr>
            </w:pPr>
            <w:r w:rsidRPr="00F35581">
              <w:rPr>
                <w:lang w:val="en-US"/>
              </w:rPr>
              <w:t>Lower-activity MSM</w:t>
            </w:r>
          </w:p>
        </w:tc>
        <w:tc>
          <w:tcPr>
            <w:tcW w:w="1545" w:type="dxa"/>
          </w:tcPr>
          <w:p w14:paraId="7475EC14" w14:textId="2D3D34BC" w:rsidR="007276F2" w:rsidRPr="005342A5" w:rsidRDefault="007276F2" w:rsidP="00134A4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27.94</w:t>
            </w:r>
            <w:r w:rsidR="00B57297">
              <w:rPr>
                <w:lang w:val="en-US"/>
              </w:rPr>
              <w:t xml:space="preserve"> </w:t>
            </w:r>
            <w:r w:rsidRPr="005342A5">
              <w:rPr>
                <w:lang w:val="en-US"/>
              </w:rPr>
              <w:t>%</w:t>
            </w:r>
          </w:p>
        </w:tc>
        <w:tc>
          <w:tcPr>
            <w:tcW w:w="1568" w:type="dxa"/>
          </w:tcPr>
          <w:p w14:paraId="18ACCB0F" w14:textId="5C24379A" w:rsidR="007276F2" w:rsidRPr="005342A5" w:rsidRDefault="007276F2" w:rsidP="00134A4C">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66" w:type="dxa"/>
          </w:tcPr>
          <w:p w14:paraId="6BA76E4B" w14:textId="5333E378" w:rsidR="007276F2" w:rsidRPr="005342A5" w:rsidRDefault="007276F2" w:rsidP="00134A4C">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Lower-activity MSM</w:t>
            </w:r>
          </w:p>
        </w:tc>
        <w:tc>
          <w:tcPr>
            <w:tcW w:w="1569" w:type="dxa"/>
          </w:tcPr>
          <w:p w14:paraId="113F22BE" w14:textId="01903815" w:rsidR="007276F2" w:rsidRPr="005342A5" w:rsidRDefault="007276F2" w:rsidP="00134A4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67.72</w:t>
            </w:r>
            <w:r w:rsidR="00B57297">
              <w:rPr>
                <w:lang w:val="en-US"/>
              </w:rPr>
              <w:t xml:space="preserve"> </w:t>
            </w:r>
            <w:r w:rsidRPr="005342A5">
              <w:rPr>
                <w:lang w:val="en-US"/>
              </w:rPr>
              <w:t>%</w:t>
            </w:r>
          </w:p>
        </w:tc>
        <w:tc>
          <w:tcPr>
            <w:tcW w:w="1559" w:type="dxa"/>
          </w:tcPr>
          <w:p w14:paraId="3E24914A" w14:textId="77777777" w:rsidR="007276F2" w:rsidRPr="005342A5" w:rsidRDefault="007276F2" w:rsidP="00134A4C">
            <w:pPr>
              <w:jc w:val="center"/>
              <w:cnfStyle w:val="000000000000" w:firstRow="0" w:lastRow="0" w:firstColumn="0" w:lastColumn="0" w:oddVBand="0" w:evenVBand="0" w:oddHBand="0" w:evenHBand="0" w:firstRowFirstColumn="0" w:firstRowLastColumn="0" w:lastRowFirstColumn="0" w:lastRowLastColumn="0"/>
              <w:rPr>
                <w:lang w:val="en-US"/>
              </w:rPr>
            </w:pPr>
          </w:p>
        </w:tc>
      </w:tr>
      <w:tr w:rsidR="00261272" w:rsidRPr="005342A5" w14:paraId="4B409DD0" w14:textId="77777777" w:rsidTr="00434F2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054" w:type="dxa"/>
          </w:tcPr>
          <w:p w14:paraId="1435328D" w14:textId="77777777" w:rsidR="007276F2" w:rsidRPr="00F35581" w:rsidRDefault="007276F2" w:rsidP="00134A4C">
            <w:pPr>
              <w:jc w:val="center"/>
              <w:rPr>
                <w:lang w:val="en-US"/>
              </w:rPr>
            </w:pPr>
          </w:p>
        </w:tc>
        <w:tc>
          <w:tcPr>
            <w:tcW w:w="1362" w:type="dxa"/>
          </w:tcPr>
          <w:p w14:paraId="5F32CCC3" w14:textId="22117EAB" w:rsidR="007276F2" w:rsidRPr="00F35581" w:rsidRDefault="007276F2" w:rsidP="00134A4C">
            <w:pPr>
              <w:jc w:val="center"/>
              <w:cnfStyle w:val="000000100000" w:firstRow="0" w:lastRow="0" w:firstColumn="0" w:lastColumn="0" w:oddVBand="0" w:evenVBand="0" w:oddHBand="1" w:evenHBand="0" w:firstRowFirstColumn="0" w:firstRowLastColumn="0" w:lastRowFirstColumn="0" w:lastRowLastColumn="0"/>
              <w:rPr>
                <w:b/>
                <w:bCs/>
                <w:lang w:val="en-US"/>
              </w:rPr>
            </w:pPr>
            <w:r w:rsidRPr="00F35581">
              <w:rPr>
                <w:lang w:val="en-US"/>
              </w:rPr>
              <w:t>Higher-activity MSM</w:t>
            </w:r>
          </w:p>
        </w:tc>
        <w:tc>
          <w:tcPr>
            <w:tcW w:w="1545" w:type="dxa"/>
          </w:tcPr>
          <w:p w14:paraId="6255EB07" w14:textId="1CBA24C3"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sidRPr="005342A5">
              <w:rPr>
                <w:lang w:val="en-US"/>
              </w:rPr>
              <w:t>3</w:t>
            </w:r>
            <w:r>
              <w:rPr>
                <w:lang w:val="en-US"/>
              </w:rPr>
              <w:t>4</w:t>
            </w:r>
            <w:r w:rsidRPr="005342A5">
              <w:rPr>
                <w:lang w:val="en-US"/>
              </w:rPr>
              <w:t>.1</w:t>
            </w:r>
            <w:r>
              <w:rPr>
                <w:lang w:val="en-US"/>
              </w:rPr>
              <w:t>3</w:t>
            </w:r>
            <w:r w:rsidR="00B57297">
              <w:rPr>
                <w:lang w:val="en-US"/>
              </w:rPr>
              <w:t xml:space="preserve"> </w:t>
            </w:r>
            <w:r w:rsidRPr="005342A5">
              <w:rPr>
                <w:lang w:val="en-US"/>
              </w:rPr>
              <w:t>%</w:t>
            </w:r>
          </w:p>
        </w:tc>
        <w:tc>
          <w:tcPr>
            <w:tcW w:w="1568" w:type="dxa"/>
          </w:tcPr>
          <w:p w14:paraId="0E3A0117" w14:textId="747EA5C0"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40.32</w:t>
            </w:r>
            <w:r w:rsidR="00B57297">
              <w:rPr>
                <w:lang w:val="en-US"/>
              </w:rPr>
              <w:t xml:space="preserve"> </w:t>
            </w:r>
            <w:r w:rsidRPr="005342A5">
              <w:rPr>
                <w:lang w:val="en-US"/>
              </w:rPr>
              <w:t>%</w:t>
            </w:r>
          </w:p>
        </w:tc>
        <w:tc>
          <w:tcPr>
            <w:tcW w:w="1266" w:type="dxa"/>
          </w:tcPr>
          <w:p w14:paraId="5C781C08" w14:textId="0C146407"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Higher-activity MSM</w:t>
            </w:r>
          </w:p>
        </w:tc>
        <w:tc>
          <w:tcPr>
            <w:tcW w:w="1569" w:type="dxa"/>
          </w:tcPr>
          <w:p w14:paraId="06D840FE" w14:textId="355FD216"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81.67</w:t>
            </w:r>
            <w:r w:rsidR="00B57297">
              <w:rPr>
                <w:lang w:val="en-US"/>
              </w:rPr>
              <w:t xml:space="preserve"> </w:t>
            </w:r>
            <w:r w:rsidRPr="005342A5">
              <w:rPr>
                <w:lang w:val="en-US"/>
              </w:rPr>
              <w:t>%</w:t>
            </w:r>
          </w:p>
        </w:tc>
        <w:tc>
          <w:tcPr>
            <w:tcW w:w="1559" w:type="dxa"/>
          </w:tcPr>
          <w:p w14:paraId="3141FAD5" w14:textId="5D67FC25" w:rsidR="007276F2" w:rsidRPr="005342A5" w:rsidRDefault="007276F2" w:rsidP="00134A4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95.62</w:t>
            </w:r>
            <w:r w:rsidR="00B57297">
              <w:rPr>
                <w:lang w:val="en-US"/>
              </w:rPr>
              <w:t xml:space="preserve"> </w:t>
            </w:r>
            <w:r w:rsidRPr="005342A5">
              <w:rPr>
                <w:lang w:val="en-US"/>
              </w:rPr>
              <w:t>%</w:t>
            </w:r>
          </w:p>
        </w:tc>
      </w:tr>
      <w:tr w:rsidR="00434F27" w:rsidRPr="005342A5" w14:paraId="0BA3B5B3" w14:textId="77777777" w:rsidTr="00434F27">
        <w:trPr>
          <w:trHeight w:val="853"/>
        </w:trPr>
        <w:tc>
          <w:tcPr>
            <w:cnfStyle w:val="001000000000" w:firstRow="0" w:lastRow="0" w:firstColumn="1" w:lastColumn="0" w:oddVBand="0" w:evenVBand="0" w:oddHBand="0" w:evenHBand="0" w:firstRowFirstColumn="0" w:firstRowLastColumn="0" w:lastRowFirstColumn="0" w:lastRowLastColumn="0"/>
            <w:tcW w:w="1054" w:type="dxa"/>
          </w:tcPr>
          <w:p w14:paraId="61987427" w14:textId="162E8589" w:rsidR="00434F27" w:rsidRPr="00F35581" w:rsidRDefault="00434F27" w:rsidP="00434F27">
            <w:pPr>
              <w:jc w:val="center"/>
              <w:rPr>
                <w:lang w:val="en-US"/>
              </w:rPr>
            </w:pPr>
            <w:r>
              <w:rPr>
                <w:lang w:val="en-US"/>
              </w:rPr>
              <w:t xml:space="preserve">More than </w:t>
            </w:r>
            <w:r w:rsidRPr="00226F8D">
              <w:rPr>
                <w:lang w:val="en-US"/>
              </w:rPr>
              <w:t>1</w:t>
            </w:r>
            <w:r w:rsidRPr="00226F8D">
              <w:t>5 partners</w:t>
            </w:r>
          </w:p>
        </w:tc>
        <w:tc>
          <w:tcPr>
            <w:tcW w:w="1362" w:type="dxa"/>
          </w:tcPr>
          <w:p w14:paraId="30ACED89" w14:textId="77777777" w:rsidR="00434F27" w:rsidRPr="00F35581" w:rsidRDefault="00434F27" w:rsidP="00434F27">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545" w:type="dxa"/>
          </w:tcPr>
          <w:p w14:paraId="752173CA" w14:textId="5D043072" w:rsidR="00434F27" w:rsidRPr="005342A5" w:rsidRDefault="00434F27" w:rsidP="00434F27">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Lower-activity MSM</w:t>
            </w:r>
          </w:p>
        </w:tc>
        <w:tc>
          <w:tcPr>
            <w:tcW w:w="1568" w:type="dxa"/>
          </w:tcPr>
          <w:p w14:paraId="1F63F01D" w14:textId="04C35BCF" w:rsidR="00434F27" w:rsidRDefault="00434F27" w:rsidP="00434F27">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Higher-activity MSM</w:t>
            </w:r>
          </w:p>
        </w:tc>
        <w:tc>
          <w:tcPr>
            <w:tcW w:w="1266" w:type="dxa"/>
          </w:tcPr>
          <w:p w14:paraId="57FF5962" w14:textId="77777777" w:rsidR="00434F27" w:rsidRPr="0042682F" w:rsidRDefault="00434F27" w:rsidP="00434F27">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569" w:type="dxa"/>
          </w:tcPr>
          <w:p w14:paraId="7A14DE10" w14:textId="55A5D83C" w:rsidR="00434F27" w:rsidRDefault="00434F27" w:rsidP="00434F27">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Lower-activity MSM</w:t>
            </w:r>
          </w:p>
        </w:tc>
        <w:tc>
          <w:tcPr>
            <w:tcW w:w="1559" w:type="dxa"/>
          </w:tcPr>
          <w:p w14:paraId="0D98075F" w14:textId="56654CF0" w:rsidR="00434F27" w:rsidRDefault="00434F27" w:rsidP="00434F27">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Higher-activity MSM</w:t>
            </w:r>
          </w:p>
        </w:tc>
      </w:tr>
      <w:tr w:rsidR="00434F27" w:rsidRPr="005342A5" w14:paraId="473583D5" w14:textId="77777777" w:rsidTr="00434F2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054" w:type="dxa"/>
          </w:tcPr>
          <w:p w14:paraId="41DA616B" w14:textId="77777777" w:rsidR="007276F2" w:rsidRDefault="007276F2" w:rsidP="007276F2">
            <w:pPr>
              <w:jc w:val="center"/>
              <w:rPr>
                <w:lang w:val="en-US"/>
              </w:rPr>
            </w:pPr>
          </w:p>
        </w:tc>
        <w:tc>
          <w:tcPr>
            <w:tcW w:w="1362" w:type="dxa"/>
          </w:tcPr>
          <w:p w14:paraId="71D81585" w14:textId="6A1557AA" w:rsidR="007276F2" w:rsidRPr="00F35581" w:rsidRDefault="007276F2" w:rsidP="007276F2">
            <w:pPr>
              <w:jc w:val="center"/>
              <w:cnfStyle w:val="000000100000" w:firstRow="0" w:lastRow="0" w:firstColumn="0" w:lastColumn="0" w:oddVBand="0" w:evenVBand="0" w:oddHBand="1" w:evenHBand="0" w:firstRowFirstColumn="0" w:firstRowLastColumn="0" w:lastRowFirstColumn="0" w:lastRowLastColumn="0"/>
              <w:rPr>
                <w:lang w:val="en-US"/>
              </w:rPr>
            </w:pPr>
            <w:r w:rsidRPr="00F35581">
              <w:rPr>
                <w:lang w:val="en-US"/>
              </w:rPr>
              <w:t>Lower-activity MSM</w:t>
            </w:r>
          </w:p>
        </w:tc>
        <w:tc>
          <w:tcPr>
            <w:tcW w:w="1545" w:type="dxa"/>
          </w:tcPr>
          <w:p w14:paraId="09BE7AC4" w14:textId="13EDC321" w:rsidR="007276F2" w:rsidRPr="0042682F" w:rsidRDefault="00367BC3" w:rsidP="007276F2">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25.77 %</w:t>
            </w:r>
          </w:p>
        </w:tc>
        <w:tc>
          <w:tcPr>
            <w:tcW w:w="1568" w:type="dxa"/>
          </w:tcPr>
          <w:p w14:paraId="6B7876F6" w14:textId="77777777" w:rsidR="007276F2" w:rsidRPr="0042682F" w:rsidRDefault="007276F2" w:rsidP="007276F2">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266" w:type="dxa"/>
          </w:tcPr>
          <w:p w14:paraId="07789955" w14:textId="229F78BB" w:rsidR="007276F2" w:rsidRPr="0042682F" w:rsidRDefault="007276F2" w:rsidP="007276F2">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Lower-activity MSM</w:t>
            </w:r>
          </w:p>
        </w:tc>
        <w:tc>
          <w:tcPr>
            <w:tcW w:w="1569" w:type="dxa"/>
          </w:tcPr>
          <w:p w14:paraId="389EFCF7" w14:textId="576973CA" w:rsidR="007276F2" w:rsidRPr="0042682F" w:rsidRDefault="00B57297" w:rsidP="007276F2">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68.66 %</w:t>
            </w:r>
          </w:p>
        </w:tc>
        <w:tc>
          <w:tcPr>
            <w:tcW w:w="1559" w:type="dxa"/>
          </w:tcPr>
          <w:p w14:paraId="465B5437" w14:textId="77777777" w:rsidR="007276F2" w:rsidRPr="0042682F" w:rsidRDefault="007276F2" w:rsidP="007276F2">
            <w:pPr>
              <w:jc w:val="center"/>
              <w:cnfStyle w:val="000000100000" w:firstRow="0" w:lastRow="0" w:firstColumn="0" w:lastColumn="0" w:oddVBand="0" w:evenVBand="0" w:oddHBand="1" w:evenHBand="0" w:firstRowFirstColumn="0" w:firstRowLastColumn="0" w:lastRowFirstColumn="0" w:lastRowLastColumn="0"/>
              <w:rPr>
                <w:lang w:val="en-US"/>
              </w:rPr>
            </w:pPr>
          </w:p>
        </w:tc>
      </w:tr>
      <w:tr w:rsidR="00434F27" w:rsidRPr="005342A5" w14:paraId="3BB825AF" w14:textId="77777777" w:rsidTr="00434F27">
        <w:trPr>
          <w:trHeight w:val="853"/>
        </w:trPr>
        <w:tc>
          <w:tcPr>
            <w:cnfStyle w:val="001000000000" w:firstRow="0" w:lastRow="0" w:firstColumn="1" w:lastColumn="0" w:oddVBand="0" w:evenVBand="0" w:oddHBand="0" w:evenHBand="0" w:firstRowFirstColumn="0" w:firstRowLastColumn="0" w:lastRowFirstColumn="0" w:lastRowLastColumn="0"/>
            <w:tcW w:w="1054" w:type="dxa"/>
          </w:tcPr>
          <w:p w14:paraId="6E8E33BD" w14:textId="77777777" w:rsidR="007276F2" w:rsidRDefault="007276F2" w:rsidP="007276F2">
            <w:pPr>
              <w:jc w:val="center"/>
              <w:rPr>
                <w:lang w:val="en-US"/>
              </w:rPr>
            </w:pPr>
          </w:p>
        </w:tc>
        <w:tc>
          <w:tcPr>
            <w:tcW w:w="1362" w:type="dxa"/>
          </w:tcPr>
          <w:p w14:paraId="6063C601" w14:textId="3959BE2A" w:rsidR="007276F2" w:rsidRPr="00F35581" w:rsidRDefault="007276F2" w:rsidP="007276F2">
            <w:pPr>
              <w:jc w:val="center"/>
              <w:cnfStyle w:val="000000000000" w:firstRow="0" w:lastRow="0" w:firstColumn="0" w:lastColumn="0" w:oddVBand="0" w:evenVBand="0" w:oddHBand="0" w:evenHBand="0" w:firstRowFirstColumn="0" w:firstRowLastColumn="0" w:lastRowFirstColumn="0" w:lastRowLastColumn="0"/>
              <w:rPr>
                <w:lang w:val="en-US"/>
              </w:rPr>
            </w:pPr>
            <w:r w:rsidRPr="00F35581">
              <w:rPr>
                <w:lang w:val="en-US"/>
              </w:rPr>
              <w:t>Higher-activity MSM</w:t>
            </w:r>
          </w:p>
        </w:tc>
        <w:tc>
          <w:tcPr>
            <w:tcW w:w="1545" w:type="dxa"/>
          </w:tcPr>
          <w:p w14:paraId="6EB00760" w14:textId="214899F7" w:rsidR="007276F2" w:rsidRDefault="00367BC3" w:rsidP="007276F2">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37.73 %</w:t>
            </w:r>
          </w:p>
        </w:tc>
        <w:tc>
          <w:tcPr>
            <w:tcW w:w="1568" w:type="dxa"/>
          </w:tcPr>
          <w:p w14:paraId="7217E71B" w14:textId="5A0D435A" w:rsidR="007276F2" w:rsidRPr="0042682F" w:rsidRDefault="00367BC3" w:rsidP="007276F2">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49.69 %</w:t>
            </w:r>
          </w:p>
        </w:tc>
        <w:tc>
          <w:tcPr>
            <w:tcW w:w="1266" w:type="dxa"/>
          </w:tcPr>
          <w:p w14:paraId="1A09F31E" w14:textId="4860FDCE" w:rsidR="007276F2" w:rsidRPr="0042682F" w:rsidRDefault="007276F2" w:rsidP="007276F2">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Higher-activity MSM</w:t>
            </w:r>
          </w:p>
        </w:tc>
        <w:tc>
          <w:tcPr>
            <w:tcW w:w="1569" w:type="dxa"/>
          </w:tcPr>
          <w:p w14:paraId="0AC08691" w14:textId="7B1E07C0" w:rsidR="007276F2" w:rsidRDefault="00B57297" w:rsidP="007276F2">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83.98 %</w:t>
            </w:r>
          </w:p>
        </w:tc>
        <w:tc>
          <w:tcPr>
            <w:tcW w:w="1559" w:type="dxa"/>
          </w:tcPr>
          <w:p w14:paraId="16F712CA" w14:textId="3CE43A0B" w:rsidR="007276F2" w:rsidRPr="0042682F" w:rsidRDefault="00B57297" w:rsidP="007276F2">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99.29 %</w:t>
            </w:r>
          </w:p>
        </w:tc>
      </w:tr>
      <w:tr w:rsidR="00434F27" w:rsidRPr="005342A5" w14:paraId="39D8771A" w14:textId="77777777" w:rsidTr="00434F27">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054" w:type="dxa"/>
          </w:tcPr>
          <w:p w14:paraId="2EE53565" w14:textId="4FCDD52C" w:rsidR="00434F27" w:rsidRDefault="00434F27" w:rsidP="00434F27">
            <w:pPr>
              <w:jc w:val="center"/>
              <w:rPr>
                <w:lang w:val="en-US"/>
              </w:rPr>
            </w:pPr>
            <w:r>
              <w:rPr>
                <w:lang w:val="en-US"/>
              </w:rPr>
              <w:t xml:space="preserve">More than </w:t>
            </w:r>
            <w:r w:rsidRPr="00226F8D">
              <w:rPr>
                <w:lang w:val="en-US"/>
              </w:rPr>
              <w:t>1</w:t>
            </w:r>
            <w:r w:rsidRPr="00226F8D">
              <w:t xml:space="preserve">5 </w:t>
            </w:r>
            <w:r>
              <w:t xml:space="preserve">casual </w:t>
            </w:r>
            <w:r w:rsidRPr="00226F8D">
              <w:t>partners</w:t>
            </w:r>
          </w:p>
        </w:tc>
        <w:tc>
          <w:tcPr>
            <w:tcW w:w="1362" w:type="dxa"/>
          </w:tcPr>
          <w:p w14:paraId="2A3E31D8" w14:textId="77777777" w:rsidR="00434F27" w:rsidRPr="00F35581"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545" w:type="dxa"/>
          </w:tcPr>
          <w:p w14:paraId="2F0AF041" w14:textId="31A649DB" w:rsidR="00434F27" w:rsidRPr="005342A5"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Lower-activity MSM</w:t>
            </w:r>
          </w:p>
        </w:tc>
        <w:tc>
          <w:tcPr>
            <w:tcW w:w="1568" w:type="dxa"/>
          </w:tcPr>
          <w:p w14:paraId="51AFBDB6" w14:textId="536C214C"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Higher-activity MSM</w:t>
            </w:r>
          </w:p>
        </w:tc>
        <w:tc>
          <w:tcPr>
            <w:tcW w:w="1266" w:type="dxa"/>
          </w:tcPr>
          <w:p w14:paraId="5E0DCFA0" w14:textId="77777777" w:rsidR="00434F27" w:rsidRPr="0042682F"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569" w:type="dxa"/>
          </w:tcPr>
          <w:p w14:paraId="52E3052A" w14:textId="764654C8"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Lower-activity MSM</w:t>
            </w:r>
          </w:p>
        </w:tc>
        <w:tc>
          <w:tcPr>
            <w:tcW w:w="1559" w:type="dxa"/>
          </w:tcPr>
          <w:p w14:paraId="6A4A0681" w14:textId="032F8208" w:rsidR="00434F27" w:rsidRDefault="00434F27" w:rsidP="00434F27">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Higher-activity MSM</w:t>
            </w:r>
          </w:p>
        </w:tc>
      </w:tr>
      <w:tr w:rsidR="00434F27" w:rsidRPr="005342A5" w14:paraId="4F01622A" w14:textId="77777777" w:rsidTr="00434F27">
        <w:trPr>
          <w:trHeight w:val="829"/>
        </w:trPr>
        <w:tc>
          <w:tcPr>
            <w:cnfStyle w:val="001000000000" w:firstRow="0" w:lastRow="0" w:firstColumn="1" w:lastColumn="0" w:oddVBand="0" w:evenVBand="0" w:oddHBand="0" w:evenHBand="0" w:firstRowFirstColumn="0" w:firstRowLastColumn="0" w:lastRowFirstColumn="0" w:lastRowLastColumn="0"/>
            <w:tcW w:w="1054" w:type="dxa"/>
          </w:tcPr>
          <w:p w14:paraId="706A171C" w14:textId="77777777" w:rsidR="007276F2" w:rsidRDefault="007276F2" w:rsidP="007276F2">
            <w:pPr>
              <w:jc w:val="center"/>
              <w:rPr>
                <w:lang w:val="en-US"/>
              </w:rPr>
            </w:pPr>
          </w:p>
        </w:tc>
        <w:tc>
          <w:tcPr>
            <w:tcW w:w="1362" w:type="dxa"/>
          </w:tcPr>
          <w:p w14:paraId="31057852" w14:textId="37FCF712" w:rsidR="007276F2" w:rsidRPr="00F35581" w:rsidRDefault="007276F2" w:rsidP="007276F2">
            <w:pPr>
              <w:jc w:val="center"/>
              <w:cnfStyle w:val="000000000000" w:firstRow="0" w:lastRow="0" w:firstColumn="0" w:lastColumn="0" w:oddVBand="0" w:evenVBand="0" w:oddHBand="0" w:evenHBand="0" w:firstRowFirstColumn="0" w:firstRowLastColumn="0" w:lastRowFirstColumn="0" w:lastRowLastColumn="0"/>
              <w:rPr>
                <w:lang w:val="en-US"/>
              </w:rPr>
            </w:pPr>
            <w:r w:rsidRPr="00F35581">
              <w:rPr>
                <w:lang w:val="en-US"/>
              </w:rPr>
              <w:t>Lower-activity MSM</w:t>
            </w:r>
          </w:p>
        </w:tc>
        <w:tc>
          <w:tcPr>
            <w:tcW w:w="1545" w:type="dxa"/>
          </w:tcPr>
          <w:p w14:paraId="39E5B20A" w14:textId="10E7CCE4" w:rsidR="007276F2" w:rsidRPr="0042682F" w:rsidRDefault="00367BC3" w:rsidP="007276F2">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26.90 %</w:t>
            </w:r>
          </w:p>
        </w:tc>
        <w:tc>
          <w:tcPr>
            <w:tcW w:w="1568" w:type="dxa"/>
          </w:tcPr>
          <w:p w14:paraId="3BEBF1B7" w14:textId="77777777" w:rsidR="007276F2" w:rsidRPr="0042682F" w:rsidRDefault="007276F2" w:rsidP="007276F2">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266" w:type="dxa"/>
          </w:tcPr>
          <w:p w14:paraId="65A4C947" w14:textId="3CA806C2" w:rsidR="007276F2" w:rsidRPr="0042682F" w:rsidRDefault="007276F2" w:rsidP="007276F2">
            <w:pPr>
              <w:jc w:val="center"/>
              <w:cnfStyle w:val="000000000000" w:firstRow="0" w:lastRow="0" w:firstColumn="0" w:lastColumn="0" w:oddVBand="0" w:evenVBand="0" w:oddHBand="0" w:evenHBand="0" w:firstRowFirstColumn="0" w:firstRowLastColumn="0" w:lastRowFirstColumn="0" w:lastRowLastColumn="0"/>
              <w:rPr>
                <w:lang w:val="en-US"/>
              </w:rPr>
            </w:pPr>
            <w:r w:rsidRPr="0042682F">
              <w:rPr>
                <w:lang w:val="en-US"/>
              </w:rPr>
              <w:t>Lower-activity MSM</w:t>
            </w:r>
          </w:p>
        </w:tc>
        <w:tc>
          <w:tcPr>
            <w:tcW w:w="1569" w:type="dxa"/>
          </w:tcPr>
          <w:p w14:paraId="7DCA93CA" w14:textId="6E2DBC08" w:rsidR="007276F2" w:rsidRPr="0042682F" w:rsidRDefault="00B57297" w:rsidP="007276F2">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69.64 %</w:t>
            </w:r>
          </w:p>
        </w:tc>
        <w:tc>
          <w:tcPr>
            <w:tcW w:w="1559" w:type="dxa"/>
          </w:tcPr>
          <w:p w14:paraId="5F9494E8" w14:textId="77777777" w:rsidR="007276F2" w:rsidRPr="0042682F" w:rsidRDefault="007276F2" w:rsidP="007276F2">
            <w:pPr>
              <w:jc w:val="center"/>
              <w:cnfStyle w:val="000000000000" w:firstRow="0" w:lastRow="0" w:firstColumn="0" w:lastColumn="0" w:oddVBand="0" w:evenVBand="0" w:oddHBand="0" w:evenHBand="0" w:firstRowFirstColumn="0" w:firstRowLastColumn="0" w:lastRowFirstColumn="0" w:lastRowLastColumn="0"/>
              <w:rPr>
                <w:lang w:val="en-US"/>
              </w:rPr>
            </w:pPr>
          </w:p>
        </w:tc>
      </w:tr>
      <w:tr w:rsidR="00434F27" w:rsidRPr="005342A5" w14:paraId="04210B39" w14:textId="77777777" w:rsidTr="00434F2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054" w:type="dxa"/>
          </w:tcPr>
          <w:p w14:paraId="505E5510" w14:textId="77777777" w:rsidR="007276F2" w:rsidRDefault="007276F2" w:rsidP="007276F2">
            <w:pPr>
              <w:jc w:val="center"/>
              <w:rPr>
                <w:lang w:val="en-US"/>
              </w:rPr>
            </w:pPr>
          </w:p>
        </w:tc>
        <w:tc>
          <w:tcPr>
            <w:tcW w:w="1362" w:type="dxa"/>
          </w:tcPr>
          <w:p w14:paraId="4DF218C9" w14:textId="3FF2772E" w:rsidR="007276F2" w:rsidRPr="00F35581" w:rsidRDefault="007276F2" w:rsidP="007276F2">
            <w:pPr>
              <w:jc w:val="center"/>
              <w:cnfStyle w:val="000000100000" w:firstRow="0" w:lastRow="0" w:firstColumn="0" w:lastColumn="0" w:oddVBand="0" w:evenVBand="0" w:oddHBand="1" w:evenHBand="0" w:firstRowFirstColumn="0" w:firstRowLastColumn="0" w:lastRowFirstColumn="0" w:lastRowLastColumn="0"/>
              <w:rPr>
                <w:lang w:val="en-US"/>
              </w:rPr>
            </w:pPr>
            <w:r w:rsidRPr="00F35581">
              <w:rPr>
                <w:lang w:val="en-US"/>
              </w:rPr>
              <w:t>Higher-activity MSM</w:t>
            </w:r>
          </w:p>
        </w:tc>
        <w:tc>
          <w:tcPr>
            <w:tcW w:w="1545" w:type="dxa"/>
          </w:tcPr>
          <w:p w14:paraId="5BADA5EB" w14:textId="75348E9B" w:rsidR="007276F2" w:rsidRDefault="00367BC3" w:rsidP="007276F2">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37.44 %</w:t>
            </w:r>
          </w:p>
        </w:tc>
        <w:tc>
          <w:tcPr>
            <w:tcW w:w="1568" w:type="dxa"/>
          </w:tcPr>
          <w:p w14:paraId="2FC30C7A" w14:textId="04E7B848" w:rsidR="007276F2" w:rsidRPr="0042682F" w:rsidRDefault="00367BC3" w:rsidP="007276F2">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47.97 %</w:t>
            </w:r>
          </w:p>
        </w:tc>
        <w:tc>
          <w:tcPr>
            <w:tcW w:w="1266" w:type="dxa"/>
          </w:tcPr>
          <w:p w14:paraId="68C27192" w14:textId="5A09B2B0" w:rsidR="007276F2" w:rsidRPr="0042682F" w:rsidRDefault="007276F2" w:rsidP="007276F2">
            <w:pPr>
              <w:jc w:val="center"/>
              <w:cnfStyle w:val="000000100000" w:firstRow="0" w:lastRow="0" w:firstColumn="0" w:lastColumn="0" w:oddVBand="0" w:evenVBand="0" w:oddHBand="1" w:evenHBand="0" w:firstRowFirstColumn="0" w:firstRowLastColumn="0" w:lastRowFirstColumn="0" w:lastRowLastColumn="0"/>
              <w:rPr>
                <w:lang w:val="en-US"/>
              </w:rPr>
            </w:pPr>
            <w:r w:rsidRPr="0042682F">
              <w:rPr>
                <w:lang w:val="en-US"/>
              </w:rPr>
              <w:t>Higher-activity MSM</w:t>
            </w:r>
          </w:p>
        </w:tc>
        <w:tc>
          <w:tcPr>
            <w:tcW w:w="1569" w:type="dxa"/>
          </w:tcPr>
          <w:p w14:paraId="068BD24C" w14:textId="4E86510E" w:rsidR="007276F2" w:rsidRDefault="00B57297" w:rsidP="007276F2">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84.59 (</w:t>
            </w:r>
          </w:p>
        </w:tc>
        <w:tc>
          <w:tcPr>
            <w:tcW w:w="1559" w:type="dxa"/>
          </w:tcPr>
          <w:p w14:paraId="3D0F626F" w14:textId="30074475" w:rsidR="007276F2" w:rsidRPr="0042682F" w:rsidRDefault="00B57297" w:rsidP="007276F2">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99.53 %</w:t>
            </w:r>
          </w:p>
        </w:tc>
      </w:tr>
    </w:tbl>
    <w:p w14:paraId="28A03D5A" w14:textId="77777777" w:rsidR="00B06419" w:rsidRDefault="00B06419" w:rsidP="00F96448">
      <w:pPr>
        <w:rPr>
          <w:lang w:val="en-US"/>
        </w:rPr>
      </w:pPr>
    </w:p>
    <w:p w14:paraId="47FC10AB" w14:textId="33CDC6EA" w:rsidR="00B97CA0" w:rsidRPr="005342A5" w:rsidRDefault="00F96448" w:rsidP="002B27E8">
      <w:pPr>
        <w:rPr>
          <w:lang w:val="en-US"/>
        </w:rPr>
      </w:pPr>
      <w:r w:rsidRPr="005342A5">
        <w:rPr>
          <w:lang w:val="en-US"/>
        </w:rPr>
        <w:t>The pairs w</w:t>
      </w:r>
      <w:r w:rsidR="00B06419">
        <w:rPr>
          <w:lang w:val="en-US"/>
        </w:rPr>
        <w:t xml:space="preserve">here 0 sex acts were predicted </w:t>
      </w:r>
      <w:r w:rsidRPr="005342A5">
        <w:rPr>
          <w:lang w:val="en-US"/>
        </w:rPr>
        <w:t>w</w:t>
      </w:r>
      <w:r w:rsidR="004B5CC1" w:rsidRPr="005342A5">
        <w:rPr>
          <w:lang w:val="en-US"/>
        </w:rPr>
        <w:t>ere</w:t>
      </w:r>
      <w:r w:rsidRPr="005342A5">
        <w:rPr>
          <w:lang w:val="en-US"/>
        </w:rPr>
        <w:t xml:space="preserve"> removed from the edge</w:t>
      </w:r>
      <w:r w:rsidR="00404408" w:rsidRPr="005342A5">
        <w:rPr>
          <w:lang w:val="en-US"/>
        </w:rPr>
        <w:t>-</w:t>
      </w:r>
      <w:r w:rsidRPr="005342A5">
        <w:rPr>
          <w:lang w:val="en-US"/>
        </w:rPr>
        <w:t>list, and the final edge</w:t>
      </w:r>
      <w:r w:rsidR="00404408" w:rsidRPr="005342A5">
        <w:rPr>
          <w:lang w:val="en-US"/>
        </w:rPr>
        <w:t>-l</w:t>
      </w:r>
      <w:r w:rsidRPr="005342A5">
        <w:rPr>
          <w:lang w:val="en-US"/>
        </w:rPr>
        <w:t>ist contain</w:t>
      </w:r>
      <w:r w:rsidR="004B5CC1" w:rsidRPr="005342A5">
        <w:rPr>
          <w:lang w:val="en-US"/>
        </w:rPr>
        <w:t>ed</w:t>
      </w:r>
      <w:r w:rsidRPr="005342A5">
        <w:rPr>
          <w:lang w:val="en-US"/>
        </w:rPr>
        <w:t xml:space="preserve"> the IDs of the two </w:t>
      </w:r>
      <w:r w:rsidR="00B97CA0" w:rsidRPr="005342A5">
        <w:rPr>
          <w:lang w:val="en-US"/>
        </w:rPr>
        <w:t>partners</w:t>
      </w:r>
      <w:r w:rsidRPr="005342A5">
        <w:rPr>
          <w:lang w:val="en-US"/>
        </w:rPr>
        <w:t>, the type of relationship (</w:t>
      </w:r>
      <w:r w:rsidR="000C6DB4">
        <w:rPr>
          <w:lang w:val="en-US"/>
        </w:rPr>
        <w:t>steady</w:t>
      </w:r>
      <w:r w:rsidRPr="005342A5">
        <w:rPr>
          <w:lang w:val="en-US"/>
        </w:rPr>
        <w:t>/casual)</w:t>
      </w:r>
      <w:r w:rsidR="002B27E8">
        <w:rPr>
          <w:lang w:val="en-US"/>
        </w:rPr>
        <w:t xml:space="preserve"> </w:t>
      </w:r>
      <w:r w:rsidR="00B97CA0" w:rsidRPr="005342A5">
        <w:rPr>
          <w:lang w:val="en-US"/>
        </w:rPr>
        <w:t>on a given</w:t>
      </w:r>
      <w:r w:rsidRPr="005342A5">
        <w:rPr>
          <w:lang w:val="en-US"/>
        </w:rPr>
        <w:t xml:space="preserve"> time step. </w:t>
      </w:r>
    </w:p>
    <w:p w14:paraId="747EA563" w14:textId="25222AB1" w:rsidR="00733C5E" w:rsidRDefault="00733C5E" w:rsidP="00733C5E">
      <w:pPr>
        <w:rPr>
          <w:lang w:val="en-US"/>
        </w:rPr>
      </w:pPr>
      <w:bookmarkStart w:id="13" w:name="_Hlk93660146"/>
      <w:r w:rsidRPr="005342A5">
        <w:rPr>
          <w:lang w:val="en-US"/>
        </w:rPr>
        <w:t xml:space="preserve">Each sex act contained a combination of six sex types: oral sex (between urethra and pharynx), oro-anal (between pharynx and rectum) and anal sex (between urethra and rectum), each of which could be either insertive or receptive. </w:t>
      </w:r>
      <w:bookmarkEnd w:id="13"/>
      <w:r w:rsidRPr="005342A5">
        <w:rPr>
          <w:lang w:val="en-US"/>
        </w:rPr>
        <w:t xml:space="preserve">As insertive and receptive we define the sex role of the partners in each sex act. Without loss of generality, the first partner in the edge list was always assumed to be reporting the sex act, thus, the insertive/receptive sex act will reflect that person’s sex role. For example, if insertive oral sex was reported, then the anatomical sites involved was the first person’s urethra and the second person’s pharynx. </w:t>
      </w:r>
      <w:bookmarkStart w:id="14" w:name="_Hlk93660469"/>
      <w:r w:rsidRPr="005342A5">
        <w:rPr>
          <w:lang w:val="en-US"/>
        </w:rPr>
        <w:t xml:space="preserve">Each combination of sex types was selected randomly based on the frequency </w:t>
      </w:r>
      <w:r>
        <w:rPr>
          <w:lang w:val="en-US"/>
        </w:rPr>
        <w:t>of sex act combinations as reported in the EMIS</w:t>
      </w:r>
      <w:r w:rsidR="000C6DB4">
        <w:rPr>
          <w:lang w:val="en-US"/>
        </w:rPr>
        <w:t>-</w:t>
      </w:r>
      <w:r>
        <w:rPr>
          <w:lang w:val="en-US"/>
        </w:rPr>
        <w:t xml:space="preserve">2017 </w:t>
      </w:r>
      <w:bookmarkEnd w:id="14"/>
      <w:r w:rsidRPr="005342A5">
        <w:rPr>
          <w:lang w:val="en-US"/>
        </w:rPr>
        <w:t>(</w:t>
      </w:r>
      <w:r w:rsidRPr="005342A5">
        <w:rPr>
          <w:lang w:val="en-US"/>
        </w:rPr>
        <w:fldChar w:fldCharType="begin"/>
      </w:r>
      <w:r w:rsidRPr="005342A5">
        <w:rPr>
          <w:lang w:val="en-US"/>
        </w:rPr>
        <w:instrText xml:space="preserve"> REF _Ref83996914 \h </w:instrText>
      </w:r>
      <w:r w:rsidRPr="005342A5">
        <w:rPr>
          <w:lang w:val="en-US"/>
        </w:rPr>
      </w:r>
      <w:r w:rsidRPr="005342A5">
        <w:rPr>
          <w:lang w:val="en-US"/>
        </w:rPr>
        <w:fldChar w:fldCharType="separate"/>
      </w:r>
      <w:r w:rsidR="005973B4" w:rsidRPr="005342A5">
        <w:rPr>
          <w:lang w:val="en-US"/>
        </w:rPr>
        <w:t>Table S</w:t>
      </w:r>
      <w:r w:rsidR="005973B4">
        <w:rPr>
          <w:noProof/>
          <w:lang w:val="en-US"/>
        </w:rPr>
        <w:t>7</w:t>
      </w:r>
      <w:r w:rsidRPr="005342A5">
        <w:rPr>
          <w:lang w:val="en-US"/>
        </w:rPr>
        <w:fldChar w:fldCharType="end"/>
      </w:r>
      <w:r w:rsidRPr="005342A5">
        <w:rPr>
          <w:lang w:val="en-US"/>
        </w:rPr>
        <w:t xml:space="preserve">). Some combinations of sex types in the published table returned zero probability, which would be unrealistic </w:t>
      </w:r>
      <w:r w:rsidR="004D204F">
        <w:rPr>
          <w:lang w:val="en-US"/>
        </w:rPr>
        <w:t>at</w:t>
      </w:r>
      <w:r w:rsidRPr="005342A5">
        <w:rPr>
          <w:lang w:val="en-US"/>
        </w:rPr>
        <w:t xml:space="preserve"> the population level. Thus, the probabilities for each combination of sex type were adjusted to correct for this shortcoming of the data. Half of the smallest observed probability (0.</w:t>
      </w:r>
      <w:r>
        <w:rPr>
          <w:lang w:val="en-US"/>
        </w:rPr>
        <w:t>0</w:t>
      </w:r>
      <w:r w:rsidRPr="005342A5">
        <w:rPr>
          <w:lang w:val="en-US"/>
        </w:rPr>
        <w:t xml:space="preserve">2%) was arbitrarily assigned to all combinations with a zero probability in the dataset. The remaining probabilities were adjusted using the assumption of a fixed ratio between the adjusted and original probabilities, in order to </w:t>
      </w:r>
      <w:r w:rsidR="004D204F">
        <w:rPr>
          <w:lang w:val="en-US"/>
        </w:rPr>
        <w:t>ensure</w:t>
      </w:r>
      <w:r w:rsidR="004D204F" w:rsidRPr="005342A5">
        <w:rPr>
          <w:lang w:val="en-US"/>
        </w:rPr>
        <w:t xml:space="preserve"> </w:t>
      </w:r>
      <w:r w:rsidRPr="005342A5">
        <w:rPr>
          <w:lang w:val="en-US"/>
        </w:rPr>
        <w:t xml:space="preserve">the sum of all probabilities </w:t>
      </w:r>
      <w:r w:rsidR="004D204F">
        <w:rPr>
          <w:lang w:val="en-US"/>
        </w:rPr>
        <w:t>equals</w:t>
      </w:r>
      <w:r w:rsidR="004D204F" w:rsidRPr="005342A5">
        <w:rPr>
          <w:lang w:val="en-US"/>
        </w:rPr>
        <w:t xml:space="preserve"> </w:t>
      </w:r>
      <w:r w:rsidRPr="005342A5">
        <w:rPr>
          <w:lang w:val="en-US"/>
        </w:rPr>
        <w:t xml:space="preserve">1. </w:t>
      </w:r>
    </w:p>
    <w:p w14:paraId="4FE19122" w14:textId="77777777" w:rsidR="00733C5E" w:rsidRPr="005342A5" w:rsidRDefault="00733C5E" w:rsidP="00733C5E">
      <w:pPr>
        <w:rPr>
          <w:lang w:val="en-US"/>
        </w:rPr>
      </w:pPr>
    </w:p>
    <w:p w14:paraId="1B89B66C" w14:textId="25EEEB12" w:rsidR="00733C5E" w:rsidRDefault="00733C5E" w:rsidP="00733C5E">
      <w:pPr>
        <w:pStyle w:val="Caption"/>
        <w:rPr>
          <w:lang w:val="en-US"/>
        </w:rPr>
      </w:pPr>
      <w:bookmarkStart w:id="15" w:name="_Ref83996914"/>
      <w:r w:rsidRPr="005342A5">
        <w:rPr>
          <w:lang w:val="en-US"/>
        </w:rPr>
        <w:t>Table S</w:t>
      </w:r>
      <w:r w:rsidRPr="005342A5">
        <w:rPr>
          <w:lang w:val="en-US"/>
        </w:rPr>
        <w:fldChar w:fldCharType="begin"/>
      </w:r>
      <w:r w:rsidRPr="005342A5">
        <w:rPr>
          <w:lang w:val="en-US"/>
        </w:rPr>
        <w:instrText xml:space="preserve"> SEQ Table \* ARABIC </w:instrText>
      </w:r>
      <w:r w:rsidRPr="005342A5">
        <w:rPr>
          <w:lang w:val="en-US"/>
        </w:rPr>
        <w:fldChar w:fldCharType="separate"/>
      </w:r>
      <w:r w:rsidR="00A1207D">
        <w:rPr>
          <w:noProof/>
          <w:lang w:val="en-US"/>
        </w:rPr>
        <w:t>7</w:t>
      </w:r>
      <w:r w:rsidRPr="005342A5">
        <w:rPr>
          <w:lang w:val="en-US"/>
        </w:rPr>
        <w:fldChar w:fldCharType="end"/>
      </w:r>
      <w:bookmarkEnd w:id="15"/>
      <w:r w:rsidRPr="005342A5">
        <w:rPr>
          <w:lang w:val="en-US"/>
        </w:rPr>
        <w:t>: Combination of sex acts and probabilities</w:t>
      </w:r>
    </w:p>
    <w:tbl>
      <w:tblPr>
        <w:tblStyle w:val="ListTable1Light"/>
        <w:tblW w:w="9202" w:type="dxa"/>
        <w:tblLook w:val="04A0" w:firstRow="1" w:lastRow="0" w:firstColumn="1" w:lastColumn="0" w:noHBand="0" w:noVBand="1"/>
      </w:tblPr>
      <w:tblGrid>
        <w:gridCol w:w="1102"/>
        <w:gridCol w:w="1096"/>
        <w:gridCol w:w="993"/>
        <w:gridCol w:w="1096"/>
        <w:gridCol w:w="1017"/>
        <w:gridCol w:w="1096"/>
        <w:gridCol w:w="1444"/>
        <w:gridCol w:w="1444"/>
      </w:tblGrid>
      <w:tr w:rsidR="00733C5E" w:rsidRPr="00B06419" w14:paraId="793113E9" w14:textId="77777777" w:rsidTr="004F37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9" w:type="dxa"/>
            <w:gridSpan w:val="2"/>
            <w:noWrap/>
          </w:tcPr>
          <w:p w14:paraId="0D280463" w14:textId="77777777" w:rsidR="00733C5E" w:rsidRPr="00B06419" w:rsidRDefault="00733C5E" w:rsidP="004F3747">
            <w:pPr>
              <w:jc w:val="right"/>
              <w:rPr>
                <w:rFonts w:ascii="Calibri" w:eastAsia="Times New Roman" w:hAnsi="Calibri" w:cs="Calibri"/>
                <w:color w:val="000000"/>
                <w:lang w:eastAsia="nl-BE"/>
              </w:rPr>
            </w:pPr>
            <w:r w:rsidRPr="005342A5">
              <w:rPr>
                <w:lang w:val="en-US"/>
              </w:rPr>
              <w:t>Oral sex</w:t>
            </w:r>
          </w:p>
        </w:tc>
        <w:tc>
          <w:tcPr>
            <w:tcW w:w="2045" w:type="dxa"/>
            <w:gridSpan w:val="2"/>
            <w:noWrap/>
          </w:tcPr>
          <w:p w14:paraId="533CF174" w14:textId="77777777" w:rsidR="00733C5E" w:rsidRPr="00B06419" w:rsidRDefault="00733C5E" w:rsidP="004F374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342A5">
              <w:rPr>
                <w:lang w:val="en-US"/>
              </w:rPr>
              <w:t>Oro-anal sex</w:t>
            </w:r>
          </w:p>
        </w:tc>
        <w:tc>
          <w:tcPr>
            <w:tcW w:w="2090" w:type="dxa"/>
            <w:gridSpan w:val="2"/>
            <w:noWrap/>
          </w:tcPr>
          <w:p w14:paraId="6407BE6A" w14:textId="77777777" w:rsidR="00733C5E" w:rsidRPr="00B06419" w:rsidRDefault="00733C5E" w:rsidP="004F374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342A5">
              <w:rPr>
                <w:lang w:val="en-US"/>
              </w:rPr>
              <w:t>Anal sex</w:t>
            </w:r>
          </w:p>
        </w:tc>
        <w:tc>
          <w:tcPr>
            <w:tcW w:w="1444" w:type="dxa"/>
            <w:noWrap/>
          </w:tcPr>
          <w:p w14:paraId="1820C918" w14:textId="77777777" w:rsidR="00733C5E" w:rsidRPr="00B06419" w:rsidRDefault="00733C5E" w:rsidP="004F374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342A5">
              <w:rPr>
                <w:lang w:val="en-US"/>
              </w:rPr>
              <w:t>Probability</w:t>
            </w:r>
          </w:p>
        </w:tc>
        <w:tc>
          <w:tcPr>
            <w:tcW w:w="1444" w:type="dxa"/>
            <w:noWrap/>
          </w:tcPr>
          <w:p w14:paraId="3CCF565D" w14:textId="77777777" w:rsidR="00733C5E" w:rsidRPr="00B06419" w:rsidRDefault="00733C5E" w:rsidP="004F374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342A5">
              <w:rPr>
                <w:lang w:val="en-US"/>
              </w:rPr>
              <w:t>Adjusted probability</w:t>
            </w:r>
          </w:p>
        </w:tc>
      </w:tr>
      <w:tr w:rsidR="00733C5E" w:rsidRPr="00B06419" w14:paraId="2D7925C5"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tcPr>
          <w:p w14:paraId="6AD5C196" w14:textId="77777777" w:rsidR="00733C5E" w:rsidRPr="00B06419" w:rsidRDefault="00733C5E" w:rsidP="004F3747">
            <w:pPr>
              <w:jc w:val="right"/>
              <w:rPr>
                <w:rFonts w:ascii="Calibri" w:eastAsia="Times New Roman" w:hAnsi="Calibri" w:cs="Calibri"/>
                <w:color w:val="000000"/>
                <w:lang w:eastAsia="nl-BE"/>
              </w:rPr>
            </w:pPr>
            <w:r w:rsidRPr="005342A5">
              <w:rPr>
                <w:b w:val="0"/>
                <w:bCs w:val="0"/>
                <w:lang w:val="en-US"/>
              </w:rPr>
              <w:t>Insertive</w:t>
            </w:r>
          </w:p>
        </w:tc>
        <w:tc>
          <w:tcPr>
            <w:tcW w:w="1073" w:type="dxa"/>
            <w:noWrap/>
          </w:tcPr>
          <w:p w14:paraId="25707FB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5342A5">
              <w:rPr>
                <w:lang w:val="en-US"/>
              </w:rPr>
              <w:t>Receptive</w:t>
            </w:r>
          </w:p>
        </w:tc>
        <w:tc>
          <w:tcPr>
            <w:tcW w:w="972" w:type="dxa"/>
            <w:noWrap/>
          </w:tcPr>
          <w:p w14:paraId="67E082C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5342A5">
              <w:rPr>
                <w:lang w:val="en-US"/>
              </w:rPr>
              <w:t>Insertive</w:t>
            </w:r>
          </w:p>
        </w:tc>
        <w:tc>
          <w:tcPr>
            <w:tcW w:w="1073" w:type="dxa"/>
            <w:noWrap/>
          </w:tcPr>
          <w:p w14:paraId="2B06947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5342A5">
              <w:rPr>
                <w:lang w:val="en-US"/>
              </w:rPr>
              <w:t>Receptive</w:t>
            </w:r>
          </w:p>
        </w:tc>
        <w:tc>
          <w:tcPr>
            <w:tcW w:w="1017" w:type="dxa"/>
            <w:noWrap/>
          </w:tcPr>
          <w:p w14:paraId="367B6B1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5342A5">
              <w:rPr>
                <w:lang w:val="en-US"/>
              </w:rPr>
              <w:t>Insertive</w:t>
            </w:r>
          </w:p>
        </w:tc>
        <w:tc>
          <w:tcPr>
            <w:tcW w:w="1073" w:type="dxa"/>
            <w:noWrap/>
          </w:tcPr>
          <w:p w14:paraId="37C7DF2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5342A5">
              <w:rPr>
                <w:lang w:val="en-US"/>
              </w:rPr>
              <w:t>Receptive</w:t>
            </w:r>
          </w:p>
        </w:tc>
        <w:tc>
          <w:tcPr>
            <w:tcW w:w="1444" w:type="dxa"/>
            <w:noWrap/>
          </w:tcPr>
          <w:p w14:paraId="09C8521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p>
        </w:tc>
        <w:tc>
          <w:tcPr>
            <w:tcW w:w="1444" w:type="dxa"/>
            <w:noWrap/>
          </w:tcPr>
          <w:p w14:paraId="65028A1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p>
        </w:tc>
      </w:tr>
      <w:tr w:rsidR="00733C5E" w:rsidRPr="00B06419" w14:paraId="2E25A22E"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tcPr>
          <w:p w14:paraId="1BAAC8FD" w14:textId="77777777" w:rsidR="00733C5E" w:rsidRPr="00724A25"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tcPr>
          <w:p w14:paraId="01ED644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tcPr>
          <w:p w14:paraId="0B2C035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tcPr>
          <w:p w14:paraId="3289899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tcPr>
          <w:p w14:paraId="616F191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tcPr>
          <w:p w14:paraId="7E2181D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tcPr>
          <w:p w14:paraId="66801E5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0.0138</w:t>
            </w:r>
          </w:p>
        </w:tc>
        <w:tc>
          <w:tcPr>
            <w:tcW w:w="1444" w:type="dxa"/>
            <w:noWrap/>
          </w:tcPr>
          <w:p w14:paraId="5C185FF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0.0137</w:t>
            </w:r>
          </w:p>
        </w:tc>
      </w:tr>
      <w:tr w:rsidR="00733C5E" w:rsidRPr="00B06419" w14:paraId="39D996F7"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74CB7B53"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3D471D5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6C3D1B3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F4A2F4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C047B0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2F18DD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77DB756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0.0133</w:t>
            </w:r>
          </w:p>
        </w:tc>
        <w:tc>
          <w:tcPr>
            <w:tcW w:w="1444" w:type="dxa"/>
            <w:noWrap/>
            <w:hideMark/>
          </w:tcPr>
          <w:p w14:paraId="3934CE4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0.0133</w:t>
            </w:r>
          </w:p>
        </w:tc>
      </w:tr>
      <w:tr w:rsidR="00733C5E" w:rsidRPr="00B06419" w14:paraId="3D4B3620"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6B81452A"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5947486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1EB08F4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67548B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0C72AD7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6751E6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761CE28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c>
          <w:tcPr>
            <w:tcW w:w="1444" w:type="dxa"/>
            <w:noWrap/>
            <w:hideMark/>
          </w:tcPr>
          <w:p w14:paraId="4D2C732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r>
      <w:tr w:rsidR="00733C5E" w:rsidRPr="00B06419" w14:paraId="7CC995A0"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9684CF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015E0D7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1037E86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BDC4EA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5DC3273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22C43B6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5D27B0C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c>
          <w:tcPr>
            <w:tcW w:w="1444" w:type="dxa"/>
            <w:noWrap/>
            <w:hideMark/>
          </w:tcPr>
          <w:p w14:paraId="56B51A9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r>
      <w:tr w:rsidR="00733C5E" w:rsidRPr="00B06419" w14:paraId="2828B438"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5C7E109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6B5029A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7D5BDF7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898976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20F4DC5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CB545C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0143A7A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0.0033</w:t>
            </w:r>
          </w:p>
        </w:tc>
        <w:tc>
          <w:tcPr>
            <w:tcW w:w="1444" w:type="dxa"/>
            <w:noWrap/>
            <w:hideMark/>
          </w:tcPr>
          <w:p w14:paraId="1B83BE5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0.0033</w:t>
            </w:r>
          </w:p>
        </w:tc>
      </w:tr>
      <w:tr w:rsidR="00733C5E" w:rsidRPr="00B06419" w14:paraId="07279307"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C968D51"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76B82AC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124D643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E096E4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0AD7DE9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68380C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4DEF388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6D58EA7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00AA65FA"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440253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7BE0BF9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7822F36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FE161E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3475DBD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880C4B8"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6F077DF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c>
          <w:tcPr>
            <w:tcW w:w="1444" w:type="dxa"/>
            <w:noWrap/>
            <w:hideMark/>
          </w:tcPr>
          <w:p w14:paraId="0D79472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r>
      <w:tr w:rsidR="00733C5E" w:rsidRPr="00B06419" w14:paraId="1C298EFD"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2416E903"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1DF5CC9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79B7950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2DD755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4EB5E9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499052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5D6850E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05F4D20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38DFA954"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15F47D8"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3F53EB5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1177E8C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4029275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05D78F7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9A7DE6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780B561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c>
          <w:tcPr>
            <w:tcW w:w="1444" w:type="dxa"/>
            <w:noWrap/>
            <w:hideMark/>
          </w:tcPr>
          <w:p w14:paraId="65F310F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r>
      <w:tr w:rsidR="00733C5E" w:rsidRPr="00B06419" w14:paraId="6E9E427F"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776FD92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18EB6F2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1B1358D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043589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42AA6CB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F18F2A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1B22ED6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25F978D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391D919F"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869F34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23A6CF6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517039E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96A1A5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680BFF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4512A18"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8C8998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22B5F24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3F96AD7C"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E686132"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45658C3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63C1C82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C28E27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678444E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5853ED5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26C50EE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70D8934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0E000375"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28A4BC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5E8A1A6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7324176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4AA3459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74B1133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83ACD4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12E2859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172BFFC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0C0A7031"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1915FA5"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310F030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27F2EA7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D19E4C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556A37F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66F2469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7789ECD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0150990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3D74817C"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77EBD74"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2436CC38"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65453D98"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C58F01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6AFF418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D81A11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10E19D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250149A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03E506B4"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99853C1"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23D1E78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46AD27A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BD5F45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A0AEDC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0505B5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55CCB1A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0.0475</w:t>
            </w:r>
          </w:p>
        </w:tc>
        <w:tc>
          <w:tcPr>
            <w:tcW w:w="1444" w:type="dxa"/>
            <w:noWrap/>
            <w:hideMark/>
          </w:tcPr>
          <w:p w14:paraId="28C7611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0.0474</w:t>
            </w:r>
          </w:p>
        </w:tc>
      </w:tr>
      <w:tr w:rsidR="00733C5E" w:rsidRPr="00B06419" w14:paraId="7D87D075"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43EDC38"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7A9305F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7559BD3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EBC95A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73C6548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1AA59A9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E2904F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0.0456</w:t>
            </w:r>
          </w:p>
        </w:tc>
        <w:tc>
          <w:tcPr>
            <w:tcW w:w="1444" w:type="dxa"/>
            <w:noWrap/>
            <w:hideMark/>
          </w:tcPr>
          <w:p w14:paraId="66AFB38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0.0455</w:t>
            </w:r>
          </w:p>
        </w:tc>
      </w:tr>
      <w:tr w:rsidR="00733C5E" w:rsidRPr="00B06419" w14:paraId="4DC7C127"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5E55071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7EFE27D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774A5FA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B457FA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343E599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6FF094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111407C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0.0038</w:t>
            </w:r>
          </w:p>
        </w:tc>
        <w:tc>
          <w:tcPr>
            <w:tcW w:w="1444" w:type="dxa"/>
            <w:noWrap/>
            <w:hideMark/>
          </w:tcPr>
          <w:p w14:paraId="487BBB2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0.0038</w:t>
            </w:r>
          </w:p>
        </w:tc>
      </w:tr>
      <w:tr w:rsidR="00733C5E" w:rsidRPr="00B06419" w14:paraId="38BF06E2"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349C3E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3FEDE48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246557A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5EDF8FA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4196130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564602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66C8F6D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c>
          <w:tcPr>
            <w:tcW w:w="1444" w:type="dxa"/>
            <w:noWrap/>
            <w:hideMark/>
          </w:tcPr>
          <w:p w14:paraId="46B2143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r>
      <w:tr w:rsidR="00733C5E" w:rsidRPr="00B06419" w14:paraId="0CAA9E7D"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377D1B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76B5032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1946559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A4F6AA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13BAB9B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D72AA4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32FAF34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0.0024</w:t>
            </w:r>
          </w:p>
        </w:tc>
        <w:tc>
          <w:tcPr>
            <w:tcW w:w="1444" w:type="dxa"/>
            <w:noWrap/>
            <w:hideMark/>
          </w:tcPr>
          <w:p w14:paraId="6053DF4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0.0024</w:t>
            </w:r>
          </w:p>
        </w:tc>
      </w:tr>
      <w:tr w:rsidR="00733C5E" w:rsidRPr="00B06419" w14:paraId="743C7D77"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88ECB2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69142AF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45C0845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5A101A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0CCA130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F49C55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0C23AE5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0.0214</w:t>
            </w:r>
          </w:p>
        </w:tc>
        <w:tc>
          <w:tcPr>
            <w:tcW w:w="1444" w:type="dxa"/>
            <w:noWrap/>
            <w:hideMark/>
          </w:tcPr>
          <w:p w14:paraId="4FE3E10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0.0213</w:t>
            </w:r>
          </w:p>
        </w:tc>
      </w:tr>
      <w:tr w:rsidR="00733C5E" w:rsidRPr="00B06419" w14:paraId="7105E2B5"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FA639B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3700E22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7F075E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1EE86EF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55F6F01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D64CEA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1F59075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c>
          <w:tcPr>
            <w:tcW w:w="1444" w:type="dxa"/>
            <w:noWrap/>
            <w:hideMark/>
          </w:tcPr>
          <w:p w14:paraId="357BFF8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r>
      <w:tr w:rsidR="00733C5E" w:rsidRPr="00B06419" w14:paraId="4DC8F6A1"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9D73AB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20F3FC7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4B28F20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CD9514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3810EC9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C51FD6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7073455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c>
          <w:tcPr>
            <w:tcW w:w="1444" w:type="dxa"/>
            <w:noWrap/>
            <w:hideMark/>
          </w:tcPr>
          <w:p w14:paraId="1138DED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0.0014</w:t>
            </w:r>
          </w:p>
        </w:tc>
      </w:tr>
      <w:tr w:rsidR="00733C5E" w:rsidRPr="00B06419" w14:paraId="4A921B48"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1AA5E3F"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lastRenderedPageBreak/>
              <w:t>0</w:t>
            </w:r>
          </w:p>
        </w:tc>
        <w:tc>
          <w:tcPr>
            <w:tcW w:w="1073" w:type="dxa"/>
            <w:noWrap/>
            <w:hideMark/>
          </w:tcPr>
          <w:p w14:paraId="6FEE75F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2A30983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54B554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612AD6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2594106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3C4534A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0.0081</w:t>
            </w:r>
          </w:p>
        </w:tc>
        <w:tc>
          <w:tcPr>
            <w:tcW w:w="1444" w:type="dxa"/>
            <w:noWrap/>
            <w:hideMark/>
          </w:tcPr>
          <w:p w14:paraId="4601B53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0.0081</w:t>
            </w:r>
          </w:p>
        </w:tc>
      </w:tr>
      <w:tr w:rsidR="00733C5E" w:rsidRPr="00B06419" w14:paraId="1F295CE8"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622D6F3F"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0411B8C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6EA6B8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A2D087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0CA9B96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63B9DC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181FEB6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0.0128</w:t>
            </w:r>
          </w:p>
        </w:tc>
        <w:tc>
          <w:tcPr>
            <w:tcW w:w="1444" w:type="dxa"/>
            <w:noWrap/>
            <w:hideMark/>
          </w:tcPr>
          <w:p w14:paraId="1B97872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0.0128</w:t>
            </w:r>
          </w:p>
        </w:tc>
      </w:tr>
      <w:tr w:rsidR="00733C5E" w:rsidRPr="00B06419" w14:paraId="520C4D2E"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0DDF36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2DD0201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246D0D5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06A5B8C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1EAE223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962E70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0246C67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0.0033</w:t>
            </w:r>
          </w:p>
        </w:tc>
        <w:tc>
          <w:tcPr>
            <w:tcW w:w="1444" w:type="dxa"/>
            <w:noWrap/>
            <w:hideMark/>
          </w:tcPr>
          <w:p w14:paraId="7038E73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0.0033</w:t>
            </w:r>
          </w:p>
        </w:tc>
      </w:tr>
      <w:tr w:rsidR="00733C5E" w:rsidRPr="00B06419" w14:paraId="29FA7B08"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CF9C0D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5467DDD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2FB70E0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CA1D28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0715359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3B4D6F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BA6982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0.0019</w:t>
            </w:r>
          </w:p>
        </w:tc>
        <w:tc>
          <w:tcPr>
            <w:tcW w:w="1444" w:type="dxa"/>
            <w:noWrap/>
            <w:hideMark/>
          </w:tcPr>
          <w:p w14:paraId="2128817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0.0019</w:t>
            </w:r>
          </w:p>
        </w:tc>
      </w:tr>
      <w:tr w:rsidR="00733C5E" w:rsidRPr="00B06419" w14:paraId="3748757A"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94EB77A"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2BE1876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0615651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DD342C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2CB57A9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92D235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63B084D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c>
          <w:tcPr>
            <w:tcW w:w="1444" w:type="dxa"/>
            <w:noWrap/>
            <w:hideMark/>
          </w:tcPr>
          <w:p w14:paraId="05E4D83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r>
      <w:tr w:rsidR="00733C5E" w:rsidRPr="00B06419" w14:paraId="43032BDC"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71CF9093"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42EA4DA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1B1585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B9680D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57DA327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8CDEDA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3F22AF8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0.0071</w:t>
            </w:r>
          </w:p>
        </w:tc>
        <w:tc>
          <w:tcPr>
            <w:tcW w:w="1444" w:type="dxa"/>
            <w:noWrap/>
            <w:hideMark/>
          </w:tcPr>
          <w:p w14:paraId="30B5A18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0.0071</w:t>
            </w:r>
          </w:p>
        </w:tc>
      </w:tr>
      <w:tr w:rsidR="00733C5E" w:rsidRPr="00B06419" w14:paraId="59500B1B"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6BB67302"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5166F6A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761075B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0802D7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005E101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39D248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2E8FB39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59E8F6C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338059C5"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6EC6EA5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0</w:t>
            </w:r>
          </w:p>
        </w:tc>
        <w:tc>
          <w:tcPr>
            <w:tcW w:w="1073" w:type="dxa"/>
            <w:noWrap/>
            <w:hideMark/>
          </w:tcPr>
          <w:p w14:paraId="6018FC2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98E110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A30F1F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62C0880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0F3007F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40AEF6E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134404F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01E02D44"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5E0097B5"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57C8DCF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4FD28E6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5BAE03F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3DDB394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1E31401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6275AB3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0.0328</w:t>
            </w:r>
          </w:p>
        </w:tc>
        <w:tc>
          <w:tcPr>
            <w:tcW w:w="1444" w:type="dxa"/>
            <w:noWrap/>
            <w:hideMark/>
          </w:tcPr>
          <w:p w14:paraId="57375C6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0.0327</w:t>
            </w:r>
          </w:p>
        </w:tc>
      </w:tr>
      <w:tr w:rsidR="00733C5E" w:rsidRPr="00B06419" w14:paraId="5057C273"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0354161"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6619D82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0885CCE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1011612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05C8DC5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5BA319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30DB0A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0.0028</w:t>
            </w:r>
          </w:p>
        </w:tc>
        <w:tc>
          <w:tcPr>
            <w:tcW w:w="1444" w:type="dxa"/>
            <w:noWrap/>
            <w:hideMark/>
          </w:tcPr>
          <w:p w14:paraId="4F3F742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0.0028</w:t>
            </w:r>
          </w:p>
        </w:tc>
      </w:tr>
      <w:tr w:rsidR="00733C5E" w:rsidRPr="00B06419" w14:paraId="26918B92"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51CB9E2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0B7F18F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25EE34B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E69410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66F0564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D2AA62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58340CA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0.0394</w:t>
            </w:r>
          </w:p>
        </w:tc>
        <w:tc>
          <w:tcPr>
            <w:tcW w:w="1444" w:type="dxa"/>
            <w:noWrap/>
            <w:hideMark/>
          </w:tcPr>
          <w:p w14:paraId="5FD5C27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0.0393</w:t>
            </w:r>
          </w:p>
        </w:tc>
      </w:tr>
      <w:tr w:rsidR="00733C5E" w:rsidRPr="00B06419" w14:paraId="5EAA8D0B"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8A4390E"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0F2D9FD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64598EB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5AC5B2C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6D67D55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436FE65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36E43D98"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c>
          <w:tcPr>
            <w:tcW w:w="1444" w:type="dxa"/>
            <w:noWrap/>
            <w:hideMark/>
          </w:tcPr>
          <w:p w14:paraId="6D1BCD9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r>
      <w:tr w:rsidR="00733C5E" w:rsidRPr="00B06419" w14:paraId="7A87A512"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FF1B69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06F67F4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397E422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BBDA1B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74F1125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5F5963E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035B708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0.0085</w:t>
            </w:r>
          </w:p>
        </w:tc>
        <w:tc>
          <w:tcPr>
            <w:tcW w:w="1444" w:type="dxa"/>
            <w:noWrap/>
            <w:hideMark/>
          </w:tcPr>
          <w:p w14:paraId="65F81D4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0.0085</w:t>
            </w:r>
          </w:p>
        </w:tc>
      </w:tr>
      <w:tr w:rsidR="00733C5E" w:rsidRPr="00B06419" w14:paraId="797ECB39"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0D4AEE8"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3A46CE6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496A04C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3458C8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1E2CC8C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72004F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626B53D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0.0043</w:t>
            </w:r>
          </w:p>
        </w:tc>
        <w:tc>
          <w:tcPr>
            <w:tcW w:w="1444" w:type="dxa"/>
            <w:noWrap/>
            <w:hideMark/>
          </w:tcPr>
          <w:p w14:paraId="4A7B5BD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0.0043</w:t>
            </w:r>
          </w:p>
        </w:tc>
      </w:tr>
      <w:tr w:rsidR="00733C5E" w:rsidRPr="00B06419" w14:paraId="568CB4D1"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047498A"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19DCE21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49DB481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C69F7E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0858D07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242DDE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6A48550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0.0047</w:t>
            </w:r>
          </w:p>
        </w:tc>
        <w:tc>
          <w:tcPr>
            <w:tcW w:w="1444" w:type="dxa"/>
            <w:noWrap/>
            <w:hideMark/>
          </w:tcPr>
          <w:p w14:paraId="73F3443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0.0047</w:t>
            </w:r>
          </w:p>
        </w:tc>
      </w:tr>
      <w:tr w:rsidR="00733C5E" w:rsidRPr="00B06419" w14:paraId="60FBD4B9"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6F0190A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2A17A25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67BB189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FABAC9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480975E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DFDC0B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7AD802F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4BF7156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54D365FC"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81C96A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3BCD19A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465EEFD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4323FDD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6CD3EA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1AE94C9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032BC7A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0.0033</w:t>
            </w:r>
          </w:p>
        </w:tc>
        <w:tc>
          <w:tcPr>
            <w:tcW w:w="1444" w:type="dxa"/>
            <w:noWrap/>
            <w:hideMark/>
          </w:tcPr>
          <w:p w14:paraId="4196E4C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0.0033</w:t>
            </w:r>
          </w:p>
        </w:tc>
      </w:tr>
      <w:tr w:rsidR="00733C5E" w:rsidRPr="00B06419" w14:paraId="2F35A709"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CFC4E2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064F5E0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2DD6F1E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A0C2AE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2FD79C6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D9871E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C57DF7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c>
          <w:tcPr>
            <w:tcW w:w="1444" w:type="dxa"/>
            <w:noWrap/>
            <w:hideMark/>
          </w:tcPr>
          <w:p w14:paraId="322421E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r>
      <w:tr w:rsidR="00733C5E" w:rsidRPr="00B06419" w14:paraId="4AC02924"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855D15F"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4F4DFFD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7E5C4B7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5C72FA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357CE2F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31C769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45FDB28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0.0109</w:t>
            </w:r>
          </w:p>
        </w:tc>
        <w:tc>
          <w:tcPr>
            <w:tcW w:w="1444" w:type="dxa"/>
            <w:noWrap/>
            <w:hideMark/>
          </w:tcPr>
          <w:p w14:paraId="30B5D52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0.0109</w:t>
            </w:r>
          </w:p>
        </w:tc>
      </w:tr>
      <w:tr w:rsidR="00733C5E" w:rsidRPr="00B06419" w14:paraId="185EB161"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8F7255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4C605D9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27F31B4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46B7B0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1A5C2A9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CD9C0C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28C5BD2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44F57A3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20C828F9"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3C79375"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1A70B25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70768E5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0F3F9E8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16B1BC3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B8E910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675D92F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c>
          <w:tcPr>
            <w:tcW w:w="1444" w:type="dxa"/>
            <w:noWrap/>
            <w:hideMark/>
          </w:tcPr>
          <w:p w14:paraId="0BDC62D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0.0005</w:t>
            </w:r>
          </w:p>
        </w:tc>
      </w:tr>
      <w:tr w:rsidR="00733C5E" w:rsidRPr="00B06419" w14:paraId="3847CAD3"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9D896A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45182F0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4BD004E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06587C4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0BA4039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2E2A64E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2B6D38A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0.0000</w:t>
            </w:r>
          </w:p>
        </w:tc>
        <w:tc>
          <w:tcPr>
            <w:tcW w:w="1444" w:type="dxa"/>
            <w:noWrap/>
            <w:hideMark/>
          </w:tcPr>
          <w:p w14:paraId="1824010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0.0002</w:t>
            </w:r>
          </w:p>
        </w:tc>
      </w:tr>
      <w:tr w:rsidR="00733C5E" w:rsidRPr="00B06419" w14:paraId="3A0D8580"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53CC85C"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77DF44B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4B5D064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4AC61F1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2DA2AA2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465EE2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656F695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0.0024</w:t>
            </w:r>
          </w:p>
        </w:tc>
        <w:tc>
          <w:tcPr>
            <w:tcW w:w="1444" w:type="dxa"/>
            <w:noWrap/>
            <w:hideMark/>
          </w:tcPr>
          <w:p w14:paraId="7E2A5BB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0.0024</w:t>
            </w:r>
          </w:p>
        </w:tc>
      </w:tr>
      <w:tr w:rsidR="00733C5E" w:rsidRPr="00B06419" w14:paraId="658811A5"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3C74975"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7F59CBB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972" w:type="dxa"/>
            <w:noWrap/>
            <w:hideMark/>
          </w:tcPr>
          <w:p w14:paraId="32E83C5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260876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1C36C55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C3E904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0731A13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c>
          <w:tcPr>
            <w:tcW w:w="1444" w:type="dxa"/>
            <w:noWrap/>
            <w:hideMark/>
          </w:tcPr>
          <w:p w14:paraId="1601FE5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0.0009</w:t>
            </w:r>
          </w:p>
        </w:tc>
      </w:tr>
      <w:tr w:rsidR="00733C5E" w:rsidRPr="00B06419" w14:paraId="1F49C98C"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019DB4E"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6AFF1C8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57F6FF3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39A9275D"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2957DA7A"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2A653CE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08DF62A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0.1201</w:t>
            </w:r>
          </w:p>
        </w:tc>
        <w:tc>
          <w:tcPr>
            <w:tcW w:w="1444" w:type="dxa"/>
            <w:noWrap/>
            <w:hideMark/>
          </w:tcPr>
          <w:p w14:paraId="7CD8ABF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0.1199</w:t>
            </w:r>
          </w:p>
        </w:tc>
      </w:tr>
      <w:tr w:rsidR="00733C5E" w:rsidRPr="00B06419" w14:paraId="38920E06"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6CC5B6EE"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7807B5B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5AD2B44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05BB5D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395B674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295B96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44F7720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0.0736</w:t>
            </w:r>
          </w:p>
        </w:tc>
        <w:tc>
          <w:tcPr>
            <w:tcW w:w="1444" w:type="dxa"/>
            <w:noWrap/>
            <w:hideMark/>
          </w:tcPr>
          <w:p w14:paraId="63DD36F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0.0735</w:t>
            </w:r>
          </w:p>
        </w:tc>
      </w:tr>
      <w:tr w:rsidR="00733C5E" w:rsidRPr="00B06419" w14:paraId="7C879BE9"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5630DEC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2BDFA05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D17AD0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5054F96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66F179F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8E057B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3190D0C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0.0689</w:t>
            </w:r>
          </w:p>
        </w:tc>
        <w:tc>
          <w:tcPr>
            <w:tcW w:w="1444" w:type="dxa"/>
            <w:noWrap/>
            <w:hideMark/>
          </w:tcPr>
          <w:p w14:paraId="1BA74ED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0.0687</w:t>
            </w:r>
          </w:p>
        </w:tc>
      </w:tr>
      <w:tr w:rsidR="00733C5E" w:rsidRPr="00B06419" w14:paraId="248B4060"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797540BD"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22417FA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45CC1B2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23A014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464EF7E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E8911D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4B7F26E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0.0190</w:t>
            </w:r>
          </w:p>
        </w:tc>
        <w:tc>
          <w:tcPr>
            <w:tcW w:w="1444" w:type="dxa"/>
            <w:noWrap/>
            <w:hideMark/>
          </w:tcPr>
          <w:p w14:paraId="68050B3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0.0190</w:t>
            </w:r>
          </w:p>
        </w:tc>
      </w:tr>
      <w:tr w:rsidR="00733C5E" w:rsidRPr="00B06419" w14:paraId="2D07FCF4"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D317A18"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3E25AEA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46AB196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2CF9AC1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014B4F3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129A8B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7639A0B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0.0190</w:t>
            </w:r>
          </w:p>
        </w:tc>
        <w:tc>
          <w:tcPr>
            <w:tcW w:w="1444" w:type="dxa"/>
            <w:noWrap/>
            <w:hideMark/>
          </w:tcPr>
          <w:p w14:paraId="1BD7489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0.0190</w:t>
            </w:r>
          </w:p>
        </w:tc>
      </w:tr>
      <w:tr w:rsidR="00733C5E" w:rsidRPr="00B06419" w14:paraId="20810A35"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267FF668"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161CBE7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67C4788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751D3C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19372EC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7509361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7D6E09D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0.0802</w:t>
            </w:r>
          </w:p>
        </w:tc>
        <w:tc>
          <w:tcPr>
            <w:tcW w:w="1444" w:type="dxa"/>
            <w:noWrap/>
            <w:hideMark/>
          </w:tcPr>
          <w:p w14:paraId="017C818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0.0801</w:t>
            </w:r>
          </w:p>
        </w:tc>
      </w:tr>
      <w:tr w:rsidR="00733C5E" w:rsidRPr="00B06419" w14:paraId="34E3D415"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1714CA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429666E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1EF60E3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608BF37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740767B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B2257E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4F9422E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0.0123</w:t>
            </w:r>
          </w:p>
        </w:tc>
        <w:tc>
          <w:tcPr>
            <w:tcW w:w="1444" w:type="dxa"/>
            <w:noWrap/>
            <w:hideMark/>
          </w:tcPr>
          <w:p w14:paraId="010B987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0.0123</w:t>
            </w:r>
          </w:p>
        </w:tc>
      </w:tr>
      <w:tr w:rsidR="00733C5E" w:rsidRPr="00B06419" w14:paraId="350C6DD3"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234C09D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372244C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8B542F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1CD62C5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5F709538"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D19705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3F7A22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0.0190</w:t>
            </w:r>
          </w:p>
        </w:tc>
        <w:tc>
          <w:tcPr>
            <w:tcW w:w="1444" w:type="dxa"/>
            <w:noWrap/>
            <w:hideMark/>
          </w:tcPr>
          <w:p w14:paraId="5E13B4D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0.0190</w:t>
            </w:r>
          </w:p>
        </w:tc>
      </w:tr>
      <w:tr w:rsidR="00733C5E" w:rsidRPr="00B06419" w14:paraId="3E646439"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38DDFE7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3777C14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083F3E9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D506F8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11D498D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23F84C7E"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079B5631"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0.0171</w:t>
            </w:r>
          </w:p>
        </w:tc>
        <w:tc>
          <w:tcPr>
            <w:tcW w:w="1444" w:type="dxa"/>
            <w:noWrap/>
            <w:hideMark/>
          </w:tcPr>
          <w:p w14:paraId="6D46562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0.0171</w:t>
            </w:r>
          </w:p>
        </w:tc>
      </w:tr>
      <w:tr w:rsidR="00733C5E" w:rsidRPr="00B06419" w14:paraId="30676D9D"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2C65A5F7"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529CC49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632F39E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25CD840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584FA97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325CDD2"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5C55A79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0.0123</w:t>
            </w:r>
          </w:p>
        </w:tc>
        <w:tc>
          <w:tcPr>
            <w:tcW w:w="1444" w:type="dxa"/>
            <w:noWrap/>
            <w:hideMark/>
          </w:tcPr>
          <w:p w14:paraId="5D0BFFF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0.0123</w:t>
            </w:r>
          </w:p>
        </w:tc>
      </w:tr>
      <w:tr w:rsidR="00733C5E" w:rsidRPr="00B06419" w14:paraId="4A8E978E"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AE4F36F"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0C5BA32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28F8B27"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47DA2B8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17C514D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EBD4F6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3F9CE1D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0.0632</w:t>
            </w:r>
          </w:p>
        </w:tc>
        <w:tc>
          <w:tcPr>
            <w:tcW w:w="1444" w:type="dxa"/>
            <w:noWrap/>
            <w:hideMark/>
          </w:tcPr>
          <w:p w14:paraId="0090B57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0.0630</w:t>
            </w:r>
          </w:p>
        </w:tc>
      </w:tr>
      <w:tr w:rsidR="00733C5E" w:rsidRPr="00B06419" w14:paraId="29364B86"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5B59100E"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02C9DCD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152A6307"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625B02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17" w:type="dxa"/>
            <w:noWrap/>
            <w:hideMark/>
          </w:tcPr>
          <w:p w14:paraId="3EE2AF64"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196F5B2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6008E07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0.0104</w:t>
            </w:r>
          </w:p>
        </w:tc>
        <w:tc>
          <w:tcPr>
            <w:tcW w:w="1444" w:type="dxa"/>
            <w:noWrap/>
            <w:hideMark/>
          </w:tcPr>
          <w:p w14:paraId="4F98851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0.0104</w:t>
            </w:r>
          </w:p>
        </w:tc>
      </w:tr>
      <w:tr w:rsidR="00733C5E" w:rsidRPr="00B06419" w14:paraId="55E827E4"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22FC25CE"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3E43064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2C55E090"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594C24F"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66EF544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0680D9C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182F3A54"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0.0157</w:t>
            </w:r>
          </w:p>
        </w:tc>
        <w:tc>
          <w:tcPr>
            <w:tcW w:w="1444" w:type="dxa"/>
            <w:noWrap/>
            <w:hideMark/>
          </w:tcPr>
          <w:p w14:paraId="66DD613C"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0.0156</w:t>
            </w:r>
          </w:p>
        </w:tc>
      </w:tr>
      <w:tr w:rsidR="00733C5E" w:rsidRPr="00B06419" w14:paraId="062D308B"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464F41A6"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699665C1"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49CA7EE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7872F29A"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6CD1EEDC"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073" w:type="dxa"/>
            <w:noWrap/>
            <w:hideMark/>
          </w:tcPr>
          <w:p w14:paraId="4CC563EF"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4B97A4F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0.0456</w:t>
            </w:r>
          </w:p>
        </w:tc>
        <w:tc>
          <w:tcPr>
            <w:tcW w:w="1444" w:type="dxa"/>
            <w:noWrap/>
            <w:hideMark/>
          </w:tcPr>
          <w:p w14:paraId="13A042BE"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0.0455</w:t>
            </w:r>
          </w:p>
        </w:tc>
      </w:tr>
      <w:tr w:rsidR="00733C5E" w:rsidRPr="00B06419" w14:paraId="5E5FAEB1" w14:textId="77777777" w:rsidTr="004F37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0EABFCD8"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770FB4B8"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3094F746"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5DDEF8CB"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4DFB5EB5"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F6D3339"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w:t>
            </w:r>
          </w:p>
        </w:tc>
        <w:tc>
          <w:tcPr>
            <w:tcW w:w="1444" w:type="dxa"/>
            <w:noWrap/>
            <w:hideMark/>
          </w:tcPr>
          <w:p w14:paraId="5B52FA02"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0.0385</w:t>
            </w:r>
          </w:p>
        </w:tc>
        <w:tc>
          <w:tcPr>
            <w:tcW w:w="1444" w:type="dxa"/>
            <w:noWrap/>
            <w:hideMark/>
          </w:tcPr>
          <w:p w14:paraId="194DF293" w14:textId="77777777" w:rsidR="00733C5E" w:rsidRPr="00B06419" w:rsidRDefault="00733C5E" w:rsidP="004F3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0.0384</w:t>
            </w:r>
          </w:p>
        </w:tc>
      </w:tr>
      <w:tr w:rsidR="00733C5E" w:rsidRPr="00B06419" w14:paraId="3D9C10F8" w14:textId="77777777" w:rsidTr="004F3747">
        <w:trPr>
          <w:trHeight w:val="288"/>
        </w:trPr>
        <w:tc>
          <w:tcPr>
            <w:cnfStyle w:val="001000000000" w:firstRow="0" w:lastRow="0" w:firstColumn="1" w:lastColumn="0" w:oddVBand="0" w:evenVBand="0" w:oddHBand="0" w:evenHBand="0" w:firstRowFirstColumn="0" w:firstRowLastColumn="0" w:lastRowFirstColumn="0" w:lastRowLastColumn="0"/>
            <w:tcW w:w="1102" w:type="dxa"/>
            <w:noWrap/>
            <w:hideMark/>
          </w:tcPr>
          <w:p w14:paraId="17BDAC79" w14:textId="77777777" w:rsidR="00733C5E" w:rsidRPr="00B06419" w:rsidRDefault="00733C5E" w:rsidP="004F3747">
            <w:pPr>
              <w:jc w:val="right"/>
              <w:rPr>
                <w:rFonts w:ascii="Calibri" w:eastAsia="Times New Roman" w:hAnsi="Calibri" w:cs="Calibri"/>
                <w:b w:val="0"/>
                <w:bCs w:val="0"/>
                <w:color w:val="000000"/>
                <w:lang w:eastAsia="nl-BE"/>
              </w:rPr>
            </w:pPr>
            <w:r w:rsidRPr="00B06419">
              <w:rPr>
                <w:rFonts w:ascii="Calibri" w:eastAsia="Times New Roman" w:hAnsi="Calibri" w:cs="Calibri"/>
                <w:b w:val="0"/>
                <w:bCs w:val="0"/>
                <w:color w:val="000000"/>
                <w:lang w:eastAsia="nl-BE"/>
              </w:rPr>
              <w:t>1</w:t>
            </w:r>
          </w:p>
        </w:tc>
        <w:tc>
          <w:tcPr>
            <w:tcW w:w="1073" w:type="dxa"/>
            <w:noWrap/>
            <w:hideMark/>
          </w:tcPr>
          <w:p w14:paraId="628E4E36"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972" w:type="dxa"/>
            <w:noWrap/>
            <w:hideMark/>
          </w:tcPr>
          <w:p w14:paraId="085B4690"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30AEA6BB"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17" w:type="dxa"/>
            <w:noWrap/>
            <w:hideMark/>
          </w:tcPr>
          <w:p w14:paraId="373F120D"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073" w:type="dxa"/>
            <w:noWrap/>
            <w:hideMark/>
          </w:tcPr>
          <w:p w14:paraId="09A44675"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1</w:t>
            </w:r>
          </w:p>
        </w:tc>
        <w:tc>
          <w:tcPr>
            <w:tcW w:w="1444" w:type="dxa"/>
            <w:noWrap/>
            <w:hideMark/>
          </w:tcPr>
          <w:p w14:paraId="7E2F9FC9"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0.0741</w:t>
            </w:r>
          </w:p>
        </w:tc>
        <w:tc>
          <w:tcPr>
            <w:tcW w:w="1444" w:type="dxa"/>
            <w:noWrap/>
            <w:hideMark/>
          </w:tcPr>
          <w:p w14:paraId="0411E573" w14:textId="77777777" w:rsidR="00733C5E" w:rsidRPr="00B06419" w:rsidRDefault="00733C5E" w:rsidP="004F3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B06419">
              <w:rPr>
                <w:rFonts w:ascii="Calibri" w:eastAsia="Times New Roman" w:hAnsi="Calibri" w:cs="Calibri"/>
                <w:color w:val="000000"/>
                <w:lang w:eastAsia="nl-BE"/>
              </w:rPr>
              <w:t>0.0740</w:t>
            </w:r>
          </w:p>
        </w:tc>
      </w:tr>
    </w:tbl>
    <w:p w14:paraId="2743C9AB" w14:textId="77777777" w:rsidR="00733C5E" w:rsidRPr="005342A5" w:rsidRDefault="00733C5E" w:rsidP="00733C5E">
      <w:pPr>
        <w:rPr>
          <w:lang w:val="en-US"/>
        </w:rPr>
      </w:pPr>
    </w:p>
    <w:p w14:paraId="3672FDC8" w14:textId="77777777" w:rsidR="00733C5E" w:rsidRPr="005342A5" w:rsidRDefault="00733C5E" w:rsidP="00F96448">
      <w:pPr>
        <w:rPr>
          <w:lang w:val="en-US"/>
        </w:rPr>
      </w:pPr>
    </w:p>
    <w:p w14:paraId="6FD7ECAC" w14:textId="7B7A788C" w:rsidR="008F7A19" w:rsidRPr="008A2A82" w:rsidRDefault="008A2A82" w:rsidP="00D369A7">
      <w:pPr>
        <w:pStyle w:val="Heading3"/>
        <w:numPr>
          <w:ilvl w:val="1"/>
          <w:numId w:val="21"/>
        </w:numPr>
        <w:rPr>
          <w:lang w:val="en-US"/>
        </w:rPr>
      </w:pPr>
      <w:r>
        <w:rPr>
          <w:rFonts w:asciiTheme="minorHAnsi" w:hAnsiTheme="minorHAnsi" w:cstheme="minorHAnsi"/>
          <w:b/>
          <w:bCs/>
          <w:color w:val="auto"/>
          <w:u w:val="single"/>
          <w:lang w:val="en-US"/>
        </w:rPr>
        <w:t>B</w:t>
      </w:r>
      <w:r w:rsidRPr="008A2A82">
        <w:rPr>
          <w:rFonts w:asciiTheme="minorHAnsi" w:hAnsiTheme="minorHAnsi" w:cstheme="minorHAnsi"/>
          <w:b/>
          <w:bCs/>
          <w:color w:val="auto"/>
          <w:u w:val="single"/>
          <w:lang w:val="en-US"/>
        </w:rPr>
        <w:t xml:space="preserve">ehavioral </w:t>
      </w:r>
      <w:r>
        <w:rPr>
          <w:rFonts w:asciiTheme="minorHAnsi" w:hAnsiTheme="minorHAnsi" w:cstheme="minorHAnsi"/>
          <w:b/>
          <w:bCs/>
          <w:color w:val="auto"/>
          <w:u w:val="single"/>
          <w:lang w:val="en-US"/>
        </w:rPr>
        <w:t>characteristics</w:t>
      </w:r>
    </w:p>
    <w:p w14:paraId="684134EF" w14:textId="77777777" w:rsidR="008A2A82" w:rsidRDefault="008A2A82" w:rsidP="00F96448">
      <w:pPr>
        <w:rPr>
          <w:lang w:val="en-US"/>
        </w:rPr>
      </w:pPr>
      <w:bookmarkStart w:id="16" w:name="_Hlk93660956"/>
    </w:p>
    <w:p w14:paraId="09F67C31" w14:textId="451B0B91" w:rsidR="008F4A7B" w:rsidRPr="003F6982" w:rsidRDefault="008F4A7B" w:rsidP="00F96448">
      <w:pPr>
        <w:rPr>
          <w:lang w:val="en-US"/>
        </w:rPr>
      </w:pPr>
      <w:r w:rsidRPr="003F6982">
        <w:rPr>
          <w:lang w:val="en-US"/>
        </w:rPr>
        <w:lastRenderedPageBreak/>
        <w:t>EMIS</w:t>
      </w:r>
      <w:r w:rsidR="000C6DB4" w:rsidRPr="003F6982">
        <w:rPr>
          <w:lang w:val="en-US"/>
        </w:rPr>
        <w:t>-2017</w:t>
      </w:r>
      <w:r w:rsidRPr="003F6982">
        <w:rPr>
          <w:lang w:val="en-US"/>
        </w:rPr>
        <w:t xml:space="preserve">participants were classified in regard to sex role, as either exclusively insertive (active), receptive (passive) or as versatile, if they reported being both insertive and receptive in their last sex act. </w:t>
      </w:r>
    </w:p>
    <w:p w14:paraId="633845B7" w14:textId="02503A79" w:rsidR="00AF5FA8" w:rsidRPr="003F6982" w:rsidRDefault="00F96448" w:rsidP="00F96448">
      <w:pPr>
        <w:rPr>
          <w:lang w:val="en-US"/>
        </w:rPr>
      </w:pPr>
      <w:r w:rsidRPr="003F6982">
        <w:rPr>
          <w:lang w:val="en-US"/>
        </w:rPr>
        <w:t xml:space="preserve">Condom use </w:t>
      </w:r>
      <w:r w:rsidR="00F739BF" w:rsidRPr="003F6982">
        <w:rPr>
          <w:lang w:val="en-US"/>
        </w:rPr>
        <w:t xml:space="preserve">and STI screening </w:t>
      </w:r>
      <w:r w:rsidR="008A2A82" w:rsidRPr="003F6982">
        <w:rPr>
          <w:lang w:val="en-US"/>
        </w:rPr>
        <w:t xml:space="preserve">behavior </w:t>
      </w:r>
      <w:r w:rsidR="00F739BF" w:rsidRPr="003F6982">
        <w:rPr>
          <w:lang w:val="en-US"/>
        </w:rPr>
        <w:t>were</w:t>
      </w:r>
      <w:r w:rsidR="008A2A82" w:rsidRPr="003F6982">
        <w:rPr>
          <w:lang w:val="en-US"/>
        </w:rPr>
        <w:t xml:space="preserve"> included in the</w:t>
      </w:r>
      <w:r w:rsidR="00F739BF" w:rsidRPr="003F6982">
        <w:rPr>
          <w:lang w:val="en-US"/>
        </w:rPr>
        <w:t xml:space="preserve"> population at the network initiation step</w:t>
      </w:r>
      <w:r w:rsidR="008A2A82" w:rsidRPr="003F6982">
        <w:rPr>
          <w:lang w:val="en-US"/>
        </w:rPr>
        <w:t xml:space="preserve">. </w:t>
      </w:r>
      <w:r w:rsidR="00F739BF" w:rsidRPr="003F6982">
        <w:rPr>
          <w:lang w:val="en-US"/>
        </w:rPr>
        <w:t xml:space="preserve">A </w:t>
      </w:r>
      <w:r w:rsidR="001E12A3" w:rsidRPr="003F6982">
        <w:rPr>
          <w:lang w:val="en-US"/>
        </w:rPr>
        <w:t xml:space="preserve">proportion of the population </w:t>
      </w:r>
      <w:r w:rsidRPr="003F6982">
        <w:rPr>
          <w:lang w:val="en-US"/>
        </w:rPr>
        <w:t xml:space="preserve">in the network </w:t>
      </w:r>
      <w:r w:rsidR="00087B53" w:rsidRPr="003F6982">
        <w:rPr>
          <w:lang w:val="en-US"/>
        </w:rPr>
        <w:t>were</w:t>
      </w:r>
      <w:r w:rsidRPr="003F6982">
        <w:rPr>
          <w:lang w:val="en-US"/>
        </w:rPr>
        <w:t xml:space="preserve"> stochastically assigned</w:t>
      </w:r>
      <w:r w:rsidR="001E12A3" w:rsidRPr="003F6982">
        <w:rPr>
          <w:lang w:val="en-US"/>
        </w:rPr>
        <w:t xml:space="preserve"> during network initiation</w:t>
      </w:r>
      <w:r w:rsidRPr="003F6982">
        <w:rPr>
          <w:lang w:val="en-US"/>
        </w:rPr>
        <w:t xml:space="preserve"> as consistent condom users with all </w:t>
      </w:r>
      <w:r w:rsidR="00380A2B" w:rsidRPr="003F6982">
        <w:rPr>
          <w:lang w:val="en-US"/>
        </w:rPr>
        <w:t xml:space="preserve">their </w:t>
      </w:r>
      <w:r w:rsidRPr="003F6982">
        <w:rPr>
          <w:lang w:val="en-US"/>
        </w:rPr>
        <w:t xml:space="preserve">casual partners </w:t>
      </w:r>
      <w:r w:rsidR="00974F32" w:rsidRPr="003F6982">
        <w:rPr>
          <w:lang w:val="en-US"/>
        </w:rPr>
        <w:t xml:space="preserve">calculated from </w:t>
      </w:r>
      <w:r w:rsidR="00380A2B" w:rsidRPr="003F6982">
        <w:rPr>
          <w:lang w:val="en-US"/>
        </w:rPr>
        <w:t>EMIS</w:t>
      </w:r>
      <w:r w:rsidR="000C6DB4" w:rsidRPr="003F6982">
        <w:rPr>
          <w:lang w:val="en-US"/>
        </w:rPr>
        <w:t>-</w:t>
      </w:r>
      <w:r w:rsidR="00380A2B" w:rsidRPr="003F6982">
        <w:rPr>
          <w:lang w:val="en-US"/>
        </w:rPr>
        <w:t>2017 da</w:t>
      </w:r>
      <w:r w:rsidR="00815B2D" w:rsidRPr="003F6982">
        <w:rPr>
          <w:lang w:val="en-US"/>
        </w:rPr>
        <w:t>ta</w:t>
      </w:r>
      <w:r w:rsidR="00380A2B" w:rsidRPr="003F6982">
        <w:rPr>
          <w:lang w:val="en-US"/>
        </w:rPr>
        <w:t>set</w:t>
      </w:r>
      <w:r w:rsidR="00F739BF" w:rsidRPr="003F6982">
        <w:rPr>
          <w:lang w:val="en-US"/>
        </w:rPr>
        <w:t xml:space="preserve">. </w:t>
      </w:r>
    </w:p>
    <w:bookmarkEnd w:id="16"/>
    <w:p w14:paraId="4E0DCA01" w14:textId="36848023" w:rsidR="006D6579" w:rsidRPr="003F6982" w:rsidRDefault="00897CC1" w:rsidP="00180732">
      <w:pPr>
        <w:rPr>
          <w:lang w:val="en-US"/>
        </w:rPr>
      </w:pPr>
      <w:r w:rsidRPr="003F6982">
        <w:rPr>
          <w:lang w:val="en-US"/>
        </w:rPr>
        <w:t xml:space="preserve">The </w:t>
      </w:r>
      <w:r w:rsidR="003E4975" w:rsidRPr="003F6982">
        <w:rPr>
          <w:lang w:val="en-US"/>
        </w:rPr>
        <w:t>European</w:t>
      </w:r>
      <w:r w:rsidR="00DC73C0" w:rsidRPr="003F6982">
        <w:rPr>
          <w:lang w:val="en-US"/>
        </w:rPr>
        <w:t xml:space="preserve"> STI</w:t>
      </w:r>
      <w:r w:rsidR="003E4975" w:rsidRPr="003F6982">
        <w:rPr>
          <w:lang w:val="en-US"/>
        </w:rPr>
        <w:t xml:space="preserve"> </w:t>
      </w:r>
      <w:r w:rsidRPr="003F6982">
        <w:rPr>
          <w:lang w:val="en-US"/>
        </w:rPr>
        <w:t>screening guidelines</w:t>
      </w:r>
      <w:r w:rsidR="003E4975" w:rsidRPr="003F6982">
        <w:rPr>
          <w:lang w:val="en-US"/>
        </w:rPr>
        <w:t xml:space="preserve"> for</w:t>
      </w:r>
      <w:r w:rsidR="00DC73C0" w:rsidRPr="003F6982">
        <w:rPr>
          <w:lang w:val="en-US"/>
        </w:rPr>
        <w:t xml:space="preserve"> </w:t>
      </w:r>
      <w:r w:rsidR="003E4975" w:rsidRPr="003F6982">
        <w:rPr>
          <w:lang w:val="en-US"/>
        </w:rPr>
        <w:t xml:space="preserve">MSM </w:t>
      </w:r>
      <w:r w:rsidR="006F5A5E" w:rsidRPr="003F6982">
        <w:rPr>
          <w:lang w:val="en-US"/>
        </w:rPr>
        <w:t>recommend</w:t>
      </w:r>
      <w:r w:rsidR="003E4975" w:rsidRPr="003F6982">
        <w:rPr>
          <w:lang w:val="en-US"/>
        </w:rPr>
        <w:t xml:space="preserve"> at least annual </w:t>
      </w:r>
      <w:r w:rsidR="006F5A5E" w:rsidRPr="003F6982">
        <w:rPr>
          <w:lang w:val="en-US"/>
        </w:rPr>
        <w:t xml:space="preserve">3-site </w:t>
      </w:r>
      <w:r w:rsidR="003E4975" w:rsidRPr="003F6982">
        <w:rPr>
          <w:lang w:val="en-US"/>
        </w:rPr>
        <w:t>screening</w:t>
      </w:r>
      <w:r w:rsidR="003E4975" w:rsidRPr="003F6982">
        <w:rPr>
          <w:lang w:val="en-US"/>
        </w:rPr>
        <w:fldChar w:fldCharType="begin" w:fldLock="1"/>
      </w:r>
      <w:r w:rsidR="00702287" w:rsidRPr="003F6982">
        <w:rPr>
          <w:lang w:val="en-US"/>
        </w:rPr>
        <w:instrText>ADDIN CSL_CITATION {"citationItems":[{"id":"ITEM-1","itemData":{"DOI":"10.1177/0956462415618837","ISSN":"17581052","PMID":"26608577","abstract":"Chlamydia trachomatis infections, which most frequently are asymptomatic, are major public health concerns globally. The 2015 European C. trachomatis guideline provides: up-to-date guidance regarding broader indications for testing and treatment of C. trachomatis infections; a clearer recommendation of using exclusively-validated nucleic acid amplification tests for diagnosis; advice on (repeated) C. trachomatis testing; the recommendation of increased testing to reduce the incidence of pelvic inflammatory disease and prevent exposure to infection; and recommendations to identify, verify and report C. trachomatis variants. Improvement of access to testing, test performance, diagnostics, antimicrobial treatment and follow-up of C. trachomatis patients are crucial to control its spread. For detailed background, evidence base and discussions, see the background review for the present 2015 European guideline on the management of Chlamydia trachomatis infections (Lanjouw E, et al. Int J STD AIDS. 2015).","author":[{"dropping-particle":"","family":"Lanjouw","given":"E.","non-dropping-particle":"","parse-names":false,"suffix":""},{"dropping-particle":"","family":"Ouburg","given":"S.","non-dropping-particle":"","parse-names":false,"suffix":""},{"dropping-particle":"","family":"Vries","given":"H. J.","non-dropping-particle":"de","parse-names":false,"suffix":""},{"dropping-particle":"","family":"Stary","given":"A.","non-dropping-particle":"","parse-names":false,"suffix":""},{"dropping-particle":"","family":"Radcliffe","given":"K.","non-dropping-particle":"","parse-names":false,"suffix":""},{"dropping-particle":"","family":"Unemo","given":"M.","non-dropping-particle":"","parse-names":false,"suffix":""}],"container-title":"International Journal of STD and AIDS","id":"ITEM-1","issue":"5","issued":{"date-parts":[["2016"]]},"page":"333-348","title":"2015 European guideline on the management of Chlamydia trachomatis infections","type":"article-journal","volume":"27"},"uris":["http://www.mendeley.com/documents/?uuid=b460930b-b9ce-48fe-a5ce-4e1fd04c9ad3"]},{"id":"ITEM-2","itemData":{"ISBN":"9789291936434","author":[{"dropping-particle":"","family":"Pharris","given":"Anastasia","non-dropping-particle":"","parse-names":false,"suffix":""},{"dropping-particle":"","family":"Amato","given":"Andrew J","non-dropping-particle":"","parse-names":false,"suffix":""},{"dropping-particle":"","family":"Carrillo-Santisteve","given":"Paloma","non-dropping-particle":"","parse-names":false,"suffix":""},{"dropping-particle":"","family":"Derrough","given":"Tarik","non-dropping-particle":"","parse-names":false,"suffix":""},{"dropping-particle":"","family":"Duffell","given":"Erika","non-dropping-particle":"","parse-names":false,"suffix":""},{"dropping-particle":"","family":"Fonzo","given":"Marco","non-dropping-particle":"","parse-names":false,"suffix":""},{"dropping-particle":"","family":"Hutin","given":"Yvan","non-dropping-particle":"","parse-names":false,"suffix":""},{"dropping-particle":"","family":"Noori","given":"Teymur","non-dropping-particle":"","parse-names":false,"suffix":""},{"dropping-particle":"","family":"Mårdh","given":"Otilia","non-dropping-particle":"","parse-names":false,"suffix":""},{"dropping-particle":"","family":"Spiteri","given":"Gianfranco","non-dropping-particle":"","parse-names":false,"suffix":""},{"dropping-particle":"","family":"Tavoschi","given":"Lara","non-dropping-particle":"","parse-names":false,"suffix":""},{"dropping-particle":"","family":"Laar","given":"Marita","non-dropping-particle":"van de","parse-names":false,"suffix":""},{"dropping-particle":"","family":"Wysocki","given":"Piotr","non-dropping-particle":"","parse-names":false,"suffix":""}],"id":"ITEM-2","issued":{"date-parts":[["2015"]]},"title":"HIV and STI prevention among men who have sex with men HIV and STI prevention among men who have sex with men-Gauci with technical input from","type":"book"},"uris":["http://www.mendeley.com/documents/?uuid=12aa7322-0c9a-46cb-bc47-e0346e018676"]}],"mendeley":{"formattedCitation":"&lt;sup&gt;17,18&lt;/sup&gt;","plainTextFormattedCitation":"17,18","previouslyFormattedCitation":"&lt;sup&gt;34,35&lt;/sup&gt;"},"properties":{"noteIndex":0},"schema":"https://github.com/citation-style-language/schema/raw/master/csl-citation.json"}</w:instrText>
      </w:r>
      <w:r w:rsidR="003E4975" w:rsidRPr="003F6982">
        <w:rPr>
          <w:lang w:val="en-US"/>
        </w:rPr>
        <w:fldChar w:fldCharType="separate"/>
      </w:r>
      <w:r w:rsidR="00702287" w:rsidRPr="003F6982">
        <w:rPr>
          <w:noProof/>
          <w:vertAlign w:val="superscript"/>
          <w:lang w:val="en-US"/>
        </w:rPr>
        <w:t>17,18</w:t>
      </w:r>
      <w:r w:rsidR="003E4975" w:rsidRPr="003F6982">
        <w:rPr>
          <w:lang w:val="en-US"/>
        </w:rPr>
        <w:fldChar w:fldCharType="end"/>
      </w:r>
      <w:r w:rsidR="003E4975" w:rsidRPr="003F6982">
        <w:rPr>
          <w:lang w:val="en-US"/>
        </w:rPr>
        <w:t xml:space="preserve">, </w:t>
      </w:r>
      <w:r w:rsidR="00DC73C0" w:rsidRPr="003F6982">
        <w:rPr>
          <w:lang w:val="en-US"/>
        </w:rPr>
        <w:t xml:space="preserve">with </w:t>
      </w:r>
      <w:r w:rsidR="006F5A5E" w:rsidRPr="003F6982">
        <w:rPr>
          <w:lang w:val="en-US"/>
        </w:rPr>
        <w:t>PrEP users attending 3-monthly screening visits. However, the Belgian EMIS</w:t>
      </w:r>
      <w:r w:rsidR="000C6DB4" w:rsidRPr="003F6982">
        <w:rPr>
          <w:lang w:val="en-US"/>
        </w:rPr>
        <w:t>-</w:t>
      </w:r>
      <w:r w:rsidR="006F5A5E" w:rsidRPr="003F6982">
        <w:rPr>
          <w:lang w:val="en-US"/>
        </w:rPr>
        <w:t>20</w:t>
      </w:r>
      <w:r w:rsidR="000C6DB4" w:rsidRPr="003F6982">
        <w:rPr>
          <w:lang w:val="en-US"/>
        </w:rPr>
        <w:t>1</w:t>
      </w:r>
      <w:r w:rsidR="006F5A5E" w:rsidRPr="003F6982">
        <w:rPr>
          <w:lang w:val="en-US"/>
        </w:rPr>
        <w:t xml:space="preserve">7 participants, reported </w:t>
      </w:r>
      <w:r w:rsidR="00290C73" w:rsidRPr="00663D8D">
        <w:rPr>
          <w:lang w:val="en-US"/>
        </w:rPr>
        <w:t xml:space="preserve">significantly lower percentages, varying across the three definitions. The majority reported only </w:t>
      </w:r>
      <w:r w:rsidR="006F5A5E" w:rsidRPr="003F6982">
        <w:rPr>
          <w:lang w:val="en-US"/>
        </w:rPr>
        <w:t>provid</w:t>
      </w:r>
      <w:r w:rsidR="00290C73" w:rsidRPr="00663D8D">
        <w:rPr>
          <w:lang w:val="en-US"/>
        </w:rPr>
        <w:t>ing</w:t>
      </w:r>
      <w:r w:rsidR="006F5A5E" w:rsidRPr="003F6982">
        <w:rPr>
          <w:lang w:val="en-US"/>
        </w:rPr>
        <w:t xml:space="preserve"> samples from the urethra </w:t>
      </w:r>
      <w:r w:rsidR="00312460" w:rsidRPr="003F6982">
        <w:rPr>
          <w:lang w:val="en-US"/>
        </w:rPr>
        <w:t xml:space="preserve">(urine sample or urethral swab) and </w:t>
      </w:r>
      <w:r w:rsidR="00290C73" w:rsidRPr="00663D8D">
        <w:rPr>
          <w:lang w:val="en-US"/>
        </w:rPr>
        <w:t xml:space="preserve">only a small fraction provided samples only </w:t>
      </w:r>
      <w:r w:rsidR="00312460" w:rsidRPr="003F6982">
        <w:rPr>
          <w:lang w:val="en-US"/>
        </w:rPr>
        <w:t xml:space="preserve">a pharyngeal or rectal swab. </w:t>
      </w:r>
    </w:p>
    <w:p w14:paraId="51A18FEB" w14:textId="7A0581F4" w:rsidR="00897CC1" w:rsidRDefault="00312460" w:rsidP="00180732">
      <w:pPr>
        <w:rPr>
          <w:lang w:val="en-US"/>
        </w:rPr>
      </w:pPr>
      <w:r w:rsidRPr="003F6982">
        <w:rPr>
          <w:lang w:val="en-US"/>
        </w:rPr>
        <w:t xml:space="preserve">Regarding the screening frequency, </w:t>
      </w:r>
      <w:r w:rsidR="005B1477" w:rsidRPr="00663D8D">
        <w:rPr>
          <w:lang w:val="en-US"/>
        </w:rPr>
        <w:t>almost 30% of the LA-MSM and 10% of the HA-MSM of Belgian EMIS-2017 participants reported that they have never screened for STIs in all three definitions</w:t>
      </w:r>
      <w:r w:rsidR="006D6579" w:rsidRPr="003F6982">
        <w:rPr>
          <w:lang w:val="en-US"/>
        </w:rPr>
        <w:t xml:space="preserve">. </w:t>
      </w:r>
      <w:r w:rsidR="005B1477" w:rsidRPr="00663D8D">
        <w:rPr>
          <w:lang w:val="en-US"/>
        </w:rPr>
        <w:t xml:space="preserve">The percentages of LA- and HA-MSM who </w:t>
      </w:r>
      <w:r w:rsidR="006D6579" w:rsidRPr="003F6982">
        <w:rPr>
          <w:lang w:val="en-US"/>
        </w:rPr>
        <w:t>reported that</w:t>
      </w:r>
      <w:r w:rsidRPr="003F6982">
        <w:rPr>
          <w:lang w:val="en-US"/>
        </w:rPr>
        <w:t xml:space="preserve"> had an STI test during the </w:t>
      </w:r>
      <w:r w:rsidR="000C6DB4" w:rsidRPr="003F6982">
        <w:rPr>
          <w:lang w:val="en-US"/>
        </w:rPr>
        <w:t xml:space="preserve">previous </w:t>
      </w:r>
      <w:r w:rsidR="005B1477" w:rsidRPr="00663D8D">
        <w:rPr>
          <w:lang w:val="en-US"/>
        </w:rPr>
        <w:t xml:space="preserve">6 or </w:t>
      </w:r>
      <w:r w:rsidRPr="003F6982">
        <w:rPr>
          <w:lang w:val="en-US"/>
        </w:rPr>
        <w:t xml:space="preserve">12 months, </w:t>
      </w:r>
      <w:r w:rsidR="005B1477" w:rsidRPr="00663D8D">
        <w:rPr>
          <w:lang w:val="en-US"/>
        </w:rPr>
        <w:t>differed among the three definitions, but not considerably.</w:t>
      </w:r>
      <w:r w:rsidRPr="003F6982">
        <w:rPr>
          <w:lang w:val="en-US"/>
        </w:rPr>
        <w:t>.</w:t>
      </w:r>
      <w:r>
        <w:rPr>
          <w:lang w:val="en-US"/>
        </w:rPr>
        <w:t xml:space="preserve"> </w:t>
      </w:r>
    </w:p>
    <w:p w14:paraId="05240A64" w14:textId="77777777" w:rsidR="005B1477" w:rsidRDefault="005B1477" w:rsidP="00180732">
      <w:pPr>
        <w:rPr>
          <w:lang w:val="en-US"/>
        </w:rPr>
      </w:pPr>
    </w:p>
    <w:tbl>
      <w:tblPr>
        <w:tblStyle w:val="ListTable2"/>
        <w:tblW w:w="9180" w:type="dxa"/>
        <w:tblLook w:val="04A0" w:firstRow="1" w:lastRow="0" w:firstColumn="1" w:lastColumn="0" w:noHBand="0" w:noVBand="1"/>
      </w:tblPr>
      <w:tblGrid>
        <w:gridCol w:w="1812"/>
        <w:gridCol w:w="3743"/>
        <w:gridCol w:w="1812"/>
        <w:gridCol w:w="1813"/>
      </w:tblGrid>
      <w:tr w:rsidR="00434F27" w14:paraId="2F5DECB5" w14:textId="77777777" w:rsidTr="00663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F0FD34C" w14:textId="6A873027" w:rsidR="00434F27" w:rsidRDefault="00434F27" w:rsidP="00434F27">
            <w:pPr>
              <w:rPr>
                <w:rFonts w:cstheme="minorHAnsi"/>
                <w:b w:val="0"/>
                <w:sz w:val="24"/>
                <w:szCs w:val="24"/>
                <w:lang w:val="en-US"/>
              </w:rPr>
            </w:pPr>
            <w:r>
              <w:rPr>
                <w:rFonts w:cstheme="minorHAnsi"/>
                <w:sz w:val="24"/>
                <w:szCs w:val="24"/>
                <w:lang w:val="en-US"/>
              </w:rPr>
              <w:t>Activity group</w:t>
            </w:r>
          </w:p>
        </w:tc>
        <w:tc>
          <w:tcPr>
            <w:tcW w:w="3743" w:type="dxa"/>
          </w:tcPr>
          <w:p w14:paraId="0D29DFCE" w14:textId="0508712A" w:rsidR="00434F27" w:rsidRDefault="007623E7" w:rsidP="00434F27">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US"/>
              </w:rPr>
            </w:pPr>
            <w:proofErr w:type="spellStart"/>
            <w:r>
              <w:rPr>
                <w:rFonts w:cstheme="minorHAnsi"/>
                <w:sz w:val="24"/>
                <w:szCs w:val="24"/>
                <w:lang w:val="en-US"/>
              </w:rPr>
              <w:t>Behavioural</w:t>
            </w:r>
            <w:proofErr w:type="spellEnd"/>
            <w:r>
              <w:rPr>
                <w:rFonts w:cstheme="minorHAnsi"/>
                <w:sz w:val="24"/>
                <w:szCs w:val="24"/>
                <w:lang w:val="en-US"/>
              </w:rPr>
              <w:t xml:space="preserve"> characteristic</w:t>
            </w:r>
          </w:p>
        </w:tc>
        <w:tc>
          <w:tcPr>
            <w:tcW w:w="1812" w:type="dxa"/>
          </w:tcPr>
          <w:p w14:paraId="1A7BA978" w14:textId="51114678" w:rsidR="00434F27" w:rsidRDefault="00434F27" w:rsidP="00434F27">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US"/>
              </w:rPr>
            </w:pPr>
            <w:r w:rsidRPr="0042682F">
              <w:rPr>
                <w:lang w:val="en-US"/>
              </w:rPr>
              <w:t>Lower-activity MSM</w:t>
            </w:r>
          </w:p>
        </w:tc>
        <w:tc>
          <w:tcPr>
            <w:tcW w:w="1813" w:type="dxa"/>
          </w:tcPr>
          <w:p w14:paraId="15212CF3" w14:textId="2C7170E0" w:rsidR="00434F27" w:rsidRDefault="00434F27" w:rsidP="00434F27">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US"/>
              </w:rPr>
            </w:pPr>
            <w:r w:rsidRPr="0042682F">
              <w:rPr>
                <w:lang w:val="en-US"/>
              </w:rPr>
              <w:t>Higher-activity MSM</w:t>
            </w:r>
          </w:p>
        </w:tc>
      </w:tr>
      <w:tr w:rsidR="00434F27" w14:paraId="64F610EB"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14EB345" w14:textId="162E9526" w:rsidR="00434F27" w:rsidRDefault="00434F27" w:rsidP="00434F27">
            <w:pPr>
              <w:rPr>
                <w:rFonts w:cstheme="minorHAnsi"/>
                <w:b w:val="0"/>
                <w:sz w:val="24"/>
                <w:szCs w:val="24"/>
                <w:lang w:val="en-US"/>
              </w:rPr>
            </w:pPr>
            <w:r>
              <w:rPr>
                <w:rFonts w:cstheme="minorHAnsi"/>
                <w:sz w:val="24"/>
                <w:szCs w:val="24"/>
                <w:lang w:val="en-US"/>
              </w:rPr>
              <w:t>PrEP eligibility</w:t>
            </w:r>
          </w:p>
        </w:tc>
        <w:tc>
          <w:tcPr>
            <w:tcW w:w="3743" w:type="dxa"/>
          </w:tcPr>
          <w:p w14:paraId="03403DE7" w14:textId="4E68BA76" w:rsidR="00434F27" w:rsidRDefault="00434F27"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Sex role: Insertive</w:t>
            </w:r>
          </w:p>
        </w:tc>
        <w:tc>
          <w:tcPr>
            <w:tcW w:w="1812" w:type="dxa"/>
          </w:tcPr>
          <w:p w14:paraId="5293869B" w14:textId="62EC9AFE" w:rsidR="00434F27" w:rsidRDefault="00434F27"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38.85</w:t>
            </w:r>
            <w:r w:rsidR="00DF7A69">
              <w:rPr>
                <w:rFonts w:cstheme="minorHAnsi"/>
                <w:b/>
                <w:sz w:val="24"/>
                <w:szCs w:val="24"/>
                <w:lang w:val="en-US"/>
              </w:rPr>
              <w:t xml:space="preserve"> %</w:t>
            </w:r>
          </w:p>
        </w:tc>
        <w:tc>
          <w:tcPr>
            <w:tcW w:w="1813" w:type="dxa"/>
          </w:tcPr>
          <w:p w14:paraId="009FD14A" w14:textId="1371753E"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34.43</w:t>
            </w:r>
            <w:r w:rsidR="00DF7A69">
              <w:rPr>
                <w:rFonts w:cstheme="minorHAnsi"/>
                <w:b/>
                <w:sz w:val="24"/>
                <w:szCs w:val="24"/>
                <w:lang w:val="en-US"/>
              </w:rPr>
              <w:t xml:space="preserve"> %</w:t>
            </w:r>
          </w:p>
        </w:tc>
      </w:tr>
      <w:tr w:rsidR="00434F27" w14:paraId="64B7A2FF"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4EF4073C" w14:textId="77777777" w:rsidR="00434F27" w:rsidRDefault="00434F27" w:rsidP="00434F27">
            <w:pPr>
              <w:rPr>
                <w:rFonts w:cstheme="minorHAnsi"/>
                <w:b w:val="0"/>
                <w:sz w:val="24"/>
                <w:szCs w:val="24"/>
                <w:lang w:val="en-US"/>
              </w:rPr>
            </w:pPr>
          </w:p>
        </w:tc>
        <w:tc>
          <w:tcPr>
            <w:tcW w:w="3743" w:type="dxa"/>
          </w:tcPr>
          <w:p w14:paraId="02C674B3" w14:textId="7BB3F890" w:rsidR="00434F27" w:rsidRDefault="00434F27"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Receptive</w:t>
            </w:r>
          </w:p>
        </w:tc>
        <w:tc>
          <w:tcPr>
            <w:tcW w:w="1812" w:type="dxa"/>
          </w:tcPr>
          <w:p w14:paraId="127799B9" w14:textId="5BB44ACD" w:rsidR="00434F27" w:rsidRDefault="001D25D6"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48.15</w:t>
            </w:r>
            <w:r w:rsidR="00DF7A69">
              <w:rPr>
                <w:rFonts w:cstheme="minorHAnsi"/>
                <w:b/>
                <w:sz w:val="24"/>
                <w:szCs w:val="24"/>
                <w:lang w:val="en-US"/>
              </w:rPr>
              <w:t xml:space="preserve"> %</w:t>
            </w:r>
          </w:p>
        </w:tc>
        <w:tc>
          <w:tcPr>
            <w:tcW w:w="1813" w:type="dxa"/>
          </w:tcPr>
          <w:p w14:paraId="11510582" w14:textId="0BF25622" w:rsidR="00434F27" w:rsidRDefault="001D25D6"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42.03</w:t>
            </w:r>
            <w:r w:rsidR="00DF7A69">
              <w:rPr>
                <w:rFonts w:cstheme="minorHAnsi"/>
                <w:b/>
                <w:sz w:val="24"/>
                <w:szCs w:val="24"/>
                <w:lang w:val="en-US"/>
              </w:rPr>
              <w:t xml:space="preserve"> %</w:t>
            </w:r>
          </w:p>
        </w:tc>
      </w:tr>
      <w:tr w:rsidR="00434F27" w14:paraId="1F8C85E1"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3F4F2DD" w14:textId="77777777" w:rsidR="00434F27" w:rsidRDefault="00434F27" w:rsidP="00434F27">
            <w:pPr>
              <w:rPr>
                <w:rFonts w:cstheme="minorHAnsi"/>
                <w:b w:val="0"/>
                <w:sz w:val="24"/>
                <w:szCs w:val="24"/>
                <w:lang w:val="en-US"/>
              </w:rPr>
            </w:pPr>
          </w:p>
        </w:tc>
        <w:tc>
          <w:tcPr>
            <w:tcW w:w="3743" w:type="dxa"/>
          </w:tcPr>
          <w:p w14:paraId="17160D83" w14:textId="7313AAE3" w:rsidR="00434F27" w:rsidRDefault="00434F27"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Versatile</w:t>
            </w:r>
          </w:p>
        </w:tc>
        <w:tc>
          <w:tcPr>
            <w:tcW w:w="1812" w:type="dxa"/>
          </w:tcPr>
          <w:p w14:paraId="44110C91" w14:textId="75A24F5D"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13.00</w:t>
            </w:r>
            <w:r w:rsidR="00DF7A69">
              <w:rPr>
                <w:rFonts w:cstheme="minorHAnsi"/>
                <w:b/>
                <w:sz w:val="24"/>
                <w:szCs w:val="24"/>
                <w:lang w:val="en-US"/>
              </w:rPr>
              <w:t xml:space="preserve"> %</w:t>
            </w:r>
          </w:p>
        </w:tc>
        <w:tc>
          <w:tcPr>
            <w:tcW w:w="1813" w:type="dxa"/>
          </w:tcPr>
          <w:p w14:paraId="5D1BF66F" w14:textId="618043FB"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23.54</w:t>
            </w:r>
            <w:r w:rsidR="00DF7A69">
              <w:rPr>
                <w:rFonts w:cstheme="minorHAnsi"/>
                <w:b/>
                <w:sz w:val="24"/>
                <w:szCs w:val="24"/>
                <w:lang w:val="en-US"/>
              </w:rPr>
              <w:t xml:space="preserve"> %</w:t>
            </w:r>
          </w:p>
        </w:tc>
      </w:tr>
      <w:tr w:rsidR="00434F27" w14:paraId="34B3F1E0"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6CF8CE32" w14:textId="77777777" w:rsidR="00434F27" w:rsidRDefault="00434F27" w:rsidP="00434F27">
            <w:pPr>
              <w:rPr>
                <w:rFonts w:cstheme="minorHAnsi"/>
                <w:b w:val="0"/>
                <w:sz w:val="24"/>
                <w:szCs w:val="24"/>
                <w:lang w:val="en-US"/>
              </w:rPr>
            </w:pPr>
          </w:p>
        </w:tc>
        <w:tc>
          <w:tcPr>
            <w:tcW w:w="3743" w:type="dxa"/>
          </w:tcPr>
          <w:p w14:paraId="200B3C9E" w14:textId="7B0721BB" w:rsidR="00434F27" w:rsidRDefault="005372E1"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Consistent condom users</w:t>
            </w:r>
          </w:p>
        </w:tc>
        <w:tc>
          <w:tcPr>
            <w:tcW w:w="1812" w:type="dxa"/>
          </w:tcPr>
          <w:p w14:paraId="6A2134F7" w14:textId="6A5B3047" w:rsidR="00434F27" w:rsidRDefault="0018491F"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67.72</w:t>
            </w:r>
            <w:r w:rsidR="00DF7A69">
              <w:rPr>
                <w:rFonts w:cstheme="minorHAnsi"/>
                <w:b/>
                <w:sz w:val="24"/>
                <w:szCs w:val="24"/>
                <w:lang w:val="en-US"/>
              </w:rPr>
              <w:t xml:space="preserve"> %</w:t>
            </w:r>
          </w:p>
        </w:tc>
        <w:tc>
          <w:tcPr>
            <w:tcW w:w="1813" w:type="dxa"/>
          </w:tcPr>
          <w:p w14:paraId="16F9D115" w14:textId="05566236" w:rsidR="00434F27" w:rsidRDefault="004F23C3"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8.06</w:t>
            </w:r>
            <w:r w:rsidR="00DF7A69">
              <w:rPr>
                <w:rFonts w:cstheme="minorHAnsi"/>
                <w:b/>
                <w:sz w:val="24"/>
                <w:szCs w:val="24"/>
                <w:lang w:val="en-US"/>
              </w:rPr>
              <w:t xml:space="preserve"> %</w:t>
            </w:r>
          </w:p>
        </w:tc>
      </w:tr>
      <w:tr w:rsidR="00434F27" w14:paraId="4FE921CD"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652ED6C" w14:textId="77777777" w:rsidR="00434F27" w:rsidRDefault="00434F27" w:rsidP="00434F27">
            <w:pPr>
              <w:rPr>
                <w:rFonts w:cstheme="minorHAnsi"/>
                <w:b w:val="0"/>
                <w:sz w:val="24"/>
                <w:szCs w:val="24"/>
                <w:lang w:val="en-US"/>
              </w:rPr>
            </w:pPr>
          </w:p>
        </w:tc>
        <w:tc>
          <w:tcPr>
            <w:tcW w:w="3743" w:type="dxa"/>
          </w:tcPr>
          <w:p w14:paraId="666B3A46" w14:textId="54272DCD" w:rsidR="00434F27" w:rsidRDefault="005372E1"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Never screen for STIs</w:t>
            </w:r>
          </w:p>
        </w:tc>
        <w:tc>
          <w:tcPr>
            <w:tcW w:w="1812" w:type="dxa"/>
          </w:tcPr>
          <w:p w14:paraId="3AA77AF4" w14:textId="653A0832" w:rsidR="00434F27" w:rsidRDefault="008040C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32.3</w:t>
            </w:r>
            <w:r w:rsidR="00DF7A69">
              <w:rPr>
                <w:rFonts w:cstheme="minorHAnsi"/>
                <w:b/>
                <w:sz w:val="24"/>
                <w:szCs w:val="24"/>
                <w:lang w:val="en-US"/>
              </w:rPr>
              <w:t>0 %</w:t>
            </w:r>
          </w:p>
        </w:tc>
        <w:tc>
          <w:tcPr>
            <w:tcW w:w="1813" w:type="dxa"/>
          </w:tcPr>
          <w:p w14:paraId="4624AF38" w14:textId="7A5472AB" w:rsidR="00434F27" w:rsidRDefault="008040C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10.72</w:t>
            </w:r>
            <w:r w:rsidR="00DF7A69">
              <w:rPr>
                <w:rFonts w:cstheme="minorHAnsi"/>
                <w:b/>
                <w:sz w:val="24"/>
                <w:szCs w:val="24"/>
                <w:lang w:val="en-US"/>
              </w:rPr>
              <w:t xml:space="preserve"> %</w:t>
            </w:r>
          </w:p>
        </w:tc>
      </w:tr>
      <w:tr w:rsidR="00434F27" w14:paraId="40C107DF"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6F43048D" w14:textId="77777777" w:rsidR="00434F27" w:rsidRDefault="00434F27" w:rsidP="00434F27">
            <w:pPr>
              <w:rPr>
                <w:rFonts w:cstheme="minorHAnsi"/>
                <w:b w:val="0"/>
                <w:sz w:val="24"/>
                <w:szCs w:val="24"/>
                <w:lang w:val="en-US"/>
              </w:rPr>
            </w:pPr>
          </w:p>
        </w:tc>
        <w:tc>
          <w:tcPr>
            <w:tcW w:w="3743" w:type="dxa"/>
          </w:tcPr>
          <w:p w14:paraId="7912792D" w14:textId="3E1805E7" w:rsidR="00434F27" w:rsidRDefault="005372E1"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STI screening in the previous 12 months</w:t>
            </w:r>
          </w:p>
        </w:tc>
        <w:tc>
          <w:tcPr>
            <w:tcW w:w="1812" w:type="dxa"/>
          </w:tcPr>
          <w:p w14:paraId="54BF992D" w14:textId="506E2991" w:rsidR="00434F27" w:rsidRDefault="002C29A8"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67.40</w:t>
            </w:r>
            <w:r w:rsidR="00DF7A69">
              <w:rPr>
                <w:rFonts w:cstheme="minorHAnsi"/>
                <w:b/>
                <w:sz w:val="24"/>
                <w:szCs w:val="24"/>
                <w:lang w:val="en-US"/>
              </w:rPr>
              <w:t xml:space="preserve"> %</w:t>
            </w:r>
          </w:p>
        </w:tc>
        <w:tc>
          <w:tcPr>
            <w:tcW w:w="1813" w:type="dxa"/>
          </w:tcPr>
          <w:p w14:paraId="5564277E" w14:textId="077334B0" w:rsidR="00434F27" w:rsidRDefault="007B4D5E"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89.80</w:t>
            </w:r>
            <w:r w:rsidR="00DF7A69">
              <w:rPr>
                <w:rFonts w:cstheme="minorHAnsi"/>
                <w:b/>
                <w:sz w:val="24"/>
                <w:szCs w:val="24"/>
                <w:lang w:val="en-US"/>
              </w:rPr>
              <w:t xml:space="preserve"> %</w:t>
            </w:r>
          </w:p>
        </w:tc>
      </w:tr>
      <w:tr w:rsidR="00434F27" w14:paraId="7D49FB54"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E89E37A" w14:textId="77777777" w:rsidR="00434F27" w:rsidRDefault="00434F27" w:rsidP="00434F27">
            <w:pPr>
              <w:rPr>
                <w:rFonts w:cstheme="minorHAnsi"/>
                <w:b w:val="0"/>
                <w:sz w:val="24"/>
                <w:szCs w:val="24"/>
                <w:lang w:val="en-US"/>
              </w:rPr>
            </w:pPr>
          </w:p>
        </w:tc>
        <w:tc>
          <w:tcPr>
            <w:tcW w:w="3743" w:type="dxa"/>
          </w:tcPr>
          <w:p w14:paraId="2AE87E30" w14:textId="40B5B07D" w:rsidR="00434F27" w:rsidRDefault="005372E1"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STI screening in the previous 6 months</w:t>
            </w:r>
          </w:p>
        </w:tc>
        <w:tc>
          <w:tcPr>
            <w:tcW w:w="1812" w:type="dxa"/>
          </w:tcPr>
          <w:p w14:paraId="343DBA20" w14:textId="2F8CD424" w:rsidR="00434F27" w:rsidRDefault="00184399"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46.38</w:t>
            </w:r>
            <w:r w:rsidR="00DF7A69">
              <w:rPr>
                <w:rFonts w:cstheme="minorHAnsi"/>
                <w:b/>
                <w:sz w:val="24"/>
                <w:szCs w:val="24"/>
                <w:lang w:val="en-US"/>
              </w:rPr>
              <w:t xml:space="preserve"> %</w:t>
            </w:r>
          </w:p>
        </w:tc>
        <w:tc>
          <w:tcPr>
            <w:tcW w:w="1813" w:type="dxa"/>
          </w:tcPr>
          <w:p w14:paraId="3F1A2A6D" w14:textId="2D535D25" w:rsidR="00434F27" w:rsidRDefault="00CC0668"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77.79</w:t>
            </w:r>
            <w:r w:rsidR="00DF7A69">
              <w:rPr>
                <w:rFonts w:cstheme="minorHAnsi"/>
                <w:b/>
                <w:sz w:val="24"/>
                <w:szCs w:val="24"/>
                <w:lang w:val="en-US"/>
              </w:rPr>
              <w:t xml:space="preserve"> %</w:t>
            </w:r>
          </w:p>
        </w:tc>
      </w:tr>
      <w:tr w:rsidR="00434F27" w14:paraId="166508A3"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627EC467" w14:textId="77777777" w:rsidR="00434F27" w:rsidRDefault="00434F27" w:rsidP="00434F27">
            <w:pPr>
              <w:rPr>
                <w:rFonts w:cstheme="minorHAnsi"/>
                <w:b w:val="0"/>
                <w:sz w:val="24"/>
                <w:szCs w:val="24"/>
                <w:lang w:val="en-US"/>
              </w:rPr>
            </w:pPr>
          </w:p>
        </w:tc>
        <w:tc>
          <w:tcPr>
            <w:tcW w:w="3743" w:type="dxa"/>
          </w:tcPr>
          <w:p w14:paraId="344198AF" w14:textId="74A93E0D" w:rsidR="00434F27" w:rsidRDefault="005372E1"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Screening sites: Urethra only</w:t>
            </w:r>
          </w:p>
        </w:tc>
        <w:tc>
          <w:tcPr>
            <w:tcW w:w="1812" w:type="dxa"/>
          </w:tcPr>
          <w:p w14:paraId="538B2F50" w14:textId="1508748F" w:rsidR="00434F27" w:rsidRDefault="00751DAD"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75.54</w:t>
            </w:r>
            <w:r w:rsidR="00DF7A69">
              <w:rPr>
                <w:rFonts w:cstheme="minorHAnsi"/>
                <w:b/>
                <w:sz w:val="24"/>
                <w:szCs w:val="24"/>
                <w:lang w:val="en-US"/>
              </w:rPr>
              <w:t xml:space="preserve"> %</w:t>
            </w:r>
          </w:p>
        </w:tc>
        <w:tc>
          <w:tcPr>
            <w:tcW w:w="1813" w:type="dxa"/>
          </w:tcPr>
          <w:p w14:paraId="1DA303AE" w14:textId="79A1C047" w:rsidR="00434F27" w:rsidRDefault="00751DAD"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49.24</w:t>
            </w:r>
            <w:r w:rsidR="00DF7A69">
              <w:rPr>
                <w:rFonts w:cstheme="minorHAnsi"/>
                <w:b/>
                <w:sz w:val="24"/>
                <w:szCs w:val="24"/>
                <w:lang w:val="en-US"/>
              </w:rPr>
              <w:t xml:space="preserve"> %</w:t>
            </w:r>
          </w:p>
        </w:tc>
      </w:tr>
      <w:tr w:rsidR="00434F27" w14:paraId="6707B88B"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7F8BCCE" w14:textId="77777777" w:rsidR="00434F27" w:rsidRDefault="00434F27" w:rsidP="00434F27">
            <w:pPr>
              <w:rPr>
                <w:rFonts w:cstheme="minorHAnsi"/>
                <w:b w:val="0"/>
                <w:sz w:val="24"/>
                <w:szCs w:val="24"/>
                <w:lang w:val="en-US"/>
              </w:rPr>
            </w:pPr>
          </w:p>
        </w:tc>
        <w:tc>
          <w:tcPr>
            <w:tcW w:w="3743" w:type="dxa"/>
          </w:tcPr>
          <w:p w14:paraId="0C7003C7" w14:textId="1CC33166" w:rsidR="00434F27" w:rsidRDefault="005372E1"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Pharynx and/or rectum</w:t>
            </w:r>
          </w:p>
        </w:tc>
        <w:tc>
          <w:tcPr>
            <w:tcW w:w="1812" w:type="dxa"/>
          </w:tcPr>
          <w:p w14:paraId="404DB412" w14:textId="680D567A" w:rsidR="00434F27" w:rsidRDefault="00751DAD"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2.79</w:t>
            </w:r>
            <w:r w:rsidR="00DF7A69">
              <w:rPr>
                <w:rFonts w:cstheme="minorHAnsi"/>
                <w:b/>
                <w:sz w:val="24"/>
                <w:szCs w:val="24"/>
                <w:lang w:val="en-US"/>
              </w:rPr>
              <w:t xml:space="preserve"> %</w:t>
            </w:r>
          </w:p>
        </w:tc>
        <w:tc>
          <w:tcPr>
            <w:tcW w:w="1813" w:type="dxa"/>
          </w:tcPr>
          <w:p w14:paraId="0001FB06" w14:textId="3437C612" w:rsidR="00434F27" w:rsidRDefault="00751DAD"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2.36</w:t>
            </w:r>
            <w:r w:rsidR="00DF7A69">
              <w:rPr>
                <w:rFonts w:cstheme="minorHAnsi"/>
                <w:b/>
                <w:sz w:val="24"/>
                <w:szCs w:val="24"/>
                <w:lang w:val="en-US"/>
              </w:rPr>
              <w:t xml:space="preserve"> %</w:t>
            </w:r>
          </w:p>
        </w:tc>
      </w:tr>
      <w:tr w:rsidR="00434F27" w14:paraId="5CBF2F07"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10B6798D" w14:textId="77777777" w:rsidR="00434F27" w:rsidRDefault="00434F27" w:rsidP="00434F27">
            <w:pPr>
              <w:rPr>
                <w:rFonts w:cstheme="minorHAnsi"/>
                <w:b w:val="0"/>
                <w:sz w:val="24"/>
                <w:szCs w:val="24"/>
                <w:lang w:val="en-US"/>
              </w:rPr>
            </w:pPr>
          </w:p>
        </w:tc>
        <w:tc>
          <w:tcPr>
            <w:tcW w:w="3743" w:type="dxa"/>
          </w:tcPr>
          <w:p w14:paraId="4361C7D3" w14:textId="2CD214C0" w:rsidR="00434F27" w:rsidRDefault="005372E1"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Pharynx, Urethra and rectum</w:t>
            </w:r>
          </w:p>
        </w:tc>
        <w:tc>
          <w:tcPr>
            <w:tcW w:w="1812" w:type="dxa"/>
          </w:tcPr>
          <w:p w14:paraId="193BCCEF" w14:textId="155660CE" w:rsidR="00434F27" w:rsidRDefault="00751DAD"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21.67</w:t>
            </w:r>
            <w:r w:rsidR="00DF7A69">
              <w:rPr>
                <w:rFonts w:cstheme="minorHAnsi"/>
                <w:b/>
                <w:sz w:val="24"/>
                <w:szCs w:val="24"/>
                <w:lang w:val="en-US"/>
              </w:rPr>
              <w:t xml:space="preserve"> %</w:t>
            </w:r>
          </w:p>
        </w:tc>
        <w:tc>
          <w:tcPr>
            <w:tcW w:w="1813" w:type="dxa"/>
          </w:tcPr>
          <w:p w14:paraId="2631BA27" w14:textId="74959676" w:rsidR="00434F27" w:rsidRDefault="00751DAD"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48.40</w:t>
            </w:r>
            <w:r w:rsidR="00DF7A69">
              <w:rPr>
                <w:rFonts w:cstheme="minorHAnsi"/>
                <w:b/>
                <w:sz w:val="24"/>
                <w:szCs w:val="24"/>
                <w:lang w:val="en-US"/>
              </w:rPr>
              <w:t xml:space="preserve"> %</w:t>
            </w:r>
          </w:p>
        </w:tc>
      </w:tr>
      <w:tr w:rsidR="00434F27" w14:paraId="69A5CBD3"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4EA5DF9" w14:textId="7281A7A7" w:rsidR="00434F27" w:rsidRDefault="00434F27" w:rsidP="00434F27">
            <w:pPr>
              <w:rPr>
                <w:rFonts w:cstheme="minorHAnsi"/>
                <w:b w:val="0"/>
                <w:sz w:val="24"/>
                <w:szCs w:val="24"/>
                <w:lang w:val="en-US"/>
              </w:rPr>
            </w:pPr>
            <w:r>
              <w:rPr>
                <w:rFonts w:cstheme="minorHAnsi"/>
                <w:sz w:val="24"/>
                <w:szCs w:val="24"/>
                <w:lang w:val="en-US"/>
              </w:rPr>
              <w:t>More than 15 partners</w:t>
            </w:r>
          </w:p>
        </w:tc>
        <w:tc>
          <w:tcPr>
            <w:tcW w:w="3743" w:type="dxa"/>
          </w:tcPr>
          <w:p w14:paraId="7E23E176" w14:textId="7BDEB9D9" w:rsidR="00434F27" w:rsidRDefault="00434F27"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Sex role: Insertive</w:t>
            </w:r>
          </w:p>
        </w:tc>
        <w:tc>
          <w:tcPr>
            <w:tcW w:w="1812" w:type="dxa"/>
          </w:tcPr>
          <w:p w14:paraId="418D5B10" w14:textId="30D0ABFE"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35.52</w:t>
            </w:r>
            <w:r w:rsidR="00DF7A69">
              <w:rPr>
                <w:rFonts w:cstheme="minorHAnsi"/>
                <w:b/>
                <w:sz w:val="24"/>
                <w:szCs w:val="24"/>
                <w:lang w:val="en-US"/>
              </w:rPr>
              <w:t xml:space="preserve"> %</w:t>
            </w:r>
          </w:p>
        </w:tc>
        <w:tc>
          <w:tcPr>
            <w:tcW w:w="1813" w:type="dxa"/>
          </w:tcPr>
          <w:p w14:paraId="66EB3D91" w14:textId="591B3A6A"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37.72</w:t>
            </w:r>
            <w:r w:rsidR="00DF7A69">
              <w:rPr>
                <w:rFonts w:cstheme="minorHAnsi"/>
                <w:b/>
                <w:sz w:val="24"/>
                <w:szCs w:val="24"/>
                <w:lang w:val="en-US"/>
              </w:rPr>
              <w:t xml:space="preserve"> %</w:t>
            </w:r>
          </w:p>
        </w:tc>
      </w:tr>
      <w:tr w:rsidR="00434F27" w14:paraId="5BC4A657"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27860282" w14:textId="77777777" w:rsidR="00434F27" w:rsidRDefault="00434F27" w:rsidP="00434F27">
            <w:pPr>
              <w:rPr>
                <w:rFonts w:cstheme="minorHAnsi"/>
                <w:b w:val="0"/>
                <w:sz w:val="24"/>
                <w:szCs w:val="24"/>
                <w:lang w:val="en-US"/>
              </w:rPr>
            </w:pPr>
          </w:p>
        </w:tc>
        <w:tc>
          <w:tcPr>
            <w:tcW w:w="3743" w:type="dxa"/>
          </w:tcPr>
          <w:p w14:paraId="5B1AF43D" w14:textId="2A8CA56E" w:rsidR="00434F27" w:rsidRDefault="00434F27"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Receptive</w:t>
            </w:r>
          </w:p>
        </w:tc>
        <w:tc>
          <w:tcPr>
            <w:tcW w:w="1812" w:type="dxa"/>
          </w:tcPr>
          <w:p w14:paraId="3418BF26" w14:textId="0E5E06D2" w:rsidR="00434F27" w:rsidRDefault="001D25D6"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49.20</w:t>
            </w:r>
            <w:r w:rsidR="00DF7A69">
              <w:rPr>
                <w:rFonts w:cstheme="minorHAnsi"/>
                <w:b/>
                <w:sz w:val="24"/>
                <w:szCs w:val="24"/>
                <w:lang w:val="en-US"/>
              </w:rPr>
              <w:t xml:space="preserve"> %</w:t>
            </w:r>
          </w:p>
        </w:tc>
        <w:tc>
          <w:tcPr>
            <w:tcW w:w="1813" w:type="dxa"/>
          </w:tcPr>
          <w:p w14:paraId="3469D95D" w14:textId="1A53A2EE" w:rsidR="00434F27" w:rsidRDefault="001D25D6" w:rsidP="00434F27">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39.28</w:t>
            </w:r>
            <w:r w:rsidR="00DF7A69">
              <w:rPr>
                <w:rFonts w:cstheme="minorHAnsi"/>
                <w:b/>
                <w:sz w:val="24"/>
                <w:szCs w:val="24"/>
                <w:lang w:val="en-US"/>
              </w:rPr>
              <w:t xml:space="preserve"> %</w:t>
            </w:r>
          </w:p>
        </w:tc>
      </w:tr>
      <w:tr w:rsidR="00434F27" w14:paraId="13CCD103"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28ECF88" w14:textId="77777777" w:rsidR="00434F27" w:rsidRDefault="00434F27" w:rsidP="00434F27">
            <w:pPr>
              <w:rPr>
                <w:rFonts w:cstheme="minorHAnsi"/>
                <w:b w:val="0"/>
                <w:sz w:val="24"/>
                <w:szCs w:val="24"/>
                <w:lang w:val="en-US"/>
              </w:rPr>
            </w:pPr>
          </w:p>
        </w:tc>
        <w:tc>
          <w:tcPr>
            <w:tcW w:w="3743" w:type="dxa"/>
          </w:tcPr>
          <w:p w14:paraId="6BBC8CBD" w14:textId="70B34081" w:rsidR="00434F27" w:rsidRDefault="00434F27"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Versatile</w:t>
            </w:r>
          </w:p>
        </w:tc>
        <w:tc>
          <w:tcPr>
            <w:tcW w:w="1812" w:type="dxa"/>
          </w:tcPr>
          <w:p w14:paraId="3B702413" w14:textId="4A27774D"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15.29</w:t>
            </w:r>
            <w:r w:rsidR="00DF7A69">
              <w:rPr>
                <w:rFonts w:cstheme="minorHAnsi"/>
                <w:b/>
                <w:sz w:val="24"/>
                <w:szCs w:val="24"/>
                <w:lang w:val="en-US"/>
              </w:rPr>
              <w:t xml:space="preserve"> %</w:t>
            </w:r>
          </w:p>
        </w:tc>
        <w:tc>
          <w:tcPr>
            <w:tcW w:w="1813" w:type="dxa"/>
          </w:tcPr>
          <w:p w14:paraId="5824B8A7" w14:textId="1DAF8B89" w:rsidR="00434F27" w:rsidRDefault="001D25D6" w:rsidP="00434F27">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23.00</w:t>
            </w:r>
            <w:r w:rsidR="00DF7A69">
              <w:rPr>
                <w:rFonts w:cstheme="minorHAnsi"/>
                <w:b/>
                <w:sz w:val="24"/>
                <w:szCs w:val="24"/>
                <w:lang w:val="en-US"/>
              </w:rPr>
              <w:t xml:space="preserve"> %</w:t>
            </w:r>
          </w:p>
        </w:tc>
      </w:tr>
      <w:tr w:rsidR="005372E1" w14:paraId="393D6E7E"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1982A765" w14:textId="77777777" w:rsidR="005372E1" w:rsidRDefault="005372E1" w:rsidP="005372E1">
            <w:pPr>
              <w:rPr>
                <w:rFonts w:cstheme="minorHAnsi"/>
                <w:b w:val="0"/>
                <w:sz w:val="24"/>
                <w:szCs w:val="24"/>
                <w:lang w:val="en-US"/>
              </w:rPr>
            </w:pPr>
          </w:p>
        </w:tc>
        <w:tc>
          <w:tcPr>
            <w:tcW w:w="3743" w:type="dxa"/>
          </w:tcPr>
          <w:p w14:paraId="445C7D1F" w14:textId="679863DD"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Consistent condom users</w:t>
            </w:r>
          </w:p>
        </w:tc>
        <w:tc>
          <w:tcPr>
            <w:tcW w:w="1812" w:type="dxa"/>
          </w:tcPr>
          <w:p w14:paraId="2B38E747" w14:textId="4C6CB129" w:rsidR="005372E1" w:rsidRDefault="0018491F"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45.74</w:t>
            </w:r>
            <w:r w:rsidR="00DF7A69">
              <w:rPr>
                <w:rFonts w:cstheme="minorHAnsi"/>
                <w:b/>
                <w:sz w:val="24"/>
                <w:szCs w:val="24"/>
                <w:lang w:val="en-US"/>
              </w:rPr>
              <w:t xml:space="preserve"> %</w:t>
            </w:r>
          </w:p>
        </w:tc>
        <w:tc>
          <w:tcPr>
            <w:tcW w:w="1813" w:type="dxa"/>
          </w:tcPr>
          <w:p w14:paraId="410D608A" w14:textId="2681900F" w:rsidR="005372E1" w:rsidRDefault="004F23C3"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29.46</w:t>
            </w:r>
            <w:r w:rsidR="00DF7A69">
              <w:rPr>
                <w:rFonts w:cstheme="minorHAnsi"/>
                <w:b/>
                <w:sz w:val="24"/>
                <w:szCs w:val="24"/>
                <w:lang w:val="en-US"/>
              </w:rPr>
              <w:t xml:space="preserve"> %</w:t>
            </w:r>
          </w:p>
        </w:tc>
      </w:tr>
      <w:tr w:rsidR="005372E1" w14:paraId="72720F5D"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FA1E483" w14:textId="77777777" w:rsidR="005372E1" w:rsidRDefault="005372E1" w:rsidP="005372E1">
            <w:pPr>
              <w:rPr>
                <w:rFonts w:cstheme="minorHAnsi"/>
                <w:b w:val="0"/>
                <w:sz w:val="24"/>
                <w:szCs w:val="24"/>
                <w:lang w:val="en-US"/>
              </w:rPr>
            </w:pPr>
          </w:p>
        </w:tc>
        <w:tc>
          <w:tcPr>
            <w:tcW w:w="3743" w:type="dxa"/>
          </w:tcPr>
          <w:p w14:paraId="20C83A3A" w14:textId="5C3BF5CB"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Never screen for STIs</w:t>
            </w:r>
          </w:p>
        </w:tc>
        <w:tc>
          <w:tcPr>
            <w:tcW w:w="1812" w:type="dxa"/>
          </w:tcPr>
          <w:p w14:paraId="3C6E853C" w14:textId="162FB842" w:rsidR="005372E1" w:rsidRDefault="008040C6"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31.61</w:t>
            </w:r>
            <w:r w:rsidR="00DF7A69">
              <w:rPr>
                <w:rFonts w:cstheme="minorHAnsi"/>
                <w:b/>
                <w:sz w:val="24"/>
                <w:szCs w:val="24"/>
                <w:lang w:val="en-US"/>
              </w:rPr>
              <w:t xml:space="preserve"> %</w:t>
            </w:r>
          </w:p>
        </w:tc>
        <w:tc>
          <w:tcPr>
            <w:tcW w:w="1813" w:type="dxa"/>
          </w:tcPr>
          <w:p w14:paraId="76FA112E" w14:textId="73539007" w:rsidR="005372E1" w:rsidRDefault="008040C6"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9.55</w:t>
            </w:r>
            <w:r w:rsidR="00DF7A69">
              <w:rPr>
                <w:rFonts w:cstheme="minorHAnsi"/>
                <w:b/>
                <w:sz w:val="24"/>
                <w:szCs w:val="24"/>
                <w:lang w:val="en-US"/>
              </w:rPr>
              <w:t xml:space="preserve"> %</w:t>
            </w:r>
          </w:p>
        </w:tc>
      </w:tr>
      <w:tr w:rsidR="005372E1" w14:paraId="5340A821"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715BABDE" w14:textId="77777777" w:rsidR="005372E1" w:rsidRDefault="005372E1" w:rsidP="005372E1">
            <w:pPr>
              <w:rPr>
                <w:rFonts w:cstheme="minorHAnsi"/>
                <w:b w:val="0"/>
                <w:sz w:val="24"/>
                <w:szCs w:val="24"/>
                <w:lang w:val="en-US"/>
              </w:rPr>
            </w:pPr>
          </w:p>
        </w:tc>
        <w:tc>
          <w:tcPr>
            <w:tcW w:w="3743" w:type="dxa"/>
          </w:tcPr>
          <w:p w14:paraId="64DD558A" w14:textId="035144CA"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STI screening in the previous 12 months</w:t>
            </w:r>
          </w:p>
        </w:tc>
        <w:tc>
          <w:tcPr>
            <w:tcW w:w="1812" w:type="dxa"/>
          </w:tcPr>
          <w:p w14:paraId="1A276C92" w14:textId="1976581E" w:rsidR="005372E1" w:rsidRDefault="002C29A8"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70.56</w:t>
            </w:r>
            <w:r w:rsidR="00DF7A69">
              <w:rPr>
                <w:rFonts w:cstheme="minorHAnsi"/>
                <w:b/>
                <w:sz w:val="24"/>
                <w:szCs w:val="24"/>
                <w:lang w:val="en-US"/>
              </w:rPr>
              <w:t xml:space="preserve"> %</w:t>
            </w:r>
          </w:p>
        </w:tc>
        <w:tc>
          <w:tcPr>
            <w:tcW w:w="1813" w:type="dxa"/>
          </w:tcPr>
          <w:p w14:paraId="757CE3EB" w14:textId="0B9846C1" w:rsidR="005372E1" w:rsidRDefault="007B4D5E"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86.97</w:t>
            </w:r>
            <w:r w:rsidR="00DF7A69">
              <w:rPr>
                <w:rFonts w:cstheme="minorHAnsi"/>
                <w:b/>
                <w:sz w:val="24"/>
                <w:szCs w:val="24"/>
                <w:lang w:val="en-US"/>
              </w:rPr>
              <w:t xml:space="preserve"> %</w:t>
            </w:r>
          </w:p>
        </w:tc>
      </w:tr>
      <w:tr w:rsidR="005372E1" w14:paraId="3945CDF9"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87B3156" w14:textId="77777777" w:rsidR="005372E1" w:rsidRDefault="005372E1" w:rsidP="005372E1">
            <w:pPr>
              <w:rPr>
                <w:rFonts w:cstheme="minorHAnsi"/>
                <w:b w:val="0"/>
                <w:sz w:val="24"/>
                <w:szCs w:val="24"/>
                <w:lang w:val="en-US"/>
              </w:rPr>
            </w:pPr>
          </w:p>
        </w:tc>
        <w:tc>
          <w:tcPr>
            <w:tcW w:w="3743" w:type="dxa"/>
          </w:tcPr>
          <w:p w14:paraId="39209EC3" w14:textId="5FC8BD44"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STI screening in the previous 6 months</w:t>
            </w:r>
          </w:p>
        </w:tc>
        <w:tc>
          <w:tcPr>
            <w:tcW w:w="1812" w:type="dxa"/>
          </w:tcPr>
          <w:p w14:paraId="3377759C" w14:textId="68A54C88" w:rsidR="005372E1" w:rsidRDefault="00184399"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50.84</w:t>
            </w:r>
            <w:r w:rsidR="00DF7A69">
              <w:rPr>
                <w:rFonts w:cstheme="minorHAnsi"/>
                <w:b/>
                <w:sz w:val="24"/>
                <w:szCs w:val="24"/>
                <w:lang w:val="en-US"/>
              </w:rPr>
              <w:t xml:space="preserve"> %</w:t>
            </w:r>
          </w:p>
        </w:tc>
        <w:tc>
          <w:tcPr>
            <w:tcW w:w="1813" w:type="dxa"/>
          </w:tcPr>
          <w:p w14:paraId="08E7A230" w14:textId="3A1269F4" w:rsidR="005372E1" w:rsidRDefault="00CC0668"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73.39</w:t>
            </w:r>
            <w:r w:rsidR="00DF7A69">
              <w:rPr>
                <w:rFonts w:cstheme="minorHAnsi"/>
                <w:b/>
                <w:sz w:val="24"/>
                <w:szCs w:val="24"/>
                <w:lang w:val="en-US"/>
              </w:rPr>
              <w:t xml:space="preserve"> %</w:t>
            </w:r>
          </w:p>
        </w:tc>
      </w:tr>
      <w:tr w:rsidR="005372E1" w14:paraId="0DCF8580"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5530C5D5" w14:textId="77777777" w:rsidR="005372E1" w:rsidRDefault="005372E1" w:rsidP="005372E1">
            <w:pPr>
              <w:rPr>
                <w:rFonts w:cstheme="minorHAnsi"/>
                <w:b w:val="0"/>
                <w:sz w:val="24"/>
                <w:szCs w:val="24"/>
                <w:lang w:val="en-US"/>
              </w:rPr>
            </w:pPr>
          </w:p>
        </w:tc>
        <w:tc>
          <w:tcPr>
            <w:tcW w:w="3743" w:type="dxa"/>
          </w:tcPr>
          <w:p w14:paraId="4B226BF2" w14:textId="3311C946"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Screening sites: Urethra only</w:t>
            </w:r>
          </w:p>
        </w:tc>
        <w:tc>
          <w:tcPr>
            <w:tcW w:w="1812" w:type="dxa"/>
          </w:tcPr>
          <w:p w14:paraId="02940E84" w14:textId="7D051F16" w:rsidR="005372E1" w:rsidRDefault="008B0F58"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49.90</w:t>
            </w:r>
            <w:r w:rsidR="00DF7A69">
              <w:rPr>
                <w:rFonts w:cstheme="minorHAnsi"/>
                <w:b/>
                <w:sz w:val="24"/>
                <w:szCs w:val="24"/>
                <w:lang w:val="en-US"/>
              </w:rPr>
              <w:t xml:space="preserve"> %</w:t>
            </w:r>
          </w:p>
        </w:tc>
        <w:tc>
          <w:tcPr>
            <w:tcW w:w="1813" w:type="dxa"/>
          </w:tcPr>
          <w:p w14:paraId="04FD8B24" w14:textId="621C6BB4" w:rsidR="005372E1" w:rsidRDefault="008B0F58"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70.55</w:t>
            </w:r>
            <w:r w:rsidR="00DF7A69">
              <w:rPr>
                <w:rFonts w:cstheme="minorHAnsi"/>
                <w:b/>
                <w:sz w:val="24"/>
                <w:szCs w:val="24"/>
                <w:lang w:val="en-US"/>
              </w:rPr>
              <w:t xml:space="preserve"> %</w:t>
            </w:r>
          </w:p>
        </w:tc>
      </w:tr>
      <w:tr w:rsidR="005372E1" w14:paraId="1A2340C0"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846D964" w14:textId="77777777" w:rsidR="005372E1" w:rsidRDefault="005372E1" w:rsidP="005372E1">
            <w:pPr>
              <w:rPr>
                <w:rFonts w:cstheme="minorHAnsi"/>
                <w:b w:val="0"/>
                <w:sz w:val="24"/>
                <w:szCs w:val="24"/>
                <w:lang w:val="en-US"/>
              </w:rPr>
            </w:pPr>
          </w:p>
        </w:tc>
        <w:tc>
          <w:tcPr>
            <w:tcW w:w="3743" w:type="dxa"/>
          </w:tcPr>
          <w:p w14:paraId="010EC672" w14:textId="4C635EAA"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Pharynx and/or rectum</w:t>
            </w:r>
          </w:p>
        </w:tc>
        <w:tc>
          <w:tcPr>
            <w:tcW w:w="1812" w:type="dxa"/>
          </w:tcPr>
          <w:p w14:paraId="2EDFB338" w14:textId="2850054C" w:rsidR="005372E1" w:rsidRDefault="008B0F58"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3.07</w:t>
            </w:r>
            <w:r w:rsidR="00DF7A69">
              <w:rPr>
                <w:rFonts w:cstheme="minorHAnsi"/>
                <w:b/>
                <w:sz w:val="24"/>
                <w:szCs w:val="24"/>
                <w:lang w:val="en-US"/>
              </w:rPr>
              <w:t xml:space="preserve"> %</w:t>
            </w:r>
          </w:p>
        </w:tc>
        <w:tc>
          <w:tcPr>
            <w:tcW w:w="1813" w:type="dxa"/>
          </w:tcPr>
          <w:p w14:paraId="56EB40D6" w14:textId="72D661E3" w:rsidR="005372E1" w:rsidRDefault="008B0F58"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2.00</w:t>
            </w:r>
            <w:r w:rsidR="00DF7A69">
              <w:rPr>
                <w:rFonts w:cstheme="minorHAnsi"/>
                <w:b/>
                <w:sz w:val="24"/>
                <w:szCs w:val="24"/>
                <w:lang w:val="en-US"/>
              </w:rPr>
              <w:t xml:space="preserve"> %</w:t>
            </w:r>
          </w:p>
        </w:tc>
      </w:tr>
      <w:tr w:rsidR="005372E1" w14:paraId="79926B95"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673E073A" w14:textId="77777777" w:rsidR="005372E1" w:rsidRDefault="005372E1" w:rsidP="005372E1">
            <w:pPr>
              <w:rPr>
                <w:rFonts w:cstheme="minorHAnsi"/>
                <w:b w:val="0"/>
                <w:sz w:val="24"/>
                <w:szCs w:val="24"/>
                <w:lang w:val="en-US"/>
              </w:rPr>
            </w:pPr>
          </w:p>
        </w:tc>
        <w:tc>
          <w:tcPr>
            <w:tcW w:w="3743" w:type="dxa"/>
          </w:tcPr>
          <w:p w14:paraId="51A83754" w14:textId="1B33909A"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Pharynx, Urethra and rectum</w:t>
            </w:r>
          </w:p>
        </w:tc>
        <w:tc>
          <w:tcPr>
            <w:tcW w:w="1812" w:type="dxa"/>
          </w:tcPr>
          <w:p w14:paraId="3D5F63A3" w14:textId="422A9B8A" w:rsidR="005372E1" w:rsidRDefault="008B0F58"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47.03</w:t>
            </w:r>
            <w:r w:rsidR="00DF7A69">
              <w:rPr>
                <w:rFonts w:cstheme="minorHAnsi"/>
                <w:b/>
                <w:sz w:val="24"/>
                <w:szCs w:val="24"/>
                <w:lang w:val="en-US"/>
              </w:rPr>
              <w:t xml:space="preserve"> %</w:t>
            </w:r>
          </w:p>
        </w:tc>
        <w:tc>
          <w:tcPr>
            <w:tcW w:w="1813" w:type="dxa"/>
          </w:tcPr>
          <w:p w14:paraId="0F7E410E" w14:textId="3BAC86F7" w:rsidR="005372E1" w:rsidRDefault="008B0F58"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27.45</w:t>
            </w:r>
            <w:r w:rsidR="00DF7A69">
              <w:rPr>
                <w:rFonts w:cstheme="minorHAnsi"/>
                <w:b/>
                <w:sz w:val="24"/>
                <w:szCs w:val="24"/>
                <w:lang w:val="en-US"/>
              </w:rPr>
              <w:t xml:space="preserve"> %</w:t>
            </w:r>
          </w:p>
        </w:tc>
      </w:tr>
      <w:tr w:rsidR="005372E1" w14:paraId="0E4F57C2"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40E5D05" w14:textId="26286EF9" w:rsidR="005372E1" w:rsidRDefault="005372E1" w:rsidP="005372E1">
            <w:pPr>
              <w:rPr>
                <w:rFonts w:cstheme="minorHAnsi"/>
                <w:b w:val="0"/>
                <w:sz w:val="24"/>
                <w:szCs w:val="24"/>
                <w:lang w:val="en-US"/>
              </w:rPr>
            </w:pPr>
            <w:r>
              <w:rPr>
                <w:rFonts w:cstheme="minorHAnsi"/>
                <w:sz w:val="24"/>
                <w:szCs w:val="24"/>
                <w:lang w:val="en-US"/>
              </w:rPr>
              <w:lastRenderedPageBreak/>
              <w:t>More than 15 casual partners</w:t>
            </w:r>
          </w:p>
        </w:tc>
        <w:tc>
          <w:tcPr>
            <w:tcW w:w="3743" w:type="dxa"/>
          </w:tcPr>
          <w:p w14:paraId="36133EC4" w14:textId="42153D76"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Sex role: Insertive</w:t>
            </w:r>
          </w:p>
        </w:tc>
        <w:tc>
          <w:tcPr>
            <w:tcW w:w="1812" w:type="dxa"/>
          </w:tcPr>
          <w:p w14:paraId="1B5BB6A7" w14:textId="2F01AE72"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35.79</w:t>
            </w:r>
            <w:r w:rsidR="00DF7A69">
              <w:rPr>
                <w:rFonts w:cstheme="minorHAnsi"/>
                <w:b/>
                <w:sz w:val="24"/>
                <w:szCs w:val="24"/>
                <w:lang w:val="en-US"/>
              </w:rPr>
              <w:t xml:space="preserve"> %</w:t>
            </w:r>
          </w:p>
        </w:tc>
        <w:tc>
          <w:tcPr>
            <w:tcW w:w="1813" w:type="dxa"/>
          </w:tcPr>
          <w:p w14:paraId="287AE927" w14:textId="296F9A6F"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37.48</w:t>
            </w:r>
            <w:r w:rsidR="00DF7A69">
              <w:rPr>
                <w:rFonts w:cstheme="minorHAnsi"/>
                <w:b/>
                <w:sz w:val="24"/>
                <w:szCs w:val="24"/>
                <w:lang w:val="en-US"/>
              </w:rPr>
              <w:t xml:space="preserve"> %</w:t>
            </w:r>
          </w:p>
        </w:tc>
      </w:tr>
      <w:tr w:rsidR="005372E1" w14:paraId="09A9EA14"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499DD995" w14:textId="77777777" w:rsidR="005372E1" w:rsidRDefault="005372E1" w:rsidP="005372E1">
            <w:pPr>
              <w:rPr>
                <w:rFonts w:cstheme="minorHAnsi"/>
                <w:b w:val="0"/>
                <w:sz w:val="24"/>
                <w:szCs w:val="24"/>
                <w:lang w:val="en-US"/>
              </w:rPr>
            </w:pPr>
          </w:p>
        </w:tc>
        <w:tc>
          <w:tcPr>
            <w:tcW w:w="3743" w:type="dxa"/>
          </w:tcPr>
          <w:p w14:paraId="47B0F6FB" w14:textId="43E3AC9C"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Receptive</w:t>
            </w:r>
          </w:p>
        </w:tc>
        <w:tc>
          <w:tcPr>
            <w:tcW w:w="1812" w:type="dxa"/>
          </w:tcPr>
          <w:p w14:paraId="6AFFCA75" w14:textId="407CE968"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48.16</w:t>
            </w:r>
            <w:r w:rsidR="00DF7A69">
              <w:rPr>
                <w:rFonts w:cstheme="minorHAnsi"/>
                <w:b/>
                <w:sz w:val="24"/>
                <w:szCs w:val="24"/>
                <w:lang w:val="en-US"/>
              </w:rPr>
              <w:t xml:space="preserve"> %</w:t>
            </w:r>
          </w:p>
        </w:tc>
        <w:tc>
          <w:tcPr>
            <w:tcW w:w="1813" w:type="dxa"/>
          </w:tcPr>
          <w:p w14:paraId="7206CB15" w14:textId="57EA5BFA"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40.03</w:t>
            </w:r>
            <w:r w:rsidR="00DF7A69">
              <w:rPr>
                <w:rFonts w:cstheme="minorHAnsi"/>
                <w:b/>
                <w:sz w:val="24"/>
                <w:szCs w:val="24"/>
                <w:lang w:val="en-US"/>
              </w:rPr>
              <w:t xml:space="preserve"> %</w:t>
            </w:r>
          </w:p>
        </w:tc>
      </w:tr>
      <w:tr w:rsidR="005372E1" w14:paraId="6C5CB0AC"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21AC442" w14:textId="77777777" w:rsidR="005372E1" w:rsidRDefault="005372E1" w:rsidP="005372E1">
            <w:pPr>
              <w:rPr>
                <w:rFonts w:cstheme="minorHAnsi"/>
                <w:b w:val="0"/>
                <w:sz w:val="24"/>
                <w:szCs w:val="24"/>
                <w:lang w:val="en-US"/>
              </w:rPr>
            </w:pPr>
          </w:p>
        </w:tc>
        <w:tc>
          <w:tcPr>
            <w:tcW w:w="3743" w:type="dxa"/>
          </w:tcPr>
          <w:p w14:paraId="47E7EF0B" w14:textId="1061C739"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Versatile</w:t>
            </w:r>
          </w:p>
        </w:tc>
        <w:tc>
          <w:tcPr>
            <w:tcW w:w="1812" w:type="dxa"/>
          </w:tcPr>
          <w:p w14:paraId="27CA5562" w14:textId="2D0EEE19"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16.05</w:t>
            </w:r>
            <w:r w:rsidR="00DF7A69">
              <w:rPr>
                <w:rFonts w:cstheme="minorHAnsi"/>
                <w:b/>
                <w:sz w:val="24"/>
                <w:szCs w:val="24"/>
                <w:lang w:val="en-US"/>
              </w:rPr>
              <w:t xml:space="preserve"> %</w:t>
            </w:r>
          </w:p>
        </w:tc>
        <w:tc>
          <w:tcPr>
            <w:tcW w:w="1813" w:type="dxa"/>
          </w:tcPr>
          <w:p w14:paraId="183A6905" w14:textId="1B1BA445"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22.49</w:t>
            </w:r>
            <w:r w:rsidR="00DF7A69">
              <w:rPr>
                <w:rFonts w:cstheme="minorHAnsi"/>
                <w:b/>
                <w:sz w:val="24"/>
                <w:szCs w:val="24"/>
                <w:lang w:val="en-US"/>
              </w:rPr>
              <w:t xml:space="preserve"> %</w:t>
            </w:r>
          </w:p>
        </w:tc>
      </w:tr>
      <w:tr w:rsidR="005372E1" w14:paraId="7E7F67E5"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15894E2B" w14:textId="77777777" w:rsidR="005372E1" w:rsidRDefault="005372E1" w:rsidP="005372E1">
            <w:pPr>
              <w:rPr>
                <w:rFonts w:cstheme="minorHAnsi"/>
                <w:b w:val="0"/>
                <w:sz w:val="24"/>
                <w:szCs w:val="24"/>
                <w:lang w:val="en-US"/>
              </w:rPr>
            </w:pPr>
          </w:p>
        </w:tc>
        <w:tc>
          <w:tcPr>
            <w:tcW w:w="3743" w:type="dxa"/>
          </w:tcPr>
          <w:p w14:paraId="4F888BA8" w14:textId="732D33A9"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Consistent condom users</w:t>
            </w:r>
          </w:p>
        </w:tc>
        <w:tc>
          <w:tcPr>
            <w:tcW w:w="1812" w:type="dxa"/>
          </w:tcPr>
          <w:p w14:paraId="4462832C" w14:textId="7508749F" w:rsidR="005372E1" w:rsidRDefault="0018491F"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44.87</w:t>
            </w:r>
            <w:r w:rsidR="00DF7A69">
              <w:rPr>
                <w:rFonts w:cstheme="minorHAnsi"/>
                <w:b/>
                <w:sz w:val="24"/>
                <w:szCs w:val="24"/>
                <w:lang w:val="en-US"/>
              </w:rPr>
              <w:t xml:space="preserve"> %</w:t>
            </w:r>
          </w:p>
        </w:tc>
        <w:tc>
          <w:tcPr>
            <w:tcW w:w="1813" w:type="dxa"/>
          </w:tcPr>
          <w:p w14:paraId="124F1258" w14:textId="6E5F1CA6" w:rsidR="005372E1" w:rsidRDefault="004F23C3"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29.53</w:t>
            </w:r>
            <w:r w:rsidR="00DF7A69">
              <w:rPr>
                <w:rFonts w:cstheme="minorHAnsi"/>
                <w:b/>
                <w:sz w:val="24"/>
                <w:szCs w:val="24"/>
                <w:lang w:val="en-US"/>
              </w:rPr>
              <w:t xml:space="preserve"> %</w:t>
            </w:r>
          </w:p>
        </w:tc>
      </w:tr>
      <w:tr w:rsidR="005372E1" w14:paraId="3BB8D766"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2A87F02" w14:textId="77777777" w:rsidR="005372E1" w:rsidRDefault="005372E1" w:rsidP="005372E1">
            <w:pPr>
              <w:rPr>
                <w:rFonts w:cstheme="minorHAnsi"/>
                <w:b w:val="0"/>
                <w:sz w:val="24"/>
                <w:szCs w:val="24"/>
                <w:lang w:val="en-US"/>
              </w:rPr>
            </w:pPr>
          </w:p>
        </w:tc>
        <w:tc>
          <w:tcPr>
            <w:tcW w:w="3743" w:type="dxa"/>
          </w:tcPr>
          <w:p w14:paraId="151D3051" w14:textId="2823C864"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Never screen for STIs</w:t>
            </w:r>
          </w:p>
        </w:tc>
        <w:tc>
          <w:tcPr>
            <w:tcW w:w="1812" w:type="dxa"/>
          </w:tcPr>
          <w:p w14:paraId="1BD35CEF" w14:textId="2D945792" w:rsidR="005372E1" w:rsidRDefault="008040C6"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31.03</w:t>
            </w:r>
            <w:r w:rsidR="00DF7A69">
              <w:rPr>
                <w:rFonts w:cstheme="minorHAnsi"/>
                <w:b/>
                <w:sz w:val="24"/>
                <w:szCs w:val="24"/>
                <w:lang w:val="en-US"/>
              </w:rPr>
              <w:t xml:space="preserve"> %</w:t>
            </w:r>
          </w:p>
        </w:tc>
        <w:tc>
          <w:tcPr>
            <w:tcW w:w="1813" w:type="dxa"/>
          </w:tcPr>
          <w:p w14:paraId="16A10E93" w14:textId="1C8FE076" w:rsidR="005372E1" w:rsidRDefault="008040C6"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9.05</w:t>
            </w:r>
            <w:r w:rsidR="00DF7A69">
              <w:rPr>
                <w:rFonts w:cstheme="minorHAnsi"/>
                <w:b/>
                <w:sz w:val="24"/>
                <w:szCs w:val="24"/>
                <w:lang w:val="en-US"/>
              </w:rPr>
              <w:t xml:space="preserve"> %</w:t>
            </w:r>
          </w:p>
        </w:tc>
      </w:tr>
      <w:tr w:rsidR="005372E1" w14:paraId="7AFF68FA"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7F467C8B" w14:textId="77777777" w:rsidR="005372E1" w:rsidRDefault="005372E1" w:rsidP="005372E1">
            <w:pPr>
              <w:rPr>
                <w:rFonts w:cstheme="minorHAnsi"/>
                <w:b w:val="0"/>
                <w:sz w:val="24"/>
                <w:szCs w:val="24"/>
                <w:lang w:val="en-US"/>
              </w:rPr>
            </w:pPr>
          </w:p>
        </w:tc>
        <w:tc>
          <w:tcPr>
            <w:tcW w:w="3743" w:type="dxa"/>
          </w:tcPr>
          <w:p w14:paraId="4E24DA07" w14:textId="7FCB70AD"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STI screening in the previous 12 months</w:t>
            </w:r>
          </w:p>
        </w:tc>
        <w:tc>
          <w:tcPr>
            <w:tcW w:w="1812" w:type="dxa"/>
          </w:tcPr>
          <w:p w14:paraId="76CD305B" w14:textId="047DCE49" w:rsidR="005372E1" w:rsidRDefault="002C29A8"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71.21</w:t>
            </w:r>
            <w:r w:rsidR="00DF7A69">
              <w:rPr>
                <w:rFonts w:cstheme="minorHAnsi"/>
                <w:b/>
                <w:sz w:val="24"/>
                <w:szCs w:val="24"/>
                <w:lang w:val="en-US"/>
              </w:rPr>
              <w:t xml:space="preserve"> %</w:t>
            </w:r>
          </w:p>
        </w:tc>
        <w:tc>
          <w:tcPr>
            <w:tcW w:w="1813" w:type="dxa"/>
          </w:tcPr>
          <w:p w14:paraId="38C50FE4" w14:textId="662D2ABB" w:rsidR="005372E1" w:rsidRDefault="007B4D5E"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87.07</w:t>
            </w:r>
            <w:r w:rsidR="00DF7A69">
              <w:rPr>
                <w:rFonts w:cstheme="minorHAnsi"/>
                <w:b/>
                <w:sz w:val="24"/>
                <w:szCs w:val="24"/>
                <w:lang w:val="en-US"/>
              </w:rPr>
              <w:t xml:space="preserve"> %</w:t>
            </w:r>
          </w:p>
        </w:tc>
      </w:tr>
      <w:tr w:rsidR="005372E1" w14:paraId="375CA3D4"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9745BD4" w14:textId="77777777" w:rsidR="005372E1" w:rsidRDefault="005372E1" w:rsidP="005372E1">
            <w:pPr>
              <w:rPr>
                <w:rFonts w:cstheme="minorHAnsi"/>
                <w:b w:val="0"/>
                <w:sz w:val="24"/>
                <w:szCs w:val="24"/>
                <w:lang w:val="en-US"/>
              </w:rPr>
            </w:pPr>
          </w:p>
        </w:tc>
        <w:tc>
          <w:tcPr>
            <w:tcW w:w="3743" w:type="dxa"/>
          </w:tcPr>
          <w:p w14:paraId="3FF3B1E7" w14:textId="3AAEA092"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STI screening in the previous 6 months</w:t>
            </w:r>
          </w:p>
        </w:tc>
        <w:tc>
          <w:tcPr>
            <w:tcW w:w="1812" w:type="dxa"/>
          </w:tcPr>
          <w:p w14:paraId="02FCB540" w14:textId="2D5D7340" w:rsidR="005372E1" w:rsidRDefault="00184399"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51.58</w:t>
            </w:r>
            <w:r w:rsidR="00DF7A69">
              <w:rPr>
                <w:rFonts w:cstheme="minorHAnsi"/>
                <w:b/>
                <w:sz w:val="24"/>
                <w:szCs w:val="24"/>
                <w:lang w:val="en-US"/>
              </w:rPr>
              <w:t xml:space="preserve"> %</w:t>
            </w:r>
          </w:p>
        </w:tc>
        <w:tc>
          <w:tcPr>
            <w:tcW w:w="1813" w:type="dxa"/>
          </w:tcPr>
          <w:p w14:paraId="33C212EC" w14:textId="2618B860" w:rsidR="005372E1" w:rsidRDefault="00D3534E"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73.85</w:t>
            </w:r>
            <w:r w:rsidR="00DF7A69">
              <w:rPr>
                <w:rFonts w:cstheme="minorHAnsi"/>
                <w:b/>
                <w:sz w:val="24"/>
                <w:szCs w:val="24"/>
                <w:lang w:val="en-US"/>
              </w:rPr>
              <w:t xml:space="preserve"> %</w:t>
            </w:r>
          </w:p>
        </w:tc>
      </w:tr>
      <w:tr w:rsidR="005372E1" w14:paraId="206A35AB"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6CFFACFE" w14:textId="77777777" w:rsidR="005372E1" w:rsidRDefault="005372E1" w:rsidP="005372E1">
            <w:pPr>
              <w:rPr>
                <w:rFonts w:cstheme="minorHAnsi"/>
                <w:b w:val="0"/>
                <w:sz w:val="24"/>
                <w:szCs w:val="24"/>
                <w:lang w:val="en-US"/>
              </w:rPr>
            </w:pPr>
          </w:p>
        </w:tc>
        <w:tc>
          <w:tcPr>
            <w:tcW w:w="3743" w:type="dxa"/>
          </w:tcPr>
          <w:p w14:paraId="279C7686" w14:textId="5852E777"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Screening sites: Urethra only</w:t>
            </w:r>
          </w:p>
        </w:tc>
        <w:tc>
          <w:tcPr>
            <w:tcW w:w="1812" w:type="dxa"/>
          </w:tcPr>
          <w:p w14:paraId="387BBC09" w14:textId="4E2E29D0" w:rsidR="005372E1" w:rsidRDefault="0012606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75.54</w:t>
            </w:r>
            <w:r w:rsidR="00DF7A69">
              <w:rPr>
                <w:rFonts w:cstheme="minorHAnsi"/>
                <w:b/>
                <w:sz w:val="24"/>
                <w:szCs w:val="24"/>
                <w:lang w:val="en-US"/>
              </w:rPr>
              <w:t xml:space="preserve"> %</w:t>
            </w:r>
          </w:p>
        </w:tc>
        <w:tc>
          <w:tcPr>
            <w:tcW w:w="1813" w:type="dxa"/>
          </w:tcPr>
          <w:p w14:paraId="7DE97870" w14:textId="03CBE751" w:rsidR="005372E1" w:rsidRDefault="0012606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49.24</w:t>
            </w:r>
            <w:r w:rsidR="00DF7A69">
              <w:rPr>
                <w:rFonts w:cstheme="minorHAnsi"/>
                <w:b/>
                <w:sz w:val="24"/>
                <w:szCs w:val="24"/>
                <w:lang w:val="en-US"/>
              </w:rPr>
              <w:t xml:space="preserve"> %</w:t>
            </w:r>
          </w:p>
        </w:tc>
      </w:tr>
      <w:tr w:rsidR="005372E1" w14:paraId="75ACFF8A" w14:textId="77777777" w:rsidTr="0066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2210559" w14:textId="77777777" w:rsidR="005372E1" w:rsidRDefault="005372E1" w:rsidP="005372E1">
            <w:pPr>
              <w:rPr>
                <w:rFonts w:cstheme="minorHAnsi"/>
                <w:b w:val="0"/>
                <w:sz w:val="24"/>
                <w:szCs w:val="24"/>
                <w:lang w:val="en-US"/>
              </w:rPr>
            </w:pPr>
          </w:p>
        </w:tc>
        <w:tc>
          <w:tcPr>
            <w:tcW w:w="3743" w:type="dxa"/>
          </w:tcPr>
          <w:p w14:paraId="57D70C42" w14:textId="08D45A1B" w:rsidR="005372E1" w:rsidRDefault="005372E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Pharynx and/or rectum</w:t>
            </w:r>
          </w:p>
        </w:tc>
        <w:tc>
          <w:tcPr>
            <w:tcW w:w="1812" w:type="dxa"/>
          </w:tcPr>
          <w:p w14:paraId="6FFE3383" w14:textId="55F90EDF" w:rsidR="005372E1" w:rsidRDefault="0012606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2.79</w:t>
            </w:r>
            <w:r w:rsidR="00DF7A69">
              <w:rPr>
                <w:rFonts w:cstheme="minorHAnsi"/>
                <w:b/>
                <w:sz w:val="24"/>
                <w:szCs w:val="24"/>
                <w:lang w:val="en-US"/>
              </w:rPr>
              <w:t xml:space="preserve"> %</w:t>
            </w:r>
          </w:p>
        </w:tc>
        <w:tc>
          <w:tcPr>
            <w:tcW w:w="1813" w:type="dxa"/>
          </w:tcPr>
          <w:p w14:paraId="060B2C3E" w14:textId="0C5921D0" w:rsidR="005372E1" w:rsidRDefault="00126061" w:rsidP="005372E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2.36</w:t>
            </w:r>
            <w:r w:rsidR="00DF7A69">
              <w:rPr>
                <w:rFonts w:cstheme="minorHAnsi"/>
                <w:b/>
                <w:sz w:val="24"/>
                <w:szCs w:val="24"/>
                <w:lang w:val="en-US"/>
              </w:rPr>
              <w:t xml:space="preserve"> %</w:t>
            </w:r>
          </w:p>
        </w:tc>
      </w:tr>
      <w:tr w:rsidR="005372E1" w14:paraId="16BB8F4B" w14:textId="77777777" w:rsidTr="00663D8D">
        <w:tc>
          <w:tcPr>
            <w:cnfStyle w:val="001000000000" w:firstRow="0" w:lastRow="0" w:firstColumn="1" w:lastColumn="0" w:oddVBand="0" w:evenVBand="0" w:oddHBand="0" w:evenHBand="0" w:firstRowFirstColumn="0" w:firstRowLastColumn="0" w:lastRowFirstColumn="0" w:lastRowLastColumn="0"/>
            <w:tcW w:w="1812" w:type="dxa"/>
          </w:tcPr>
          <w:p w14:paraId="2AD6FDAD" w14:textId="77777777" w:rsidR="005372E1" w:rsidRDefault="005372E1" w:rsidP="005372E1">
            <w:pPr>
              <w:rPr>
                <w:rFonts w:cstheme="minorHAnsi"/>
                <w:b w:val="0"/>
                <w:sz w:val="24"/>
                <w:szCs w:val="24"/>
                <w:lang w:val="en-US"/>
              </w:rPr>
            </w:pPr>
          </w:p>
        </w:tc>
        <w:tc>
          <w:tcPr>
            <w:tcW w:w="3743" w:type="dxa"/>
          </w:tcPr>
          <w:p w14:paraId="14CEABB8" w14:textId="3474F6E8" w:rsidR="005372E1" w:rsidRDefault="005372E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Pharynx, Urethra and rectum</w:t>
            </w:r>
          </w:p>
        </w:tc>
        <w:tc>
          <w:tcPr>
            <w:tcW w:w="1812" w:type="dxa"/>
          </w:tcPr>
          <w:p w14:paraId="579E6B76" w14:textId="064A892F" w:rsidR="005372E1" w:rsidRDefault="0012606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21.67</w:t>
            </w:r>
            <w:r w:rsidR="00DF7A69">
              <w:rPr>
                <w:rFonts w:cstheme="minorHAnsi"/>
                <w:b/>
                <w:sz w:val="24"/>
                <w:szCs w:val="24"/>
                <w:lang w:val="en-US"/>
              </w:rPr>
              <w:t xml:space="preserve"> %</w:t>
            </w:r>
          </w:p>
        </w:tc>
        <w:tc>
          <w:tcPr>
            <w:tcW w:w="1813" w:type="dxa"/>
          </w:tcPr>
          <w:p w14:paraId="738D81DA" w14:textId="77D1A6DB" w:rsidR="005372E1" w:rsidRDefault="00126061" w:rsidP="005372E1">
            <w:pPr>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r>
              <w:rPr>
                <w:rFonts w:cstheme="minorHAnsi"/>
                <w:b/>
                <w:sz w:val="24"/>
                <w:szCs w:val="24"/>
                <w:lang w:val="en-US"/>
              </w:rPr>
              <w:t>48.40</w:t>
            </w:r>
            <w:r w:rsidR="00DF7A69">
              <w:rPr>
                <w:rFonts w:cstheme="minorHAnsi"/>
                <w:b/>
                <w:sz w:val="24"/>
                <w:szCs w:val="24"/>
                <w:lang w:val="en-US"/>
              </w:rPr>
              <w:t xml:space="preserve"> %</w:t>
            </w:r>
          </w:p>
        </w:tc>
      </w:tr>
    </w:tbl>
    <w:p w14:paraId="268606DF" w14:textId="77777777" w:rsidR="00FC6CEA" w:rsidRDefault="00FC6CEA" w:rsidP="00180732">
      <w:pPr>
        <w:rPr>
          <w:rFonts w:cstheme="minorHAnsi"/>
          <w:b/>
          <w:sz w:val="24"/>
          <w:szCs w:val="24"/>
          <w:lang w:val="en-US"/>
        </w:rPr>
      </w:pPr>
    </w:p>
    <w:p w14:paraId="13EB5A24" w14:textId="4167C9C4" w:rsidR="00BE176C" w:rsidRPr="00702287" w:rsidRDefault="00BE176C" w:rsidP="008A2A82">
      <w:pPr>
        <w:pStyle w:val="Heading2"/>
        <w:numPr>
          <w:ilvl w:val="0"/>
          <w:numId w:val="21"/>
        </w:numPr>
        <w:rPr>
          <w:b/>
          <w:bCs/>
          <w:color w:val="auto"/>
          <w:lang w:val="en-US"/>
        </w:rPr>
      </w:pPr>
      <w:bookmarkStart w:id="17" w:name="_Ref114239267"/>
      <w:r w:rsidRPr="00702287">
        <w:rPr>
          <w:b/>
          <w:bCs/>
          <w:color w:val="auto"/>
          <w:lang w:val="en-US"/>
        </w:rPr>
        <w:t>Parameter estimation</w:t>
      </w:r>
      <w:bookmarkEnd w:id="17"/>
    </w:p>
    <w:p w14:paraId="46EDCD53" w14:textId="77777777" w:rsidR="00BE176C" w:rsidRPr="005342A5" w:rsidRDefault="00BE176C" w:rsidP="008A2A82">
      <w:pPr>
        <w:numPr>
          <w:ilvl w:val="1"/>
          <w:numId w:val="21"/>
        </w:numPr>
        <w:ind w:left="431" w:hanging="431"/>
        <w:rPr>
          <w:b/>
          <w:bCs/>
          <w:lang w:val="en-US"/>
        </w:rPr>
      </w:pPr>
      <w:r w:rsidRPr="005342A5">
        <w:rPr>
          <w:b/>
          <w:bCs/>
          <w:lang w:val="en-US"/>
        </w:rPr>
        <w:t>Estimation methods</w:t>
      </w:r>
    </w:p>
    <w:p w14:paraId="6B32BA51" w14:textId="336FAA3C" w:rsidR="00BE176C" w:rsidRPr="005342A5" w:rsidRDefault="00BE176C" w:rsidP="00BE176C">
      <w:pPr>
        <w:rPr>
          <w:lang w:val="en-US"/>
        </w:rPr>
      </w:pPr>
      <w:bookmarkStart w:id="18" w:name="_Hlk93669358"/>
      <w:bookmarkStart w:id="19" w:name="_Hlk152181975"/>
      <w:r w:rsidRPr="005342A5">
        <w:rPr>
          <w:lang w:val="en-US"/>
        </w:rPr>
        <w:t xml:space="preserve">For all parameters that were not available in the </w:t>
      </w:r>
      <w:r w:rsidR="00702287">
        <w:rPr>
          <w:lang w:val="en-US"/>
        </w:rPr>
        <w:t>EMIS</w:t>
      </w:r>
      <w:r w:rsidR="000F39C0">
        <w:rPr>
          <w:lang w:val="en-US"/>
        </w:rPr>
        <w:t>-</w:t>
      </w:r>
      <w:r w:rsidR="00702287">
        <w:rPr>
          <w:lang w:val="en-US"/>
        </w:rPr>
        <w:t xml:space="preserve">2017 </w:t>
      </w:r>
      <w:r w:rsidRPr="005342A5">
        <w:rPr>
          <w:lang w:val="en-US"/>
        </w:rPr>
        <w:t xml:space="preserve">data, we </w:t>
      </w:r>
      <w:r w:rsidR="00702287">
        <w:rPr>
          <w:lang w:val="en-US"/>
        </w:rPr>
        <w:t>used approximate B</w:t>
      </w:r>
      <w:r w:rsidRPr="005342A5">
        <w:rPr>
          <w:lang w:val="en-US"/>
        </w:rPr>
        <w:t>ayesian computation with sequential Monte Carlo sampling (ABC-SMC) to estimate th</w:t>
      </w:r>
      <w:r w:rsidR="00B06ED0">
        <w:rPr>
          <w:lang w:val="en-US"/>
        </w:rPr>
        <w:t>os</w:t>
      </w:r>
      <w:r w:rsidRPr="005342A5">
        <w:rPr>
          <w:lang w:val="en-US"/>
        </w:rPr>
        <w:t xml:space="preserve">e parameters. </w:t>
      </w:r>
      <w:bookmarkEnd w:id="18"/>
      <w:r w:rsidRPr="005342A5">
        <w:rPr>
          <w:lang w:val="en-US"/>
        </w:rPr>
        <w:t>The method of ABC-S</w:t>
      </w:r>
      <w:r w:rsidR="00DC2522">
        <w:rPr>
          <w:lang w:val="en-US"/>
        </w:rPr>
        <w:t>M</w:t>
      </w:r>
      <w:r w:rsidRPr="005342A5">
        <w:rPr>
          <w:lang w:val="en-US"/>
        </w:rPr>
        <w:t>C has been extensively described in the literature</w:t>
      </w:r>
      <w:r w:rsidRPr="005342A5">
        <w:rPr>
          <w:lang w:val="en-US"/>
        </w:rPr>
        <w:fldChar w:fldCharType="begin" w:fldLock="1"/>
      </w:r>
      <w:r w:rsidR="00702287">
        <w:rPr>
          <w:lang w:val="en-US"/>
        </w:rPr>
        <w:instrText>ADDIN CSL_CITATION {"citationItems":[{"id":"ITEM-1","itemData":{"DOI":"10.1098/rsif.2008.0172","ISSN":"17425662","PMID":"19205079","abstract":"Approximate Bayesian computation (ABC) methods can be used to evaluate posterior distributions without having to calculate likelihoods. In this paper, we discuss and apply an ABC method based on sequential Monte Carlo (SMC) to estimate parameters of dynamical models. We show that ABC SMC provides information about the inferability of parameters and model sensitivity to changes in parameters, and tends to perform better than other ABC approaches. The algorithm is applied to several well-known biological systems, for which parameters and their credible intervals are inferred. Moreover, we develop ABC SMC as a tool for model selection; given a range of different mathematical descriptions, ABC SMC is able to choose the best model using the standard Bayesian model selection apparatus. © 2008 The Royal Society.","author":[{"dropping-particle":"","family":"Toni","given":"Tina","non-dropping-particle":"","parse-names":false,"suffix":""},{"dropping-particle":"","family":"Welch","given":"David","non-dropping-particle":"","parse-names":false,"suffix":""},{"dropping-particle":"","family":"Strelkowa","given":"Natalja","non-dropping-particle":"","parse-names":false,"suffix":""},{"dropping-particle":"","family":"Ipsen","given":"Andreas","non-dropping-particle":"","parse-names":false,"suffix":""},{"dropping-particle":"","family":"Stumpf","given":"Michael P.H.","non-dropping-particle":"","parse-names":false,"suffix":""}],"container-title":"Journal of the Royal Society Interface","id":"ITEM-1","issue":"31","issued":{"date-parts":[["2009"]]},"page":"187-202","title":"Approximate Bayesian computation scheme for parameter inference and model selection in dynamical systems","type":"article-journal","volume":"6"},"uris":["http://www.mendeley.com/documents/?uuid=f115e417-0c63-4dc3-8282-631f137a38e4"]},{"id":"ITEM-2","itemData":{"DOI":"https://doi.org/10.1201/9781315222912","ISBN":"9781315222912","author":[{"dropping-particle":"","family":"Held","given":"Leonard","non-dropping-particle":"","parse-names":false,"suffix":""},{"dropping-particle":"","family":"Hens","given":"Niel","non-dropping-particle":"","parse-names":false,"suffix":""},{"dropping-particle":"","family":"O'Neil","given":"Philip","non-dropping-particle":"","parse-names":false,"suffix":""},{"dropping-particle":"","family":"Wallinga","given":"Jacco","non-dropping-particle":"","parse-names":false,"suffix":""}],"id":"ITEM-2","issued":{"date-parts":[["2020"]]},"publisher":"Chapman and Hall/CRC","title":"Handbook of Infectious Disease Data Analysis","type":"book"},"uris":["http://www.mendeley.com/documents/?uuid=a1999e2f-685e-4740-a4d3-498707fd3561","http://www.mendeley.com/documents/?uuid=ea868f96-52c2-44d5-865d-7dd289ee7a10","http://www.mendeley.com/documents/?uuid=d42a3283-38de-406e-ab6c-0fdb1796f95c"]},{"id":"ITEM-3","itemData":{"DOI":"10.1093/biomet/asp052","ISSN":"14643510","abstract":"Sequential techniques can enhance the efficiency of the approximate Bayesian computation algorithm, as in Sisson et al.'s (2007) partial rejection control version. While this method is based upon the theoretical works of Del Moral et al. (2006), the application to approximate Bayesian computation results in a bias in the approximation to the posterior. An alternative version based on genuine importance sampling arguments bypasses this difficulty, in connection with the population Monte Carlo method of Cappé et al. (2004), and it includes an automatic scaling of the forward kernel. When applied to a population genetics example, it compares favourably with two other versions of the approximate algorithm. © 2009 Biometrika Trust.","author":[{"dropping-particle":"","family":"Beaumont","given":"Mark A.","non-dropping-particle":"","parse-names":false,"suffix":""},{"dropping-particle":"","family":"Cornuet","given":"Jean Marie","non-dropping-particle":"","parse-names":false,"suffix":""},{"dropping-particle":"","family":"Marin","given":"Jean Michel","non-dropping-particle":"","parse-names":false,"suffix":""},{"dropping-particle":"","family":"Robert","given":"Christian P.","non-dropping-particle":"","parse-names":false,"suffix":""}],"container-title":"Biometrika","id":"ITEM-3","issue":"4","issued":{"date-parts":[["2009"]]},"page":"983-990","title":"Adaptive approximate Bayesian computation","type":"article-journal","volume":"96"},"uris":["http://www.mendeley.com/documents/?uuid=dd48cd13-c148-41b8-bdc8-15186ac4adc6"]},{"id":"ITEM-4","itemData":{"DOI":"10.1073/pnas.0908847106","ISBN":"0607208104","ISSN":"00278424","author":[{"dropping-particle":"","family":"Sisson","given":"S. A.","non-dropping-particle":"","parse-names":false,"suffix":""},{"dropping-particle":"","family":"Fan","given":"Y.","non-dropping-particle":"","parse-names":false,"suffix":""},{"dropping-particle":"","family":"Tanaka","given":"Mark M.","non-dropping-particle":"","parse-names":false,"suffix":""}],"container-title":"Proceedings of the National Academy of Sciences of the United States of America","id":"ITEM-4","issue":"39","issued":{"date-parts":[["2009"]]},"page":"16889","title":"Sequential Monte Carlo without likelihoods (Proceedings of the National Academy of Sciences of the United States of America (2007) 104, 6, (1760-1765) DOI:10.1073/pnas.0607208104)","type":"article-journal","volume":"106"},"uris":["http://www.mendeley.com/documents/?uuid=2f33a191-89bb-4b75-9f97-bb2e741fd741"]}],"mendeley":{"formattedCitation":"&lt;sup&gt;19–22&lt;/sup&gt;","plainTextFormattedCitation":"19–22","previouslyFormattedCitation":"&lt;sup&gt;62–65&lt;/sup&gt;"},"properties":{"noteIndex":0},"schema":"https://github.com/citation-style-language/schema/raw/master/csl-citation.json"}</w:instrText>
      </w:r>
      <w:r w:rsidRPr="005342A5">
        <w:rPr>
          <w:lang w:val="en-US"/>
        </w:rPr>
        <w:fldChar w:fldCharType="separate"/>
      </w:r>
      <w:r w:rsidR="00702287" w:rsidRPr="00702287">
        <w:rPr>
          <w:noProof/>
          <w:vertAlign w:val="superscript"/>
          <w:lang w:val="en-US"/>
        </w:rPr>
        <w:t>19–22</w:t>
      </w:r>
      <w:r w:rsidRPr="005342A5">
        <w:rPr>
          <w:lang w:val="en-US"/>
        </w:rPr>
        <w:fldChar w:fldCharType="end"/>
      </w:r>
      <w:r w:rsidRPr="005342A5">
        <w:rPr>
          <w:lang w:val="en-US"/>
        </w:rPr>
        <w:t xml:space="preserve"> and is particularly useful in cases where the likelihood is not tractable. </w:t>
      </w:r>
      <w:r w:rsidR="000D0032">
        <w:rPr>
          <w:lang w:val="en-US"/>
        </w:rPr>
        <w:t>T</w:t>
      </w:r>
      <w:r w:rsidRPr="005342A5">
        <w:rPr>
          <w:lang w:val="en-US"/>
        </w:rPr>
        <w:t>he ABC-SMC method returns estimations for the posterior distribution of the parameters of interest after defining prior distributions</w:t>
      </w:r>
      <w:r w:rsidR="00702287">
        <w:rPr>
          <w:lang w:val="en-US"/>
        </w:rPr>
        <w:t xml:space="preserve">. </w:t>
      </w:r>
      <w:bookmarkStart w:id="20" w:name="_Hlk93669413"/>
      <w:r w:rsidRPr="005342A5">
        <w:rPr>
          <w:lang w:val="en-US"/>
        </w:rPr>
        <w:t>The Lenormand method of the EasyABC package</w:t>
      </w:r>
      <w:r w:rsidRPr="005342A5">
        <w:rPr>
          <w:lang w:val="en-US"/>
        </w:rPr>
        <w:fldChar w:fldCharType="begin" w:fldLock="1"/>
      </w:r>
      <w:r w:rsidR="00702287">
        <w:rPr>
          <w:lang w:val="en-US"/>
        </w:rPr>
        <w:instrText>ADDIN CSL_CITATION {"citationItems":[{"id":"ITEM-1","itemData":{"author":[{"dropping-particle":"","family":"Jabot","given":"Franck","non-dropping-particle":"","parse-names":false,"suffix":""},{"dropping-particle":"","family":"Faure","given":"Thierry","non-dropping-particle":"","parse-names":false,"suffix":""},{"dropping-particle":"","family":"Dumoulin","given":"Nicolas","non-dropping-particle":"","parse-names":false,"suffix":""}],"id":"ITEM-1","issued":{"date-parts":[["2015"]]},"title":"EasyABC: Efficient Approximate Bayesian Computation Sampling Schemes","type":"article"},"uris":["http://www.mendeley.com/documents/?uuid=7bbb2f0c-5283-49a7-b2b6-5b6497a2a398","http://www.mendeley.com/documents/?uuid=0ffbfb56-0dc7-4447-8513-d54fa501e1f0","http://www.mendeley.com/documents/?uuid=e1d192a7-f407-4a71-ba19-42e7f6453e2f"]}],"mendeley":{"formattedCitation":"&lt;sup&gt;23&lt;/sup&gt;","plainTextFormattedCitation":"23","previouslyFormattedCitation":"&lt;sup&gt;66&lt;/sup&gt;"},"properties":{"noteIndex":0},"schema":"https://github.com/citation-style-language/schema/raw/master/csl-citation.json"}</w:instrText>
      </w:r>
      <w:r w:rsidRPr="005342A5">
        <w:rPr>
          <w:lang w:val="en-US"/>
        </w:rPr>
        <w:fldChar w:fldCharType="separate"/>
      </w:r>
      <w:r w:rsidR="00702287" w:rsidRPr="00702287">
        <w:rPr>
          <w:noProof/>
          <w:vertAlign w:val="superscript"/>
          <w:lang w:val="en-US"/>
        </w:rPr>
        <w:t>23</w:t>
      </w:r>
      <w:r w:rsidRPr="005342A5">
        <w:rPr>
          <w:lang w:val="en-US"/>
        </w:rPr>
        <w:fldChar w:fldCharType="end"/>
      </w:r>
      <w:r w:rsidRPr="005342A5">
        <w:rPr>
          <w:lang w:val="en-US"/>
        </w:rPr>
        <w:t xml:space="preserve"> (Version 1.5) was used for the parameter estimation.</w:t>
      </w:r>
    </w:p>
    <w:bookmarkEnd w:id="19"/>
    <w:p w14:paraId="3C74A2C5" w14:textId="66A8FA23" w:rsidR="00A41A21" w:rsidRPr="005342A5" w:rsidRDefault="000D0032" w:rsidP="008A2A82">
      <w:pPr>
        <w:pStyle w:val="ListParagraph"/>
        <w:numPr>
          <w:ilvl w:val="2"/>
          <w:numId w:val="21"/>
        </w:numPr>
        <w:ind w:left="505" w:hanging="505"/>
        <w:rPr>
          <w:b/>
          <w:bCs/>
          <w:lang w:val="en-US"/>
        </w:rPr>
      </w:pPr>
      <w:r>
        <w:rPr>
          <w:b/>
          <w:bCs/>
          <w:lang w:val="en-US"/>
        </w:rPr>
        <w:t xml:space="preserve">Network </w:t>
      </w:r>
      <w:r w:rsidR="006855BB" w:rsidRPr="005342A5">
        <w:rPr>
          <w:b/>
          <w:bCs/>
          <w:lang w:val="en-US"/>
        </w:rPr>
        <w:t>calibration</w:t>
      </w:r>
      <w:r>
        <w:rPr>
          <w:b/>
          <w:bCs/>
          <w:lang w:val="en-US"/>
        </w:rPr>
        <w:t>: Partnership duration and homophily</w:t>
      </w:r>
    </w:p>
    <w:p w14:paraId="5DCD1043" w14:textId="73F22707" w:rsidR="00F40B1D" w:rsidRDefault="00BA0373" w:rsidP="00412960">
      <w:pPr>
        <w:rPr>
          <w:lang w:val="en-US"/>
        </w:rPr>
      </w:pPr>
      <w:r>
        <w:rPr>
          <w:lang w:val="en-US"/>
        </w:rPr>
        <w:t>E</w:t>
      </w:r>
      <w:r w:rsidR="000D0032">
        <w:rPr>
          <w:lang w:val="en-US"/>
        </w:rPr>
        <w:t xml:space="preserve">stimates for the partnership </w:t>
      </w:r>
      <w:r w:rsidR="00620129" w:rsidRPr="005342A5">
        <w:rPr>
          <w:lang w:val="en-US"/>
        </w:rPr>
        <w:t>durations</w:t>
      </w:r>
      <w:r w:rsidR="000D0032">
        <w:rPr>
          <w:lang w:val="en-US"/>
        </w:rPr>
        <w:t xml:space="preserve"> among MSM for each partnership type and/or risk group</w:t>
      </w:r>
      <w:r>
        <w:rPr>
          <w:lang w:val="en-US"/>
        </w:rPr>
        <w:t xml:space="preserve"> were not available in the EMIS questionnaire. </w:t>
      </w:r>
      <w:r w:rsidRPr="00F40B1D">
        <w:rPr>
          <w:lang w:val="en-US"/>
        </w:rPr>
        <w:t>In Buyze et al</w:t>
      </w:r>
      <w:r w:rsidRPr="00F40B1D">
        <w:rPr>
          <w:lang w:val="en-US"/>
        </w:rPr>
        <w:fldChar w:fldCharType="begin" w:fldLock="1"/>
      </w:r>
      <w:r w:rsidR="00702287">
        <w:rPr>
          <w:lang w:val="en-US"/>
        </w:rPr>
        <w:instrText>ADDIN CSL_CITATION {"citationItems":[{"id":"ITEM-1","itemData":{"DOI":"10.1017/S0950268818000092","ISSN":"14694409","PMID":"29386078","abstract":"There is considerable uncertainty as to the effectiveness of Neisseria gonorrhoeae (NG) screening in men who have sex with men. It is important to ensure that screening has benefits that outweigh the risks of increased antibiotics resistance. We develop a mathematical model to estimate the effectiveness of screening on prevalence. Separable Temporal Exponential family Random Graph Models are used to model the sexual relationships network, both with main and casual partners. Next, the transmission of Gonorrhoea is simulated on this network. The models are implemented using the R package 'statnet', which we adapted among other things to incorporate infection status at the pharynx, urethra and rectum separately and to distinguish between anal sex, oral sex and rimming. The different screening programmes compared are no screening, 3.5% of the population screened, 32% screened and 50% screened. The model simulates day-by-day evolution for 10 years of a population of 10 000. If half of the population would be screened, the prevalence in the pharynx decreases from 11.9% to 10.2%. We conclude that the limited impact of screening on NG prevalence may not outweigh the increased risk of antibiotic resistance.","author":[{"dropping-particle":"","family":"Buyze","given":"J.","non-dropping-particle":"","parse-names":false,"suffix":""},{"dropping-particle":"","family":"Berghe","given":"W.","non-dropping-particle":"Vanden","parse-names":false,"suffix":""},{"dropping-particle":"","family":"Hens","given":"N.","non-dropping-particle":"","parse-names":false,"suffix":""},{"dropping-particle":"","family":"Kenyon","given":"C.","non-dropping-particle":"","parse-names":false,"suffix":""}],"container-title":"Epidemiology and Infection","id":"ITEM-1","issue":"3","issued":{"date-parts":[["2018"]]},"page":"333-338","title":"Current levels of gonorrhoea screening in MSM in Belgium may have little effect on prevalence: A modelling study","type":"article-journal","volume":"146"},"uris":["http://www.mendeley.com/documents/?uuid=b7f20432-77a6-4d10-a3db-2dc6751e89a7"]}],"mendeley":{"formattedCitation":"&lt;sup&gt;24&lt;/sup&gt;","plainTextFormattedCitation":"24","previouslyFormattedCitation":"&lt;sup&gt;13&lt;/sup&gt;"},"properties":{"noteIndex":0},"schema":"https://github.com/citation-style-language/schema/raw/master/csl-citation.json"}</w:instrText>
      </w:r>
      <w:r w:rsidRPr="00F40B1D">
        <w:rPr>
          <w:lang w:val="en-US"/>
        </w:rPr>
        <w:fldChar w:fldCharType="separate"/>
      </w:r>
      <w:r w:rsidR="00702287" w:rsidRPr="00702287">
        <w:rPr>
          <w:noProof/>
          <w:vertAlign w:val="superscript"/>
          <w:lang w:val="en-US"/>
        </w:rPr>
        <w:t>24</w:t>
      </w:r>
      <w:r w:rsidRPr="00F40B1D">
        <w:rPr>
          <w:lang w:val="en-US"/>
        </w:rPr>
        <w:fldChar w:fldCharType="end"/>
      </w:r>
      <w:r w:rsidRPr="00F40B1D">
        <w:rPr>
          <w:lang w:val="en-US"/>
        </w:rPr>
        <w:t xml:space="preserve">, the </w:t>
      </w:r>
      <w:r w:rsidR="00D5234F">
        <w:rPr>
          <w:lang w:val="en-US"/>
        </w:rPr>
        <w:t xml:space="preserve">average </w:t>
      </w:r>
      <w:r w:rsidRPr="00F40B1D">
        <w:rPr>
          <w:lang w:val="en-US"/>
        </w:rPr>
        <w:t xml:space="preserve">partnership duration was 2318 days for </w:t>
      </w:r>
      <w:r w:rsidR="000C6DB4">
        <w:rPr>
          <w:lang w:val="en-US"/>
        </w:rPr>
        <w:t>steady</w:t>
      </w:r>
      <w:r w:rsidRPr="00F40B1D">
        <w:rPr>
          <w:lang w:val="en-US"/>
        </w:rPr>
        <w:t xml:space="preserve"> and 62 days for casual, while in </w:t>
      </w:r>
      <w:proofErr w:type="spellStart"/>
      <w:r w:rsidRPr="00F40B1D">
        <w:rPr>
          <w:lang w:val="en-US"/>
        </w:rPr>
        <w:t>Reitsema</w:t>
      </w:r>
      <w:proofErr w:type="spellEnd"/>
      <w:r w:rsidRPr="00F40B1D">
        <w:rPr>
          <w:lang w:val="en-US"/>
        </w:rPr>
        <w:t xml:space="preserve"> et al</w:t>
      </w:r>
      <w:r w:rsidRPr="00F40B1D">
        <w:rPr>
          <w:lang w:val="en-US"/>
        </w:rPr>
        <w:fldChar w:fldCharType="begin" w:fldLock="1"/>
      </w:r>
      <w:r w:rsidR="00702287">
        <w:rPr>
          <w:lang w:val="en-US"/>
        </w:rPr>
        <w:instrText>ADDIN CSL_CITATION {"citationItems":[{"id":"ITEM-1","itemData":{"DOI":"10.1136/sextrans-2018-053943","ISSN":"14723263","PMID":"31801895","abstract":"Objectives To investigate the impact and efficiency of combined testing for HIV and other STIs on HIV and STI transmission among men who have sex with men (MSM) and to assess what subgroups of MSM should be targeted for frequent testing. Methods We developed an agent-based transmission model that simulates infection with HIV or Neisseria gonorrhoeae (NG) among MSM. We examined scenarios with increased percentages of MSM getting tested six monthly, among all MSM or only specific subgroups of MSM (defined according to recent gonorrhoea, number of partners and engagement in condomless anal intercourse (CAI)) and scenarios with reduced intervals between HIV/STI tests. Results The most efficient strategies were those with increased percentage of MSM getting tested every 6 months among MSM with a recent gonorrhoea diagnosis; or among MSM who had CAI and ≥10 partners; or MSM who had ≥10 partners. Over 10 years, these strategies resulted in 387-718 averted HIV infections and required 29-164 additional HIV tests per averted HIV infection or one to seven additional gonorrhoea tests per averted NG infection. The most effective strategy in reducing HIV transmission was the one where the intervals between tests were reduced by half, followed by the strategy with increased percentage of MSM getting tested every 6 months among all MSM. Over 10 years, these strategies resulted in 1362 and 1319 averted HIV infections, but required 663 and 584 additional HIV tests per averted HIV infection, respectively. Conclusions Targeting MSM with recent gonorrhoea diagnosis or MSM with many partners is efficient in terms of HIV/STI tests needed to prevent new HIV or NG infections. Major reductions in HIV incidence can be achieved with consistent HIV/STI testing every 6 months among larger groups, including low-risk MSM. To impede HIV transmission, frequent testing should be combined with other prevention measures.","author":[{"dropping-particle":"","family":"Reitsema","given":"Maarten","non-dropping-particle":"","parse-names":false,"suffix":""},{"dropping-particle":"","family":"Heijne","given":"Janneke","non-dropping-particle":"","parse-names":false,"suffix":""},{"dropping-particle":"","family":"Visser","given":"Maartje","non-dropping-particle":"","parse-names":false,"suffix":""},{"dropping-particle":"","family":"Sighem","given":"Ard","non-dropping-particle":"Van","parse-names":false,"suffix":""},{"dropping-particle":"","family":"Schim Van Der Loeff","given":"Maarten","non-dropping-particle":"","parse-names":false,"suffix":""},{"dropping-particle":"","family":"Coul","given":"Eline L.M.","non-dropping-particle":"Op De","parse-names":false,"suffix":""},{"dropping-particle":"","family":"Bezemer","given":"Daniela","non-dropping-particle":"","parse-names":false,"suffix":""},{"dropping-particle":"","family":"Wallinga","given":"Jacco","non-dropping-particle":"","parse-names":false,"suffix":""},{"dropping-particle":"","family":"Benthem","given":"Birgit H.B.","non-dropping-particle":"Van","parse-names":false,"suffix":""},{"dropping-particle":"","family":"Xiridou","given":"Maria","non-dropping-particle":"","parse-names":false,"suffix":""}],"container-title":"Sexually Transmitted Infections","id":"ITEM-1","issue":"5","issued":{"date-parts":[["2020"]]},"page":"361-367","title":"Impact of frequent testing on the transmission of HIV and N. gonorrhoeae among men who have sex with men: A mathematical modelling study","type":"article-journal","volume":"96"},"uris":["http://www.mendeley.com/documents/?uuid=b8746873-55e7-4776-bdd3-37d5720a760b"]}],"mendeley":{"formattedCitation":"&lt;sup&gt;25&lt;/sup&gt;","plainTextFormattedCitation":"25","previouslyFormattedCitation":"&lt;sup&gt;19&lt;/sup&gt;"},"properties":{"noteIndex":0},"schema":"https://github.com/citation-style-language/schema/raw/master/csl-citation.json"}</w:instrText>
      </w:r>
      <w:r w:rsidRPr="00F40B1D">
        <w:rPr>
          <w:lang w:val="en-US"/>
        </w:rPr>
        <w:fldChar w:fldCharType="separate"/>
      </w:r>
      <w:r w:rsidR="00702287" w:rsidRPr="00702287">
        <w:rPr>
          <w:noProof/>
          <w:vertAlign w:val="superscript"/>
          <w:lang w:val="en-US"/>
        </w:rPr>
        <w:t>25</w:t>
      </w:r>
      <w:r w:rsidRPr="00F40B1D">
        <w:rPr>
          <w:lang w:val="en-US"/>
        </w:rPr>
        <w:fldChar w:fldCharType="end"/>
      </w:r>
      <w:r w:rsidRPr="00F40B1D">
        <w:rPr>
          <w:lang w:val="en-US"/>
        </w:rPr>
        <w:t xml:space="preserve"> the average duration for </w:t>
      </w:r>
      <w:r w:rsidR="000C6DB4">
        <w:rPr>
          <w:lang w:val="en-US"/>
        </w:rPr>
        <w:t>steady</w:t>
      </w:r>
      <w:r w:rsidRPr="00F40B1D">
        <w:rPr>
          <w:lang w:val="en-US"/>
        </w:rPr>
        <w:t xml:space="preserve"> partnerships was 1355 days and for casual partnerships 155 days. Neither</w:t>
      </w:r>
      <w:r>
        <w:rPr>
          <w:lang w:val="en-US"/>
        </w:rPr>
        <w:t xml:space="preserve"> paper made a distinction for </w:t>
      </w:r>
      <w:r w:rsidR="00F40B1D">
        <w:rPr>
          <w:lang w:val="en-US"/>
        </w:rPr>
        <w:t>activity</w:t>
      </w:r>
      <w:r>
        <w:rPr>
          <w:lang w:val="en-US"/>
        </w:rPr>
        <w:t xml:space="preserve">-group or for one-off partnerships. </w:t>
      </w:r>
      <w:bookmarkStart w:id="21" w:name="_Hlk152182143"/>
      <w:r>
        <w:rPr>
          <w:lang w:val="en-US"/>
        </w:rPr>
        <w:t xml:space="preserve">To evaluate these parameter estimates from literature, we opted to use the cumulative number of partners per partnership type and group over a period of 12 months as a measure of goodness-of-fit for our model. The total number of </w:t>
      </w:r>
      <w:r w:rsidR="000C6DB4">
        <w:rPr>
          <w:lang w:val="en-US"/>
        </w:rPr>
        <w:t>steady</w:t>
      </w:r>
      <w:r>
        <w:rPr>
          <w:lang w:val="en-US"/>
        </w:rPr>
        <w:t xml:space="preserve"> and casual partners over a period of 12 months is reported in the EMIS 2017 dataset, but as a categorical variable: 0, 1, 2, …, 9, or 10 or more for </w:t>
      </w:r>
      <w:r w:rsidR="000C6DB4">
        <w:rPr>
          <w:lang w:val="en-US"/>
        </w:rPr>
        <w:t>steady</w:t>
      </w:r>
      <w:r>
        <w:rPr>
          <w:lang w:val="en-US"/>
        </w:rPr>
        <w:t xml:space="preserve"> partners and 0, 1, 2, …, 10, 11-20, 21-30, 31-40, 41-50, or more than 50 for casual. </w:t>
      </w:r>
      <w:r w:rsidR="00912AB8">
        <w:rPr>
          <w:lang w:val="en-US"/>
        </w:rPr>
        <w:t xml:space="preserve">Assuming at most 12 </w:t>
      </w:r>
      <w:r w:rsidR="000C6DB4">
        <w:rPr>
          <w:lang w:val="en-US"/>
        </w:rPr>
        <w:t>steady</w:t>
      </w:r>
      <w:r w:rsidR="00912AB8">
        <w:rPr>
          <w:lang w:val="en-US"/>
        </w:rPr>
        <w:t xml:space="preserve"> partners over 12 months, w</w:t>
      </w:r>
      <w:r>
        <w:rPr>
          <w:lang w:val="en-US"/>
        </w:rPr>
        <w:t>e used the methodology and statistics mentioned in Mendez-Lopez et al</w:t>
      </w:r>
      <w:r>
        <w:rPr>
          <w:lang w:val="en-US"/>
        </w:rPr>
        <w:fldChar w:fldCharType="begin" w:fldLock="1"/>
      </w:r>
      <w:r w:rsidR="00702287">
        <w:rPr>
          <w:lang w:val="en-US"/>
        </w:rPr>
        <w:instrText>ADDIN CSL_CITATION {"citationItems":[{"id":"ITEM-1","itemData":{"DOI":"10.1186/s12874-021-01483-8","ISSN":"14712288","PMID":"35249527","abstract":"Background: To provide empirically based guidance for substituting partner number categories in large MSM surveys with mean numbers of sexual and condomless anal intercourse (CAI) partners in a secondary analysis of survey data. Methods: We collated data on numbers of sexual and CAI partners reported in a continuous scale (write-in number) in thirteen MSM surveys on sexual health and behaviour across 17 countries. Pooled descriptive statistics for the number of sexual and CAI partners during the last twelve (N = 55,180) and 6 months (N = 31,759) were calculated for two sets of categories commonly used in reporting numbers of sexual partners in sexual behaviour surveys. Results: The pooled mean number of partners in the previous 12 months for the total sample was 15.8 partners (SD = 36.6), while the median number of partners was 5 (IQR = 2–15). Means for number of partners in the previous 12 months for the first set of categories were: 16.4 for 11–20 partners (SD = 3.3); 27.8 for 21–30 (SD = 2.8); 38.6 for 31–40 (SD = 2.4); 49.6 for 41–50 (SD = 1.5); and 128.2 for ‘more than 50’ (SD = 98.1). Alternative upper cut-offs: 43.4 for ‘more than 10’ (SD = 57.7); 65.3 for ‘more than 20’ (SD = 70.3). Self-reported partner numbers for both time frames consistently exceeded 200 or 300. While there was substantial variation of overall means across surveys, the means for all chosen categories were very similar. Partner numbers above nine mainly clustered at multiples of tens, regardless of the selected time frame. The overall means for CAI partners were lower than those for sexual partners; however, such difference was completely absent from all categories beyond ten sexual and CAI partners. Conclusions: Clustering of reported partner numbers confirm common MSM sexual behaviour surveys’ questionnaire piloting feedback indicating that responses to numbers of sexual partners beyond 10 are best guesses rather than precise counts, but large partner numbers above typical upper cut-offs are common.","author":[{"dropping-particle":"","family":"Mendez-Lopez","given":"Ana","non-dropping-particle":"","parse-names":false,"suffix":""},{"dropping-particle":"","family":"Hickson","given":"Ford","non-dropping-particle":"","parse-names":false,"suffix":""},{"dropping-particle":"","family":"Jansen","given":"Klaus","non-dropping-particle":"","parse-names":false,"suffix":""},{"dropping-particle":"","family":"Lachowsky","given":"Nathan","non-dropping-particle":"","parse-names":false,"suffix":""},{"dropping-particle":"","family":"Burns","given":"Fiona","non-dropping-particle":"","parse-names":false,"suffix":""},{"dropping-particle":"","family":"Folch","given":"Cinta","non-dropping-particle":"","parse-names":false,"suffix":""},{"dropping-particle":"","family":"Velter","given":"Annie","non-dropping-particle":"","parse-names":false,"suffix":""},{"dropping-particle":"","family":"Weatherburn","given":"Peter","non-dropping-particle":"","parse-names":false,"suffix":""},{"dropping-particle":"","family":"Marcus","given":"Ulrich","non-dropping-particle":"","parse-names":false,"suffix":""},{"dropping-particle":"","family":"Rüden","given":"Ursula","non-dropping-particle":"von","parse-names":false,"suffix":""},{"dropping-particle":"","family":"Mirandola","given":"Massimo","non-dropping-particle":"","parse-names":false,"suffix":""},{"dropping-particle":"","family":"Gios","given":"Lorenzo","non-dropping-particle":"","parse-names":false,"suffix":""},{"dropping-particle":"","family":"Frankis","given":"Jamie","non-dropping-particle":"","parse-names":false,"suffix":""},{"dropping-particle":"","family":"Brennan","given":"David J.","non-dropping-particle":"","parse-names":false,"suffix":""},{"dropping-particle":"","family":"Schmidt","given":"Axel J.","non-dropping-particle":"","parse-names":false,"suffix":""}],"container-title":"BMC Medical Research Methodology","id":"ITEM-1","issue":"1","issued":{"date-parts":[["2022"]]},"page":"1-7","publisher":"BioMed Central","title":"What is the empirical basis for converting banded ordinal data on numbers of sex partners among MSM into a continuous scale level variable? A secondary analysis of 13 surveys across 17 countries","type":"article-journal","volume":"22"},"uris":["http://www.mendeley.com/documents/?uuid=b9139ca8-9074-4de3-8537-fb0f7d747ce1","http://www.mendeley.com/documents/?uuid=7731589d-812c-42b1-ab1d-57638944d525"]}],"mendeley":{"formattedCitation":"&lt;sup&gt;26&lt;/sup&gt;","plainTextFormattedCitation":"26","previouslyFormattedCitation":"&lt;sup&gt;67&lt;/sup&gt;"},"properties":{"noteIndex":0},"schema":"https://github.com/citation-style-language/schema/raw/master/csl-citation.json"}</w:instrText>
      </w:r>
      <w:r>
        <w:rPr>
          <w:lang w:val="en-US"/>
        </w:rPr>
        <w:fldChar w:fldCharType="separate"/>
      </w:r>
      <w:r w:rsidR="00702287" w:rsidRPr="00702287">
        <w:rPr>
          <w:noProof/>
          <w:vertAlign w:val="superscript"/>
          <w:lang w:val="en-US"/>
        </w:rPr>
        <w:t>26</w:t>
      </w:r>
      <w:r>
        <w:rPr>
          <w:lang w:val="en-US"/>
        </w:rPr>
        <w:fldChar w:fldCharType="end"/>
      </w:r>
      <w:r>
        <w:rPr>
          <w:lang w:val="en-US"/>
        </w:rPr>
        <w:t xml:space="preserve">, to </w:t>
      </w:r>
      <w:r w:rsidR="00912AB8">
        <w:rPr>
          <w:lang w:val="en-US"/>
        </w:rPr>
        <w:t xml:space="preserve">build an algorithm to </w:t>
      </w:r>
      <w:r>
        <w:rPr>
          <w:lang w:val="en-US"/>
        </w:rPr>
        <w:t xml:space="preserve">assign </w:t>
      </w:r>
      <w:r w:rsidR="00912AB8">
        <w:rPr>
          <w:lang w:val="en-US"/>
        </w:rPr>
        <w:t xml:space="preserve">integer values to the number of total partners that match the mean (standard deviation) and median (interquartile range) for each category level and overall. With the estimated number of total partners, we could calculate the cumulative number of </w:t>
      </w:r>
      <w:r w:rsidR="000C6DB4">
        <w:rPr>
          <w:lang w:val="en-US"/>
        </w:rPr>
        <w:t>steady</w:t>
      </w:r>
      <w:r w:rsidR="00912AB8">
        <w:rPr>
          <w:lang w:val="en-US"/>
        </w:rPr>
        <w:t xml:space="preserve"> and casual partners per risk-group over 12 months.</w:t>
      </w:r>
      <w:r w:rsidR="00702287">
        <w:rPr>
          <w:lang w:val="en-US"/>
        </w:rPr>
        <w:t xml:space="preserve"> </w:t>
      </w:r>
    </w:p>
    <w:bookmarkEnd w:id="21"/>
    <w:p w14:paraId="0BCA32A4" w14:textId="4120436F" w:rsidR="00A933AF" w:rsidRDefault="000D0032" w:rsidP="00BE176C">
      <w:pPr>
        <w:rPr>
          <w:lang w:val="en-US"/>
        </w:rPr>
      </w:pPr>
      <w:r>
        <w:rPr>
          <w:lang w:val="en-US"/>
        </w:rPr>
        <w:t>We opted to calibrate our model</w:t>
      </w:r>
      <w:r w:rsidR="00912AB8">
        <w:rPr>
          <w:lang w:val="en-US"/>
        </w:rPr>
        <w:t>, using a data-driven approach,</w:t>
      </w:r>
      <w:r>
        <w:rPr>
          <w:lang w:val="en-US"/>
        </w:rPr>
        <w:t xml:space="preserve"> in terms of partnership durations</w:t>
      </w:r>
      <w:r w:rsidR="00912AB8">
        <w:rPr>
          <w:lang w:val="en-US"/>
        </w:rPr>
        <w:t xml:space="preserve"> and </w:t>
      </w:r>
      <w:r>
        <w:rPr>
          <w:lang w:val="en-US"/>
        </w:rPr>
        <w:t>homophily rates</w:t>
      </w:r>
      <w:r w:rsidR="00912AB8">
        <w:rPr>
          <w:lang w:val="en-US"/>
        </w:rPr>
        <w:t xml:space="preserve">. </w:t>
      </w:r>
      <w:r w:rsidR="00392A3E">
        <w:rPr>
          <w:lang w:val="en-US"/>
        </w:rPr>
        <w:t>A model was simulated for one year</w:t>
      </w:r>
      <w:r w:rsidR="00A933AF">
        <w:rPr>
          <w:lang w:val="en-US"/>
        </w:rPr>
        <w:t xml:space="preserve"> with 20 simulations</w:t>
      </w:r>
      <w:r w:rsidR="00392A3E">
        <w:rPr>
          <w:lang w:val="en-US"/>
        </w:rPr>
        <w:t xml:space="preserve"> and the distribution of </w:t>
      </w:r>
      <w:r w:rsidR="00463966">
        <w:rPr>
          <w:lang w:val="en-US"/>
        </w:rPr>
        <w:t xml:space="preserve">cumulative </w:t>
      </w:r>
      <w:r w:rsidR="000C6DB4">
        <w:rPr>
          <w:lang w:val="en-US"/>
        </w:rPr>
        <w:t>steady</w:t>
      </w:r>
      <w:r w:rsidR="00392A3E">
        <w:rPr>
          <w:lang w:val="en-US"/>
        </w:rPr>
        <w:t>, casual, and one-off partners was compared to those reported among EMIS</w:t>
      </w:r>
      <w:r w:rsidR="000F39C0">
        <w:rPr>
          <w:lang w:val="en-US"/>
        </w:rPr>
        <w:t>-</w:t>
      </w:r>
      <w:r w:rsidR="00392A3E">
        <w:rPr>
          <w:lang w:val="en-US"/>
        </w:rPr>
        <w:t>2017 participants, for each group</w:t>
      </w:r>
      <w:r w:rsidR="003D4B5A">
        <w:rPr>
          <w:lang w:val="en-US"/>
        </w:rPr>
        <w:t>, in terms of mean, media</w:t>
      </w:r>
      <w:r w:rsidR="00FE44DA">
        <w:rPr>
          <w:lang w:val="en-US"/>
        </w:rPr>
        <w:t>n</w:t>
      </w:r>
      <w:r w:rsidR="003D4B5A">
        <w:rPr>
          <w:lang w:val="en-US"/>
        </w:rPr>
        <w:t xml:space="preserve"> and interquartile range</w:t>
      </w:r>
      <w:r w:rsidR="00392A3E">
        <w:rPr>
          <w:lang w:val="en-US"/>
        </w:rPr>
        <w:t xml:space="preserve">. </w:t>
      </w:r>
      <w:r w:rsidR="00D81688" w:rsidRPr="005342A5">
        <w:rPr>
          <w:lang w:val="en-US"/>
        </w:rPr>
        <w:t>Since the process for estimating the</w:t>
      </w:r>
      <w:r w:rsidR="007553E3" w:rsidRPr="005342A5">
        <w:rPr>
          <w:lang w:val="en-US"/>
        </w:rPr>
        <w:t xml:space="preserve"> </w:t>
      </w:r>
      <w:r w:rsidR="00912AB8">
        <w:rPr>
          <w:lang w:val="en-US"/>
        </w:rPr>
        <w:t>parameters</w:t>
      </w:r>
      <w:r w:rsidR="007553E3" w:rsidRPr="005342A5">
        <w:rPr>
          <w:lang w:val="en-US"/>
        </w:rPr>
        <w:t xml:space="preserve"> was</w:t>
      </w:r>
      <w:r w:rsidR="00D81688" w:rsidRPr="005342A5">
        <w:rPr>
          <w:lang w:val="en-US"/>
        </w:rPr>
        <w:t xml:space="preserve"> too computationally intensive </w:t>
      </w:r>
      <w:r w:rsidR="007553E3" w:rsidRPr="005342A5">
        <w:rPr>
          <w:lang w:val="en-US"/>
        </w:rPr>
        <w:t>using the ABC-SM</w:t>
      </w:r>
      <w:r w:rsidR="00FE44DA">
        <w:rPr>
          <w:lang w:val="en-US"/>
        </w:rPr>
        <w:t>C</w:t>
      </w:r>
      <w:r w:rsidR="007553E3" w:rsidRPr="005342A5">
        <w:rPr>
          <w:lang w:val="en-US"/>
        </w:rPr>
        <w:t xml:space="preserve"> method</w:t>
      </w:r>
      <w:r w:rsidR="00D81688" w:rsidRPr="005342A5">
        <w:rPr>
          <w:lang w:val="en-US"/>
        </w:rPr>
        <w:t xml:space="preserve">, we </w:t>
      </w:r>
      <w:r w:rsidR="00912AB8">
        <w:rPr>
          <w:lang w:val="en-US"/>
        </w:rPr>
        <w:t xml:space="preserve">reduced the parameter space by dividing the </w:t>
      </w:r>
      <w:r w:rsidR="00D81688" w:rsidRPr="005342A5">
        <w:rPr>
          <w:lang w:val="en-US"/>
        </w:rPr>
        <w:t xml:space="preserve">ranges for each of the </w:t>
      </w:r>
      <w:r w:rsidR="00912AB8">
        <w:rPr>
          <w:lang w:val="en-US"/>
        </w:rPr>
        <w:t xml:space="preserve">parameters into </w:t>
      </w:r>
      <w:r w:rsidR="00A933AF">
        <w:rPr>
          <w:lang w:val="en-US"/>
        </w:rPr>
        <w:t xml:space="preserve">smaller sections </w:t>
      </w:r>
      <w:r w:rsidR="00A933AF">
        <w:rPr>
          <w:lang w:val="en-US"/>
        </w:rPr>
        <w:lastRenderedPageBreak/>
        <w:t xml:space="preserve">and calculating the absolute error between the produced location and spread statistics to the observed ones. </w:t>
      </w:r>
      <w:r w:rsidR="00D81688" w:rsidRPr="005342A5">
        <w:rPr>
          <w:lang w:val="en-US"/>
        </w:rPr>
        <w:t xml:space="preserve">This process was repeated a number of times, with the range and step </w:t>
      </w:r>
      <w:r w:rsidR="004D204F">
        <w:rPr>
          <w:lang w:val="en-US"/>
        </w:rPr>
        <w:t xml:space="preserve">size </w:t>
      </w:r>
      <w:r w:rsidR="00D81688" w:rsidRPr="005342A5">
        <w:rPr>
          <w:lang w:val="en-US"/>
        </w:rPr>
        <w:t xml:space="preserve">being refined until the resulting distribution was similar to the reported one. </w:t>
      </w:r>
      <w:r w:rsidR="00F74C37" w:rsidRPr="005342A5">
        <w:rPr>
          <w:lang w:val="en-US"/>
        </w:rPr>
        <w:t>Once the parameter space was deemed sufficiently optimal, we used ABC-SM</w:t>
      </w:r>
      <w:r w:rsidR="004A15D0">
        <w:rPr>
          <w:lang w:val="en-US"/>
        </w:rPr>
        <w:t>C</w:t>
      </w:r>
      <w:r w:rsidR="00F74C37" w:rsidRPr="005342A5">
        <w:rPr>
          <w:lang w:val="en-US"/>
        </w:rPr>
        <w:t xml:space="preserve"> with the range of the last set of parameters as the priors, to obtain the final estimates for the partnership durations. </w:t>
      </w:r>
    </w:p>
    <w:p w14:paraId="330AD1E1" w14:textId="28F8E5BD" w:rsidR="00294E5B" w:rsidRPr="005342A5" w:rsidRDefault="00294E5B" w:rsidP="00294E5B">
      <w:pPr>
        <w:rPr>
          <w:lang w:val="en-US"/>
        </w:rPr>
      </w:pPr>
      <w:r>
        <w:rPr>
          <w:lang w:val="en-US"/>
        </w:rPr>
        <w:t xml:space="preserve">Using this information we calibrated the partnership duration parameters in our model to reproduce the distribution of total unique partners over a 12-month period as reported in EMIS 2017. We used Approximate Bayesian Computation (ABC) </w:t>
      </w:r>
      <w:r w:rsidR="00FF1750">
        <w:rPr>
          <w:lang w:val="en-US"/>
        </w:rPr>
        <w:t xml:space="preserve">with </w:t>
      </w:r>
      <w:r>
        <w:rPr>
          <w:lang w:val="en-US"/>
        </w:rPr>
        <w:t>the number of sex partners as targets</w:t>
      </w:r>
      <w:r w:rsidR="000C2625">
        <w:rPr>
          <w:lang w:val="en-US"/>
        </w:rPr>
        <w:t xml:space="preserve">. </w:t>
      </w:r>
    </w:p>
    <w:p w14:paraId="1367F9A6" w14:textId="5F7BE3AE" w:rsidR="00413985" w:rsidRDefault="00413985" w:rsidP="00BE176C">
      <w:pPr>
        <w:rPr>
          <w:lang w:val="en-US"/>
        </w:rPr>
      </w:pPr>
    </w:p>
    <w:bookmarkEnd w:id="20"/>
    <w:p w14:paraId="44081C0F" w14:textId="5D1C86E1" w:rsidR="006F792B" w:rsidRPr="005342A5" w:rsidRDefault="006F792B" w:rsidP="008A2A82">
      <w:pPr>
        <w:pStyle w:val="Heading2"/>
        <w:numPr>
          <w:ilvl w:val="0"/>
          <w:numId w:val="21"/>
        </w:numPr>
        <w:rPr>
          <w:b/>
          <w:bCs/>
          <w:color w:val="auto"/>
          <w:lang w:val="en-US"/>
        </w:rPr>
      </w:pPr>
      <w:r>
        <w:rPr>
          <w:b/>
          <w:bCs/>
          <w:color w:val="auto"/>
          <w:lang w:val="en-US"/>
        </w:rPr>
        <w:t>Bibliography</w:t>
      </w:r>
    </w:p>
    <w:p w14:paraId="0440C667" w14:textId="77777777" w:rsidR="006F792B" w:rsidRDefault="006F792B" w:rsidP="00BE176C">
      <w:pPr>
        <w:spacing w:after="0" w:line="240" w:lineRule="auto"/>
        <w:rPr>
          <w:rFonts w:eastAsia="Times New Roman"/>
          <w:lang w:val="en-US"/>
        </w:rPr>
      </w:pPr>
    </w:p>
    <w:p w14:paraId="4F9D97D6" w14:textId="5BC92F8C" w:rsidR="00702287" w:rsidRPr="005A1835" w:rsidRDefault="006F792B" w:rsidP="00702287">
      <w:pPr>
        <w:widowControl w:val="0"/>
        <w:autoSpaceDE w:val="0"/>
        <w:autoSpaceDN w:val="0"/>
        <w:adjustRightInd w:val="0"/>
        <w:spacing w:after="0" w:line="240" w:lineRule="auto"/>
        <w:ind w:left="640" w:hanging="640"/>
        <w:rPr>
          <w:rFonts w:ascii="Calibri" w:hAnsi="Calibri" w:cs="Calibri"/>
          <w:noProof/>
          <w:szCs w:val="24"/>
          <w:lang w:val="en-US"/>
        </w:rPr>
      </w:pPr>
      <w:r>
        <w:rPr>
          <w:rFonts w:eastAsia="Times New Roman"/>
          <w:lang w:val="en-US"/>
        </w:rPr>
        <w:fldChar w:fldCharType="begin" w:fldLock="1"/>
      </w:r>
      <w:r>
        <w:rPr>
          <w:rFonts w:eastAsia="Times New Roman"/>
          <w:lang w:val="en-US"/>
        </w:rPr>
        <w:instrText xml:space="preserve">ADDIN Mendeley Bibliography CSL_BIBLIOGRAPHY </w:instrText>
      </w:r>
      <w:r>
        <w:rPr>
          <w:rFonts w:eastAsia="Times New Roman"/>
          <w:lang w:val="en-US"/>
        </w:rPr>
        <w:fldChar w:fldCharType="separate"/>
      </w:r>
      <w:r w:rsidR="00702287" w:rsidRPr="005A1835">
        <w:rPr>
          <w:rFonts w:ascii="Calibri" w:hAnsi="Calibri" w:cs="Calibri"/>
          <w:noProof/>
          <w:szCs w:val="24"/>
          <w:lang w:val="en-US"/>
        </w:rPr>
        <w:t>1.</w:t>
      </w:r>
      <w:r w:rsidR="00702287" w:rsidRPr="005A1835">
        <w:rPr>
          <w:rFonts w:ascii="Calibri" w:hAnsi="Calibri" w:cs="Calibri"/>
          <w:noProof/>
          <w:szCs w:val="24"/>
          <w:lang w:val="en-US"/>
        </w:rPr>
        <w:tab/>
        <w:t xml:space="preserve">Krivitsky PN, Handcock MS. A separable model for dynamic networks. </w:t>
      </w:r>
      <w:r w:rsidR="00702287" w:rsidRPr="005A1835">
        <w:rPr>
          <w:rFonts w:ascii="Calibri" w:hAnsi="Calibri" w:cs="Calibri"/>
          <w:i/>
          <w:iCs/>
          <w:noProof/>
          <w:szCs w:val="24"/>
          <w:lang w:val="en-US"/>
        </w:rPr>
        <w:t>J R Stat Soc Ser B Stat Methodol</w:t>
      </w:r>
      <w:r w:rsidR="00702287" w:rsidRPr="005A1835">
        <w:rPr>
          <w:rFonts w:ascii="Calibri" w:hAnsi="Calibri" w:cs="Calibri"/>
          <w:noProof/>
          <w:szCs w:val="24"/>
          <w:lang w:val="en-US"/>
        </w:rPr>
        <w:t>. 2014;76(1):29-46. doi:10.1111/rssb.12014</w:t>
      </w:r>
    </w:p>
    <w:p w14:paraId="6BD6CBC0"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2.</w:t>
      </w:r>
      <w:r w:rsidRPr="005A1835">
        <w:rPr>
          <w:rFonts w:ascii="Calibri" w:hAnsi="Calibri" w:cs="Calibri"/>
          <w:noProof/>
          <w:szCs w:val="24"/>
          <w:lang w:val="en-US"/>
        </w:rPr>
        <w:tab/>
        <w:t xml:space="preserve">Hunter DR, Handcock MS, Butts CT, Goodreau SM, Morris M. ergm: A package to fit, simulate and diagnose exponential-family models for networks. </w:t>
      </w:r>
      <w:r w:rsidRPr="005A1835">
        <w:rPr>
          <w:rFonts w:ascii="Calibri" w:hAnsi="Calibri" w:cs="Calibri"/>
          <w:i/>
          <w:iCs/>
          <w:noProof/>
          <w:szCs w:val="24"/>
          <w:lang w:val="en-US"/>
        </w:rPr>
        <w:t>J Stat Softw</w:t>
      </w:r>
      <w:r w:rsidRPr="005A1835">
        <w:rPr>
          <w:rFonts w:ascii="Calibri" w:hAnsi="Calibri" w:cs="Calibri"/>
          <w:noProof/>
          <w:szCs w:val="24"/>
          <w:lang w:val="en-US"/>
        </w:rPr>
        <w:t>. 2008;24(3):1-29. doi:10.18637/jss.v024.i03</w:t>
      </w:r>
    </w:p>
    <w:p w14:paraId="2A536AE1"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3.</w:t>
      </w:r>
      <w:r w:rsidRPr="005A1835">
        <w:rPr>
          <w:rFonts w:ascii="Calibri" w:hAnsi="Calibri" w:cs="Calibri"/>
          <w:noProof/>
          <w:szCs w:val="24"/>
          <w:lang w:val="en-US"/>
        </w:rPr>
        <w:tab/>
        <w:t xml:space="preserve">Goodreau SM, Carnegie NB, Vittinghoff E, et al. What Drives the US and Peruvian HIV Epidemics in Men Who Have Sex with Men (MSM)? </w:t>
      </w:r>
      <w:r w:rsidRPr="005A1835">
        <w:rPr>
          <w:rFonts w:ascii="Calibri" w:hAnsi="Calibri" w:cs="Calibri"/>
          <w:i/>
          <w:iCs/>
          <w:noProof/>
          <w:szCs w:val="24"/>
          <w:lang w:val="en-US"/>
        </w:rPr>
        <w:t>PLoS One</w:t>
      </w:r>
      <w:r w:rsidRPr="005A1835">
        <w:rPr>
          <w:rFonts w:ascii="Calibri" w:hAnsi="Calibri" w:cs="Calibri"/>
          <w:noProof/>
          <w:szCs w:val="24"/>
          <w:lang w:val="en-US"/>
        </w:rPr>
        <w:t>. 2012;7(11). doi:10.1371/journal.pone.0050522</w:t>
      </w:r>
    </w:p>
    <w:p w14:paraId="5D380364"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4.</w:t>
      </w:r>
      <w:r w:rsidRPr="005A1835">
        <w:rPr>
          <w:rFonts w:ascii="Calibri" w:hAnsi="Calibri" w:cs="Calibri"/>
          <w:noProof/>
          <w:szCs w:val="24"/>
          <w:lang w:val="en-US"/>
        </w:rPr>
        <w:tab/>
        <w:t xml:space="preserve">Jenness SM, Goodreau SM, Rosenberg E, et al. Impact of the centers for disease control’s HIV preexposure prophylaxis guidelines for men who have sex with men in the United States. </w:t>
      </w:r>
      <w:r w:rsidRPr="005A1835">
        <w:rPr>
          <w:rFonts w:ascii="Calibri" w:hAnsi="Calibri" w:cs="Calibri"/>
          <w:i/>
          <w:iCs/>
          <w:noProof/>
          <w:szCs w:val="24"/>
          <w:lang w:val="en-US"/>
        </w:rPr>
        <w:t>J Infect Dis</w:t>
      </w:r>
      <w:r w:rsidRPr="005A1835">
        <w:rPr>
          <w:rFonts w:ascii="Calibri" w:hAnsi="Calibri" w:cs="Calibri"/>
          <w:noProof/>
          <w:szCs w:val="24"/>
          <w:lang w:val="en-US"/>
        </w:rPr>
        <w:t>. 2016;214(12):1800-1807. doi:10.1093/infdis/jiw223</w:t>
      </w:r>
    </w:p>
    <w:p w14:paraId="48E7025F"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5.</w:t>
      </w:r>
      <w:r w:rsidRPr="005A1835">
        <w:rPr>
          <w:rFonts w:ascii="Calibri" w:hAnsi="Calibri" w:cs="Calibri"/>
          <w:noProof/>
          <w:szCs w:val="24"/>
          <w:lang w:val="en-US"/>
        </w:rPr>
        <w:tab/>
        <w:t xml:space="preserve">Jenness SM, Weiss KM, Goodreau SM, et al. Incidence of gonorrhea and chlamydia following human immunodeficiency virus preexposure prophylaxis among men who have sex with men: A modeling study. </w:t>
      </w:r>
      <w:r w:rsidRPr="005A1835">
        <w:rPr>
          <w:rFonts w:ascii="Calibri" w:hAnsi="Calibri" w:cs="Calibri"/>
          <w:i/>
          <w:iCs/>
          <w:noProof/>
          <w:szCs w:val="24"/>
          <w:lang w:val="en-US"/>
        </w:rPr>
        <w:t>Clin Infect Dis</w:t>
      </w:r>
      <w:r w:rsidRPr="005A1835">
        <w:rPr>
          <w:rFonts w:ascii="Calibri" w:hAnsi="Calibri" w:cs="Calibri"/>
          <w:noProof/>
          <w:szCs w:val="24"/>
          <w:lang w:val="en-US"/>
        </w:rPr>
        <w:t>. 2017;65(5):712-718. doi:10.1093/cid/cix439</w:t>
      </w:r>
    </w:p>
    <w:p w14:paraId="6152D7B1"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6.</w:t>
      </w:r>
      <w:r w:rsidRPr="005A1835">
        <w:rPr>
          <w:rFonts w:ascii="Calibri" w:hAnsi="Calibri" w:cs="Calibri"/>
          <w:noProof/>
          <w:szCs w:val="24"/>
          <w:lang w:val="en-US"/>
        </w:rPr>
        <w:tab/>
        <w:t>R Core Team (2017). R: A language and environment for statistical computing. R Foundation for Statistical Computing, Vienna, Austria. URL https://www.R-project.org/.</w:t>
      </w:r>
    </w:p>
    <w:p w14:paraId="422991B2"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7.</w:t>
      </w:r>
      <w:r w:rsidRPr="005A1835">
        <w:rPr>
          <w:rFonts w:ascii="Calibri" w:hAnsi="Calibri" w:cs="Calibri"/>
          <w:noProof/>
          <w:szCs w:val="24"/>
          <w:lang w:val="en-US"/>
        </w:rPr>
        <w:tab/>
        <w:t xml:space="preserve">Jenness SM, Goodreau SM, Morris M. Epimodel: An R package for mathematical modeling of infectious disease over networks. </w:t>
      </w:r>
      <w:r w:rsidRPr="005A1835">
        <w:rPr>
          <w:rFonts w:ascii="Calibri" w:hAnsi="Calibri" w:cs="Calibri"/>
          <w:i/>
          <w:iCs/>
          <w:noProof/>
          <w:szCs w:val="24"/>
          <w:lang w:val="en-US"/>
        </w:rPr>
        <w:t>J Stat Softw</w:t>
      </w:r>
      <w:r w:rsidRPr="005A1835">
        <w:rPr>
          <w:rFonts w:ascii="Calibri" w:hAnsi="Calibri" w:cs="Calibri"/>
          <w:noProof/>
          <w:szCs w:val="24"/>
          <w:lang w:val="en-US"/>
        </w:rPr>
        <w:t>. 2018;84(8). doi:10.18637/jss.v084.i08</w:t>
      </w:r>
    </w:p>
    <w:p w14:paraId="4FC71ED2"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fr-BE"/>
        </w:rPr>
      </w:pPr>
      <w:r w:rsidRPr="005A1835">
        <w:rPr>
          <w:rFonts w:ascii="Calibri" w:hAnsi="Calibri" w:cs="Calibri"/>
          <w:noProof/>
          <w:szCs w:val="24"/>
          <w:lang w:val="en-US"/>
        </w:rPr>
        <w:t>8.</w:t>
      </w:r>
      <w:r w:rsidRPr="005A1835">
        <w:rPr>
          <w:rFonts w:ascii="Calibri" w:hAnsi="Calibri" w:cs="Calibri"/>
          <w:noProof/>
          <w:szCs w:val="24"/>
          <w:lang w:val="en-US"/>
        </w:rPr>
        <w:tab/>
        <w:t xml:space="preserve">Weatherburn P, Hickson F, Reid DS, Marcus U, Schmidt AJ. European Men-Who-Have-Sex-With-Men Internet Survey (EMIS-2017): Design and Methods. </w:t>
      </w:r>
      <w:r w:rsidRPr="005A1835">
        <w:rPr>
          <w:rFonts w:ascii="Calibri" w:hAnsi="Calibri" w:cs="Calibri"/>
          <w:i/>
          <w:iCs/>
          <w:noProof/>
          <w:szCs w:val="24"/>
          <w:lang w:val="fr-BE"/>
        </w:rPr>
        <w:t>Sex Res Soc Policy</w:t>
      </w:r>
      <w:r w:rsidRPr="005A1835">
        <w:rPr>
          <w:rFonts w:ascii="Calibri" w:hAnsi="Calibri" w:cs="Calibri"/>
          <w:noProof/>
          <w:szCs w:val="24"/>
          <w:lang w:val="fr-BE"/>
        </w:rPr>
        <w:t>. 2020;17(4):543-557. doi:10.1007/s13178-019-00413-0</w:t>
      </w:r>
    </w:p>
    <w:p w14:paraId="24F6513B"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fr-BE"/>
        </w:rPr>
        <w:t>9.</w:t>
      </w:r>
      <w:r w:rsidRPr="005A1835">
        <w:rPr>
          <w:rFonts w:ascii="Calibri" w:hAnsi="Calibri" w:cs="Calibri"/>
          <w:noProof/>
          <w:szCs w:val="24"/>
          <w:lang w:val="fr-BE"/>
        </w:rPr>
        <w:tab/>
        <w:t xml:space="preserve">Buffel V, Reyniers T, Masquillier C, et al. </w:t>
      </w:r>
      <w:r w:rsidRPr="005A1835">
        <w:rPr>
          <w:rFonts w:ascii="Calibri" w:hAnsi="Calibri" w:cs="Calibri"/>
          <w:noProof/>
          <w:szCs w:val="24"/>
          <w:lang w:val="en-US"/>
        </w:rPr>
        <w:t xml:space="preserve">Awareness of, Willingness to Take PrEP and Its Actual Use Among Belgian MSM at High Risk of HIV Infection: Secondary Analysis of the Belgian European MSM Internet Survey. </w:t>
      </w:r>
      <w:r w:rsidRPr="005A1835">
        <w:rPr>
          <w:rFonts w:ascii="Calibri" w:hAnsi="Calibri" w:cs="Calibri"/>
          <w:i/>
          <w:iCs/>
          <w:noProof/>
          <w:szCs w:val="24"/>
          <w:lang w:val="en-US"/>
        </w:rPr>
        <w:t>AIDS Behav</w:t>
      </w:r>
      <w:r w:rsidRPr="005A1835">
        <w:rPr>
          <w:rFonts w:ascii="Calibri" w:hAnsi="Calibri" w:cs="Calibri"/>
          <w:noProof/>
          <w:szCs w:val="24"/>
          <w:lang w:val="en-US"/>
        </w:rPr>
        <w:t>. 2022;26(6):1793-1807. doi:10.1007/s10461-021-03526-z</w:t>
      </w:r>
    </w:p>
    <w:p w14:paraId="18971057"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10.</w:t>
      </w:r>
      <w:r w:rsidRPr="005A1835">
        <w:rPr>
          <w:rFonts w:ascii="Calibri" w:hAnsi="Calibri" w:cs="Calibri"/>
          <w:noProof/>
          <w:szCs w:val="24"/>
          <w:lang w:val="en-US"/>
        </w:rPr>
        <w:tab/>
        <w:t xml:space="preserve">Sherriff NS, Jones AM, Mirandola M, et al. Factors related to condomless anal intercourse between men who have sex with men: Results from a European bio-behavioural survey. </w:t>
      </w:r>
      <w:r w:rsidRPr="005A1835">
        <w:rPr>
          <w:rFonts w:ascii="Calibri" w:hAnsi="Calibri" w:cs="Calibri"/>
          <w:i/>
          <w:iCs/>
          <w:noProof/>
          <w:szCs w:val="24"/>
          <w:lang w:val="en-US"/>
        </w:rPr>
        <w:t>J Public Heal (United Kingdom)</w:t>
      </w:r>
      <w:r w:rsidRPr="005A1835">
        <w:rPr>
          <w:rFonts w:ascii="Calibri" w:hAnsi="Calibri" w:cs="Calibri"/>
          <w:noProof/>
          <w:szCs w:val="24"/>
          <w:lang w:val="en-US"/>
        </w:rPr>
        <w:t>. 2020;42(2):1-13. doi:10.1093/pubmed/fdz052</w:t>
      </w:r>
    </w:p>
    <w:p w14:paraId="765A8D27"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11.</w:t>
      </w:r>
      <w:r w:rsidRPr="005A1835">
        <w:rPr>
          <w:rFonts w:ascii="Calibri" w:hAnsi="Calibri" w:cs="Calibri"/>
          <w:noProof/>
          <w:szCs w:val="24"/>
          <w:lang w:val="en-US"/>
        </w:rPr>
        <w:tab/>
        <w:t xml:space="preserve">Hansson D, Strömdahl S, Leung KY, Britton T. </w:t>
      </w:r>
      <w:r w:rsidRPr="005A1835">
        <w:rPr>
          <w:rFonts w:ascii="Calibri" w:hAnsi="Calibri" w:cs="Calibri"/>
          <w:i/>
          <w:iCs/>
          <w:noProof/>
          <w:szCs w:val="24"/>
          <w:lang w:val="en-US"/>
        </w:rPr>
        <w:t>Introducing Pre-Exposure Prophylaxis to Prevent HIV Acquisition among Men Who Have Sex with Men in Sweden: Insights from a Mathematical Pair Formation Model</w:t>
      </w:r>
      <w:r w:rsidRPr="005A1835">
        <w:rPr>
          <w:rFonts w:ascii="Calibri" w:hAnsi="Calibri" w:cs="Calibri"/>
          <w:noProof/>
          <w:szCs w:val="24"/>
          <w:lang w:val="en-US"/>
        </w:rPr>
        <w:t>. Vol 10.; 2020. doi:10.1136/bmjopen-2019-033852</w:t>
      </w:r>
    </w:p>
    <w:p w14:paraId="0AE6102D"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12.</w:t>
      </w:r>
      <w:r w:rsidRPr="005A1835">
        <w:rPr>
          <w:rFonts w:ascii="Calibri" w:hAnsi="Calibri" w:cs="Calibri"/>
          <w:noProof/>
          <w:szCs w:val="24"/>
          <w:lang w:val="en-US"/>
        </w:rPr>
        <w:tab/>
        <w:t xml:space="preserve">Krivitsky PN, Handcock MS, Morris M. Adjusting for network size and composition effects in exponential-family random graph models. </w:t>
      </w:r>
      <w:r w:rsidRPr="005A1835">
        <w:rPr>
          <w:rFonts w:ascii="Calibri" w:hAnsi="Calibri" w:cs="Calibri"/>
          <w:i/>
          <w:iCs/>
          <w:noProof/>
          <w:szCs w:val="24"/>
          <w:lang w:val="en-US"/>
        </w:rPr>
        <w:t>Stat Methodol</w:t>
      </w:r>
      <w:r w:rsidRPr="005A1835">
        <w:rPr>
          <w:rFonts w:ascii="Calibri" w:hAnsi="Calibri" w:cs="Calibri"/>
          <w:noProof/>
          <w:szCs w:val="24"/>
          <w:lang w:val="en-US"/>
        </w:rPr>
        <w:t>. 2011;8(4):319-339. doi:10.1016/j.stamet.2011.01.005</w:t>
      </w:r>
    </w:p>
    <w:p w14:paraId="37073D54"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13.</w:t>
      </w:r>
      <w:r w:rsidRPr="005A1835">
        <w:rPr>
          <w:rFonts w:ascii="Calibri" w:hAnsi="Calibri" w:cs="Calibri"/>
          <w:noProof/>
          <w:szCs w:val="24"/>
          <w:lang w:val="en-US"/>
        </w:rPr>
        <w:tab/>
        <w:t xml:space="preserve">Liu C, Lu X. Network evolution of a large online MSM dating community: 2005–2018. </w:t>
      </w:r>
      <w:r w:rsidRPr="005A1835">
        <w:rPr>
          <w:rFonts w:ascii="Calibri" w:hAnsi="Calibri" w:cs="Calibri"/>
          <w:i/>
          <w:iCs/>
          <w:noProof/>
          <w:szCs w:val="24"/>
          <w:lang w:val="en-US"/>
        </w:rPr>
        <w:t>Int J Environ Res Public Health</w:t>
      </w:r>
      <w:r w:rsidRPr="005A1835">
        <w:rPr>
          <w:rFonts w:ascii="Calibri" w:hAnsi="Calibri" w:cs="Calibri"/>
          <w:noProof/>
          <w:szCs w:val="24"/>
          <w:lang w:val="en-US"/>
        </w:rPr>
        <w:t>. 2019;16(22). doi:10.3390/ijerph16224322</w:t>
      </w:r>
    </w:p>
    <w:p w14:paraId="2BC89516"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14.</w:t>
      </w:r>
      <w:r w:rsidRPr="005A1835">
        <w:rPr>
          <w:rFonts w:ascii="Calibri" w:hAnsi="Calibri" w:cs="Calibri"/>
          <w:noProof/>
          <w:szCs w:val="24"/>
          <w:lang w:val="en-US"/>
        </w:rPr>
        <w:tab/>
        <w:t>Currarini S, Vega Redondo F. A Simple Model of Homophily in Social Networks Department of Economics A Simple Model of Homophily in Social Networks. 2011;(16).</w:t>
      </w:r>
    </w:p>
    <w:p w14:paraId="490C311A"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lastRenderedPageBreak/>
        <w:t>15.</w:t>
      </w:r>
      <w:r w:rsidRPr="005A1835">
        <w:rPr>
          <w:rFonts w:ascii="Calibri" w:hAnsi="Calibri" w:cs="Calibri"/>
          <w:noProof/>
          <w:szCs w:val="24"/>
          <w:lang w:val="en-US"/>
        </w:rPr>
        <w:tab/>
        <w:t xml:space="preserve">Cai M, Huang G, Kretzschmar ME, Chen X, Lu X. Extremely Low Reciprocity and Strong Homophily in the World Largest MSM Social Network. </w:t>
      </w:r>
      <w:r w:rsidRPr="005A1835">
        <w:rPr>
          <w:rFonts w:ascii="Calibri" w:hAnsi="Calibri" w:cs="Calibri"/>
          <w:i/>
          <w:iCs/>
          <w:noProof/>
          <w:szCs w:val="24"/>
          <w:lang w:val="en-US"/>
        </w:rPr>
        <w:t>IEEE Trans Netw Sci Eng</w:t>
      </w:r>
      <w:r w:rsidRPr="005A1835">
        <w:rPr>
          <w:rFonts w:ascii="Calibri" w:hAnsi="Calibri" w:cs="Calibri"/>
          <w:noProof/>
          <w:szCs w:val="24"/>
          <w:lang w:val="en-US"/>
        </w:rPr>
        <w:t>. 2021;8(3):2279-2287. doi:10.1109/TNSE.2021.3085984</w:t>
      </w:r>
    </w:p>
    <w:p w14:paraId="73C4908D"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16.</w:t>
      </w:r>
      <w:r w:rsidRPr="005A1835">
        <w:rPr>
          <w:rFonts w:ascii="Calibri" w:hAnsi="Calibri" w:cs="Calibri"/>
          <w:noProof/>
          <w:szCs w:val="24"/>
          <w:lang w:val="en-US"/>
        </w:rPr>
        <w:tab/>
        <w:t xml:space="preserve">Murase Y, Jo HH, Török J, Kertész J, Kaski K. Structural transition in social networks: The role of homophily. </w:t>
      </w:r>
      <w:r w:rsidRPr="005A1835">
        <w:rPr>
          <w:rFonts w:ascii="Calibri" w:hAnsi="Calibri" w:cs="Calibri"/>
          <w:i/>
          <w:iCs/>
          <w:noProof/>
          <w:szCs w:val="24"/>
          <w:lang w:val="en-US"/>
        </w:rPr>
        <w:t>Sci Rep</w:t>
      </w:r>
      <w:r w:rsidRPr="005A1835">
        <w:rPr>
          <w:rFonts w:ascii="Calibri" w:hAnsi="Calibri" w:cs="Calibri"/>
          <w:noProof/>
          <w:szCs w:val="24"/>
          <w:lang w:val="en-US"/>
        </w:rPr>
        <w:t>. 2019;9(1):1-8. doi:10.1038/s41598-019-40990-z</w:t>
      </w:r>
    </w:p>
    <w:p w14:paraId="56EA76D2"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17.</w:t>
      </w:r>
      <w:r w:rsidRPr="005A1835">
        <w:rPr>
          <w:rFonts w:ascii="Calibri" w:hAnsi="Calibri" w:cs="Calibri"/>
          <w:noProof/>
          <w:szCs w:val="24"/>
          <w:lang w:val="en-US"/>
        </w:rPr>
        <w:tab/>
        <w:t xml:space="preserve">Lanjouw E, Ouburg S, de Vries HJ, Stary A, Radcliffe K, Unemo M. 2015 European guideline on the management of Chlamydia trachomatis infections. </w:t>
      </w:r>
      <w:r w:rsidRPr="005A1835">
        <w:rPr>
          <w:rFonts w:ascii="Calibri" w:hAnsi="Calibri" w:cs="Calibri"/>
          <w:i/>
          <w:iCs/>
          <w:noProof/>
          <w:szCs w:val="24"/>
          <w:lang w:val="en-US"/>
        </w:rPr>
        <w:t>Int J STD AIDS</w:t>
      </w:r>
      <w:r w:rsidRPr="005A1835">
        <w:rPr>
          <w:rFonts w:ascii="Calibri" w:hAnsi="Calibri" w:cs="Calibri"/>
          <w:noProof/>
          <w:szCs w:val="24"/>
          <w:lang w:val="en-US"/>
        </w:rPr>
        <w:t>. 2016;27(5):333-348. doi:10.1177/0956462415618837</w:t>
      </w:r>
    </w:p>
    <w:p w14:paraId="7BDD2B08"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18.</w:t>
      </w:r>
      <w:r w:rsidRPr="005A1835">
        <w:rPr>
          <w:rFonts w:ascii="Calibri" w:hAnsi="Calibri" w:cs="Calibri"/>
          <w:noProof/>
          <w:szCs w:val="24"/>
          <w:lang w:val="en-US"/>
        </w:rPr>
        <w:tab/>
        <w:t xml:space="preserve">Pharris A, Amato AJ, Carrillo-Santisteve P, et al. </w:t>
      </w:r>
      <w:r w:rsidRPr="005A1835">
        <w:rPr>
          <w:rFonts w:ascii="Calibri" w:hAnsi="Calibri" w:cs="Calibri"/>
          <w:i/>
          <w:iCs/>
          <w:noProof/>
          <w:szCs w:val="24"/>
          <w:lang w:val="en-US"/>
        </w:rPr>
        <w:t>HIV and STI Prevention among Men Who Have Sex with Men HIV and STI Prevention among Men Who Have Sex with Men-Gauci with Technical Input From</w:t>
      </w:r>
      <w:r w:rsidRPr="005A1835">
        <w:rPr>
          <w:rFonts w:ascii="Calibri" w:hAnsi="Calibri" w:cs="Calibri"/>
          <w:noProof/>
          <w:szCs w:val="24"/>
          <w:lang w:val="en-US"/>
        </w:rPr>
        <w:t>.; 2015. https://ecdc.europa.eu/sites/portal/files/media/en/publications/Publications/hiv-sti-prevention-among-men-who-have-sex-with-men-guidance.pdf</w:t>
      </w:r>
    </w:p>
    <w:p w14:paraId="6EC8BC74"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de-DE"/>
        </w:rPr>
        <w:t>19.</w:t>
      </w:r>
      <w:r w:rsidRPr="005A1835">
        <w:rPr>
          <w:rFonts w:ascii="Calibri" w:hAnsi="Calibri" w:cs="Calibri"/>
          <w:noProof/>
          <w:szCs w:val="24"/>
          <w:lang w:val="de-DE"/>
        </w:rPr>
        <w:tab/>
        <w:t xml:space="preserve">Toni T, Welch D, Strelkowa N, Ipsen A, Stumpf MPH. </w:t>
      </w:r>
      <w:r w:rsidRPr="005A1835">
        <w:rPr>
          <w:rFonts w:ascii="Calibri" w:hAnsi="Calibri" w:cs="Calibri"/>
          <w:noProof/>
          <w:szCs w:val="24"/>
          <w:lang w:val="en-US"/>
        </w:rPr>
        <w:t xml:space="preserve">Approximate Bayesian computation scheme for parameter inference and model selection in dynamical systems. </w:t>
      </w:r>
      <w:r w:rsidRPr="005A1835">
        <w:rPr>
          <w:rFonts w:ascii="Calibri" w:hAnsi="Calibri" w:cs="Calibri"/>
          <w:i/>
          <w:iCs/>
          <w:noProof/>
          <w:szCs w:val="24"/>
          <w:lang w:val="en-US"/>
        </w:rPr>
        <w:t>J R Soc Interface</w:t>
      </w:r>
      <w:r w:rsidRPr="005A1835">
        <w:rPr>
          <w:rFonts w:ascii="Calibri" w:hAnsi="Calibri" w:cs="Calibri"/>
          <w:noProof/>
          <w:szCs w:val="24"/>
          <w:lang w:val="en-US"/>
        </w:rPr>
        <w:t>. 2009;6(31):187-202. doi:10.1098/rsif.2008.0172</w:t>
      </w:r>
    </w:p>
    <w:p w14:paraId="25F2935F"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20.</w:t>
      </w:r>
      <w:r w:rsidRPr="005A1835">
        <w:rPr>
          <w:rFonts w:ascii="Calibri" w:hAnsi="Calibri" w:cs="Calibri"/>
          <w:noProof/>
          <w:szCs w:val="24"/>
          <w:lang w:val="en-US"/>
        </w:rPr>
        <w:tab/>
        <w:t xml:space="preserve">Held L, Hens N, O’Neil P, Wallinga J. </w:t>
      </w:r>
      <w:r w:rsidRPr="005A1835">
        <w:rPr>
          <w:rFonts w:ascii="Calibri" w:hAnsi="Calibri" w:cs="Calibri"/>
          <w:i/>
          <w:iCs/>
          <w:noProof/>
          <w:szCs w:val="24"/>
          <w:lang w:val="en-US"/>
        </w:rPr>
        <w:t>Handbook of Infectious Disease Data Analysis</w:t>
      </w:r>
      <w:r w:rsidRPr="005A1835">
        <w:rPr>
          <w:rFonts w:ascii="Calibri" w:hAnsi="Calibri" w:cs="Calibri"/>
          <w:noProof/>
          <w:szCs w:val="24"/>
          <w:lang w:val="en-US"/>
        </w:rPr>
        <w:t>. Chapman and Hall/CRC; 2020. doi:https://doi.org/10.1201/9781315222912</w:t>
      </w:r>
    </w:p>
    <w:p w14:paraId="660C6645"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fr-BE"/>
        </w:rPr>
      </w:pPr>
      <w:r w:rsidRPr="005A1835">
        <w:rPr>
          <w:rFonts w:ascii="Calibri" w:hAnsi="Calibri" w:cs="Calibri"/>
          <w:noProof/>
          <w:szCs w:val="24"/>
          <w:lang w:val="en-US"/>
        </w:rPr>
        <w:t>21.</w:t>
      </w:r>
      <w:r w:rsidRPr="005A1835">
        <w:rPr>
          <w:rFonts w:ascii="Calibri" w:hAnsi="Calibri" w:cs="Calibri"/>
          <w:noProof/>
          <w:szCs w:val="24"/>
          <w:lang w:val="en-US"/>
        </w:rPr>
        <w:tab/>
        <w:t xml:space="preserve">Beaumont MA, Cornuet JM, Marin JM, Robert CP. </w:t>
      </w:r>
      <w:r w:rsidRPr="005A1835">
        <w:rPr>
          <w:rFonts w:ascii="Calibri" w:hAnsi="Calibri" w:cs="Calibri"/>
          <w:noProof/>
          <w:szCs w:val="24"/>
          <w:lang w:val="fr-BE"/>
        </w:rPr>
        <w:t xml:space="preserve">Adaptive approximate Bayesian computation. </w:t>
      </w:r>
      <w:r w:rsidRPr="005A1835">
        <w:rPr>
          <w:rFonts w:ascii="Calibri" w:hAnsi="Calibri" w:cs="Calibri"/>
          <w:i/>
          <w:iCs/>
          <w:noProof/>
          <w:szCs w:val="24"/>
          <w:lang w:val="fr-BE"/>
        </w:rPr>
        <w:t>Biometrika</w:t>
      </w:r>
      <w:r w:rsidRPr="005A1835">
        <w:rPr>
          <w:rFonts w:ascii="Calibri" w:hAnsi="Calibri" w:cs="Calibri"/>
          <w:noProof/>
          <w:szCs w:val="24"/>
          <w:lang w:val="fr-BE"/>
        </w:rPr>
        <w:t>. 2009;96(4):983-990. doi:10.1093/biomet/asp052</w:t>
      </w:r>
    </w:p>
    <w:p w14:paraId="04BC5F34"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fr-BE"/>
        </w:rPr>
        <w:t>22.</w:t>
      </w:r>
      <w:r w:rsidRPr="005A1835">
        <w:rPr>
          <w:rFonts w:ascii="Calibri" w:hAnsi="Calibri" w:cs="Calibri"/>
          <w:noProof/>
          <w:szCs w:val="24"/>
          <w:lang w:val="fr-BE"/>
        </w:rPr>
        <w:tab/>
        <w:t xml:space="preserve">Sisson SA, Fan Y, Tanaka MM. </w:t>
      </w:r>
      <w:r w:rsidRPr="005A1835">
        <w:rPr>
          <w:rFonts w:ascii="Calibri" w:hAnsi="Calibri" w:cs="Calibri"/>
          <w:noProof/>
          <w:szCs w:val="24"/>
          <w:lang w:val="en-US"/>
        </w:rPr>
        <w:t xml:space="preserve">Sequential Monte Carlo without likelihoods (Proceedings of the National Academy of Sciences of the United States of America (2007) 104, 6, (1760-1765) DOI:10.1073/pnas.0607208104). </w:t>
      </w:r>
      <w:r w:rsidRPr="005A1835">
        <w:rPr>
          <w:rFonts w:ascii="Calibri" w:hAnsi="Calibri" w:cs="Calibri"/>
          <w:i/>
          <w:iCs/>
          <w:noProof/>
          <w:szCs w:val="24"/>
          <w:lang w:val="en-US"/>
        </w:rPr>
        <w:t>Proc Natl Acad Sci U S A</w:t>
      </w:r>
      <w:r w:rsidRPr="005A1835">
        <w:rPr>
          <w:rFonts w:ascii="Calibri" w:hAnsi="Calibri" w:cs="Calibri"/>
          <w:noProof/>
          <w:szCs w:val="24"/>
          <w:lang w:val="en-US"/>
        </w:rPr>
        <w:t>. 2009;106(39):16889. doi:10.1073/pnas.0908847106</w:t>
      </w:r>
    </w:p>
    <w:p w14:paraId="499D0437"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5A1835">
        <w:rPr>
          <w:rFonts w:ascii="Calibri" w:hAnsi="Calibri" w:cs="Calibri"/>
          <w:noProof/>
          <w:szCs w:val="24"/>
          <w:lang w:val="en-US"/>
        </w:rPr>
        <w:t>23.</w:t>
      </w:r>
      <w:r w:rsidRPr="005A1835">
        <w:rPr>
          <w:rFonts w:ascii="Calibri" w:hAnsi="Calibri" w:cs="Calibri"/>
          <w:noProof/>
          <w:szCs w:val="24"/>
          <w:lang w:val="en-US"/>
        </w:rPr>
        <w:tab/>
        <w:t>Jabot F, Faure T, Dumoulin N. EasyABC: Efficient Approximate Bayesian Computation Sampling Schemes. Published online 2015.</w:t>
      </w:r>
    </w:p>
    <w:p w14:paraId="27B77FE8" w14:textId="77777777" w:rsidR="00702287" w:rsidRPr="00702287" w:rsidRDefault="00702287" w:rsidP="00702287">
      <w:pPr>
        <w:widowControl w:val="0"/>
        <w:autoSpaceDE w:val="0"/>
        <w:autoSpaceDN w:val="0"/>
        <w:adjustRightInd w:val="0"/>
        <w:spacing w:after="0" w:line="240" w:lineRule="auto"/>
        <w:ind w:left="640" w:hanging="640"/>
        <w:rPr>
          <w:rFonts w:ascii="Calibri" w:hAnsi="Calibri" w:cs="Calibri"/>
          <w:noProof/>
          <w:szCs w:val="24"/>
        </w:rPr>
      </w:pPr>
      <w:r w:rsidRPr="005A1835">
        <w:rPr>
          <w:rFonts w:ascii="Calibri" w:hAnsi="Calibri" w:cs="Calibri"/>
          <w:noProof/>
          <w:szCs w:val="24"/>
          <w:lang w:val="en-US"/>
        </w:rPr>
        <w:t>24.</w:t>
      </w:r>
      <w:r w:rsidRPr="005A1835">
        <w:rPr>
          <w:rFonts w:ascii="Calibri" w:hAnsi="Calibri" w:cs="Calibri"/>
          <w:noProof/>
          <w:szCs w:val="24"/>
          <w:lang w:val="en-US"/>
        </w:rPr>
        <w:tab/>
        <w:t xml:space="preserve">Buyze J, Vanden Berghe W, Hens N, Kenyon C. Current levels of gonorrhoea screening in MSM in Belgium may have little effect on prevalence: A modelling study. </w:t>
      </w:r>
      <w:r w:rsidRPr="00702287">
        <w:rPr>
          <w:rFonts w:ascii="Calibri" w:hAnsi="Calibri" w:cs="Calibri"/>
          <w:i/>
          <w:iCs/>
          <w:noProof/>
          <w:szCs w:val="24"/>
        </w:rPr>
        <w:t>Epidemiol Infect</w:t>
      </w:r>
      <w:r w:rsidRPr="00702287">
        <w:rPr>
          <w:rFonts w:ascii="Calibri" w:hAnsi="Calibri" w:cs="Calibri"/>
          <w:noProof/>
          <w:szCs w:val="24"/>
        </w:rPr>
        <w:t>. 2018;146(3):333-338. doi:10.1017/S0950268818000092</w:t>
      </w:r>
    </w:p>
    <w:p w14:paraId="45B2BD86" w14:textId="77777777" w:rsidR="00702287" w:rsidRPr="005A1835" w:rsidRDefault="00702287" w:rsidP="00702287">
      <w:pPr>
        <w:widowControl w:val="0"/>
        <w:autoSpaceDE w:val="0"/>
        <w:autoSpaceDN w:val="0"/>
        <w:adjustRightInd w:val="0"/>
        <w:spacing w:after="0" w:line="240" w:lineRule="auto"/>
        <w:ind w:left="640" w:hanging="640"/>
        <w:rPr>
          <w:rFonts w:ascii="Calibri" w:hAnsi="Calibri" w:cs="Calibri"/>
          <w:noProof/>
          <w:szCs w:val="24"/>
          <w:lang w:val="en-US"/>
        </w:rPr>
      </w:pPr>
      <w:r w:rsidRPr="00702287">
        <w:rPr>
          <w:rFonts w:ascii="Calibri" w:hAnsi="Calibri" w:cs="Calibri"/>
          <w:noProof/>
          <w:szCs w:val="24"/>
        </w:rPr>
        <w:t>25.</w:t>
      </w:r>
      <w:r w:rsidRPr="00702287">
        <w:rPr>
          <w:rFonts w:ascii="Calibri" w:hAnsi="Calibri" w:cs="Calibri"/>
          <w:noProof/>
          <w:szCs w:val="24"/>
        </w:rPr>
        <w:tab/>
        <w:t xml:space="preserve">Reitsema M, Heijne J, Visser M, et al. </w:t>
      </w:r>
      <w:r w:rsidRPr="005A1835">
        <w:rPr>
          <w:rFonts w:ascii="Calibri" w:hAnsi="Calibri" w:cs="Calibri"/>
          <w:noProof/>
          <w:szCs w:val="24"/>
          <w:lang w:val="en-US"/>
        </w:rPr>
        <w:t xml:space="preserve">Impact of frequent testing on the transmission of HIV and N. gonorrhoeae among men who have sex with men: A mathematical modelling study. </w:t>
      </w:r>
      <w:r w:rsidRPr="005A1835">
        <w:rPr>
          <w:rFonts w:ascii="Calibri" w:hAnsi="Calibri" w:cs="Calibri"/>
          <w:i/>
          <w:iCs/>
          <w:noProof/>
          <w:szCs w:val="24"/>
          <w:lang w:val="en-US"/>
        </w:rPr>
        <w:t>Sex Transm Infect</w:t>
      </w:r>
      <w:r w:rsidRPr="005A1835">
        <w:rPr>
          <w:rFonts w:ascii="Calibri" w:hAnsi="Calibri" w:cs="Calibri"/>
          <w:noProof/>
          <w:szCs w:val="24"/>
          <w:lang w:val="en-US"/>
        </w:rPr>
        <w:t>. 2020;96(5):361-367. doi:10.1136/sextrans-2018-053943</w:t>
      </w:r>
    </w:p>
    <w:p w14:paraId="751D9A23" w14:textId="77777777" w:rsidR="00702287" w:rsidRPr="00702287" w:rsidRDefault="00702287" w:rsidP="00702287">
      <w:pPr>
        <w:widowControl w:val="0"/>
        <w:autoSpaceDE w:val="0"/>
        <w:autoSpaceDN w:val="0"/>
        <w:adjustRightInd w:val="0"/>
        <w:spacing w:after="0" w:line="240" w:lineRule="auto"/>
        <w:ind w:left="640" w:hanging="640"/>
        <w:rPr>
          <w:rFonts w:ascii="Calibri" w:hAnsi="Calibri" w:cs="Calibri"/>
          <w:noProof/>
        </w:rPr>
      </w:pPr>
      <w:r w:rsidRPr="005A1835">
        <w:rPr>
          <w:rFonts w:ascii="Calibri" w:hAnsi="Calibri" w:cs="Calibri"/>
          <w:noProof/>
          <w:szCs w:val="24"/>
          <w:lang w:val="en-US"/>
        </w:rPr>
        <w:t>26.</w:t>
      </w:r>
      <w:r w:rsidRPr="005A1835">
        <w:rPr>
          <w:rFonts w:ascii="Calibri" w:hAnsi="Calibri" w:cs="Calibri"/>
          <w:noProof/>
          <w:szCs w:val="24"/>
          <w:lang w:val="en-US"/>
        </w:rPr>
        <w:tab/>
        <w:t xml:space="preserve">Mendez-Lopez A, Hickson F, Jansen K, et al. What is the empirical basis for converting banded ordinal data on numbers of sex partners among MSM into a continuous scale level variable? A secondary analysis of 13 surveys across 17 countries. </w:t>
      </w:r>
      <w:r w:rsidRPr="005A1835">
        <w:rPr>
          <w:rFonts w:ascii="Calibri" w:hAnsi="Calibri" w:cs="Calibri"/>
          <w:i/>
          <w:iCs/>
          <w:noProof/>
          <w:szCs w:val="24"/>
          <w:lang w:val="en-US"/>
        </w:rPr>
        <w:t>BMC Med Res Methodol</w:t>
      </w:r>
      <w:r w:rsidRPr="005A1835">
        <w:rPr>
          <w:rFonts w:ascii="Calibri" w:hAnsi="Calibri" w:cs="Calibri"/>
          <w:noProof/>
          <w:szCs w:val="24"/>
          <w:lang w:val="en-US"/>
        </w:rPr>
        <w:t xml:space="preserve">. </w:t>
      </w:r>
      <w:r w:rsidRPr="00702287">
        <w:rPr>
          <w:rFonts w:ascii="Calibri" w:hAnsi="Calibri" w:cs="Calibri"/>
          <w:noProof/>
          <w:szCs w:val="24"/>
        </w:rPr>
        <w:t>2022;22(1):1-7. doi:10.1186/s12874-021-01483-8</w:t>
      </w:r>
    </w:p>
    <w:p w14:paraId="2371CBCF" w14:textId="59DBDB96" w:rsidR="006F792B" w:rsidRPr="005342A5" w:rsidRDefault="006F792B" w:rsidP="00BE176C">
      <w:pPr>
        <w:spacing w:after="0" w:line="240" w:lineRule="auto"/>
        <w:rPr>
          <w:rFonts w:eastAsia="Times New Roman"/>
          <w:lang w:val="en-US"/>
        </w:rPr>
      </w:pPr>
      <w:r>
        <w:rPr>
          <w:rFonts w:eastAsia="Times New Roman"/>
          <w:lang w:val="en-US"/>
        </w:rPr>
        <w:fldChar w:fldCharType="end"/>
      </w:r>
      <w:bookmarkEnd w:id="0"/>
    </w:p>
    <w:sectPr w:rsidR="006F792B" w:rsidRPr="005342A5" w:rsidSect="001F126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DF11" w14:textId="77777777" w:rsidR="00B73D78" w:rsidRDefault="00B73D78" w:rsidP="00650B91">
      <w:pPr>
        <w:spacing w:after="0" w:line="240" w:lineRule="auto"/>
      </w:pPr>
      <w:r>
        <w:separator/>
      </w:r>
    </w:p>
  </w:endnote>
  <w:endnote w:type="continuationSeparator" w:id="0">
    <w:p w14:paraId="0B9EB457" w14:textId="77777777" w:rsidR="00B73D78" w:rsidRDefault="00B73D78" w:rsidP="0065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134758"/>
      <w:docPartObj>
        <w:docPartGallery w:val="Page Numbers (Bottom of Page)"/>
        <w:docPartUnique/>
      </w:docPartObj>
    </w:sdtPr>
    <w:sdtContent>
      <w:p w14:paraId="19F58E32" w14:textId="3802B5F4" w:rsidR="00BE176C" w:rsidRDefault="00BE176C" w:rsidP="00EF25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33AD">
          <w:rPr>
            <w:rStyle w:val="PageNumber"/>
            <w:noProof/>
          </w:rPr>
          <w:t>7</w:t>
        </w:r>
        <w:r>
          <w:rPr>
            <w:rStyle w:val="PageNumber"/>
          </w:rPr>
          <w:fldChar w:fldCharType="end"/>
        </w:r>
      </w:p>
    </w:sdtContent>
  </w:sdt>
  <w:p w14:paraId="7C5CDFD7" w14:textId="77777777" w:rsidR="00BE176C" w:rsidRDefault="00BE176C" w:rsidP="00C16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132417"/>
      <w:docPartObj>
        <w:docPartGallery w:val="Page Numbers (Bottom of Page)"/>
        <w:docPartUnique/>
      </w:docPartObj>
    </w:sdtPr>
    <w:sdtContent>
      <w:p w14:paraId="4444FB66" w14:textId="77777777" w:rsidR="00BE176C" w:rsidRDefault="00BE176C" w:rsidP="00EF25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6D532B" w14:textId="77777777" w:rsidR="00BE176C" w:rsidRDefault="00BE176C" w:rsidP="00535F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C0C4" w14:textId="77777777" w:rsidR="00B73D78" w:rsidRDefault="00B73D78" w:rsidP="00650B91">
      <w:pPr>
        <w:spacing w:after="0" w:line="240" w:lineRule="auto"/>
      </w:pPr>
      <w:r>
        <w:separator/>
      </w:r>
    </w:p>
  </w:footnote>
  <w:footnote w:type="continuationSeparator" w:id="0">
    <w:p w14:paraId="20DA64F8" w14:textId="77777777" w:rsidR="00B73D78" w:rsidRDefault="00B73D78" w:rsidP="00650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C68"/>
    <w:multiLevelType w:val="hybridMultilevel"/>
    <w:tmpl w:val="2EDC3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761E2"/>
    <w:multiLevelType w:val="multilevel"/>
    <w:tmpl w:val="CEF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0EC2"/>
    <w:multiLevelType w:val="hybridMultilevel"/>
    <w:tmpl w:val="A0A0CBEE"/>
    <w:lvl w:ilvl="0" w:tplc="DB18D6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6D3C02"/>
    <w:multiLevelType w:val="hybridMultilevel"/>
    <w:tmpl w:val="A320B058"/>
    <w:lvl w:ilvl="0" w:tplc="A55C6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B621EB"/>
    <w:multiLevelType w:val="multilevel"/>
    <w:tmpl w:val="234206C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D32B6"/>
    <w:multiLevelType w:val="hybridMultilevel"/>
    <w:tmpl w:val="7586FCAE"/>
    <w:lvl w:ilvl="0" w:tplc="A55C6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6C4C5C"/>
    <w:multiLevelType w:val="hybridMultilevel"/>
    <w:tmpl w:val="6F92A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743385"/>
    <w:multiLevelType w:val="hybridMultilevel"/>
    <w:tmpl w:val="54FE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77A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630512"/>
    <w:multiLevelType w:val="multilevel"/>
    <w:tmpl w:val="234206C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805E5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4F2B15"/>
    <w:multiLevelType w:val="hybridMultilevel"/>
    <w:tmpl w:val="E9B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149B7"/>
    <w:multiLevelType w:val="multilevel"/>
    <w:tmpl w:val="14B6D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05CBB"/>
    <w:multiLevelType w:val="multilevel"/>
    <w:tmpl w:val="234206C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343201"/>
    <w:multiLevelType w:val="hybridMultilevel"/>
    <w:tmpl w:val="0B40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B62FF"/>
    <w:multiLevelType w:val="hybridMultilevel"/>
    <w:tmpl w:val="218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C37EE"/>
    <w:multiLevelType w:val="multilevel"/>
    <w:tmpl w:val="C6C893D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6C2D90"/>
    <w:multiLevelType w:val="multilevel"/>
    <w:tmpl w:val="7382AC42"/>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8" w15:restartNumberingAfterBreak="0">
    <w:nsid w:val="407915ED"/>
    <w:multiLevelType w:val="hybridMultilevel"/>
    <w:tmpl w:val="D85E07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584D59"/>
    <w:multiLevelType w:val="multilevel"/>
    <w:tmpl w:val="14B6D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437B40"/>
    <w:multiLevelType w:val="hybridMultilevel"/>
    <w:tmpl w:val="727C60B4"/>
    <w:lvl w:ilvl="0" w:tplc="76EA4F80">
      <w:start w:val="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467BB9"/>
    <w:multiLevelType w:val="hybridMultilevel"/>
    <w:tmpl w:val="8E18DB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50E5E85"/>
    <w:multiLevelType w:val="multilevel"/>
    <w:tmpl w:val="D328301E"/>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3" w15:restartNumberingAfterBreak="0">
    <w:nsid w:val="4C0101E5"/>
    <w:multiLevelType w:val="multilevel"/>
    <w:tmpl w:val="A7BEB55C"/>
    <w:lvl w:ilvl="0">
      <w:numFmt w:val="decimal"/>
      <w:lvlText w:val="%1"/>
      <w:lvlJc w:val="left"/>
      <w:pPr>
        <w:ind w:left="384" w:hanging="384"/>
      </w:pPr>
      <w:rPr>
        <w:rFonts w:hint="default"/>
      </w:rPr>
    </w:lvl>
    <w:lvl w:ilvl="1">
      <w:start w:val="5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3558D3"/>
    <w:multiLevelType w:val="multilevel"/>
    <w:tmpl w:val="234206C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D53DB5"/>
    <w:multiLevelType w:val="multilevel"/>
    <w:tmpl w:val="379E1468"/>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6" w15:restartNumberingAfterBreak="0">
    <w:nsid w:val="55210D45"/>
    <w:multiLevelType w:val="hybridMultilevel"/>
    <w:tmpl w:val="0E0C25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9B47CC"/>
    <w:multiLevelType w:val="hybridMultilevel"/>
    <w:tmpl w:val="A484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60579"/>
    <w:multiLevelType w:val="hybridMultilevel"/>
    <w:tmpl w:val="2B387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C2525"/>
    <w:multiLevelType w:val="hybridMultilevel"/>
    <w:tmpl w:val="785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E64AD"/>
    <w:multiLevelType w:val="hybridMultilevel"/>
    <w:tmpl w:val="8E18DB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93567F9"/>
    <w:multiLevelType w:val="hybridMultilevel"/>
    <w:tmpl w:val="0014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965FF"/>
    <w:multiLevelType w:val="hybridMultilevel"/>
    <w:tmpl w:val="068807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BAA1B70"/>
    <w:multiLevelType w:val="hybridMultilevel"/>
    <w:tmpl w:val="C0E8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B344B"/>
    <w:multiLevelType w:val="hybridMultilevel"/>
    <w:tmpl w:val="AF2C9D68"/>
    <w:lvl w:ilvl="0" w:tplc="8C46ECF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C80411"/>
    <w:multiLevelType w:val="hybridMultilevel"/>
    <w:tmpl w:val="62C2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622B9"/>
    <w:multiLevelType w:val="hybridMultilevel"/>
    <w:tmpl w:val="0C50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67B36"/>
    <w:multiLevelType w:val="multilevel"/>
    <w:tmpl w:val="337E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551CD"/>
    <w:multiLevelType w:val="hybridMultilevel"/>
    <w:tmpl w:val="9834820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F013007"/>
    <w:multiLevelType w:val="hybridMultilevel"/>
    <w:tmpl w:val="5D7CB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18" w:hanging="360"/>
      </w:pPr>
      <w:rPr>
        <w:rFonts w:ascii="Courier New" w:hAnsi="Courier New" w:cs="Courier New" w:hint="default"/>
      </w:rPr>
    </w:lvl>
    <w:lvl w:ilvl="2" w:tplc="04090005">
      <w:start w:val="1"/>
      <w:numFmt w:val="bullet"/>
      <w:lvlText w:val=""/>
      <w:lvlJc w:val="left"/>
      <w:pPr>
        <w:ind w:left="1838" w:hanging="360"/>
      </w:pPr>
      <w:rPr>
        <w:rFonts w:ascii="Wingdings" w:hAnsi="Wingdings" w:hint="default"/>
      </w:rPr>
    </w:lvl>
    <w:lvl w:ilvl="3" w:tplc="04090001">
      <w:start w:val="1"/>
      <w:numFmt w:val="bullet"/>
      <w:lvlText w:val=""/>
      <w:lvlJc w:val="left"/>
      <w:pPr>
        <w:ind w:left="2558" w:hanging="360"/>
      </w:pPr>
      <w:rPr>
        <w:rFonts w:ascii="Symbol" w:hAnsi="Symbol" w:hint="default"/>
      </w:rPr>
    </w:lvl>
    <w:lvl w:ilvl="4" w:tplc="04090003">
      <w:start w:val="1"/>
      <w:numFmt w:val="bullet"/>
      <w:lvlText w:val="o"/>
      <w:lvlJc w:val="left"/>
      <w:pPr>
        <w:ind w:left="3278" w:hanging="360"/>
      </w:pPr>
      <w:rPr>
        <w:rFonts w:ascii="Courier New" w:hAnsi="Courier New" w:cs="Courier New" w:hint="default"/>
      </w:rPr>
    </w:lvl>
    <w:lvl w:ilvl="5" w:tplc="04090005">
      <w:start w:val="1"/>
      <w:numFmt w:val="bullet"/>
      <w:lvlText w:val=""/>
      <w:lvlJc w:val="left"/>
      <w:pPr>
        <w:ind w:left="3998" w:hanging="360"/>
      </w:pPr>
      <w:rPr>
        <w:rFonts w:ascii="Wingdings" w:hAnsi="Wingdings" w:hint="default"/>
      </w:rPr>
    </w:lvl>
    <w:lvl w:ilvl="6" w:tplc="04090001">
      <w:start w:val="1"/>
      <w:numFmt w:val="bullet"/>
      <w:lvlText w:val=""/>
      <w:lvlJc w:val="left"/>
      <w:pPr>
        <w:ind w:left="4718" w:hanging="360"/>
      </w:pPr>
      <w:rPr>
        <w:rFonts w:ascii="Symbol" w:hAnsi="Symbol" w:hint="default"/>
      </w:rPr>
    </w:lvl>
    <w:lvl w:ilvl="7" w:tplc="04090003">
      <w:start w:val="1"/>
      <w:numFmt w:val="bullet"/>
      <w:lvlText w:val="o"/>
      <w:lvlJc w:val="left"/>
      <w:pPr>
        <w:ind w:left="5438" w:hanging="360"/>
      </w:pPr>
      <w:rPr>
        <w:rFonts w:ascii="Courier New" w:hAnsi="Courier New" w:cs="Courier New" w:hint="default"/>
      </w:rPr>
    </w:lvl>
    <w:lvl w:ilvl="8" w:tplc="04090005">
      <w:start w:val="1"/>
      <w:numFmt w:val="bullet"/>
      <w:lvlText w:val=""/>
      <w:lvlJc w:val="left"/>
      <w:pPr>
        <w:ind w:left="6158" w:hanging="360"/>
      </w:pPr>
      <w:rPr>
        <w:rFonts w:ascii="Wingdings" w:hAnsi="Wingdings" w:hint="default"/>
      </w:rPr>
    </w:lvl>
  </w:abstractNum>
  <w:num w:numId="1" w16cid:durableId="1594587140">
    <w:abstractNumId w:val="32"/>
  </w:num>
  <w:num w:numId="2" w16cid:durableId="247545245">
    <w:abstractNumId w:val="29"/>
  </w:num>
  <w:num w:numId="3" w16cid:durableId="1399784113">
    <w:abstractNumId w:val="2"/>
  </w:num>
  <w:num w:numId="4" w16cid:durableId="776605920">
    <w:abstractNumId w:val="26"/>
  </w:num>
  <w:num w:numId="5" w16cid:durableId="2110616641">
    <w:abstractNumId w:val="6"/>
  </w:num>
  <w:num w:numId="6" w16cid:durableId="2010986170">
    <w:abstractNumId w:val="5"/>
  </w:num>
  <w:num w:numId="7" w16cid:durableId="1898515666">
    <w:abstractNumId w:val="3"/>
  </w:num>
  <w:num w:numId="8" w16cid:durableId="2100829453">
    <w:abstractNumId w:val="18"/>
  </w:num>
  <w:num w:numId="9" w16cid:durableId="1962416402">
    <w:abstractNumId w:val="38"/>
  </w:num>
  <w:num w:numId="10" w16cid:durableId="393432571">
    <w:abstractNumId w:val="31"/>
  </w:num>
  <w:num w:numId="11" w16cid:durableId="991563863">
    <w:abstractNumId w:val="21"/>
  </w:num>
  <w:num w:numId="12" w16cid:durableId="811214148">
    <w:abstractNumId w:val="30"/>
  </w:num>
  <w:num w:numId="13" w16cid:durableId="1279725656">
    <w:abstractNumId w:val="15"/>
  </w:num>
  <w:num w:numId="14" w16cid:durableId="705251981">
    <w:abstractNumId w:val="39"/>
  </w:num>
  <w:num w:numId="15" w16cid:durableId="19916402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2986093">
    <w:abstractNumId w:val="12"/>
  </w:num>
  <w:num w:numId="17" w16cid:durableId="710036287">
    <w:abstractNumId w:val="14"/>
  </w:num>
  <w:num w:numId="18" w16cid:durableId="1299413603">
    <w:abstractNumId w:val="36"/>
  </w:num>
  <w:num w:numId="19" w16cid:durableId="1802072982">
    <w:abstractNumId w:val="19"/>
  </w:num>
  <w:num w:numId="20" w16cid:durableId="2069330087">
    <w:abstractNumId w:val="7"/>
  </w:num>
  <w:num w:numId="21" w16cid:durableId="1318655857">
    <w:abstractNumId w:val="9"/>
  </w:num>
  <w:num w:numId="22" w16cid:durableId="2091537618">
    <w:abstractNumId w:val="16"/>
  </w:num>
  <w:num w:numId="23" w16cid:durableId="374814449">
    <w:abstractNumId w:val="25"/>
  </w:num>
  <w:num w:numId="24" w16cid:durableId="1990284906">
    <w:abstractNumId w:val="22"/>
  </w:num>
  <w:num w:numId="25" w16cid:durableId="1124032851">
    <w:abstractNumId w:val="17"/>
  </w:num>
  <w:num w:numId="26" w16cid:durableId="1745490138">
    <w:abstractNumId w:val="8"/>
  </w:num>
  <w:num w:numId="27" w16cid:durableId="706294684">
    <w:abstractNumId w:val="10"/>
  </w:num>
  <w:num w:numId="28" w16cid:durableId="688406854">
    <w:abstractNumId w:val="35"/>
  </w:num>
  <w:num w:numId="29" w16cid:durableId="488136267">
    <w:abstractNumId w:val="27"/>
  </w:num>
  <w:num w:numId="30" w16cid:durableId="1405251909">
    <w:abstractNumId w:val="33"/>
  </w:num>
  <w:num w:numId="31" w16cid:durableId="56637826">
    <w:abstractNumId w:val="11"/>
  </w:num>
  <w:num w:numId="32" w16cid:durableId="2109348724">
    <w:abstractNumId w:val="1"/>
  </w:num>
  <w:num w:numId="33" w16cid:durableId="2084328407">
    <w:abstractNumId w:val="37"/>
  </w:num>
  <w:num w:numId="34" w16cid:durableId="1278096632">
    <w:abstractNumId w:val="20"/>
  </w:num>
  <w:num w:numId="35" w16cid:durableId="881788998">
    <w:abstractNumId w:val="24"/>
  </w:num>
  <w:num w:numId="36" w16cid:durableId="930311300">
    <w:abstractNumId w:val="13"/>
  </w:num>
  <w:num w:numId="37" w16cid:durableId="331954469">
    <w:abstractNumId w:val="0"/>
  </w:num>
  <w:num w:numId="38" w16cid:durableId="2135365682">
    <w:abstractNumId w:val="4"/>
  </w:num>
  <w:num w:numId="39" w16cid:durableId="1019089535">
    <w:abstractNumId w:val="34"/>
  </w:num>
  <w:num w:numId="40" w16cid:durableId="3537754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0C"/>
    <w:rsid w:val="00001534"/>
    <w:rsid w:val="000022A3"/>
    <w:rsid w:val="00002C18"/>
    <w:rsid w:val="00004190"/>
    <w:rsid w:val="00004B66"/>
    <w:rsid w:val="00004E26"/>
    <w:rsid w:val="000056F5"/>
    <w:rsid w:val="0000593D"/>
    <w:rsid w:val="000067F0"/>
    <w:rsid w:val="00012633"/>
    <w:rsid w:val="00014C27"/>
    <w:rsid w:val="000228BE"/>
    <w:rsid w:val="00023E8D"/>
    <w:rsid w:val="00025918"/>
    <w:rsid w:val="00027BFE"/>
    <w:rsid w:val="0003156E"/>
    <w:rsid w:val="00033484"/>
    <w:rsid w:val="00033D8A"/>
    <w:rsid w:val="00033F10"/>
    <w:rsid w:val="00035D8D"/>
    <w:rsid w:val="00036319"/>
    <w:rsid w:val="00040D18"/>
    <w:rsid w:val="00041AAC"/>
    <w:rsid w:val="00041D27"/>
    <w:rsid w:val="000421A6"/>
    <w:rsid w:val="00043084"/>
    <w:rsid w:val="00043190"/>
    <w:rsid w:val="00043AE4"/>
    <w:rsid w:val="00044682"/>
    <w:rsid w:val="00050C25"/>
    <w:rsid w:val="0005231D"/>
    <w:rsid w:val="00054335"/>
    <w:rsid w:val="00055B7F"/>
    <w:rsid w:val="0005782E"/>
    <w:rsid w:val="00057BB8"/>
    <w:rsid w:val="00063E24"/>
    <w:rsid w:val="00065616"/>
    <w:rsid w:val="00073D82"/>
    <w:rsid w:val="00081B2A"/>
    <w:rsid w:val="000822F4"/>
    <w:rsid w:val="00084267"/>
    <w:rsid w:val="00087B53"/>
    <w:rsid w:val="00092771"/>
    <w:rsid w:val="00096A85"/>
    <w:rsid w:val="000A03E3"/>
    <w:rsid w:val="000A04F8"/>
    <w:rsid w:val="000A13C2"/>
    <w:rsid w:val="000A6749"/>
    <w:rsid w:val="000A69F7"/>
    <w:rsid w:val="000B016B"/>
    <w:rsid w:val="000B0273"/>
    <w:rsid w:val="000B094A"/>
    <w:rsid w:val="000B3AE7"/>
    <w:rsid w:val="000B4B17"/>
    <w:rsid w:val="000B592B"/>
    <w:rsid w:val="000B7440"/>
    <w:rsid w:val="000C2625"/>
    <w:rsid w:val="000C27C3"/>
    <w:rsid w:val="000C2E9C"/>
    <w:rsid w:val="000C5793"/>
    <w:rsid w:val="000C630C"/>
    <w:rsid w:val="000C67E9"/>
    <w:rsid w:val="000C6DB4"/>
    <w:rsid w:val="000D0032"/>
    <w:rsid w:val="000D26AB"/>
    <w:rsid w:val="000D2FCC"/>
    <w:rsid w:val="000D308F"/>
    <w:rsid w:val="000D5D18"/>
    <w:rsid w:val="000D738E"/>
    <w:rsid w:val="000D750E"/>
    <w:rsid w:val="000D7D00"/>
    <w:rsid w:val="000E1575"/>
    <w:rsid w:val="000E2834"/>
    <w:rsid w:val="000E2A3F"/>
    <w:rsid w:val="000E3440"/>
    <w:rsid w:val="000E35B5"/>
    <w:rsid w:val="000E593B"/>
    <w:rsid w:val="000F176A"/>
    <w:rsid w:val="000F1DB5"/>
    <w:rsid w:val="000F2D5F"/>
    <w:rsid w:val="000F39C0"/>
    <w:rsid w:val="000F4B17"/>
    <w:rsid w:val="000F5E01"/>
    <w:rsid w:val="00100D80"/>
    <w:rsid w:val="00101626"/>
    <w:rsid w:val="00102F79"/>
    <w:rsid w:val="001048C2"/>
    <w:rsid w:val="00110750"/>
    <w:rsid w:val="001148DE"/>
    <w:rsid w:val="00115661"/>
    <w:rsid w:val="001204C9"/>
    <w:rsid w:val="0012382F"/>
    <w:rsid w:val="00124587"/>
    <w:rsid w:val="00125997"/>
    <w:rsid w:val="00126061"/>
    <w:rsid w:val="00131245"/>
    <w:rsid w:val="00133F89"/>
    <w:rsid w:val="001341EB"/>
    <w:rsid w:val="00134A4C"/>
    <w:rsid w:val="0013672F"/>
    <w:rsid w:val="0014027A"/>
    <w:rsid w:val="001418A7"/>
    <w:rsid w:val="00141CAC"/>
    <w:rsid w:val="0015088E"/>
    <w:rsid w:val="0015523A"/>
    <w:rsid w:val="00155DEB"/>
    <w:rsid w:val="00156179"/>
    <w:rsid w:val="00160830"/>
    <w:rsid w:val="00162616"/>
    <w:rsid w:val="00164C24"/>
    <w:rsid w:val="001658D8"/>
    <w:rsid w:val="001676A5"/>
    <w:rsid w:val="001679CD"/>
    <w:rsid w:val="00170094"/>
    <w:rsid w:val="00171927"/>
    <w:rsid w:val="001722F2"/>
    <w:rsid w:val="00175F42"/>
    <w:rsid w:val="00177DF4"/>
    <w:rsid w:val="00180732"/>
    <w:rsid w:val="00181491"/>
    <w:rsid w:val="00184353"/>
    <w:rsid w:val="00184399"/>
    <w:rsid w:val="0018491F"/>
    <w:rsid w:val="0018627B"/>
    <w:rsid w:val="0019055C"/>
    <w:rsid w:val="00192981"/>
    <w:rsid w:val="00193207"/>
    <w:rsid w:val="00193ABA"/>
    <w:rsid w:val="00193C34"/>
    <w:rsid w:val="00197682"/>
    <w:rsid w:val="001A032E"/>
    <w:rsid w:val="001A1A4C"/>
    <w:rsid w:val="001A1EBA"/>
    <w:rsid w:val="001A23B2"/>
    <w:rsid w:val="001A3C04"/>
    <w:rsid w:val="001B130C"/>
    <w:rsid w:val="001B2CB1"/>
    <w:rsid w:val="001B3078"/>
    <w:rsid w:val="001B37C8"/>
    <w:rsid w:val="001B401A"/>
    <w:rsid w:val="001B4735"/>
    <w:rsid w:val="001B696F"/>
    <w:rsid w:val="001C3CA8"/>
    <w:rsid w:val="001C5A38"/>
    <w:rsid w:val="001C70A5"/>
    <w:rsid w:val="001D13A3"/>
    <w:rsid w:val="001D1F2C"/>
    <w:rsid w:val="001D25D6"/>
    <w:rsid w:val="001D2A64"/>
    <w:rsid w:val="001D382E"/>
    <w:rsid w:val="001D5D61"/>
    <w:rsid w:val="001D6EE3"/>
    <w:rsid w:val="001D765F"/>
    <w:rsid w:val="001E12A3"/>
    <w:rsid w:val="001E2C08"/>
    <w:rsid w:val="001E3010"/>
    <w:rsid w:val="001E3B84"/>
    <w:rsid w:val="001F1261"/>
    <w:rsid w:val="001F24D9"/>
    <w:rsid w:val="001F5E4F"/>
    <w:rsid w:val="001F7BD6"/>
    <w:rsid w:val="00200323"/>
    <w:rsid w:val="00211555"/>
    <w:rsid w:val="00214B72"/>
    <w:rsid w:val="002152D8"/>
    <w:rsid w:val="00216A07"/>
    <w:rsid w:val="002174E2"/>
    <w:rsid w:val="002213F1"/>
    <w:rsid w:val="00221E1A"/>
    <w:rsid w:val="00224496"/>
    <w:rsid w:val="00224B42"/>
    <w:rsid w:val="00226F8D"/>
    <w:rsid w:val="00227F80"/>
    <w:rsid w:val="00230B3E"/>
    <w:rsid w:val="002313B7"/>
    <w:rsid w:val="00231B5B"/>
    <w:rsid w:val="002336EE"/>
    <w:rsid w:val="0023445A"/>
    <w:rsid w:val="00237BB1"/>
    <w:rsid w:val="00241375"/>
    <w:rsid w:val="0024413F"/>
    <w:rsid w:val="002443D9"/>
    <w:rsid w:val="002454D6"/>
    <w:rsid w:val="00245AE8"/>
    <w:rsid w:val="00247D15"/>
    <w:rsid w:val="00261272"/>
    <w:rsid w:val="002632F9"/>
    <w:rsid w:val="00273013"/>
    <w:rsid w:val="002757BB"/>
    <w:rsid w:val="00275B45"/>
    <w:rsid w:val="002760EC"/>
    <w:rsid w:val="0028439B"/>
    <w:rsid w:val="00290C73"/>
    <w:rsid w:val="00293E14"/>
    <w:rsid w:val="00294E5B"/>
    <w:rsid w:val="00296A59"/>
    <w:rsid w:val="002A0FB1"/>
    <w:rsid w:val="002A2B11"/>
    <w:rsid w:val="002A703E"/>
    <w:rsid w:val="002B0BB4"/>
    <w:rsid w:val="002B27E8"/>
    <w:rsid w:val="002B41FB"/>
    <w:rsid w:val="002B5A3F"/>
    <w:rsid w:val="002B6085"/>
    <w:rsid w:val="002B65A3"/>
    <w:rsid w:val="002B71E9"/>
    <w:rsid w:val="002C04FF"/>
    <w:rsid w:val="002C11A0"/>
    <w:rsid w:val="002C29A8"/>
    <w:rsid w:val="002C4ED2"/>
    <w:rsid w:val="002C70E1"/>
    <w:rsid w:val="002D289A"/>
    <w:rsid w:val="002D2FDE"/>
    <w:rsid w:val="002D4C7F"/>
    <w:rsid w:val="002D6A05"/>
    <w:rsid w:val="002D7667"/>
    <w:rsid w:val="002E0541"/>
    <w:rsid w:val="002E099A"/>
    <w:rsid w:val="002E33B2"/>
    <w:rsid w:val="002E439C"/>
    <w:rsid w:val="002E6251"/>
    <w:rsid w:val="002E6572"/>
    <w:rsid w:val="002F3F22"/>
    <w:rsid w:val="002F6C06"/>
    <w:rsid w:val="00300E7D"/>
    <w:rsid w:val="00301878"/>
    <w:rsid w:val="003043BD"/>
    <w:rsid w:val="00305001"/>
    <w:rsid w:val="003053C5"/>
    <w:rsid w:val="00306648"/>
    <w:rsid w:val="00312460"/>
    <w:rsid w:val="0031398D"/>
    <w:rsid w:val="003157B7"/>
    <w:rsid w:val="00317E70"/>
    <w:rsid w:val="00322150"/>
    <w:rsid w:val="00322B47"/>
    <w:rsid w:val="00322C9B"/>
    <w:rsid w:val="00325DA7"/>
    <w:rsid w:val="003300F2"/>
    <w:rsid w:val="00331A5E"/>
    <w:rsid w:val="00331D70"/>
    <w:rsid w:val="00332B6F"/>
    <w:rsid w:val="00336A26"/>
    <w:rsid w:val="0033727B"/>
    <w:rsid w:val="0034307B"/>
    <w:rsid w:val="00344948"/>
    <w:rsid w:val="00347AD3"/>
    <w:rsid w:val="00350F66"/>
    <w:rsid w:val="00353BAB"/>
    <w:rsid w:val="00360C8C"/>
    <w:rsid w:val="00363125"/>
    <w:rsid w:val="00363AFD"/>
    <w:rsid w:val="0036490A"/>
    <w:rsid w:val="00364B53"/>
    <w:rsid w:val="003657CC"/>
    <w:rsid w:val="00365B39"/>
    <w:rsid w:val="00366120"/>
    <w:rsid w:val="00367768"/>
    <w:rsid w:val="00367A70"/>
    <w:rsid w:val="00367BC3"/>
    <w:rsid w:val="003703C6"/>
    <w:rsid w:val="00371DF1"/>
    <w:rsid w:val="003741FF"/>
    <w:rsid w:val="00374E21"/>
    <w:rsid w:val="00376865"/>
    <w:rsid w:val="00380A2B"/>
    <w:rsid w:val="0038227A"/>
    <w:rsid w:val="00382F2C"/>
    <w:rsid w:val="00383F84"/>
    <w:rsid w:val="0038477E"/>
    <w:rsid w:val="00384DF8"/>
    <w:rsid w:val="00386632"/>
    <w:rsid w:val="00390850"/>
    <w:rsid w:val="00390E1D"/>
    <w:rsid w:val="003925F8"/>
    <w:rsid w:val="00392A3E"/>
    <w:rsid w:val="00393EBE"/>
    <w:rsid w:val="00395E2F"/>
    <w:rsid w:val="00396FB4"/>
    <w:rsid w:val="00397CFD"/>
    <w:rsid w:val="003A0DA3"/>
    <w:rsid w:val="003A2657"/>
    <w:rsid w:val="003A27F5"/>
    <w:rsid w:val="003A2C63"/>
    <w:rsid w:val="003A361B"/>
    <w:rsid w:val="003A38FA"/>
    <w:rsid w:val="003A65DC"/>
    <w:rsid w:val="003B04D8"/>
    <w:rsid w:val="003B4B5F"/>
    <w:rsid w:val="003C0121"/>
    <w:rsid w:val="003C228A"/>
    <w:rsid w:val="003C402F"/>
    <w:rsid w:val="003C4F9C"/>
    <w:rsid w:val="003C7BB2"/>
    <w:rsid w:val="003D00DF"/>
    <w:rsid w:val="003D0263"/>
    <w:rsid w:val="003D2F66"/>
    <w:rsid w:val="003D34BF"/>
    <w:rsid w:val="003D4B5A"/>
    <w:rsid w:val="003D5326"/>
    <w:rsid w:val="003D536C"/>
    <w:rsid w:val="003D6C67"/>
    <w:rsid w:val="003E22C7"/>
    <w:rsid w:val="003E4975"/>
    <w:rsid w:val="003E4ABD"/>
    <w:rsid w:val="003E5718"/>
    <w:rsid w:val="003E763E"/>
    <w:rsid w:val="003E7EA7"/>
    <w:rsid w:val="003F1F24"/>
    <w:rsid w:val="003F201C"/>
    <w:rsid w:val="003F238E"/>
    <w:rsid w:val="003F3621"/>
    <w:rsid w:val="003F5218"/>
    <w:rsid w:val="003F6399"/>
    <w:rsid w:val="003F6982"/>
    <w:rsid w:val="004008A7"/>
    <w:rsid w:val="00404408"/>
    <w:rsid w:val="00406A3B"/>
    <w:rsid w:val="004071BF"/>
    <w:rsid w:val="004105B8"/>
    <w:rsid w:val="00412960"/>
    <w:rsid w:val="00413985"/>
    <w:rsid w:val="004154CE"/>
    <w:rsid w:val="00416C4F"/>
    <w:rsid w:val="00416D18"/>
    <w:rsid w:val="00417613"/>
    <w:rsid w:val="00420487"/>
    <w:rsid w:val="00421C6E"/>
    <w:rsid w:val="00422AA7"/>
    <w:rsid w:val="00423D9A"/>
    <w:rsid w:val="00424F1A"/>
    <w:rsid w:val="00425C68"/>
    <w:rsid w:val="0042682F"/>
    <w:rsid w:val="00433E5C"/>
    <w:rsid w:val="004347F4"/>
    <w:rsid w:val="00434F27"/>
    <w:rsid w:val="00440434"/>
    <w:rsid w:val="00441852"/>
    <w:rsid w:val="00441F2A"/>
    <w:rsid w:val="004431C4"/>
    <w:rsid w:val="00443A9C"/>
    <w:rsid w:val="00444C52"/>
    <w:rsid w:val="004521D0"/>
    <w:rsid w:val="0045226C"/>
    <w:rsid w:val="004528FC"/>
    <w:rsid w:val="00454DAE"/>
    <w:rsid w:val="00456963"/>
    <w:rsid w:val="00457F51"/>
    <w:rsid w:val="004613AF"/>
    <w:rsid w:val="00461E08"/>
    <w:rsid w:val="00462BC3"/>
    <w:rsid w:val="00463966"/>
    <w:rsid w:val="00464336"/>
    <w:rsid w:val="00465CA5"/>
    <w:rsid w:val="00467657"/>
    <w:rsid w:val="00470B44"/>
    <w:rsid w:val="0047374D"/>
    <w:rsid w:val="004739F8"/>
    <w:rsid w:val="004741F8"/>
    <w:rsid w:val="00474754"/>
    <w:rsid w:val="00474825"/>
    <w:rsid w:val="00475F80"/>
    <w:rsid w:val="00477EE7"/>
    <w:rsid w:val="00480E56"/>
    <w:rsid w:val="00480EEB"/>
    <w:rsid w:val="00481999"/>
    <w:rsid w:val="00484419"/>
    <w:rsid w:val="00484786"/>
    <w:rsid w:val="0048506D"/>
    <w:rsid w:val="0048593A"/>
    <w:rsid w:val="00490EA6"/>
    <w:rsid w:val="00493184"/>
    <w:rsid w:val="00494E70"/>
    <w:rsid w:val="0049740C"/>
    <w:rsid w:val="004A0000"/>
    <w:rsid w:val="004A125C"/>
    <w:rsid w:val="004A15D0"/>
    <w:rsid w:val="004A6036"/>
    <w:rsid w:val="004B2357"/>
    <w:rsid w:val="004B5CC1"/>
    <w:rsid w:val="004B6CB7"/>
    <w:rsid w:val="004C02D4"/>
    <w:rsid w:val="004C540A"/>
    <w:rsid w:val="004D02BE"/>
    <w:rsid w:val="004D204F"/>
    <w:rsid w:val="004D22BF"/>
    <w:rsid w:val="004D2913"/>
    <w:rsid w:val="004D4054"/>
    <w:rsid w:val="004D56D2"/>
    <w:rsid w:val="004D6808"/>
    <w:rsid w:val="004D6C60"/>
    <w:rsid w:val="004D7054"/>
    <w:rsid w:val="004E0075"/>
    <w:rsid w:val="004E2156"/>
    <w:rsid w:val="004E4C6F"/>
    <w:rsid w:val="004E4F1E"/>
    <w:rsid w:val="004E5769"/>
    <w:rsid w:val="004F1F3D"/>
    <w:rsid w:val="004F23C3"/>
    <w:rsid w:val="004F2D63"/>
    <w:rsid w:val="004F4F8C"/>
    <w:rsid w:val="004F76C9"/>
    <w:rsid w:val="00502F06"/>
    <w:rsid w:val="005060A7"/>
    <w:rsid w:val="0050756C"/>
    <w:rsid w:val="00512D50"/>
    <w:rsid w:val="00513D5E"/>
    <w:rsid w:val="00513F5C"/>
    <w:rsid w:val="00516CDF"/>
    <w:rsid w:val="00522231"/>
    <w:rsid w:val="005247EC"/>
    <w:rsid w:val="0052667D"/>
    <w:rsid w:val="0052776D"/>
    <w:rsid w:val="0053178B"/>
    <w:rsid w:val="00531BC7"/>
    <w:rsid w:val="005321DC"/>
    <w:rsid w:val="0053264A"/>
    <w:rsid w:val="0053266D"/>
    <w:rsid w:val="005342A5"/>
    <w:rsid w:val="00535139"/>
    <w:rsid w:val="0053549B"/>
    <w:rsid w:val="00535F9A"/>
    <w:rsid w:val="005362F6"/>
    <w:rsid w:val="005372E1"/>
    <w:rsid w:val="00537DEF"/>
    <w:rsid w:val="00541818"/>
    <w:rsid w:val="005439A4"/>
    <w:rsid w:val="00543B7A"/>
    <w:rsid w:val="0054522E"/>
    <w:rsid w:val="00545CFF"/>
    <w:rsid w:val="005510D1"/>
    <w:rsid w:val="0055391D"/>
    <w:rsid w:val="00556AE3"/>
    <w:rsid w:val="00556FC8"/>
    <w:rsid w:val="005577CE"/>
    <w:rsid w:val="00562EEF"/>
    <w:rsid w:val="005635AD"/>
    <w:rsid w:val="00563A5C"/>
    <w:rsid w:val="00567838"/>
    <w:rsid w:val="00575468"/>
    <w:rsid w:val="00575619"/>
    <w:rsid w:val="00575C8F"/>
    <w:rsid w:val="005768B3"/>
    <w:rsid w:val="00576A61"/>
    <w:rsid w:val="0058068F"/>
    <w:rsid w:val="00581D57"/>
    <w:rsid w:val="005843E6"/>
    <w:rsid w:val="00584A1A"/>
    <w:rsid w:val="00586700"/>
    <w:rsid w:val="00586737"/>
    <w:rsid w:val="00593DF7"/>
    <w:rsid w:val="005946A3"/>
    <w:rsid w:val="00594FC7"/>
    <w:rsid w:val="00596E2B"/>
    <w:rsid w:val="005973B4"/>
    <w:rsid w:val="005A1835"/>
    <w:rsid w:val="005A7F1E"/>
    <w:rsid w:val="005B0F84"/>
    <w:rsid w:val="005B1477"/>
    <w:rsid w:val="005B3252"/>
    <w:rsid w:val="005B35AA"/>
    <w:rsid w:val="005B51A1"/>
    <w:rsid w:val="005B64A5"/>
    <w:rsid w:val="005B65CA"/>
    <w:rsid w:val="005B69D1"/>
    <w:rsid w:val="005B6B6D"/>
    <w:rsid w:val="005B7D5A"/>
    <w:rsid w:val="005C5631"/>
    <w:rsid w:val="005C683E"/>
    <w:rsid w:val="005C6C01"/>
    <w:rsid w:val="005D3558"/>
    <w:rsid w:val="005D790F"/>
    <w:rsid w:val="005E04D7"/>
    <w:rsid w:val="005E0C90"/>
    <w:rsid w:val="005E1C8E"/>
    <w:rsid w:val="005E24AF"/>
    <w:rsid w:val="005E2F36"/>
    <w:rsid w:val="005E6580"/>
    <w:rsid w:val="005E7645"/>
    <w:rsid w:val="005F0C32"/>
    <w:rsid w:val="005F0E25"/>
    <w:rsid w:val="005F44B3"/>
    <w:rsid w:val="005F58D6"/>
    <w:rsid w:val="005F5C91"/>
    <w:rsid w:val="005F5DB8"/>
    <w:rsid w:val="005F6850"/>
    <w:rsid w:val="005F6CF8"/>
    <w:rsid w:val="005F750F"/>
    <w:rsid w:val="00600740"/>
    <w:rsid w:val="00602CAF"/>
    <w:rsid w:val="00603A54"/>
    <w:rsid w:val="00603B73"/>
    <w:rsid w:val="006040E6"/>
    <w:rsid w:val="0060491A"/>
    <w:rsid w:val="00604FC4"/>
    <w:rsid w:val="0060567C"/>
    <w:rsid w:val="0060583E"/>
    <w:rsid w:val="00606354"/>
    <w:rsid w:val="00610196"/>
    <w:rsid w:val="0061440D"/>
    <w:rsid w:val="006147FB"/>
    <w:rsid w:val="00620129"/>
    <w:rsid w:val="00620C2A"/>
    <w:rsid w:val="00622331"/>
    <w:rsid w:val="00622AA2"/>
    <w:rsid w:val="00623D65"/>
    <w:rsid w:val="00625EDC"/>
    <w:rsid w:val="006269B1"/>
    <w:rsid w:val="00633843"/>
    <w:rsid w:val="00633B35"/>
    <w:rsid w:val="00640A53"/>
    <w:rsid w:val="006411E3"/>
    <w:rsid w:val="00641E4A"/>
    <w:rsid w:val="0064388B"/>
    <w:rsid w:val="00650B91"/>
    <w:rsid w:val="00653011"/>
    <w:rsid w:val="006552F3"/>
    <w:rsid w:val="00655F92"/>
    <w:rsid w:val="00657005"/>
    <w:rsid w:val="00661A16"/>
    <w:rsid w:val="00663D8D"/>
    <w:rsid w:val="006645C1"/>
    <w:rsid w:val="00665821"/>
    <w:rsid w:val="00666F1F"/>
    <w:rsid w:val="0066717B"/>
    <w:rsid w:val="00667C91"/>
    <w:rsid w:val="00670C47"/>
    <w:rsid w:val="006721FE"/>
    <w:rsid w:val="0067255D"/>
    <w:rsid w:val="006728C3"/>
    <w:rsid w:val="00673006"/>
    <w:rsid w:val="00673D63"/>
    <w:rsid w:val="006745D6"/>
    <w:rsid w:val="00677DD3"/>
    <w:rsid w:val="006801E3"/>
    <w:rsid w:val="00680BD9"/>
    <w:rsid w:val="00681109"/>
    <w:rsid w:val="006816D8"/>
    <w:rsid w:val="006822F6"/>
    <w:rsid w:val="006840BC"/>
    <w:rsid w:val="00684380"/>
    <w:rsid w:val="006855BB"/>
    <w:rsid w:val="00686074"/>
    <w:rsid w:val="00686A55"/>
    <w:rsid w:val="006871FF"/>
    <w:rsid w:val="006878B0"/>
    <w:rsid w:val="00687A24"/>
    <w:rsid w:val="00692D8E"/>
    <w:rsid w:val="0069355C"/>
    <w:rsid w:val="006A1B81"/>
    <w:rsid w:val="006A2B69"/>
    <w:rsid w:val="006A3ED0"/>
    <w:rsid w:val="006A4A41"/>
    <w:rsid w:val="006A53F7"/>
    <w:rsid w:val="006B1904"/>
    <w:rsid w:val="006B3D6B"/>
    <w:rsid w:val="006B4390"/>
    <w:rsid w:val="006B4451"/>
    <w:rsid w:val="006B5249"/>
    <w:rsid w:val="006B5C71"/>
    <w:rsid w:val="006C0EC2"/>
    <w:rsid w:val="006C20FA"/>
    <w:rsid w:val="006C3193"/>
    <w:rsid w:val="006C371A"/>
    <w:rsid w:val="006C423A"/>
    <w:rsid w:val="006C5F59"/>
    <w:rsid w:val="006C65D1"/>
    <w:rsid w:val="006C736B"/>
    <w:rsid w:val="006D0FB7"/>
    <w:rsid w:val="006D28EF"/>
    <w:rsid w:val="006D2ED8"/>
    <w:rsid w:val="006D3694"/>
    <w:rsid w:val="006D3809"/>
    <w:rsid w:val="006D382F"/>
    <w:rsid w:val="006D5943"/>
    <w:rsid w:val="006D5A63"/>
    <w:rsid w:val="006D6579"/>
    <w:rsid w:val="006E0EF9"/>
    <w:rsid w:val="006E1EFF"/>
    <w:rsid w:val="006E38C9"/>
    <w:rsid w:val="006E3DD4"/>
    <w:rsid w:val="006E77B5"/>
    <w:rsid w:val="006F17CD"/>
    <w:rsid w:val="006F2023"/>
    <w:rsid w:val="006F45BF"/>
    <w:rsid w:val="006F5A5E"/>
    <w:rsid w:val="006F5AD3"/>
    <w:rsid w:val="006F7034"/>
    <w:rsid w:val="006F7215"/>
    <w:rsid w:val="006F792B"/>
    <w:rsid w:val="00700DA1"/>
    <w:rsid w:val="00701E50"/>
    <w:rsid w:val="00702287"/>
    <w:rsid w:val="00705195"/>
    <w:rsid w:val="007064F2"/>
    <w:rsid w:val="007065B1"/>
    <w:rsid w:val="00706638"/>
    <w:rsid w:val="0070735A"/>
    <w:rsid w:val="00710530"/>
    <w:rsid w:val="007110F1"/>
    <w:rsid w:val="007141F5"/>
    <w:rsid w:val="00714BE5"/>
    <w:rsid w:val="00715A4B"/>
    <w:rsid w:val="007169EA"/>
    <w:rsid w:val="00722E06"/>
    <w:rsid w:val="00724A25"/>
    <w:rsid w:val="007250FF"/>
    <w:rsid w:val="0072533E"/>
    <w:rsid w:val="00726627"/>
    <w:rsid w:val="007276F2"/>
    <w:rsid w:val="00727D90"/>
    <w:rsid w:val="00731909"/>
    <w:rsid w:val="007322DA"/>
    <w:rsid w:val="00733C5E"/>
    <w:rsid w:val="007341D4"/>
    <w:rsid w:val="00734306"/>
    <w:rsid w:val="00734AD0"/>
    <w:rsid w:val="0074578F"/>
    <w:rsid w:val="0074584E"/>
    <w:rsid w:val="00745BBE"/>
    <w:rsid w:val="0075000C"/>
    <w:rsid w:val="00751DAD"/>
    <w:rsid w:val="00751DF0"/>
    <w:rsid w:val="007552CA"/>
    <w:rsid w:val="007553E3"/>
    <w:rsid w:val="0075581D"/>
    <w:rsid w:val="00756ED6"/>
    <w:rsid w:val="00757F1D"/>
    <w:rsid w:val="007614F2"/>
    <w:rsid w:val="00762347"/>
    <w:rsid w:val="007623E7"/>
    <w:rsid w:val="0076537D"/>
    <w:rsid w:val="00770535"/>
    <w:rsid w:val="00771A4B"/>
    <w:rsid w:val="0077243C"/>
    <w:rsid w:val="0077260A"/>
    <w:rsid w:val="00777BD2"/>
    <w:rsid w:val="007808F6"/>
    <w:rsid w:val="00781D87"/>
    <w:rsid w:val="0078284C"/>
    <w:rsid w:val="007856A1"/>
    <w:rsid w:val="00786296"/>
    <w:rsid w:val="00786877"/>
    <w:rsid w:val="00786A1D"/>
    <w:rsid w:val="00787526"/>
    <w:rsid w:val="00791D24"/>
    <w:rsid w:val="00792823"/>
    <w:rsid w:val="007972DA"/>
    <w:rsid w:val="007A073A"/>
    <w:rsid w:val="007A0F66"/>
    <w:rsid w:val="007A2D13"/>
    <w:rsid w:val="007B1336"/>
    <w:rsid w:val="007B267C"/>
    <w:rsid w:val="007B38B4"/>
    <w:rsid w:val="007B4D5E"/>
    <w:rsid w:val="007B7448"/>
    <w:rsid w:val="007B7935"/>
    <w:rsid w:val="007B7A04"/>
    <w:rsid w:val="007C0B8A"/>
    <w:rsid w:val="007C57E9"/>
    <w:rsid w:val="007D03A5"/>
    <w:rsid w:val="007D35F2"/>
    <w:rsid w:val="007D43AA"/>
    <w:rsid w:val="007D5510"/>
    <w:rsid w:val="007D5ACF"/>
    <w:rsid w:val="007D5BA5"/>
    <w:rsid w:val="007E0743"/>
    <w:rsid w:val="007E0F5D"/>
    <w:rsid w:val="007E22CB"/>
    <w:rsid w:val="007E2789"/>
    <w:rsid w:val="007E3B4D"/>
    <w:rsid w:val="007E3EC4"/>
    <w:rsid w:val="007E4B53"/>
    <w:rsid w:val="007E7867"/>
    <w:rsid w:val="007F41F8"/>
    <w:rsid w:val="008006EB"/>
    <w:rsid w:val="00801EB9"/>
    <w:rsid w:val="0080377A"/>
    <w:rsid w:val="00803BFA"/>
    <w:rsid w:val="008040C6"/>
    <w:rsid w:val="00806289"/>
    <w:rsid w:val="00806B05"/>
    <w:rsid w:val="00813EFD"/>
    <w:rsid w:val="008152E3"/>
    <w:rsid w:val="00815B2D"/>
    <w:rsid w:val="00815F45"/>
    <w:rsid w:val="00815F5B"/>
    <w:rsid w:val="00817736"/>
    <w:rsid w:val="008205AA"/>
    <w:rsid w:val="00820E4F"/>
    <w:rsid w:val="008251C7"/>
    <w:rsid w:val="00825FD4"/>
    <w:rsid w:val="00826455"/>
    <w:rsid w:val="00827768"/>
    <w:rsid w:val="00830071"/>
    <w:rsid w:val="00831405"/>
    <w:rsid w:val="0083340B"/>
    <w:rsid w:val="008351C5"/>
    <w:rsid w:val="00837744"/>
    <w:rsid w:val="00837ADB"/>
    <w:rsid w:val="00842A49"/>
    <w:rsid w:val="00843D28"/>
    <w:rsid w:val="0084629A"/>
    <w:rsid w:val="00847595"/>
    <w:rsid w:val="008479EE"/>
    <w:rsid w:val="008515E7"/>
    <w:rsid w:val="008531E9"/>
    <w:rsid w:val="008545A3"/>
    <w:rsid w:val="00854D11"/>
    <w:rsid w:val="00860109"/>
    <w:rsid w:val="00860AF6"/>
    <w:rsid w:val="00861F83"/>
    <w:rsid w:val="0086256B"/>
    <w:rsid w:val="00863952"/>
    <w:rsid w:val="008666FC"/>
    <w:rsid w:val="00876CB5"/>
    <w:rsid w:val="008773BF"/>
    <w:rsid w:val="00884020"/>
    <w:rsid w:val="00886321"/>
    <w:rsid w:val="0088720A"/>
    <w:rsid w:val="00890F9D"/>
    <w:rsid w:val="00895F61"/>
    <w:rsid w:val="00896D6F"/>
    <w:rsid w:val="00897CC1"/>
    <w:rsid w:val="008A2A82"/>
    <w:rsid w:val="008A7471"/>
    <w:rsid w:val="008B0F58"/>
    <w:rsid w:val="008B1F97"/>
    <w:rsid w:val="008B2C37"/>
    <w:rsid w:val="008B48FA"/>
    <w:rsid w:val="008C26DF"/>
    <w:rsid w:val="008C3852"/>
    <w:rsid w:val="008C54EB"/>
    <w:rsid w:val="008D0105"/>
    <w:rsid w:val="008D1D62"/>
    <w:rsid w:val="008D2AD5"/>
    <w:rsid w:val="008D3250"/>
    <w:rsid w:val="008D328D"/>
    <w:rsid w:val="008D3817"/>
    <w:rsid w:val="008D69F0"/>
    <w:rsid w:val="008D72D2"/>
    <w:rsid w:val="008D73A2"/>
    <w:rsid w:val="008E33AD"/>
    <w:rsid w:val="008E48F2"/>
    <w:rsid w:val="008E6B06"/>
    <w:rsid w:val="008E71CC"/>
    <w:rsid w:val="008E7A86"/>
    <w:rsid w:val="008F1A23"/>
    <w:rsid w:val="008F2740"/>
    <w:rsid w:val="008F4664"/>
    <w:rsid w:val="008F4A7B"/>
    <w:rsid w:val="008F5192"/>
    <w:rsid w:val="008F7A19"/>
    <w:rsid w:val="00903B14"/>
    <w:rsid w:val="00904EEC"/>
    <w:rsid w:val="009059E4"/>
    <w:rsid w:val="00906280"/>
    <w:rsid w:val="009073B8"/>
    <w:rsid w:val="009074DA"/>
    <w:rsid w:val="009126A4"/>
    <w:rsid w:val="00912AB8"/>
    <w:rsid w:val="009153E2"/>
    <w:rsid w:val="00920FFE"/>
    <w:rsid w:val="0092236C"/>
    <w:rsid w:val="00922B16"/>
    <w:rsid w:val="00924B88"/>
    <w:rsid w:val="00932939"/>
    <w:rsid w:val="00933667"/>
    <w:rsid w:val="00933FFF"/>
    <w:rsid w:val="00936AA4"/>
    <w:rsid w:val="00937B25"/>
    <w:rsid w:val="00943537"/>
    <w:rsid w:val="009518D1"/>
    <w:rsid w:val="009523B6"/>
    <w:rsid w:val="0095312F"/>
    <w:rsid w:val="00953D1E"/>
    <w:rsid w:val="00956D6E"/>
    <w:rsid w:val="0095701D"/>
    <w:rsid w:val="00960284"/>
    <w:rsid w:val="0096125D"/>
    <w:rsid w:val="0096136F"/>
    <w:rsid w:val="00962B9A"/>
    <w:rsid w:val="00964FC1"/>
    <w:rsid w:val="00965383"/>
    <w:rsid w:val="00966685"/>
    <w:rsid w:val="009671BF"/>
    <w:rsid w:val="00967ABD"/>
    <w:rsid w:val="00967F91"/>
    <w:rsid w:val="00974C4F"/>
    <w:rsid w:val="00974F32"/>
    <w:rsid w:val="0097576F"/>
    <w:rsid w:val="00975B8A"/>
    <w:rsid w:val="009771A6"/>
    <w:rsid w:val="009801AD"/>
    <w:rsid w:val="00980577"/>
    <w:rsid w:val="00980E13"/>
    <w:rsid w:val="00980F21"/>
    <w:rsid w:val="00983165"/>
    <w:rsid w:val="00986BDB"/>
    <w:rsid w:val="00990762"/>
    <w:rsid w:val="00991B24"/>
    <w:rsid w:val="0099541A"/>
    <w:rsid w:val="00996386"/>
    <w:rsid w:val="00996823"/>
    <w:rsid w:val="009A36E1"/>
    <w:rsid w:val="009A4167"/>
    <w:rsid w:val="009A5056"/>
    <w:rsid w:val="009A56E6"/>
    <w:rsid w:val="009A7DD2"/>
    <w:rsid w:val="009B308F"/>
    <w:rsid w:val="009B4986"/>
    <w:rsid w:val="009B7EF3"/>
    <w:rsid w:val="009C0A73"/>
    <w:rsid w:val="009C32EC"/>
    <w:rsid w:val="009C3BC9"/>
    <w:rsid w:val="009C5A52"/>
    <w:rsid w:val="009C7130"/>
    <w:rsid w:val="009C7EB6"/>
    <w:rsid w:val="009D09EB"/>
    <w:rsid w:val="009D0D5D"/>
    <w:rsid w:val="009E1234"/>
    <w:rsid w:val="009E3A84"/>
    <w:rsid w:val="009E432B"/>
    <w:rsid w:val="009E4B66"/>
    <w:rsid w:val="009F1D2F"/>
    <w:rsid w:val="009F1EFB"/>
    <w:rsid w:val="009F330A"/>
    <w:rsid w:val="009F3795"/>
    <w:rsid w:val="009F3B2F"/>
    <w:rsid w:val="009F4309"/>
    <w:rsid w:val="009F78DD"/>
    <w:rsid w:val="009F795E"/>
    <w:rsid w:val="00A00C86"/>
    <w:rsid w:val="00A02DD1"/>
    <w:rsid w:val="00A04CC4"/>
    <w:rsid w:val="00A10AD1"/>
    <w:rsid w:val="00A118AD"/>
    <w:rsid w:val="00A1207D"/>
    <w:rsid w:val="00A12E83"/>
    <w:rsid w:val="00A15B4E"/>
    <w:rsid w:val="00A15D90"/>
    <w:rsid w:val="00A16109"/>
    <w:rsid w:val="00A1770B"/>
    <w:rsid w:val="00A21087"/>
    <w:rsid w:val="00A21E6C"/>
    <w:rsid w:val="00A229D4"/>
    <w:rsid w:val="00A22B5C"/>
    <w:rsid w:val="00A23A80"/>
    <w:rsid w:val="00A254B0"/>
    <w:rsid w:val="00A2567C"/>
    <w:rsid w:val="00A2746A"/>
    <w:rsid w:val="00A2746F"/>
    <w:rsid w:val="00A32D15"/>
    <w:rsid w:val="00A34F8C"/>
    <w:rsid w:val="00A36236"/>
    <w:rsid w:val="00A36977"/>
    <w:rsid w:val="00A37552"/>
    <w:rsid w:val="00A41A21"/>
    <w:rsid w:val="00A42237"/>
    <w:rsid w:val="00A431E9"/>
    <w:rsid w:val="00A45B38"/>
    <w:rsid w:val="00A4647D"/>
    <w:rsid w:val="00A51A32"/>
    <w:rsid w:val="00A54354"/>
    <w:rsid w:val="00A54F2F"/>
    <w:rsid w:val="00A565D8"/>
    <w:rsid w:val="00A56C9B"/>
    <w:rsid w:val="00A5756E"/>
    <w:rsid w:val="00A61FC1"/>
    <w:rsid w:val="00A672C8"/>
    <w:rsid w:val="00A6735D"/>
    <w:rsid w:val="00A7173B"/>
    <w:rsid w:val="00A720CB"/>
    <w:rsid w:val="00A7353A"/>
    <w:rsid w:val="00A74481"/>
    <w:rsid w:val="00A75013"/>
    <w:rsid w:val="00A82B8F"/>
    <w:rsid w:val="00A85751"/>
    <w:rsid w:val="00A87EE1"/>
    <w:rsid w:val="00A90BF1"/>
    <w:rsid w:val="00A91631"/>
    <w:rsid w:val="00A917C4"/>
    <w:rsid w:val="00A933AF"/>
    <w:rsid w:val="00A95E17"/>
    <w:rsid w:val="00A97920"/>
    <w:rsid w:val="00A97FD1"/>
    <w:rsid w:val="00AA126F"/>
    <w:rsid w:val="00AA270D"/>
    <w:rsid w:val="00AA31FD"/>
    <w:rsid w:val="00AB2266"/>
    <w:rsid w:val="00AB4641"/>
    <w:rsid w:val="00AB50EC"/>
    <w:rsid w:val="00AB52C5"/>
    <w:rsid w:val="00AB6A0C"/>
    <w:rsid w:val="00AC429E"/>
    <w:rsid w:val="00AC7261"/>
    <w:rsid w:val="00AD093A"/>
    <w:rsid w:val="00AD0F2F"/>
    <w:rsid w:val="00AD29F7"/>
    <w:rsid w:val="00AD6067"/>
    <w:rsid w:val="00AD66E4"/>
    <w:rsid w:val="00AD775C"/>
    <w:rsid w:val="00AD7C57"/>
    <w:rsid w:val="00AE0A92"/>
    <w:rsid w:val="00AE3188"/>
    <w:rsid w:val="00AE3E88"/>
    <w:rsid w:val="00AE45F4"/>
    <w:rsid w:val="00AE6BEF"/>
    <w:rsid w:val="00AF02B2"/>
    <w:rsid w:val="00AF1B3C"/>
    <w:rsid w:val="00AF396F"/>
    <w:rsid w:val="00AF3A0D"/>
    <w:rsid w:val="00AF4AAE"/>
    <w:rsid w:val="00AF5FA8"/>
    <w:rsid w:val="00AF73BC"/>
    <w:rsid w:val="00B0043A"/>
    <w:rsid w:val="00B00E50"/>
    <w:rsid w:val="00B00F76"/>
    <w:rsid w:val="00B01888"/>
    <w:rsid w:val="00B02B0B"/>
    <w:rsid w:val="00B0311C"/>
    <w:rsid w:val="00B046C6"/>
    <w:rsid w:val="00B053C2"/>
    <w:rsid w:val="00B05C4C"/>
    <w:rsid w:val="00B06419"/>
    <w:rsid w:val="00B06A71"/>
    <w:rsid w:val="00B06ED0"/>
    <w:rsid w:val="00B07431"/>
    <w:rsid w:val="00B11EAF"/>
    <w:rsid w:val="00B1595F"/>
    <w:rsid w:val="00B1684B"/>
    <w:rsid w:val="00B20F5C"/>
    <w:rsid w:val="00B214A4"/>
    <w:rsid w:val="00B22931"/>
    <w:rsid w:val="00B23324"/>
    <w:rsid w:val="00B2399F"/>
    <w:rsid w:val="00B249CD"/>
    <w:rsid w:val="00B264A7"/>
    <w:rsid w:val="00B27C8E"/>
    <w:rsid w:val="00B342B7"/>
    <w:rsid w:val="00B34B96"/>
    <w:rsid w:val="00B35106"/>
    <w:rsid w:val="00B35110"/>
    <w:rsid w:val="00B36FE1"/>
    <w:rsid w:val="00B440B0"/>
    <w:rsid w:val="00B443DB"/>
    <w:rsid w:val="00B470A3"/>
    <w:rsid w:val="00B50FD7"/>
    <w:rsid w:val="00B51C33"/>
    <w:rsid w:val="00B52DED"/>
    <w:rsid w:val="00B57297"/>
    <w:rsid w:val="00B62F8A"/>
    <w:rsid w:val="00B665AF"/>
    <w:rsid w:val="00B709ED"/>
    <w:rsid w:val="00B70B30"/>
    <w:rsid w:val="00B70C8D"/>
    <w:rsid w:val="00B71324"/>
    <w:rsid w:val="00B718EE"/>
    <w:rsid w:val="00B73D78"/>
    <w:rsid w:val="00B75CE6"/>
    <w:rsid w:val="00B7649E"/>
    <w:rsid w:val="00B81EEB"/>
    <w:rsid w:val="00B858AF"/>
    <w:rsid w:val="00B90EEC"/>
    <w:rsid w:val="00B91160"/>
    <w:rsid w:val="00B930A3"/>
    <w:rsid w:val="00B95E27"/>
    <w:rsid w:val="00B966E5"/>
    <w:rsid w:val="00B97A62"/>
    <w:rsid w:val="00B97CA0"/>
    <w:rsid w:val="00BA0373"/>
    <w:rsid w:val="00BA1AE0"/>
    <w:rsid w:val="00BA3301"/>
    <w:rsid w:val="00BA4617"/>
    <w:rsid w:val="00BA4ABA"/>
    <w:rsid w:val="00BB126C"/>
    <w:rsid w:val="00BB1577"/>
    <w:rsid w:val="00BB233A"/>
    <w:rsid w:val="00BB2812"/>
    <w:rsid w:val="00BB2D86"/>
    <w:rsid w:val="00BB3BBB"/>
    <w:rsid w:val="00BB4CFD"/>
    <w:rsid w:val="00BB6B97"/>
    <w:rsid w:val="00BC0301"/>
    <w:rsid w:val="00BC218B"/>
    <w:rsid w:val="00BD0DF3"/>
    <w:rsid w:val="00BD5545"/>
    <w:rsid w:val="00BD687C"/>
    <w:rsid w:val="00BD6C33"/>
    <w:rsid w:val="00BD754F"/>
    <w:rsid w:val="00BD7A71"/>
    <w:rsid w:val="00BE176C"/>
    <w:rsid w:val="00BE34CE"/>
    <w:rsid w:val="00BE3927"/>
    <w:rsid w:val="00BE40A8"/>
    <w:rsid w:val="00BE40DE"/>
    <w:rsid w:val="00BF05CC"/>
    <w:rsid w:val="00BF0AD9"/>
    <w:rsid w:val="00BF1965"/>
    <w:rsid w:val="00C01E54"/>
    <w:rsid w:val="00C0255F"/>
    <w:rsid w:val="00C04FE5"/>
    <w:rsid w:val="00C06100"/>
    <w:rsid w:val="00C10110"/>
    <w:rsid w:val="00C10F96"/>
    <w:rsid w:val="00C13748"/>
    <w:rsid w:val="00C13D19"/>
    <w:rsid w:val="00C14A9F"/>
    <w:rsid w:val="00C168EA"/>
    <w:rsid w:val="00C17F46"/>
    <w:rsid w:val="00C17F5C"/>
    <w:rsid w:val="00C20830"/>
    <w:rsid w:val="00C24023"/>
    <w:rsid w:val="00C246B0"/>
    <w:rsid w:val="00C2735F"/>
    <w:rsid w:val="00C3203D"/>
    <w:rsid w:val="00C339F0"/>
    <w:rsid w:val="00C35E74"/>
    <w:rsid w:val="00C361DC"/>
    <w:rsid w:val="00C42C45"/>
    <w:rsid w:val="00C444C1"/>
    <w:rsid w:val="00C454FC"/>
    <w:rsid w:val="00C52E54"/>
    <w:rsid w:val="00C543CE"/>
    <w:rsid w:val="00C605DE"/>
    <w:rsid w:val="00C63FDB"/>
    <w:rsid w:val="00C659E2"/>
    <w:rsid w:val="00C65CA6"/>
    <w:rsid w:val="00C66B7A"/>
    <w:rsid w:val="00C7046F"/>
    <w:rsid w:val="00C7199D"/>
    <w:rsid w:val="00C72942"/>
    <w:rsid w:val="00C75A5D"/>
    <w:rsid w:val="00C8352F"/>
    <w:rsid w:val="00C835D1"/>
    <w:rsid w:val="00C83A53"/>
    <w:rsid w:val="00C83B16"/>
    <w:rsid w:val="00C84F03"/>
    <w:rsid w:val="00C852FC"/>
    <w:rsid w:val="00C944E8"/>
    <w:rsid w:val="00CA11CB"/>
    <w:rsid w:val="00CA43B3"/>
    <w:rsid w:val="00CB0703"/>
    <w:rsid w:val="00CB0FD8"/>
    <w:rsid w:val="00CB2178"/>
    <w:rsid w:val="00CB44C7"/>
    <w:rsid w:val="00CB71C3"/>
    <w:rsid w:val="00CC015E"/>
    <w:rsid w:val="00CC0668"/>
    <w:rsid w:val="00CC5AD7"/>
    <w:rsid w:val="00CD0192"/>
    <w:rsid w:val="00CD17C6"/>
    <w:rsid w:val="00CD24AC"/>
    <w:rsid w:val="00CD2B10"/>
    <w:rsid w:val="00CD4438"/>
    <w:rsid w:val="00CD5206"/>
    <w:rsid w:val="00CE075F"/>
    <w:rsid w:val="00CE11E5"/>
    <w:rsid w:val="00CE212A"/>
    <w:rsid w:val="00CE3FC0"/>
    <w:rsid w:val="00CE45AD"/>
    <w:rsid w:val="00CE602B"/>
    <w:rsid w:val="00CE6392"/>
    <w:rsid w:val="00CE6545"/>
    <w:rsid w:val="00CF22E1"/>
    <w:rsid w:val="00CF2FED"/>
    <w:rsid w:val="00CF33C1"/>
    <w:rsid w:val="00CF44C9"/>
    <w:rsid w:val="00CF6570"/>
    <w:rsid w:val="00CF7A4D"/>
    <w:rsid w:val="00D004E8"/>
    <w:rsid w:val="00D0140F"/>
    <w:rsid w:val="00D02199"/>
    <w:rsid w:val="00D032C6"/>
    <w:rsid w:val="00D044C7"/>
    <w:rsid w:val="00D04777"/>
    <w:rsid w:val="00D11D06"/>
    <w:rsid w:val="00D120BA"/>
    <w:rsid w:val="00D14D7A"/>
    <w:rsid w:val="00D14E5C"/>
    <w:rsid w:val="00D15ABB"/>
    <w:rsid w:val="00D17CE2"/>
    <w:rsid w:val="00D218A5"/>
    <w:rsid w:val="00D225C6"/>
    <w:rsid w:val="00D22F3C"/>
    <w:rsid w:val="00D2775E"/>
    <w:rsid w:val="00D27957"/>
    <w:rsid w:val="00D27D1D"/>
    <w:rsid w:val="00D30043"/>
    <w:rsid w:val="00D30057"/>
    <w:rsid w:val="00D30407"/>
    <w:rsid w:val="00D32C11"/>
    <w:rsid w:val="00D33D0B"/>
    <w:rsid w:val="00D3534E"/>
    <w:rsid w:val="00D4158A"/>
    <w:rsid w:val="00D43E2B"/>
    <w:rsid w:val="00D51457"/>
    <w:rsid w:val="00D5234F"/>
    <w:rsid w:val="00D538E8"/>
    <w:rsid w:val="00D5600B"/>
    <w:rsid w:val="00D574B5"/>
    <w:rsid w:val="00D57A2B"/>
    <w:rsid w:val="00D60B8A"/>
    <w:rsid w:val="00D64448"/>
    <w:rsid w:val="00D65B2A"/>
    <w:rsid w:val="00D70A19"/>
    <w:rsid w:val="00D70D23"/>
    <w:rsid w:val="00D71AAF"/>
    <w:rsid w:val="00D7313A"/>
    <w:rsid w:val="00D731AD"/>
    <w:rsid w:val="00D74512"/>
    <w:rsid w:val="00D76922"/>
    <w:rsid w:val="00D777C6"/>
    <w:rsid w:val="00D778E6"/>
    <w:rsid w:val="00D80FEC"/>
    <w:rsid w:val="00D81688"/>
    <w:rsid w:val="00D861CF"/>
    <w:rsid w:val="00D86EF5"/>
    <w:rsid w:val="00D87420"/>
    <w:rsid w:val="00D9246A"/>
    <w:rsid w:val="00D92E15"/>
    <w:rsid w:val="00D9319B"/>
    <w:rsid w:val="00D9714D"/>
    <w:rsid w:val="00D971B0"/>
    <w:rsid w:val="00DA0F8D"/>
    <w:rsid w:val="00DA29E0"/>
    <w:rsid w:val="00DA3440"/>
    <w:rsid w:val="00DA61FC"/>
    <w:rsid w:val="00DA6C5D"/>
    <w:rsid w:val="00DB11EC"/>
    <w:rsid w:val="00DB1E09"/>
    <w:rsid w:val="00DB2AED"/>
    <w:rsid w:val="00DB348A"/>
    <w:rsid w:val="00DB5AB3"/>
    <w:rsid w:val="00DB69E1"/>
    <w:rsid w:val="00DC1AF7"/>
    <w:rsid w:val="00DC2522"/>
    <w:rsid w:val="00DC45F1"/>
    <w:rsid w:val="00DC5F92"/>
    <w:rsid w:val="00DC73C0"/>
    <w:rsid w:val="00DD17D7"/>
    <w:rsid w:val="00DD421D"/>
    <w:rsid w:val="00DD5037"/>
    <w:rsid w:val="00DD506D"/>
    <w:rsid w:val="00DD71B4"/>
    <w:rsid w:val="00DD7B71"/>
    <w:rsid w:val="00DD7CFB"/>
    <w:rsid w:val="00DE1531"/>
    <w:rsid w:val="00DE1E7F"/>
    <w:rsid w:val="00DE3404"/>
    <w:rsid w:val="00DE4BCF"/>
    <w:rsid w:val="00DE6AB1"/>
    <w:rsid w:val="00DE7122"/>
    <w:rsid w:val="00DF214C"/>
    <w:rsid w:val="00DF3F1E"/>
    <w:rsid w:val="00DF4039"/>
    <w:rsid w:val="00DF7A69"/>
    <w:rsid w:val="00E0016B"/>
    <w:rsid w:val="00E01C76"/>
    <w:rsid w:val="00E02FDF"/>
    <w:rsid w:val="00E056D6"/>
    <w:rsid w:val="00E12656"/>
    <w:rsid w:val="00E155CB"/>
    <w:rsid w:val="00E15E31"/>
    <w:rsid w:val="00E202C4"/>
    <w:rsid w:val="00E21754"/>
    <w:rsid w:val="00E2244B"/>
    <w:rsid w:val="00E2245C"/>
    <w:rsid w:val="00E226C4"/>
    <w:rsid w:val="00E248A4"/>
    <w:rsid w:val="00E25961"/>
    <w:rsid w:val="00E26A58"/>
    <w:rsid w:val="00E26C68"/>
    <w:rsid w:val="00E2709A"/>
    <w:rsid w:val="00E30FD6"/>
    <w:rsid w:val="00E312EC"/>
    <w:rsid w:val="00E3185D"/>
    <w:rsid w:val="00E32679"/>
    <w:rsid w:val="00E328AF"/>
    <w:rsid w:val="00E347A2"/>
    <w:rsid w:val="00E36D45"/>
    <w:rsid w:val="00E4165E"/>
    <w:rsid w:val="00E42677"/>
    <w:rsid w:val="00E427FE"/>
    <w:rsid w:val="00E44041"/>
    <w:rsid w:val="00E44B3D"/>
    <w:rsid w:val="00E456AA"/>
    <w:rsid w:val="00E52F4A"/>
    <w:rsid w:val="00E549DD"/>
    <w:rsid w:val="00E60196"/>
    <w:rsid w:val="00E62E33"/>
    <w:rsid w:val="00E66ED6"/>
    <w:rsid w:val="00E67E49"/>
    <w:rsid w:val="00E77239"/>
    <w:rsid w:val="00E808F9"/>
    <w:rsid w:val="00E8112D"/>
    <w:rsid w:val="00E8183E"/>
    <w:rsid w:val="00E81AEF"/>
    <w:rsid w:val="00E81BEB"/>
    <w:rsid w:val="00E837F2"/>
    <w:rsid w:val="00E8389F"/>
    <w:rsid w:val="00E844C9"/>
    <w:rsid w:val="00E870C1"/>
    <w:rsid w:val="00E870C4"/>
    <w:rsid w:val="00E9080B"/>
    <w:rsid w:val="00E916E6"/>
    <w:rsid w:val="00E91E91"/>
    <w:rsid w:val="00E94097"/>
    <w:rsid w:val="00E94582"/>
    <w:rsid w:val="00E96D46"/>
    <w:rsid w:val="00EA0A5F"/>
    <w:rsid w:val="00EA20E6"/>
    <w:rsid w:val="00EA3AAF"/>
    <w:rsid w:val="00EA44AF"/>
    <w:rsid w:val="00EA603D"/>
    <w:rsid w:val="00EA613B"/>
    <w:rsid w:val="00EA6F0D"/>
    <w:rsid w:val="00EB35E3"/>
    <w:rsid w:val="00EB5D13"/>
    <w:rsid w:val="00EB7295"/>
    <w:rsid w:val="00EB7A8D"/>
    <w:rsid w:val="00EC1B8B"/>
    <w:rsid w:val="00EC34F0"/>
    <w:rsid w:val="00EC36E3"/>
    <w:rsid w:val="00EC564B"/>
    <w:rsid w:val="00EC7101"/>
    <w:rsid w:val="00EC735F"/>
    <w:rsid w:val="00ED105C"/>
    <w:rsid w:val="00ED1A62"/>
    <w:rsid w:val="00ED248C"/>
    <w:rsid w:val="00ED3EBC"/>
    <w:rsid w:val="00ED608E"/>
    <w:rsid w:val="00ED6B7F"/>
    <w:rsid w:val="00EE036A"/>
    <w:rsid w:val="00EE0B9E"/>
    <w:rsid w:val="00EE2533"/>
    <w:rsid w:val="00EE291F"/>
    <w:rsid w:val="00EE308B"/>
    <w:rsid w:val="00EE60C5"/>
    <w:rsid w:val="00EE79B5"/>
    <w:rsid w:val="00EF071E"/>
    <w:rsid w:val="00EF258E"/>
    <w:rsid w:val="00F006C3"/>
    <w:rsid w:val="00F0620E"/>
    <w:rsid w:val="00F07282"/>
    <w:rsid w:val="00F07E61"/>
    <w:rsid w:val="00F1222A"/>
    <w:rsid w:val="00F12324"/>
    <w:rsid w:val="00F14495"/>
    <w:rsid w:val="00F16ADC"/>
    <w:rsid w:val="00F16BC8"/>
    <w:rsid w:val="00F1778D"/>
    <w:rsid w:val="00F17BFC"/>
    <w:rsid w:val="00F25C4F"/>
    <w:rsid w:val="00F276DF"/>
    <w:rsid w:val="00F31397"/>
    <w:rsid w:val="00F32E41"/>
    <w:rsid w:val="00F32FFE"/>
    <w:rsid w:val="00F33F8C"/>
    <w:rsid w:val="00F35581"/>
    <w:rsid w:val="00F40B1D"/>
    <w:rsid w:val="00F41BB7"/>
    <w:rsid w:val="00F4441F"/>
    <w:rsid w:val="00F45867"/>
    <w:rsid w:val="00F45D50"/>
    <w:rsid w:val="00F46878"/>
    <w:rsid w:val="00F5015B"/>
    <w:rsid w:val="00F50FF5"/>
    <w:rsid w:val="00F518FD"/>
    <w:rsid w:val="00F53E65"/>
    <w:rsid w:val="00F562DA"/>
    <w:rsid w:val="00F565C3"/>
    <w:rsid w:val="00F56C35"/>
    <w:rsid w:val="00F56DF8"/>
    <w:rsid w:val="00F57C95"/>
    <w:rsid w:val="00F652C2"/>
    <w:rsid w:val="00F65F58"/>
    <w:rsid w:val="00F6766B"/>
    <w:rsid w:val="00F70362"/>
    <w:rsid w:val="00F71AD3"/>
    <w:rsid w:val="00F739BF"/>
    <w:rsid w:val="00F747E9"/>
    <w:rsid w:val="00F74C37"/>
    <w:rsid w:val="00F75293"/>
    <w:rsid w:val="00F7604C"/>
    <w:rsid w:val="00F76E1B"/>
    <w:rsid w:val="00F775FC"/>
    <w:rsid w:val="00F81014"/>
    <w:rsid w:val="00F81D07"/>
    <w:rsid w:val="00F85215"/>
    <w:rsid w:val="00F86A2A"/>
    <w:rsid w:val="00F8722D"/>
    <w:rsid w:val="00F90D26"/>
    <w:rsid w:val="00F9145D"/>
    <w:rsid w:val="00F9345C"/>
    <w:rsid w:val="00F9354B"/>
    <w:rsid w:val="00F939B3"/>
    <w:rsid w:val="00F93D20"/>
    <w:rsid w:val="00F94CCD"/>
    <w:rsid w:val="00F96448"/>
    <w:rsid w:val="00FA03BC"/>
    <w:rsid w:val="00FA1D97"/>
    <w:rsid w:val="00FA2B49"/>
    <w:rsid w:val="00FA50F3"/>
    <w:rsid w:val="00FA57BC"/>
    <w:rsid w:val="00FA6CA7"/>
    <w:rsid w:val="00FA6FE7"/>
    <w:rsid w:val="00FB1CA6"/>
    <w:rsid w:val="00FB3B34"/>
    <w:rsid w:val="00FB47A7"/>
    <w:rsid w:val="00FB4F97"/>
    <w:rsid w:val="00FB71C7"/>
    <w:rsid w:val="00FC0DD9"/>
    <w:rsid w:val="00FC3C80"/>
    <w:rsid w:val="00FC585B"/>
    <w:rsid w:val="00FC5F9C"/>
    <w:rsid w:val="00FC6CEA"/>
    <w:rsid w:val="00FD25D0"/>
    <w:rsid w:val="00FD437B"/>
    <w:rsid w:val="00FD7C80"/>
    <w:rsid w:val="00FE0E96"/>
    <w:rsid w:val="00FE14C8"/>
    <w:rsid w:val="00FE44DA"/>
    <w:rsid w:val="00FE6394"/>
    <w:rsid w:val="00FE64AB"/>
    <w:rsid w:val="00FE696D"/>
    <w:rsid w:val="00FE6CC9"/>
    <w:rsid w:val="00FF061B"/>
    <w:rsid w:val="00FF1341"/>
    <w:rsid w:val="00FF1750"/>
    <w:rsid w:val="00FF1C45"/>
    <w:rsid w:val="00FF396D"/>
    <w:rsid w:val="00FF3B5F"/>
    <w:rsid w:val="00FF3BAE"/>
    <w:rsid w:val="00FF5261"/>
    <w:rsid w:val="00FF596A"/>
    <w:rsid w:val="00FF646D"/>
    <w:rsid w:val="00FF6877"/>
    <w:rsid w:val="00FF696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FA127"/>
  <w15:chartTrackingRefBased/>
  <w15:docId w15:val="{16072114-55B3-4E53-91D9-DDF3CEA0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2"/>
  </w:style>
  <w:style w:type="paragraph" w:styleId="Heading1">
    <w:name w:val="heading 1"/>
    <w:basedOn w:val="Normal"/>
    <w:next w:val="Normal"/>
    <w:link w:val="Heading1Char"/>
    <w:uiPriority w:val="9"/>
    <w:qFormat/>
    <w:rsid w:val="00175F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C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6C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23D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5F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C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6CD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23D9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4B6CB7"/>
    <w:pPr>
      <w:ind w:left="720"/>
      <w:contextualSpacing/>
    </w:pPr>
  </w:style>
  <w:style w:type="paragraph" w:styleId="BalloonText">
    <w:name w:val="Balloon Text"/>
    <w:basedOn w:val="Normal"/>
    <w:link w:val="BalloonTextChar"/>
    <w:uiPriority w:val="99"/>
    <w:semiHidden/>
    <w:unhideWhenUsed/>
    <w:rsid w:val="004B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B7"/>
    <w:rPr>
      <w:rFonts w:ascii="Segoe UI" w:hAnsi="Segoe UI" w:cs="Segoe UI"/>
      <w:sz w:val="18"/>
      <w:szCs w:val="18"/>
    </w:rPr>
  </w:style>
  <w:style w:type="paragraph" w:styleId="NormalWeb">
    <w:name w:val="Normal (Web)"/>
    <w:basedOn w:val="Normal"/>
    <w:uiPriority w:val="99"/>
    <w:semiHidden/>
    <w:unhideWhenUsed/>
    <w:rsid w:val="00175F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75F42"/>
    <w:rPr>
      <w:b/>
      <w:bCs/>
    </w:rPr>
  </w:style>
  <w:style w:type="character" w:styleId="Hyperlink">
    <w:name w:val="Hyperlink"/>
    <w:basedOn w:val="DefaultParagraphFont"/>
    <w:uiPriority w:val="99"/>
    <w:unhideWhenUsed/>
    <w:rsid w:val="00175F42"/>
    <w:rPr>
      <w:color w:val="0000FF"/>
      <w:u w:val="single"/>
    </w:rPr>
  </w:style>
  <w:style w:type="character" w:styleId="HTMLCode">
    <w:name w:val="HTML Code"/>
    <w:basedOn w:val="DefaultParagraphFont"/>
    <w:uiPriority w:val="99"/>
    <w:semiHidden/>
    <w:unhideWhenUsed/>
    <w:rsid w:val="00175F42"/>
    <w:rPr>
      <w:rFonts w:ascii="Courier New" w:eastAsia="Times New Roman" w:hAnsi="Courier New" w:cs="Courier New"/>
      <w:sz w:val="20"/>
      <w:szCs w:val="20"/>
    </w:rPr>
  </w:style>
  <w:style w:type="paragraph" w:styleId="Title">
    <w:name w:val="Title"/>
    <w:basedOn w:val="Normal"/>
    <w:next w:val="Normal"/>
    <w:link w:val="TitleChar"/>
    <w:uiPriority w:val="10"/>
    <w:qFormat/>
    <w:rsid w:val="00175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spacing w:val="-10"/>
      <w:kern w:val="28"/>
      <w:sz w:val="56"/>
      <w:szCs w:val="56"/>
    </w:rPr>
  </w:style>
  <w:style w:type="paragraph" w:styleId="NoSpacing">
    <w:name w:val="No Spacing"/>
    <w:uiPriority w:val="1"/>
    <w:qFormat/>
    <w:rsid w:val="00581D57"/>
    <w:pPr>
      <w:spacing w:after="0" w:line="240" w:lineRule="auto"/>
    </w:pPr>
  </w:style>
  <w:style w:type="paragraph" w:styleId="HTMLPreformatted">
    <w:name w:val="HTML Preformatted"/>
    <w:basedOn w:val="Normal"/>
    <w:link w:val="HTMLPreformattedChar"/>
    <w:uiPriority w:val="99"/>
    <w:semiHidden/>
    <w:unhideWhenUsed/>
    <w:rsid w:val="00576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5768B3"/>
    <w:rPr>
      <w:rFonts w:ascii="Courier New" w:eastAsia="Times New Roman" w:hAnsi="Courier New" w:cs="Courier New"/>
      <w:sz w:val="20"/>
      <w:szCs w:val="20"/>
      <w:lang w:eastAsia="nl-BE"/>
    </w:rPr>
  </w:style>
  <w:style w:type="character" w:customStyle="1" w:styleId="gnkrckgcgsb">
    <w:name w:val="gnkrckgcgsb"/>
    <w:basedOn w:val="DefaultParagraphFont"/>
    <w:rsid w:val="005768B3"/>
  </w:style>
  <w:style w:type="table" w:styleId="TableGrid">
    <w:name w:val="Table Grid"/>
    <w:basedOn w:val="TableNormal"/>
    <w:uiPriority w:val="39"/>
    <w:rsid w:val="00D8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0BF1"/>
    <w:rPr>
      <w:color w:val="954F72" w:themeColor="followedHyperlink"/>
      <w:u w:val="single"/>
    </w:rPr>
  </w:style>
  <w:style w:type="character" w:styleId="CommentReference">
    <w:name w:val="annotation reference"/>
    <w:basedOn w:val="DefaultParagraphFont"/>
    <w:uiPriority w:val="99"/>
    <w:semiHidden/>
    <w:unhideWhenUsed/>
    <w:rsid w:val="006F2023"/>
    <w:rPr>
      <w:sz w:val="16"/>
      <w:szCs w:val="16"/>
    </w:rPr>
  </w:style>
  <w:style w:type="paragraph" w:styleId="CommentText">
    <w:name w:val="annotation text"/>
    <w:basedOn w:val="Normal"/>
    <w:link w:val="CommentTextChar"/>
    <w:uiPriority w:val="99"/>
    <w:unhideWhenUsed/>
    <w:rsid w:val="006F2023"/>
    <w:pPr>
      <w:spacing w:line="240" w:lineRule="auto"/>
    </w:pPr>
    <w:rPr>
      <w:sz w:val="20"/>
      <w:szCs w:val="20"/>
    </w:rPr>
  </w:style>
  <w:style w:type="character" w:customStyle="1" w:styleId="CommentTextChar">
    <w:name w:val="Comment Text Char"/>
    <w:basedOn w:val="DefaultParagraphFont"/>
    <w:link w:val="CommentText"/>
    <w:uiPriority w:val="99"/>
    <w:rsid w:val="006F2023"/>
    <w:rPr>
      <w:sz w:val="20"/>
      <w:szCs w:val="20"/>
    </w:rPr>
  </w:style>
  <w:style w:type="paragraph" w:styleId="CommentSubject">
    <w:name w:val="annotation subject"/>
    <w:basedOn w:val="CommentText"/>
    <w:next w:val="CommentText"/>
    <w:link w:val="CommentSubjectChar"/>
    <w:uiPriority w:val="99"/>
    <w:semiHidden/>
    <w:unhideWhenUsed/>
    <w:rsid w:val="006F2023"/>
    <w:rPr>
      <w:b/>
      <w:bCs/>
    </w:rPr>
  </w:style>
  <w:style w:type="character" w:customStyle="1" w:styleId="CommentSubjectChar">
    <w:name w:val="Comment Subject Char"/>
    <w:basedOn w:val="CommentTextChar"/>
    <w:link w:val="CommentSubject"/>
    <w:uiPriority w:val="99"/>
    <w:semiHidden/>
    <w:rsid w:val="006F2023"/>
    <w:rPr>
      <w:b/>
      <w:bCs/>
      <w:sz w:val="20"/>
      <w:szCs w:val="20"/>
    </w:rPr>
  </w:style>
  <w:style w:type="character" w:customStyle="1" w:styleId="ref-journal">
    <w:name w:val="ref-journal"/>
    <w:basedOn w:val="DefaultParagraphFont"/>
    <w:rsid w:val="00457F51"/>
  </w:style>
  <w:style w:type="character" w:customStyle="1" w:styleId="ref-vol">
    <w:name w:val="ref-vol"/>
    <w:basedOn w:val="DefaultParagraphFont"/>
    <w:rsid w:val="00457F51"/>
  </w:style>
  <w:style w:type="character" w:customStyle="1" w:styleId="nowrap">
    <w:name w:val="nowrap"/>
    <w:basedOn w:val="DefaultParagraphFont"/>
    <w:rsid w:val="00457F51"/>
  </w:style>
  <w:style w:type="paragraph" w:customStyle="1" w:styleId="p1">
    <w:name w:val="p1"/>
    <w:basedOn w:val="Normal"/>
    <w:rsid w:val="002D289A"/>
    <w:pPr>
      <w:spacing w:after="0" w:line="240" w:lineRule="auto"/>
    </w:pPr>
    <w:rPr>
      <w:rFonts w:ascii="Times" w:eastAsiaTheme="minorEastAsia" w:hAnsi="Times" w:cs="Calibri"/>
      <w:sz w:val="15"/>
      <w:szCs w:val="15"/>
      <w:lang w:val="en-US"/>
    </w:rPr>
  </w:style>
  <w:style w:type="paragraph" w:customStyle="1" w:styleId="EndNoteBibliography">
    <w:name w:val="EndNote Bibliography"/>
    <w:basedOn w:val="Normal"/>
    <w:link w:val="EndNoteBibliographyChar"/>
    <w:rsid w:val="00BE40A8"/>
    <w:pPr>
      <w:spacing w:after="0" w:line="240" w:lineRule="auto"/>
    </w:pPr>
    <w:rPr>
      <w:rFonts w:ascii="Times New Roman" w:hAnsi="Times New Roman" w:cs="Times New Roman"/>
      <w:sz w:val="24"/>
      <w:szCs w:val="24"/>
      <w:lang w:val="en-US"/>
    </w:rPr>
  </w:style>
  <w:style w:type="character" w:customStyle="1" w:styleId="EndNoteBibliographyChar">
    <w:name w:val="EndNote Bibliography Char"/>
    <w:basedOn w:val="DefaultParagraphFont"/>
    <w:link w:val="EndNoteBibliography"/>
    <w:rsid w:val="00192981"/>
    <w:rPr>
      <w:rFonts w:ascii="Times New Roman" w:hAnsi="Times New Roman" w:cs="Times New Roman"/>
      <w:sz w:val="24"/>
      <w:szCs w:val="24"/>
      <w:lang w:val="en-US"/>
    </w:rPr>
  </w:style>
  <w:style w:type="paragraph" w:styleId="Caption">
    <w:name w:val="caption"/>
    <w:basedOn w:val="Normal"/>
    <w:next w:val="Normal"/>
    <w:uiPriority w:val="35"/>
    <w:unhideWhenUsed/>
    <w:qFormat/>
    <w:rsid w:val="008D2AD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7972DA"/>
    <w:rPr>
      <w:color w:val="605E5C"/>
      <w:shd w:val="clear" w:color="auto" w:fill="E1DFDD"/>
    </w:rPr>
  </w:style>
  <w:style w:type="paragraph" w:styleId="Footer">
    <w:name w:val="footer"/>
    <w:basedOn w:val="Normal"/>
    <w:link w:val="FooterChar"/>
    <w:uiPriority w:val="99"/>
    <w:unhideWhenUsed/>
    <w:rsid w:val="0065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91"/>
  </w:style>
  <w:style w:type="character" w:styleId="PageNumber">
    <w:name w:val="page number"/>
    <w:basedOn w:val="DefaultParagraphFont"/>
    <w:uiPriority w:val="99"/>
    <w:semiHidden/>
    <w:unhideWhenUsed/>
    <w:rsid w:val="00650B91"/>
  </w:style>
  <w:style w:type="character" w:customStyle="1" w:styleId="identifier">
    <w:name w:val="identifier"/>
    <w:basedOn w:val="DefaultParagraphFont"/>
    <w:rsid w:val="00A254B0"/>
  </w:style>
  <w:style w:type="character" w:customStyle="1" w:styleId="id-label">
    <w:name w:val="id-label"/>
    <w:basedOn w:val="DefaultParagraphFont"/>
    <w:rsid w:val="00A254B0"/>
  </w:style>
  <w:style w:type="paragraph" w:styleId="Revision">
    <w:name w:val="Revision"/>
    <w:hidden/>
    <w:uiPriority w:val="99"/>
    <w:semiHidden/>
    <w:rsid w:val="00535F9A"/>
    <w:pPr>
      <w:spacing w:after="0" w:line="240" w:lineRule="auto"/>
    </w:pPr>
  </w:style>
  <w:style w:type="paragraph" w:styleId="Header">
    <w:name w:val="header"/>
    <w:basedOn w:val="Normal"/>
    <w:link w:val="HeaderChar"/>
    <w:uiPriority w:val="99"/>
    <w:unhideWhenUsed/>
    <w:rsid w:val="00535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F9A"/>
  </w:style>
  <w:style w:type="character" w:styleId="PlaceholderText">
    <w:name w:val="Placeholder Text"/>
    <w:basedOn w:val="DefaultParagraphFont"/>
    <w:uiPriority w:val="99"/>
    <w:semiHidden/>
    <w:rsid w:val="002760EC"/>
    <w:rPr>
      <w:color w:val="808080"/>
    </w:rPr>
  </w:style>
  <w:style w:type="character" w:styleId="Emphasis">
    <w:name w:val="Emphasis"/>
    <w:basedOn w:val="DefaultParagraphFont"/>
    <w:uiPriority w:val="20"/>
    <w:qFormat/>
    <w:rsid w:val="00B01888"/>
    <w:rPr>
      <w:i/>
      <w:iCs/>
    </w:rPr>
  </w:style>
  <w:style w:type="paragraph" w:customStyle="1" w:styleId="msonormal0">
    <w:name w:val="msonormal"/>
    <w:basedOn w:val="Normal"/>
    <w:rsid w:val="005D35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3">
    <w:name w:val="xl63"/>
    <w:basedOn w:val="Normal"/>
    <w:rsid w:val="005D35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4">
    <w:name w:val="xl64"/>
    <w:basedOn w:val="Normal"/>
    <w:rsid w:val="005D3558"/>
    <w:pPr>
      <w:pBdr>
        <w:top w:val="single" w:sz="4" w:space="0" w:color="A9D08E"/>
        <w:bottom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5">
    <w:name w:val="xl65"/>
    <w:basedOn w:val="Normal"/>
    <w:rsid w:val="005D3558"/>
    <w:pPr>
      <w:pBdr>
        <w:top w:val="single" w:sz="4" w:space="0" w:color="A9D08E"/>
        <w:bottom w:val="single" w:sz="4" w:space="0" w:color="A9D08E"/>
        <w:right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6">
    <w:name w:val="xl66"/>
    <w:basedOn w:val="Normal"/>
    <w:rsid w:val="005D3558"/>
    <w:pPr>
      <w:pBdr>
        <w:top w:val="single" w:sz="4" w:space="0" w:color="A9D08E"/>
        <w:bottom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7">
    <w:name w:val="xl67"/>
    <w:basedOn w:val="Normal"/>
    <w:rsid w:val="005D3558"/>
    <w:pPr>
      <w:pBdr>
        <w:top w:val="single" w:sz="4" w:space="0" w:color="A9D08E"/>
        <w:bottom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8">
    <w:name w:val="xl68"/>
    <w:basedOn w:val="Normal"/>
    <w:rsid w:val="005D3558"/>
    <w:pPr>
      <w:pBdr>
        <w:top w:val="single" w:sz="4" w:space="0" w:color="A9D08E"/>
        <w:bottom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DefaultParagraphFont"/>
    <w:rsid w:val="00390E1D"/>
  </w:style>
  <w:style w:type="character" w:customStyle="1" w:styleId="eop">
    <w:name w:val="eop"/>
    <w:basedOn w:val="DefaultParagraphFont"/>
    <w:rsid w:val="00390E1D"/>
  </w:style>
  <w:style w:type="table" w:styleId="PlainTable4">
    <w:name w:val="Plain Table 4"/>
    <w:basedOn w:val="TableNormal"/>
    <w:uiPriority w:val="44"/>
    <w:rsid w:val="00EC56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
    <w:name w:val="List Table 2"/>
    <w:basedOn w:val="TableNormal"/>
    <w:uiPriority w:val="47"/>
    <w:rsid w:val="00B3510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B3510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6F703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DD50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nd-iwgdh3b">
    <w:name w:val="gnd-iwgdh3b"/>
    <w:basedOn w:val="DefaultParagraphFont"/>
    <w:rsid w:val="00D9246A"/>
  </w:style>
  <w:style w:type="table" w:styleId="GridTable2">
    <w:name w:val="Grid Table 2"/>
    <w:basedOn w:val="TableNormal"/>
    <w:uiPriority w:val="47"/>
    <w:rsid w:val="00724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54">
      <w:bodyDiv w:val="1"/>
      <w:marLeft w:val="0"/>
      <w:marRight w:val="0"/>
      <w:marTop w:val="0"/>
      <w:marBottom w:val="0"/>
      <w:divBdr>
        <w:top w:val="none" w:sz="0" w:space="0" w:color="auto"/>
        <w:left w:val="none" w:sz="0" w:space="0" w:color="auto"/>
        <w:bottom w:val="none" w:sz="0" w:space="0" w:color="auto"/>
        <w:right w:val="none" w:sz="0" w:space="0" w:color="auto"/>
      </w:divBdr>
    </w:div>
    <w:div w:id="148986441">
      <w:bodyDiv w:val="1"/>
      <w:marLeft w:val="0"/>
      <w:marRight w:val="0"/>
      <w:marTop w:val="0"/>
      <w:marBottom w:val="0"/>
      <w:divBdr>
        <w:top w:val="none" w:sz="0" w:space="0" w:color="auto"/>
        <w:left w:val="none" w:sz="0" w:space="0" w:color="auto"/>
        <w:bottom w:val="none" w:sz="0" w:space="0" w:color="auto"/>
        <w:right w:val="none" w:sz="0" w:space="0" w:color="auto"/>
      </w:divBdr>
    </w:div>
    <w:div w:id="176047815">
      <w:bodyDiv w:val="1"/>
      <w:marLeft w:val="0"/>
      <w:marRight w:val="0"/>
      <w:marTop w:val="0"/>
      <w:marBottom w:val="0"/>
      <w:divBdr>
        <w:top w:val="none" w:sz="0" w:space="0" w:color="auto"/>
        <w:left w:val="none" w:sz="0" w:space="0" w:color="auto"/>
        <w:bottom w:val="none" w:sz="0" w:space="0" w:color="auto"/>
        <w:right w:val="none" w:sz="0" w:space="0" w:color="auto"/>
      </w:divBdr>
    </w:div>
    <w:div w:id="204176223">
      <w:bodyDiv w:val="1"/>
      <w:marLeft w:val="0"/>
      <w:marRight w:val="0"/>
      <w:marTop w:val="0"/>
      <w:marBottom w:val="0"/>
      <w:divBdr>
        <w:top w:val="none" w:sz="0" w:space="0" w:color="auto"/>
        <w:left w:val="none" w:sz="0" w:space="0" w:color="auto"/>
        <w:bottom w:val="none" w:sz="0" w:space="0" w:color="auto"/>
        <w:right w:val="none" w:sz="0" w:space="0" w:color="auto"/>
      </w:divBdr>
    </w:div>
    <w:div w:id="208997027">
      <w:bodyDiv w:val="1"/>
      <w:marLeft w:val="0"/>
      <w:marRight w:val="0"/>
      <w:marTop w:val="0"/>
      <w:marBottom w:val="0"/>
      <w:divBdr>
        <w:top w:val="none" w:sz="0" w:space="0" w:color="auto"/>
        <w:left w:val="none" w:sz="0" w:space="0" w:color="auto"/>
        <w:bottom w:val="none" w:sz="0" w:space="0" w:color="auto"/>
        <w:right w:val="none" w:sz="0" w:space="0" w:color="auto"/>
      </w:divBdr>
    </w:div>
    <w:div w:id="231551344">
      <w:bodyDiv w:val="1"/>
      <w:marLeft w:val="0"/>
      <w:marRight w:val="0"/>
      <w:marTop w:val="0"/>
      <w:marBottom w:val="0"/>
      <w:divBdr>
        <w:top w:val="none" w:sz="0" w:space="0" w:color="auto"/>
        <w:left w:val="none" w:sz="0" w:space="0" w:color="auto"/>
        <w:bottom w:val="none" w:sz="0" w:space="0" w:color="auto"/>
        <w:right w:val="none" w:sz="0" w:space="0" w:color="auto"/>
      </w:divBdr>
    </w:div>
    <w:div w:id="312872640">
      <w:bodyDiv w:val="1"/>
      <w:marLeft w:val="0"/>
      <w:marRight w:val="0"/>
      <w:marTop w:val="0"/>
      <w:marBottom w:val="0"/>
      <w:divBdr>
        <w:top w:val="none" w:sz="0" w:space="0" w:color="auto"/>
        <w:left w:val="none" w:sz="0" w:space="0" w:color="auto"/>
        <w:bottom w:val="none" w:sz="0" w:space="0" w:color="auto"/>
        <w:right w:val="none" w:sz="0" w:space="0" w:color="auto"/>
      </w:divBdr>
    </w:div>
    <w:div w:id="332994381">
      <w:bodyDiv w:val="1"/>
      <w:marLeft w:val="0"/>
      <w:marRight w:val="0"/>
      <w:marTop w:val="0"/>
      <w:marBottom w:val="0"/>
      <w:divBdr>
        <w:top w:val="none" w:sz="0" w:space="0" w:color="auto"/>
        <w:left w:val="none" w:sz="0" w:space="0" w:color="auto"/>
        <w:bottom w:val="none" w:sz="0" w:space="0" w:color="auto"/>
        <w:right w:val="none" w:sz="0" w:space="0" w:color="auto"/>
      </w:divBdr>
    </w:div>
    <w:div w:id="398409019">
      <w:bodyDiv w:val="1"/>
      <w:marLeft w:val="0"/>
      <w:marRight w:val="0"/>
      <w:marTop w:val="0"/>
      <w:marBottom w:val="0"/>
      <w:divBdr>
        <w:top w:val="none" w:sz="0" w:space="0" w:color="auto"/>
        <w:left w:val="none" w:sz="0" w:space="0" w:color="auto"/>
        <w:bottom w:val="none" w:sz="0" w:space="0" w:color="auto"/>
        <w:right w:val="none" w:sz="0" w:space="0" w:color="auto"/>
      </w:divBdr>
    </w:div>
    <w:div w:id="607658342">
      <w:bodyDiv w:val="1"/>
      <w:marLeft w:val="0"/>
      <w:marRight w:val="0"/>
      <w:marTop w:val="0"/>
      <w:marBottom w:val="0"/>
      <w:divBdr>
        <w:top w:val="none" w:sz="0" w:space="0" w:color="auto"/>
        <w:left w:val="none" w:sz="0" w:space="0" w:color="auto"/>
        <w:bottom w:val="none" w:sz="0" w:space="0" w:color="auto"/>
        <w:right w:val="none" w:sz="0" w:space="0" w:color="auto"/>
      </w:divBdr>
    </w:div>
    <w:div w:id="622150281">
      <w:bodyDiv w:val="1"/>
      <w:marLeft w:val="0"/>
      <w:marRight w:val="0"/>
      <w:marTop w:val="0"/>
      <w:marBottom w:val="0"/>
      <w:divBdr>
        <w:top w:val="none" w:sz="0" w:space="0" w:color="auto"/>
        <w:left w:val="none" w:sz="0" w:space="0" w:color="auto"/>
        <w:bottom w:val="none" w:sz="0" w:space="0" w:color="auto"/>
        <w:right w:val="none" w:sz="0" w:space="0" w:color="auto"/>
      </w:divBdr>
    </w:div>
    <w:div w:id="625544302">
      <w:bodyDiv w:val="1"/>
      <w:marLeft w:val="0"/>
      <w:marRight w:val="0"/>
      <w:marTop w:val="0"/>
      <w:marBottom w:val="0"/>
      <w:divBdr>
        <w:top w:val="none" w:sz="0" w:space="0" w:color="auto"/>
        <w:left w:val="none" w:sz="0" w:space="0" w:color="auto"/>
        <w:bottom w:val="none" w:sz="0" w:space="0" w:color="auto"/>
        <w:right w:val="none" w:sz="0" w:space="0" w:color="auto"/>
      </w:divBdr>
    </w:div>
    <w:div w:id="714042842">
      <w:bodyDiv w:val="1"/>
      <w:marLeft w:val="0"/>
      <w:marRight w:val="0"/>
      <w:marTop w:val="0"/>
      <w:marBottom w:val="0"/>
      <w:divBdr>
        <w:top w:val="none" w:sz="0" w:space="0" w:color="auto"/>
        <w:left w:val="none" w:sz="0" w:space="0" w:color="auto"/>
        <w:bottom w:val="none" w:sz="0" w:space="0" w:color="auto"/>
        <w:right w:val="none" w:sz="0" w:space="0" w:color="auto"/>
      </w:divBdr>
    </w:div>
    <w:div w:id="730739908">
      <w:bodyDiv w:val="1"/>
      <w:marLeft w:val="0"/>
      <w:marRight w:val="0"/>
      <w:marTop w:val="0"/>
      <w:marBottom w:val="0"/>
      <w:divBdr>
        <w:top w:val="none" w:sz="0" w:space="0" w:color="auto"/>
        <w:left w:val="none" w:sz="0" w:space="0" w:color="auto"/>
        <w:bottom w:val="none" w:sz="0" w:space="0" w:color="auto"/>
        <w:right w:val="none" w:sz="0" w:space="0" w:color="auto"/>
      </w:divBdr>
    </w:div>
    <w:div w:id="743528130">
      <w:bodyDiv w:val="1"/>
      <w:marLeft w:val="0"/>
      <w:marRight w:val="0"/>
      <w:marTop w:val="0"/>
      <w:marBottom w:val="0"/>
      <w:divBdr>
        <w:top w:val="none" w:sz="0" w:space="0" w:color="auto"/>
        <w:left w:val="none" w:sz="0" w:space="0" w:color="auto"/>
        <w:bottom w:val="none" w:sz="0" w:space="0" w:color="auto"/>
        <w:right w:val="none" w:sz="0" w:space="0" w:color="auto"/>
      </w:divBdr>
    </w:div>
    <w:div w:id="743722813">
      <w:bodyDiv w:val="1"/>
      <w:marLeft w:val="0"/>
      <w:marRight w:val="0"/>
      <w:marTop w:val="0"/>
      <w:marBottom w:val="0"/>
      <w:divBdr>
        <w:top w:val="none" w:sz="0" w:space="0" w:color="auto"/>
        <w:left w:val="none" w:sz="0" w:space="0" w:color="auto"/>
        <w:bottom w:val="none" w:sz="0" w:space="0" w:color="auto"/>
        <w:right w:val="none" w:sz="0" w:space="0" w:color="auto"/>
      </w:divBdr>
    </w:div>
    <w:div w:id="812144050">
      <w:bodyDiv w:val="1"/>
      <w:marLeft w:val="0"/>
      <w:marRight w:val="0"/>
      <w:marTop w:val="0"/>
      <w:marBottom w:val="0"/>
      <w:divBdr>
        <w:top w:val="none" w:sz="0" w:space="0" w:color="auto"/>
        <w:left w:val="none" w:sz="0" w:space="0" w:color="auto"/>
        <w:bottom w:val="none" w:sz="0" w:space="0" w:color="auto"/>
        <w:right w:val="none" w:sz="0" w:space="0" w:color="auto"/>
      </w:divBdr>
    </w:div>
    <w:div w:id="868683038">
      <w:bodyDiv w:val="1"/>
      <w:marLeft w:val="0"/>
      <w:marRight w:val="0"/>
      <w:marTop w:val="0"/>
      <w:marBottom w:val="0"/>
      <w:divBdr>
        <w:top w:val="none" w:sz="0" w:space="0" w:color="auto"/>
        <w:left w:val="none" w:sz="0" w:space="0" w:color="auto"/>
        <w:bottom w:val="none" w:sz="0" w:space="0" w:color="auto"/>
        <w:right w:val="none" w:sz="0" w:space="0" w:color="auto"/>
      </w:divBdr>
    </w:div>
    <w:div w:id="1000159380">
      <w:bodyDiv w:val="1"/>
      <w:marLeft w:val="0"/>
      <w:marRight w:val="0"/>
      <w:marTop w:val="0"/>
      <w:marBottom w:val="0"/>
      <w:divBdr>
        <w:top w:val="none" w:sz="0" w:space="0" w:color="auto"/>
        <w:left w:val="none" w:sz="0" w:space="0" w:color="auto"/>
        <w:bottom w:val="none" w:sz="0" w:space="0" w:color="auto"/>
        <w:right w:val="none" w:sz="0" w:space="0" w:color="auto"/>
      </w:divBdr>
    </w:div>
    <w:div w:id="1015577477">
      <w:bodyDiv w:val="1"/>
      <w:marLeft w:val="0"/>
      <w:marRight w:val="0"/>
      <w:marTop w:val="0"/>
      <w:marBottom w:val="0"/>
      <w:divBdr>
        <w:top w:val="none" w:sz="0" w:space="0" w:color="auto"/>
        <w:left w:val="none" w:sz="0" w:space="0" w:color="auto"/>
        <w:bottom w:val="none" w:sz="0" w:space="0" w:color="auto"/>
        <w:right w:val="none" w:sz="0" w:space="0" w:color="auto"/>
      </w:divBdr>
    </w:div>
    <w:div w:id="1079016887">
      <w:bodyDiv w:val="1"/>
      <w:marLeft w:val="0"/>
      <w:marRight w:val="0"/>
      <w:marTop w:val="0"/>
      <w:marBottom w:val="0"/>
      <w:divBdr>
        <w:top w:val="none" w:sz="0" w:space="0" w:color="auto"/>
        <w:left w:val="none" w:sz="0" w:space="0" w:color="auto"/>
        <w:bottom w:val="none" w:sz="0" w:space="0" w:color="auto"/>
        <w:right w:val="none" w:sz="0" w:space="0" w:color="auto"/>
      </w:divBdr>
    </w:div>
    <w:div w:id="1165241520">
      <w:bodyDiv w:val="1"/>
      <w:marLeft w:val="0"/>
      <w:marRight w:val="0"/>
      <w:marTop w:val="0"/>
      <w:marBottom w:val="0"/>
      <w:divBdr>
        <w:top w:val="none" w:sz="0" w:space="0" w:color="auto"/>
        <w:left w:val="none" w:sz="0" w:space="0" w:color="auto"/>
        <w:bottom w:val="none" w:sz="0" w:space="0" w:color="auto"/>
        <w:right w:val="none" w:sz="0" w:space="0" w:color="auto"/>
      </w:divBdr>
    </w:div>
    <w:div w:id="1190535538">
      <w:bodyDiv w:val="1"/>
      <w:marLeft w:val="0"/>
      <w:marRight w:val="0"/>
      <w:marTop w:val="0"/>
      <w:marBottom w:val="0"/>
      <w:divBdr>
        <w:top w:val="none" w:sz="0" w:space="0" w:color="auto"/>
        <w:left w:val="none" w:sz="0" w:space="0" w:color="auto"/>
        <w:bottom w:val="none" w:sz="0" w:space="0" w:color="auto"/>
        <w:right w:val="none" w:sz="0" w:space="0" w:color="auto"/>
      </w:divBdr>
    </w:div>
    <w:div w:id="1246499563">
      <w:bodyDiv w:val="1"/>
      <w:marLeft w:val="0"/>
      <w:marRight w:val="0"/>
      <w:marTop w:val="0"/>
      <w:marBottom w:val="0"/>
      <w:divBdr>
        <w:top w:val="none" w:sz="0" w:space="0" w:color="auto"/>
        <w:left w:val="none" w:sz="0" w:space="0" w:color="auto"/>
        <w:bottom w:val="none" w:sz="0" w:space="0" w:color="auto"/>
        <w:right w:val="none" w:sz="0" w:space="0" w:color="auto"/>
      </w:divBdr>
    </w:div>
    <w:div w:id="1253927044">
      <w:bodyDiv w:val="1"/>
      <w:marLeft w:val="0"/>
      <w:marRight w:val="0"/>
      <w:marTop w:val="0"/>
      <w:marBottom w:val="0"/>
      <w:divBdr>
        <w:top w:val="none" w:sz="0" w:space="0" w:color="auto"/>
        <w:left w:val="none" w:sz="0" w:space="0" w:color="auto"/>
        <w:bottom w:val="none" w:sz="0" w:space="0" w:color="auto"/>
        <w:right w:val="none" w:sz="0" w:space="0" w:color="auto"/>
      </w:divBdr>
    </w:div>
    <w:div w:id="1262377140">
      <w:bodyDiv w:val="1"/>
      <w:marLeft w:val="0"/>
      <w:marRight w:val="0"/>
      <w:marTop w:val="0"/>
      <w:marBottom w:val="0"/>
      <w:divBdr>
        <w:top w:val="none" w:sz="0" w:space="0" w:color="auto"/>
        <w:left w:val="none" w:sz="0" w:space="0" w:color="auto"/>
        <w:bottom w:val="none" w:sz="0" w:space="0" w:color="auto"/>
        <w:right w:val="none" w:sz="0" w:space="0" w:color="auto"/>
      </w:divBdr>
    </w:div>
    <w:div w:id="1565027946">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
    <w:div w:id="1651591170">
      <w:bodyDiv w:val="1"/>
      <w:marLeft w:val="0"/>
      <w:marRight w:val="0"/>
      <w:marTop w:val="0"/>
      <w:marBottom w:val="0"/>
      <w:divBdr>
        <w:top w:val="none" w:sz="0" w:space="0" w:color="auto"/>
        <w:left w:val="none" w:sz="0" w:space="0" w:color="auto"/>
        <w:bottom w:val="none" w:sz="0" w:space="0" w:color="auto"/>
        <w:right w:val="none" w:sz="0" w:space="0" w:color="auto"/>
      </w:divBdr>
    </w:div>
    <w:div w:id="1731923739">
      <w:bodyDiv w:val="1"/>
      <w:marLeft w:val="0"/>
      <w:marRight w:val="0"/>
      <w:marTop w:val="0"/>
      <w:marBottom w:val="0"/>
      <w:divBdr>
        <w:top w:val="none" w:sz="0" w:space="0" w:color="auto"/>
        <w:left w:val="none" w:sz="0" w:space="0" w:color="auto"/>
        <w:bottom w:val="none" w:sz="0" w:space="0" w:color="auto"/>
        <w:right w:val="none" w:sz="0" w:space="0" w:color="auto"/>
      </w:divBdr>
    </w:div>
    <w:div w:id="1755777602">
      <w:bodyDiv w:val="1"/>
      <w:marLeft w:val="0"/>
      <w:marRight w:val="0"/>
      <w:marTop w:val="0"/>
      <w:marBottom w:val="0"/>
      <w:divBdr>
        <w:top w:val="none" w:sz="0" w:space="0" w:color="auto"/>
        <w:left w:val="none" w:sz="0" w:space="0" w:color="auto"/>
        <w:bottom w:val="none" w:sz="0" w:space="0" w:color="auto"/>
        <w:right w:val="none" w:sz="0" w:space="0" w:color="auto"/>
      </w:divBdr>
    </w:div>
    <w:div w:id="1940602947">
      <w:bodyDiv w:val="1"/>
      <w:marLeft w:val="0"/>
      <w:marRight w:val="0"/>
      <w:marTop w:val="0"/>
      <w:marBottom w:val="0"/>
      <w:divBdr>
        <w:top w:val="none" w:sz="0" w:space="0" w:color="auto"/>
        <w:left w:val="none" w:sz="0" w:space="0" w:color="auto"/>
        <w:bottom w:val="none" w:sz="0" w:space="0" w:color="auto"/>
        <w:right w:val="none" w:sz="0" w:space="0" w:color="auto"/>
      </w:divBdr>
    </w:div>
    <w:div w:id="1977637788">
      <w:bodyDiv w:val="1"/>
      <w:marLeft w:val="0"/>
      <w:marRight w:val="0"/>
      <w:marTop w:val="0"/>
      <w:marBottom w:val="0"/>
      <w:divBdr>
        <w:top w:val="none" w:sz="0" w:space="0" w:color="auto"/>
        <w:left w:val="none" w:sz="0" w:space="0" w:color="auto"/>
        <w:bottom w:val="none" w:sz="0" w:space="0" w:color="auto"/>
        <w:right w:val="none" w:sz="0" w:space="0" w:color="auto"/>
      </w:divBdr>
    </w:div>
    <w:div w:id="2016565076">
      <w:bodyDiv w:val="1"/>
      <w:marLeft w:val="0"/>
      <w:marRight w:val="0"/>
      <w:marTop w:val="0"/>
      <w:marBottom w:val="0"/>
      <w:divBdr>
        <w:top w:val="none" w:sz="0" w:space="0" w:color="auto"/>
        <w:left w:val="none" w:sz="0" w:space="0" w:color="auto"/>
        <w:bottom w:val="none" w:sz="0" w:space="0" w:color="auto"/>
        <w:right w:val="none" w:sz="0" w:space="0" w:color="auto"/>
      </w:divBdr>
    </w:div>
    <w:div w:id="2050763728">
      <w:bodyDiv w:val="1"/>
      <w:marLeft w:val="0"/>
      <w:marRight w:val="0"/>
      <w:marTop w:val="0"/>
      <w:marBottom w:val="0"/>
      <w:divBdr>
        <w:top w:val="none" w:sz="0" w:space="0" w:color="auto"/>
        <w:left w:val="none" w:sz="0" w:space="0" w:color="auto"/>
        <w:bottom w:val="none" w:sz="0" w:space="0" w:color="auto"/>
        <w:right w:val="none" w:sz="0" w:space="0" w:color="auto"/>
      </w:divBdr>
    </w:div>
    <w:div w:id="2076973970">
      <w:bodyDiv w:val="1"/>
      <w:marLeft w:val="0"/>
      <w:marRight w:val="0"/>
      <w:marTop w:val="0"/>
      <w:marBottom w:val="0"/>
      <w:divBdr>
        <w:top w:val="none" w:sz="0" w:space="0" w:color="auto"/>
        <w:left w:val="none" w:sz="0" w:space="0" w:color="auto"/>
        <w:bottom w:val="none" w:sz="0" w:space="0" w:color="auto"/>
        <w:right w:val="none" w:sz="0" w:space="0" w:color="auto"/>
      </w:divBdr>
    </w:div>
    <w:div w:id="20770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mod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C3C9-179F-431C-BDA2-8E4E46A6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15191</Words>
  <Characters>83553</Characters>
  <Application>Microsoft Office Word</Application>
  <DocSecurity>0</DocSecurity>
  <Lines>696</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Tsoumanis</dc:creator>
  <cp:keywords/>
  <dc:description/>
  <cp:lastModifiedBy>Achilleas Tsoumanis</cp:lastModifiedBy>
  <cp:revision>52</cp:revision>
  <cp:lastPrinted>2023-02-06T08:35:00Z</cp:lastPrinted>
  <dcterms:created xsi:type="dcterms:W3CDTF">2024-01-14T15:15:00Z</dcterms:created>
  <dcterms:modified xsi:type="dcterms:W3CDTF">2024-01-26T14:23:00Z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0c518402-6321-397d-9f5d-9a8cd43211ca</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