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03C1" w14:textId="77777777" w:rsidR="00B439E0" w:rsidRPr="00C90607" w:rsidRDefault="00B439E0" w:rsidP="00B439E0">
      <w:pPr>
        <w:jc w:val="both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Figure legends</w:t>
      </w:r>
    </w:p>
    <w:p w14:paraId="2D61C7C0" w14:textId="77777777" w:rsidR="00B439E0" w:rsidRPr="00C90607" w:rsidRDefault="00B439E0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B38D2EA" w14:textId="77777777" w:rsidR="00B439E0" w:rsidRPr="00C90607" w:rsidRDefault="00B439E0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Figure 1.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Flowchart depicting case numbers at each step of the study. The two major groups compared (prevalent T2DM cases and non-diabetic controls) are highlighted with bold style.</w:t>
      </w:r>
    </w:p>
    <w:p w14:paraId="6E001D64" w14:textId="7A7C0A25" w:rsidR="00B439E0" w:rsidRPr="00C90607" w:rsidRDefault="00B439E0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Figure 2.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Change in incidence of cancer cases per 1.000 prevalent T2DM cases 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a, c, e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) and in nondiabetic controls 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b, d, f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) in the time interval of 2015-2019 in distinct age groups. </w:t>
      </w:r>
      <w:r w:rsidR="00C90607" w:rsidRPr="00C90607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a, b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) total population, </w:t>
      </w:r>
      <w:r w:rsidR="00C90607" w:rsidRPr="00C90607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c, d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) male patients, </w:t>
      </w:r>
      <w:r w:rsidR="00C90607" w:rsidRPr="00C90607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e, f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) female patients. Crude incidence data are shown.</w:t>
      </w:r>
    </w:p>
    <w:p w14:paraId="36533A15" w14:textId="6AF92A14" w:rsidR="00C90607" w:rsidRPr="00C90607" w:rsidRDefault="00B439E0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Figure 3.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C90607" w:rsidRPr="00C90607">
        <w:rPr>
          <w:rFonts w:ascii="Palatino Linotype" w:hAnsi="Palatino Linotype" w:cs="Times New Roman"/>
          <w:sz w:val="20"/>
          <w:szCs w:val="20"/>
          <w:lang w:val="en-US"/>
        </w:rPr>
        <w:t>Age distribution of 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a</w:t>
      </w:r>
      <w:r w:rsidR="00C90607" w:rsidRPr="00C90607">
        <w:rPr>
          <w:rFonts w:ascii="Palatino Linotype" w:hAnsi="Palatino Linotype" w:cs="Times New Roman"/>
          <w:sz w:val="20"/>
          <w:szCs w:val="20"/>
          <w:lang w:val="en-US"/>
        </w:rPr>
        <w:t>) total cases and (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b</w:t>
      </w:r>
      <w:r w:rsidR="00C90607" w:rsidRPr="00C90607">
        <w:rPr>
          <w:rFonts w:ascii="Palatino Linotype" w:hAnsi="Palatino Linotype" w:cs="Times New Roman"/>
          <w:sz w:val="20"/>
          <w:szCs w:val="20"/>
          <w:lang w:val="en-US"/>
        </w:rPr>
        <w:t>) incidental cases of cancer in patients with type 2 diabetes mellitus and in nondiabetic controls.</w:t>
      </w:r>
    </w:p>
    <w:p w14:paraId="157482FC" w14:textId="358662C7" w:rsidR="00B439E0" w:rsidRPr="00C90607" w:rsidRDefault="00C90607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Figure 4.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B439E0"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Data related to incidental cancer development in different age groups, irrespective of location and histological type. 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a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)</w:t>
      </w:r>
      <w:r w:rsidR="00B439E0"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odds ratio of cases with T2DM vs. controls is shown for the total population, both males and females, respectively. </w:t>
      </w:r>
      <w:r w:rsidRPr="00C90607">
        <w:rPr>
          <w:rFonts w:ascii="Palatino Linotype" w:hAnsi="Palatino Linotype" w:cs="Times New Roman"/>
          <w:bCs/>
          <w:sz w:val="20"/>
          <w:szCs w:val="20"/>
          <w:lang w:val="en-US"/>
        </w:rPr>
        <w:t>(</w:t>
      </w:r>
      <w:r w:rsidRPr="00C90607">
        <w:rPr>
          <w:rFonts w:ascii="Palatino Linotype" w:hAnsi="Palatino Linotype" w:cs="Times New Roman"/>
          <w:b/>
          <w:sz w:val="20"/>
          <w:szCs w:val="20"/>
          <w:lang w:val="en-US"/>
        </w:rPr>
        <w:t>b</w:t>
      </w:r>
      <w:r w:rsidRPr="00C90607">
        <w:rPr>
          <w:rFonts w:ascii="Palatino Linotype" w:hAnsi="Palatino Linotype" w:cs="Times New Roman"/>
          <w:bCs/>
          <w:sz w:val="20"/>
          <w:szCs w:val="20"/>
          <w:lang w:val="en-US"/>
        </w:rPr>
        <w:t>)</w:t>
      </w:r>
      <w:r w:rsidR="00B439E0"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average annual percent changes in total cancer incidence in cases with T2DM and controls. Also here, data of the total population, as well as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m</w:t>
      </w:r>
      <w:r w:rsidR="00B439E0" w:rsidRPr="00C90607">
        <w:rPr>
          <w:rFonts w:ascii="Palatino Linotype" w:hAnsi="Palatino Linotype" w:cs="Times New Roman"/>
          <w:sz w:val="20"/>
          <w:szCs w:val="20"/>
          <w:lang w:val="en-US"/>
        </w:rPr>
        <w:t>ale and female cases are shown.</w:t>
      </w:r>
    </w:p>
    <w:p w14:paraId="1248C284" w14:textId="401723CB" w:rsidR="00C90607" w:rsidRPr="00C90607" w:rsidRDefault="00C90607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Figure 5.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Cumulative frequency (crude, non-adjusted data) of different cancer types in non-diabetic controls and in cases with Type 2 diabetes. (</w:t>
      </w: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a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) total data, (</w:t>
      </w: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b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) cancer site distribution in males, (</w:t>
      </w: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c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>) cancer site distribution in female patients</w:t>
      </w:r>
    </w:p>
    <w:p w14:paraId="31D1C88D" w14:textId="69B07CF2" w:rsidR="00B439E0" w:rsidRPr="00C90607" w:rsidRDefault="00B439E0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 xml:space="preserve">Figure 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6</w:t>
      </w: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Odds ratio of development of cancer in T2DM cases compared to controls. Detailed data for individual cancer sites are shown. The panel shows data for the total population, for a male-to-female comparison as well as comparison of 18-59 vs. 60+ age groups.</w:t>
      </w:r>
    </w:p>
    <w:p w14:paraId="58079C3E" w14:textId="16F5C308" w:rsidR="00B439E0" w:rsidRPr="00C90607" w:rsidRDefault="00B439E0" w:rsidP="00B439E0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 xml:space="preserve">Figure </w:t>
      </w:r>
      <w:r w:rsidR="00C90607"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7</w:t>
      </w:r>
      <w:r w:rsidRPr="00C90607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.</w:t>
      </w:r>
      <w:r w:rsidRPr="00C90607">
        <w:rPr>
          <w:rFonts w:ascii="Palatino Linotype" w:hAnsi="Palatino Linotype" w:cs="Times New Roman"/>
          <w:sz w:val="20"/>
          <w:szCs w:val="20"/>
          <w:lang w:val="en-US"/>
        </w:rPr>
        <w:t xml:space="preserve"> Average annual percent changes in incidence for individual cancer types in cases with T2DM and in controls. Detailed data for individual cancer sites. Data for the total population, for a male-to-female comparison as well as comparison of 18-59 vs. 60+ age groups are shown.</w:t>
      </w:r>
    </w:p>
    <w:p w14:paraId="04325BCF" w14:textId="1CE26CD7" w:rsidR="00B439E0" w:rsidRPr="00C90607" w:rsidRDefault="00C90607">
      <w:pPr>
        <w:rPr>
          <w:rFonts w:ascii="Palatino Linotype" w:hAnsi="Palatino Linotype"/>
          <w:sz w:val="20"/>
          <w:szCs w:val="20"/>
          <w:lang w:val="en-US"/>
        </w:rPr>
      </w:pPr>
      <w:r w:rsidRPr="00C90607">
        <w:rPr>
          <w:rFonts w:ascii="Palatino Linotype" w:hAnsi="Palatino Linotype"/>
          <w:b/>
          <w:bCs/>
          <w:sz w:val="20"/>
          <w:szCs w:val="20"/>
          <w:lang w:val="en-US"/>
        </w:rPr>
        <w:t>Figure 8.</w:t>
      </w:r>
      <w:r w:rsidRPr="00C90607">
        <w:rPr>
          <w:rFonts w:ascii="Palatino Linotype" w:hAnsi="Palatino Linotype"/>
          <w:sz w:val="20"/>
          <w:szCs w:val="20"/>
          <w:lang w:val="en-US"/>
        </w:rPr>
        <w:t xml:space="preserve"> Age distribution of site-specific incident cancer types in non-diabetic controls and in patients with type 2 diabetes mellitus. Cancer sites are ordered according to the relative frequency of the 18-39</w:t>
      </w:r>
      <w:r w:rsidR="00CB5019">
        <w:rPr>
          <w:rFonts w:ascii="Palatino Linotype" w:hAnsi="Palatino Linotype"/>
          <w:sz w:val="20"/>
          <w:szCs w:val="20"/>
          <w:lang w:val="en-US"/>
        </w:rPr>
        <w:t>-</w:t>
      </w:r>
      <w:r w:rsidRPr="00C90607">
        <w:rPr>
          <w:rFonts w:ascii="Palatino Linotype" w:hAnsi="Palatino Linotype"/>
          <w:sz w:val="20"/>
          <w:szCs w:val="20"/>
          <w:lang w:val="en-US"/>
        </w:rPr>
        <w:t>year-old group in non-diabetic controls.</w:t>
      </w:r>
    </w:p>
    <w:sectPr w:rsidR="00B439E0" w:rsidRPr="00C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E0"/>
    <w:rsid w:val="00B439E0"/>
    <w:rsid w:val="00C90607"/>
    <w:rsid w:val="00C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7324"/>
  <w15:chartTrackingRefBased/>
  <w15:docId w15:val="{4A4487D0-0724-40C1-B2FB-90CFC70A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39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</dc:creator>
  <cp:keywords/>
  <dc:description/>
  <cp:lastModifiedBy>Bosnyák-Horváth Viktória</cp:lastModifiedBy>
  <cp:revision>3</cp:revision>
  <dcterms:created xsi:type="dcterms:W3CDTF">2024-02-16T00:14:00Z</dcterms:created>
  <dcterms:modified xsi:type="dcterms:W3CDTF">2024-02-19T10:01:00Z</dcterms:modified>
</cp:coreProperties>
</file>