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198AB" w14:textId="68B8D453" w:rsidR="00985DAD" w:rsidRPr="006D165B" w:rsidRDefault="006D165B" w:rsidP="00FB2ECB">
      <w:pPr>
        <w:spacing w:line="480" w:lineRule="auto"/>
        <w:ind w:firstLine="420"/>
        <w:jc w:val="left"/>
        <w:rPr>
          <w:rFonts w:ascii="Times" w:hAnsi="Times"/>
        </w:rPr>
      </w:pPr>
      <w:r>
        <w:rPr>
          <w:rFonts w:ascii="Times" w:hAnsi="Times"/>
          <w:b/>
        </w:rPr>
        <w:t>LEGEND SUPPLEMENTARY FIGURES</w:t>
      </w:r>
    </w:p>
    <w:p w14:paraId="1D6AB290" w14:textId="77777777" w:rsidR="00985DAD" w:rsidRDefault="00985DAD">
      <w:pPr>
        <w:spacing w:line="360" w:lineRule="auto"/>
        <w:rPr>
          <w:rFonts w:ascii="Times" w:hAnsi="Times"/>
          <w:b/>
        </w:rPr>
      </w:pPr>
    </w:p>
    <w:p w14:paraId="2150FB02" w14:textId="77777777" w:rsidR="00985DAD" w:rsidRDefault="006D165B">
      <w:pPr>
        <w:spacing w:line="360" w:lineRule="auto"/>
        <w:rPr>
          <w:rFonts w:ascii="Times" w:hAnsi="Times"/>
        </w:rPr>
      </w:pPr>
      <w:r>
        <w:rPr>
          <w:rFonts w:ascii="Times" w:hAnsi="Times"/>
          <w:b/>
        </w:rPr>
        <w:t xml:space="preserve">Figure S1. </w:t>
      </w:r>
      <w:r>
        <w:rPr>
          <w:rFonts w:ascii="Times" w:hAnsi="Times"/>
        </w:rPr>
        <w:t>PAUP*10Altivec phylogenetic analysis of insect CSPs, DBPs, and RBPs. Mp10 and related proteins (Allergen, TIF, Mucin, WAS/WASL, and SamkC) are from Tables S2 and S3. Bommo-CSPs and Trica</w:t>
      </w:r>
      <w:r>
        <w:t xml:space="preserve"> </w:t>
      </w:r>
      <w:r w:rsidRPr="006D165B">
        <w:rPr>
          <w:rFonts w:ascii="Times Roman" w:hAnsi="Times Roman"/>
        </w:rPr>
        <w:t>AAJJ0012J</w:t>
      </w:r>
      <w:r>
        <w:t xml:space="preserve"> </w:t>
      </w:r>
      <w:r>
        <w:rPr>
          <w:rFonts w:ascii="Times" w:hAnsi="Times"/>
        </w:rPr>
        <w:t>are from Xuan et al. [24] and Liu et al. [37-38]. Whitefly BemtaCSP1 is from Liu et al. [28, 30-31, 37, 67]. Bacterial CSPs (</w:t>
      </w:r>
      <w:r>
        <w:rPr>
          <w:rFonts w:ascii="Times" w:hAnsi="Times"/>
          <w:i/>
        </w:rPr>
        <w:t>E. coli</w:t>
      </w:r>
      <w:r>
        <w:rPr>
          <w:rFonts w:ascii="Times" w:hAnsi="Times"/>
        </w:rPr>
        <w:t xml:space="preserve"> WP_08938515) are from Liu et al. [38]. DBP amino acid sequences (transcriptional regulator, XRE, helix-turn-helix, AcrR, DGR, and Avd proteins) are from Table S3. Table S4 presents the selection of RBP proteins. </w:t>
      </w:r>
      <w:r>
        <w:rPr>
          <w:rFonts w:ascii="Times" w:hAnsi="Times"/>
          <w:b/>
        </w:rPr>
        <w:t xml:space="preserve">A. </w:t>
      </w:r>
      <w:r>
        <w:rPr>
          <w:rFonts w:ascii="Times" w:hAnsi="Times"/>
        </w:rPr>
        <w:t>Bio-NJ analysis</w:t>
      </w:r>
      <w:r>
        <w:rPr>
          <w:rFonts w:ascii="Times" w:hAnsi="Times"/>
          <w:color w:val="18191B"/>
          <w:kern w:val="0"/>
        </w:rPr>
        <w:t xml:space="preserve">. </w:t>
      </w:r>
      <w:r>
        <w:rPr>
          <w:rFonts w:ascii="Times" w:hAnsi="Times"/>
          <w:b/>
        </w:rPr>
        <w:t>B.</w:t>
      </w:r>
      <w:r>
        <w:rPr>
          <w:rFonts w:ascii="Times" w:hAnsi="Times"/>
        </w:rPr>
        <w:t xml:space="preserve"> </w:t>
      </w:r>
      <w:r>
        <w:rPr>
          <w:rStyle w:val="slug-doi"/>
          <w:rFonts w:ascii="Times" w:hAnsi="Times"/>
        </w:rPr>
        <w:t>Bootstrap/Jackknife algorithm analysis</w:t>
      </w:r>
      <w:r>
        <w:rPr>
          <w:rFonts w:ascii="Times" w:hAnsi="Times"/>
        </w:rPr>
        <w:t>. The red dots show orthology groupings supported by high bootstrap values (≥ 50%). The red asterisk indicates Mp10’s position (*): grouping with WAS/WASL, Mucin, SamkC, CWP, Rho, and CSP. For comparative molecular analysis, the amino acid sequences of proteins are used. Amino acid tree (data matrix: total characters 1089, constant characters 285, variable parsimony-uninformative characters 279, parsimony-informative characters 525, all characters of type unord, all characters have equal weight): Length 5532, CI 0.653, RI 0.528, RC 0.345, HI 0.347, G-fit -361.010. Outgroup: Bommo-CS2, OIC81003, and OIC85870.</w:t>
      </w:r>
    </w:p>
    <w:p w14:paraId="3ABA3426" w14:textId="77777777" w:rsidR="00985DAD" w:rsidRDefault="00985DAD">
      <w:pPr>
        <w:spacing w:line="360" w:lineRule="auto"/>
        <w:ind w:firstLine="360"/>
        <w:rPr>
          <w:rFonts w:ascii="Times" w:hAnsi="Times"/>
        </w:rPr>
      </w:pPr>
    </w:p>
    <w:p w14:paraId="146F6708" w14:textId="77777777" w:rsidR="00985DAD" w:rsidRDefault="006D165B">
      <w:pPr>
        <w:spacing w:line="360" w:lineRule="auto"/>
        <w:rPr>
          <w:rFonts w:ascii="Times" w:hAnsi="Times"/>
        </w:rPr>
      </w:pPr>
      <w:r>
        <w:rPr>
          <w:rFonts w:ascii="Times" w:hAnsi="Times"/>
          <w:b/>
        </w:rPr>
        <w:t xml:space="preserve">Figure S2. </w:t>
      </w:r>
      <w:r>
        <w:rPr>
          <w:rFonts w:ascii="Times" w:hAnsi="Times"/>
        </w:rPr>
        <w:t>Myzpe</w:t>
      </w:r>
      <w:r>
        <w:rPr>
          <w:rFonts w:ascii="Times" w:hAnsi="Times"/>
          <w:b/>
        </w:rPr>
        <w:t xml:space="preserve"> </w:t>
      </w:r>
      <w:r>
        <w:rPr>
          <w:rFonts w:ascii="Times" w:hAnsi="Times"/>
        </w:rPr>
        <w:t xml:space="preserve">Mp10’s alignment with related proteins from the CSP, Allergen, Mucin, Rho, TIF, ASRP, and NPCP families (see Table S2). This is the “CSP” consensus sequence, below the alignment. High consensus color: red. Low consensus color: blue. Met-1 from Mp10 (Myzpe) and KAG6454812 (Manse) signal peptide (37-42 amino acids) is referred to as amino acid 1. The bacterial </w:t>
      </w:r>
      <w:r>
        <w:rPr>
          <w:rFonts w:ascii="Times" w:hAnsi="Times"/>
          <w:i/>
        </w:rPr>
        <w:t>A. baumannii</w:t>
      </w:r>
      <w:r>
        <w:rPr>
          <w:rFonts w:ascii="Times" w:hAnsi="Times"/>
        </w:rPr>
        <w:t xml:space="preserve"> “CSPs” OIC81003 and OIC85870 are included for phylogenetic and comparative molecular sequence analysis of amino acid sequences (reference outgroup, see Figures 4 &amp; S1). “CSPs” consisting of approximately 142-153 amino acids are mapped onto Mp10 to </w:t>
      </w:r>
      <w:r>
        <w:rPr>
          <w:rFonts w:ascii="Times" w:hAnsi="Times"/>
        </w:rPr>
        <w:lastRenderedPageBreak/>
        <w:t>XP_045521964 (short CSPs: Allergen group). The remaining sequences are associated with larger molecules (approximately 241 to 751 amino acids) that have a complete CSP at the protein's N-terminus (large CSPs: ASRP/Mucin group).</w:t>
      </w:r>
    </w:p>
    <w:p w14:paraId="10D04D7D" w14:textId="77777777" w:rsidR="00985DAD" w:rsidRDefault="00985DAD">
      <w:pPr>
        <w:spacing w:line="360" w:lineRule="auto"/>
        <w:rPr>
          <w:rFonts w:ascii="Times" w:hAnsi="Times"/>
          <w:highlight w:val="magenta"/>
        </w:rPr>
      </w:pPr>
    </w:p>
    <w:p w14:paraId="22397500" w14:textId="77777777" w:rsidR="00985DAD" w:rsidRDefault="006D165B">
      <w:pPr>
        <w:spacing w:line="360" w:lineRule="auto"/>
        <w:rPr>
          <w:rFonts w:ascii="Times" w:hAnsi="Times"/>
        </w:rPr>
      </w:pPr>
      <w:r>
        <w:rPr>
          <w:rFonts w:ascii="Times" w:hAnsi="Times"/>
          <w:b/>
        </w:rPr>
        <w:t>Figure S3.</w:t>
      </w:r>
      <w:r>
        <w:rPr>
          <w:rFonts w:ascii="Times" w:hAnsi="Times"/>
          <w:b/>
          <w:kern w:val="0"/>
        </w:rPr>
        <w:t xml:space="preserve"> </w:t>
      </w:r>
      <w:r>
        <w:rPr>
          <w:rFonts w:ascii="Times" w:hAnsi="Times"/>
          <w:kern w:val="0"/>
        </w:rPr>
        <w:t xml:space="preserve">The modeling of the molecular structures of Mp10 and its related proteins belonging to the </w:t>
      </w:r>
      <w:r>
        <w:rPr>
          <w:rFonts w:ascii="Times" w:hAnsi="Times"/>
        </w:rPr>
        <w:t>Allergen, Mucin, Rho, TIF, ASRP, and NPCP families</w:t>
      </w:r>
      <w:r>
        <w:rPr>
          <w:rFonts w:ascii="Times" w:hAnsi="Times"/>
          <w:kern w:val="0"/>
        </w:rPr>
        <w:t xml:space="preserve">: mucin-2-like, allergen Tha p 1, pherokine, acid trehalase, cell wall protein-stress response protein (CWP), </w:t>
      </w:r>
      <w:r>
        <w:rPr>
          <w:rFonts w:ascii="Times" w:hAnsi="Times"/>
        </w:rPr>
        <w:t xml:space="preserve">PAN1-like, </w:t>
      </w:r>
      <w:r>
        <w:rPr>
          <w:rFonts w:ascii="Times" w:hAnsi="Times"/>
          <w:kern w:val="0"/>
        </w:rPr>
        <w:t xml:space="preserve">WAS/WASL, WASP, Rick-A, Formin-1-like, </w:t>
      </w:r>
      <w:r>
        <w:rPr>
          <w:rFonts w:ascii="Times" w:hAnsi="Times"/>
        </w:rPr>
        <w:t>UL36, Ib alpha chain-like (PgIb),</w:t>
      </w:r>
      <w:r>
        <w:rPr>
          <w:rFonts w:ascii="Times" w:hAnsi="Times"/>
          <w:color w:val="000000"/>
          <w:kern w:val="24"/>
          <w:sz w:val="36"/>
        </w:rPr>
        <w:t xml:space="preserve"> </w:t>
      </w:r>
      <w:r>
        <w:rPr>
          <w:rFonts w:ascii="Times" w:hAnsi="Times"/>
        </w:rPr>
        <w:t xml:space="preserve">major outer envelope glycoprotein (jg5928), SamkC, LRR, and YLP motif-containing protein 1-like/NNK (see </w:t>
      </w:r>
      <w:r>
        <w:rPr>
          <w:rFonts w:ascii="Times" w:hAnsi="Times"/>
          <w:kern w:val="0"/>
        </w:rPr>
        <w:t xml:space="preserve">Table S2). Figure 4 illustrates how they align with “CSP” molecular sequences. </w:t>
      </w:r>
      <w:r>
        <w:rPr>
          <w:rFonts w:ascii="Times" w:hAnsi="Times"/>
        </w:rPr>
        <w:t xml:space="preserve">In order to identify the signal peptide and cut it off based on N-terminal sequencing by Edman degradation, sequences were aligned with Bommo-CSP1 [17]. Next, using Swissmodel.expasy.org, the mature protein's amino acid sequence was subjected to molecule structure modeling as for WASP and PgIb. The molecules with the highest identity score were used as template references among 1kx9.1, 1n8u.1.A, A0A0K8TVC4.1.A, A0A182NU82.1.A, A0A1Q3FP99.1.A, A0A1V1WC08.1.A, A0A2H4ZB78.1.A, A0A345BEP2.1.A, A0A6H0D4B0.1.A, A0A6I8TVU3.1.A, A0A6I8TWU8.1.A, A0A835CMW0.1.A, D6WUE8.1.A, Q3LB93.1.A, Q6H8Y7.1.A, 9W0X2.1.A, and A7UL73.1.A. </w:t>
      </w:r>
      <w:r>
        <w:rPr>
          <w:rFonts w:ascii="Times" w:hAnsi="Times"/>
          <w:kern w:val="0"/>
          <w:shd w:val="clear" w:color="auto" w:fill="FFFFFF"/>
        </w:rPr>
        <w:t>For every protein model, the Global Model Quality Estimation (GMQE) and the percentage of Sequence Identity (Seq Id) are shown.</w:t>
      </w:r>
      <w:r>
        <w:rPr>
          <w:rFonts w:ascii="Times" w:hAnsi="Times"/>
        </w:rPr>
        <w:t xml:space="preserve"> C: C-terminus, N: N-terminus. The </w:t>
      </w:r>
      <w:r>
        <w:rPr>
          <w:rFonts w:ascii="Symbol" w:hAnsi="Symbol"/>
        </w:rPr>
        <w:t></w:t>
      </w:r>
      <w:r>
        <w:rPr>
          <w:rFonts w:ascii="Times" w:hAnsi="Times"/>
        </w:rPr>
        <w:t xml:space="preserve">-helices that make up the CSP prism are numbered 1 through 6. The position of the black square with dotted lines indicates that the CSP prism is always present in the N-terminus of mucin-2, CWP, TIF, Rho, NPCP, ACRP, PAN1-like, WAS/WASL, Rick-A, Formin-1-like, UL36, jg5928, SamkC, LRR, and NNK in addition to WASP and PgIb (see Figure 5). It is anticipated that in all of these intracellular protein families, the extra-long </w:t>
      </w:r>
      <w:r>
        <w:rPr>
          <w:rFonts w:ascii="Symbol" w:hAnsi="Symbol"/>
        </w:rPr>
        <w:t></w:t>
      </w:r>
      <w:r>
        <w:rPr>
          <w:rFonts w:ascii="Times" w:hAnsi="Times"/>
        </w:rPr>
        <w:t xml:space="preserve">-helical C-terminal tail (up to 13 turns) represents a transmembrane domain (TMB, see Figure 5). </w:t>
      </w:r>
    </w:p>
    <w:p w14:paraId="114A4A82" w14:textId="77777777" w:rsidR="00985DAD" w:rsidRDefault="00985DAD">
      <w:pPr>
        <w:spacing w:line="360" w:lineRule="auto"/>
        <w:ind w:firstLine="360"/>
        <w:rPr>
          <w:rFonts w:ascii="Times" w:hAnsi="Times"/>
        </w:rPr>
      </w:pPr>
    </w:p>
    <w:p w14:paraId="6A1917F8" w14:textId="77777777" w:rsidR="00985DAD" w:rsidRDefault="00985DAD">
      <w:pPr>
        <w:rPr>
          <w:rFonts w:ascii="Times" w:hAnsi="Times"/>
        </w:rPr>
      </w:pPr>
    </w:p>
    <w:sectPr w:rsidR="00985DAD">
      <w:type w:val="continuous"/>
      <w:pgSz w:w="12240" w:h="15840"/>
      <w:pgMar w:top="1440" w:right="1800" w:bottom="1440" w:left="1985"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altName w:val="Times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Times Roman">
    <w:altName w:val="Times New Roman"/>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E153B"/>
    <w:multiLevelType w:val="hybridMultilevel"/>
    <w:tmpl w:val="4DE6F7D4"/>
    <w:lvl w:ilvl="0" w:tplc="E85A4C74">
      <w:start w:val="1"/>
      <w:numFmt w:val="bullet"/>
      <w:lvlText w:val=""/>
      <w:lvlJc w:val="left"/>
      <w:pPr>
        <w:ind w:left="720" w:hanging="360"/>
      </w:pPr>
      <w:rPr>
        <w:rFonts w:ascii="Wingdings" w:eastAsia="SimSun" w:hAnsi="Wingdings"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 w15:restartNumberingAfterBreak="0">
    <w:nsid w:val="0F83429D"/>
    <w:multiLevelType w:val="hybridMultilevel"/>
    <w:tmpl w:val="70028EB0"/>
    <w:lvl w:ilvl="0" w:tplc="47E6B5BE">
      <w:start w:val="4"/>
      <w:numFmt w:val="decimal"/>
      <w:lvlText w:val="%1."/>
      <w:lvlJc w:val="left"/>
      <w:pPr>
        <w:ind w:left="360" w:hanging="360"/>
      </w:pPr>
      <w:rPr>
        <w:rFonts w:eastAsia="SimSun"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6018D3"/>
    <w:multiLevelType w:val="hybridMultilevel"/>
    <w:tmpl w:val="259A0258"/>
    <w:lvl w:ilvl="0" w:tplc="7B109F2E">
      <w:start w:val="1"/>
      <w:numFmt w:val="decimal"/>
      <w:lvlText w:val="%1."/>
      <w:lvlJc w:val="left"/>
      <w:pPr>
        <w:ind w:left="360" w:hanging="360"/>
      </w:pPr>
      <w:rPr>
        <w:rFonts w:hint="default"/>
        <w:b w:val="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D3413FA"/>
    <w:multiLevelType w:val="hybridMultilevel"/>
    <w:tmpl w:val="497EC898"/>
    <w:lvl w:ilvl="0" w:tplc="EA742B10">
      <w:start w:val="1"/>
      <w:numFmt w:val="decimal"/>
      <w:lvlText w:val="%1."/>
      <w:lvlJc w:val="left"/>
      <w:pPr>
        <w:ind w:left="360" w:hanging="360"/>
      </w:pPr>
      <w:rPr>
        <w:rFonts w:ascii="Times New Roman" w:eastAsia="SimSun" w:hAnsi="Times New Roman" w:cs="Times New Roman"/>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A68173B"/>
    <w:multiLevelType w:val="multilevel"/>
    <w:tmpl w:val="E4E6F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4311D1"/>
    <w:multiLevelType w:val="hybridMultilevel"/>
    <w:tmpl w:val="71A08FDC"/>
    <w:lvl w:ilvl="0" w:tplc="4FD6311A">
      <w:start w:val="1"/>
      <w:numFmt w:val="decimal"/>
      <w:lvlText w:val="%1."/>
      <w:lvlJc w:val="left"/>
      <w:pPr>
        <w:ind w:left="360" w:hanging="360"/>
      </w:pPr>
      <w:rPr>
        <w:rFonts w:ascii="Times New Roman" w:eastAsia="SimSun" w:hAnsi="Times New Roman" w:cs="SimSun"/>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587405E"/>
    <w:multiLevelType w:val="multilevel"/>
    <w:tmpl w:val="26B8B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BF0BDB"/>
    <w:multiLevelType w:val="multilevel"/>
    <w:tmpl w:val="0E80A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CE1077"/>
    <w:multiLevelType w:val="hybridMultilevel"/>
    <w:tmpl w:val="8FD41DDE"/>
    <w:lvl w:ilvl="0" w:tplc="7B109F2E">
      <w:start w:val="1"/>
      <w:numFmt w:val="decimal"/>
      <w:lvlText w:val="%1."/>
      <w:lvlJc w:val="left"/>
      <w:pPr>
        <w:ind w:left="360" w:hanging="360"/>
      </w:pPr>
      <w:rPr>
        <w:rFonts w:hint="default"/>
        <w:b w:val="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07090C"/>
    <w:multiLevelType w:val="hybridMultilevel"/>
    <w:tmpl w:val="B5087350"/>
    <w:lvl w:ilvl="0" w:tplc="47E6B5BE">
      <w:start w:val="3"/>
      <w:numFmt w:val="decimal"/>
      <w:lvlText w:val="%1."/>
      <w:lvlJc w:val="left"/>
      <w:pPr>
        <w:ind w:left="360" w:hanging="360"/>
      </w:pPr>
      <w:rPr>
        <w:rFonts w:eastAsia="SimSun"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505309"/>
    <w:multiLevelType w:val="multilevel"/>
    <w:tmpl w:val="8F44A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A36AA"/>
    <w:multiLevelType w:val="multilevel"/>
    <w:tmpl w:val="96B2C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537622"/>
    <w:multiLevelType w:val="hybridMultilevel"/>
    <w:tmpl w:val="396C6A22"/>
    <w:lvl w:ilvl="0" w:tplc="DC962B5E">
      <w:start w:val="1"/>
      <w:numFmt w:val="decimal"/>
      <w:lvlText w:val="%1."/>
      <w:lvlJc w:val="left"/>
      <w:pPr>
        <w:ind w:left="360" w:hanging="360"/>
      </w:pPr>
      <w:rPr>
        <w:rFonts w:eastAsia="SimSun"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ADE4324"/>
    <w:multiLevelType w:val="hybridMultilevel"/>
    <w:tmpl w:val="B074FF1A"/>
    <w:lvl w:ilvl="0" w:tplc="DE98240E">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CA31313"/>
    <w:multiLevelType w:val="hybridMultilevel"/>
    <w:tmpl w:val="259A0258"/>
    <w:lvl w:ilvl="0" w:tplc="7B109F2E">
      <w:start w:val="1"/>
      <w:numFmt w:val="decimal"/>
      <w:lvlText w:val="%1."/>
      <w:lvlJc w:val="left"/>
      <w:pPr>
        <w:ind w:left="360" w:hanging="360"/>
      </w:pPr>
      <w:rPr>
        <w:rFonts w:hint="default"/>
        <w:b w:val="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31F6720"/>
    <w:multiLevelType w:val="hybridMultilevel"/>
    <w:tmpl w:val="A1E2FD66"/>
    <w:lvl w:ilvl="0" w:tplc="035A0680">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BF725A2"/>
    <w:multiLevelType w:val="multilevel"/>
    <w:tmpl w:val="E2068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D320CD"/>
    <w:multiLevelType w:val="hybridMultilevel"/>
    <w:tmpl w:val="259A0258"/>
    <w:lvl w:ilvl="0" w:tplc="7B109F2E">
      <w:start w:val="1"/>
      <w:numFmt w:val="decimal"/>
      <w:lvlText w:val="%1."/>
      <w:lvlJc w:val="left"/>
      <w:pPr>
        <w:ind w:left="360" w:hanging="360"/>
      </w:pPr>
      <w:rPr>
        <w:rFonts w:hint="default"/>
        <w:b w:val="0"/>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F3C315D"/>
    <w:multiLevelType w:val="multilevel"/>
    <w:tmpl w:val="0420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831EAC"/>
    <w:multiLevelType w:val="hybridMultilevel"/>
    <w:tmpl w:val="259A0258"/>
    <w:lvl w:ilvl="0" w:tplc="7B109F2E">
      <w:start w:val="1"/>
      <w:numFmt w:val="decimal"/>
      <w:lvlText w:val="%1."/>
      <w:lvlJc w:val="left"/>
      <w:pPr>
        <w:ind w:left="360" w:hanging="360"/>
      </w:pPr>
      <w:rPr>
        <w:rFonts w:hint="default"/>
        <w:b w:val="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D64271E"/>
    <w:multiLevelType w:val="multilevel"/>
    <w:tmpl w:val="AB767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BB4FC7"/>
    <w:multiLevelType w:val="hybridMultilevel"/>
    <w:tmpl w:val="EFF66EFE"/>
    <w:lvl w:ilvl="0" w:tplc="6C80CFB6">
      <w:start w:val="1"/>
      <w:numFmt w:val="decimal"/>
      <w:lvlText w:val="%1."/>
      <w:lvlJc w:val="left"/>
      <w:pPr>
        <w:ind w:left="360" w:hanging="360"/>
      </w:pPr>
      <w:rPr>
        <w:rFonts w:hint="default"/>
        <w:b w:val="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16cid:durableId="1059400816">
    <w:abstractNumId w:val="0"/>
  </w:num>
  <w:num w:numId="2" w16cid:durableId="918515578">
    <w:abstractNumId w:val="1"/>
  </w:num>
  <w:num w:numId="3" w16cid:durableId="809901538">
    <w:abstractNumId w:val="14"/>
  </w:num>
  <w:num w:numId="4" w16cid:durableId="1902054853">
    <w:abstractNumId w:val="11"/>
  </w:num>
  <w:num w:numId="5" w16cid:durableId="2005817267">
    <w:abstractNumId w:val="15"/>
  </w:num>
  <w:num w:numId="6" w16cid:durableId="744231715">
    <w:abstractNumId w:val="3"/>
  </w:num>
  <w:num w:numId="7" w16cid:durableId="633828698">
    <w:abstractNumId w:val="23"/>
  </w:num>
  <w:num w:numId="8" w16cid:durableId="544682638">
    <w:abstractNumId w:val="5"/>
  </w:num>
  <w:num w:numId="9" w16cid:durableId="1316374406">
    <w:abstractNumId w:val="19"/>
  </w:num>
  <w:num w:numId="10" w16cid:durableId="787361215">
    <w:abstractNumId w:val="10"/>
  </w:num>
  <w:num w:numId="11" w16cid:durableId="1516990891">
    <w:abstractNumId w:val="7"/>
  </w:num>
  <w:num w:numId="12" w16cid:durableId="1015038416">
    <w:abstractNumId w:val="17"/>
  </w:num>
  <w:num w:numId="13" w16cid:durableId="47800811">
    <w:abstractNumId w:val="4"/>
  </w:num>
  <w:num w:numId="14" w16cid:durableId="1236355795">
    <w:abstractNumId w:val="16"/>
  </w:num>
  <w:num w:numId="15" w16cid:durableId="644555460">
    <w:abstractNumId w:val="21"/>
  </w:num>
  <w:num w:numId="16" w16cid:durableId="830484233">
    <w:abstractNumId w:val="2"/>
  </w:num>
  <w:num w:numId="17" w16cid:durableId="1658342192">
    <w:abstractNumId w:val="18"/>
  </w:num>
  <w:num w:numId="18" w16cid:durableId="1617591916">
    <w:abstractNumId w:val="9"/>
  </w:num>
  <w:num w:numId="19" w16cid:durableId="1460881693">
    <w:abstractNumId w:val="20"/>
  </w:num>
  <w:num w:numId="20" w16cid:durableId="1287077108">
    <w:abstractNumId w:val="22"/>
  </w:num>
  <w:num w:numId="21" w16cid:durableId="1930235508">
    <w:abstractNumId w:val="12"/>
  </w:num>
  <w:num w:numId="22" w16cid:durableId="650327424">
    <w:abstractNumId w:val="13"/>
  </w:num>
  <w:num w:numId="23" w16cid:durableId="522062880">
    <w:abstractNumId w:val="6"/>
  </w:num>
  <w:num w:numId="24" w16cid:durableId="2881685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drawingGridHorizontalSpacing w:val="243"/>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65B"/>
    <w:rsid w:val="006D165B"/>
    <w:rsid w:val="00985DAD"/>
    <w:rsid w:val="00FB2E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FD92C8"/>
  <w14:defaultImageDpi w14:val="300"/>
  <w15:docId w15:val="{4FA97130-1ACC-4FCF-8391-13BB2B54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SimSun"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noProof/>
      <w:kern w:val="2"/>
      <w:sz w:val="24"/>
      <w:szCs w:val="24"/>
    </w:rPr>
  </w:style>
  <w:style w:type="paragraph" w:styleId="Heading1">
    <w:name w:val="heading 1"/>
    <w:basedOn w:val="Normal"/>
    <w:qFormat/>
    <w:pPr>
      <w:widowControl/>
      <w:spacing w:before="100" w:beforeAutospacing="1" w:after="100" w:afterAutospacing="1"/>
      <w:jc w:val="left"/>
      <w:outlineLvl w:val="0"/>
    </w:pPr>
    <w:rPr>
      <w:rFonts w:ascii="SimSun" w:hAnsi="SimSun"/>
      <w:b/>
      <w:bCs/>
      <w:kern w:val="36"/>
      <w:sz w:val="48"/>
      <w:szCs w:val="48"/>
    </w:rPr>
  </w:style>
  <w:style w:type="paragraph" w:styleId="Heading2">
    <w:name w:val="heading 2"/>
    <w:basedOn w:val="Normal"/>
    <w:next w:val="Normal"/>
    <w:qFormat/>
    <w:pPr>
      <w:keepNext/>
      <w:keepLines/>
      <w:spacing w:before="260" w:after="260" w:line="416" w:lineRule="auto"/>
      <w:outlineLvl w:val="1"/>
    </w:pPr>
    <w:rPr>
      <w:rFonts w:ascii="Calibri" w:hAnsi="Calibri"/>
      <w:b/>
      <w:bCs/>
      <w:sz w:val="32"/>
      <w:szCs w:val="32"/>
    </w:rPr>
  </w:style>
  <w:style w:type="paragraph" w:styleId="Heading3">
    <w:name w:val="heading 3"/>
    <w:basedOn w:val="Normal"/>
    <w:next w:val="Normal"/>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字符"/>
    <w:rPr>
      <w:rFonts w:ascii="SimSun" w:eastAsia="SimSun" w:hAnsi="SimSun" w:cs="Times New Roman"/>
      <w:b/>
      <w:bCs/>
      <w:kern w:val="36"/>
      <w:sz w:val="48"/>
      <w:szCs w:val="48"/>
    </w:rPr>
  </w:style>
  <w:style w:type="character" w:customStyle="1" w:styleId="2">
    <w:name w:val="标题 2字符"/>
    <w:semiHidden/>
    <w:rPr>
      <w:rFonts w:ascii="Calibri" w:eastAsia="SimSun" w:hAnsi="Calibri" w:cs="Times New Roman"/>
      <w:b/>
      <w:bCs/>
      <w:sz w:val="32"/>
      <w:szCs w:val="32"/>
    </w:rPr>
  </w:style>
  <w:style w:type="character" w:customStyle="1" w:styleId="3">
    <w:name w:val="标题 3字符"/>
    <w:semiHidden/>
    <w:rPr>
      <w:rFonts w:ascii="Cambria" w:eastAsia="SimSun" w:hAnsi="Cambria" w:cs="Times New Roman"/>
      <w:b/>
      <w:bCs/>
      <w:sz w:val="32"/>
      <w:szCs w:val="32"/>
    </w:rPr>
  </w:style>
  <w:style w:type="paragraph" w:styleId="Title">
    <w:name w:val="Title"/>
    <w:basedOn w:val="Normal"/>
    <w:qFormat/>
    <w:pPr>
      <w:widowControl/>
      <w:spacing w:line="360" w:lineRule="atLeast"/>
      <w:jc w:val="center"/>
    </w:pPr>
    <w:rPr>
      <w:rFonts w:ascii="Times" w:eastAsia="Times" w:hAnsi="Times"/>
      <w:b/>
      <w:kern w:val="0"/>
      <w:sz w:val="28"/>
      <w:szCs w:val="20"/>
      <w:lang w:val="sv-SE" w:eastAsia="en-US"/>
    </w:rPr>
  </w:style>
  <w:style w:type="character" w:customStyle="1" w:styleId="a">
    <w:name w:val="标题字符"/>
    <w:rPr>
      <w:rFonts w:ascii="Times" w:eastAsia="Times" w:hAnsi="Times" w:cs="Times New Roman"/>
      <w:b/>
      <w:kern w:val="0"/>
      <w:sz w:val="28"/>
      <w:szCs w:val="20"/>
      <w:lang w:val="sv-SE" w:eastAsia="en-US"/>
    </w:rPr>
  </w:style>
  <w:style w:type="character" w:styleId="Hyperlink">
    <w:name w:val="Hyperlink"/>
    <w:unhideWhenUsed/>
    <w:rPr>
      <w:color w:val="0000FF"/>
      <w:u w:val="single"/>
    </w:rPr>
  </w:style>
  <w:style w:type="paragraph" w:styleId="BalloonText">
    <w:name w:val="Balloon Text"/>
    <w:basedOn w:val="Normal"/>
    <w:semiHidden/>
    <w:unhideWhenUsed/>
    <w:rPr>
      <w:rFonts w:ascii="Lucida Grande" w:hAnsi="Lucida Grande" w:cs="Courier New"/>
      <w:sz w:val="18"/>
      <w:szCs w:val="18"/>
    </w:rPr>
  </w:style>
  <w:style w:type="character" w:customStyle="1" w:styleId="a0">
    <w:name w:val="批注框文本字符"/>
    <w:semiHidden/>
    <w:rPr>
      <w:rFonts w:ascii="Lucida Grande" w:eastAsia="SimSun" w:hAnsi="Lucida Grande" w:cs="Courier New"/>
      <w:sz w:val="18"/>
      <w:szCs w:val="18"/>
    </w:rPr>
  </w:style>
  <w:style w:type="paragraph" w:customStyle="1" w:styleId="Rfrence">
    <w:name w:val="Référence"/>
    <w:basedOn w:val="Normal"/>
    <w:pPr>
      <w:widowControl/>
      <w:ind w:left="284" w:hanging="284"/>
      <w:jc w:val="left"/>
    </w:pPr>
    <w:rPr>
      <w:rFonts w:ascii="Times New Roman" w:eastAsia="Times New Roman" w:hAnsi="Times New Roman"/>
      <w:kern w:val="0"/>
      <w:lang w:val="sv-SE" w:eastAsia="en-US"/>
    </w:rPr>
  </w:style>
  <w:style w:type="paragraph" w:styleId="BodyTextIndent">
    <w:name w:val="Body Text Indent"/>
    <w:basedOn w:val="Normal"/>
    <w:pPr>
      <w:widowControl/>
      <w:ind w:left="283" w:hangingChars="118" w:hanging="283"/>
      <w:jc w:val="left"/>
    </w:pPr>
    <w:rPr>
      <w:rFonts w:ascii="Times" w:hAnsi="Times"/>
      <w:kern w:val="0"/>
      <w:szCs w:val="20"/>
    </w:rPr>
  </w:style>
  <w:style w:type="character" w:customStyle="1" w:styleId="a1">
    <w:name w:val="正文文本缩进字符"/>
    <w:rPr>
      <w:rFonts w:ascii="Times" w:eastAsia="SimSun" w:hAnsi="Times" w:cs="Times New Roman"/>
      <w:noProof/>
      <w:kern w:val="0"/>
      <w:szCs w:val="20"/>
    </w:rPr>
  </w:style>
  <w:style w:type="character" w:customStyle="1" w:styleId="st1">
    <w:name w:val="st1"/>
  </w:style>
  <w:style w:type="character" w:styleId="HTMLCite">
    <w:name w:val="HTML Cite"/>
    <w:rPr>
      <w:i w:val="0"/>
      <w:iCs w:val="0"/>
      <w:color w:val="228822"/>
    </w:rPr>
  </w:style>
  <w:style w:type="character" w:styleId="FollowedHyperlink">
    <w:name w:val="FollowedHyperlink"/>
    <w:semiHidden/>
    <w:unhideWhenUsed/>
    <w:rPr>
      <w:color w:val="800080"/>
      <w:u w:val="single"/>
    </w:rPr>
  </w:style>
  <w:style w:type="paragraph" w:styleId="ListParagraph">
    <w:name w:val="List Paragraph"/>
    <w:basedOn w:val="Normal"/>
    <w:qFormat/>
    <w:pPr>
      <w:ind w:firstLineChars="200" w:firstLine="420"/>
    </w:pPr>
  </w:style>
  <w:style w:type="character" w:styleId="Emphasis">
    <w:name w:val="Emphasis"/>
    <w:qFormat/>
    <w:rPr>
      <w:rFonts w:cs="Times New Roman"/>
      <w:color w:val="DD4B39"/>
    </w:rPr>
  </w:style>
  <w:style w:type="paragraph" w:styleId="NormalWeb">
    <w:name w:val="Normal (Web)"/>
    <w:basedOn w:val="Normal"/>
    <w:semiHidden/>
    <w:unhideWhenUsed/>
    <w:pPr>
      <w:widowControl/>
      <w:spacing w:before="100" w:beforeAutospacing="1" w:after="100" w:afterAutospacing="1"/>
      <w:jc w:val="left"/>
    </w:pPr>
    <w:rPr>
      <w:rFonts w:ascii="Times" w:hAnsi="Times"/>
      <w:kern w:val="0"/>
      <w:sz w:val="20"/>
      <w:szCs w:val="20"/>
    </w:rPr>
  </w:style>
  <w:style w:type="paragraph" w:styleId="BodyTextIndent3">
    <w:name w:val="Body Text Indent 3"/>
    <w:basedOn w:val="Normal"/>
    <w:semiHidden/>
    <w:unhideWhenUsed/>
    <w:pPr>
      <w:spacing w:after="120"/>
      <w:ind w:leftChars="200" w:left="420"/>
    </w:pPr>
    <w:rPr>
      <w:sz w:val="16"/>
      <w:szCs w:val="16"/>
    </w:rPr>
  </w:style>
  <w:style w:type="character" w:customStyle="1" w:styleId="30">
    <w:name w:val="正文文本缩进 3字符"/>
    <w:semiHidden/>
    <w:rPr>
      <w:rFonts w:ascii="Cambria" w:eastAsia="SimSun" w:hAnsi="Cambria" w:cs="Times New Roman"/>
      <w:sz w:val="16"/>
      <w:szCs w:val="16"/>
    </w:rPr>
  </w:style>
  <w:style w:type="paragraph" w:styleId="HTMLPreformatted">
    <w:name w:val="HTML Preformatted"/>
    <w:basedOn w:val="Normal"/>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Courier New"/>
      <w:kern w:val="0"/>
    </w:rPr>
  </w:style>
  <w:style w:type="character" w:customStyle="1" w:styleId="HTML">
    <w:name w:val="HTML  预设格式字符"/>
    <w:uiPriority w:val="99"/>
    <w:rPr>
      <w:rFonts w:ascii="SimSun" w:eastAsia="SimSun" w:hAnsi="SimSun" w:cs="Courier New"/>
      <w:kern w:val="0"/>
    </w:rPr>
  </w:style>
  <w:style w:type="character" w:customStyle="1" w:styleId="slug-doi">
    <w:name w:val="slug-doi"/>
  </w:style>
  <w:style w:type="character" w:customStyle="1" w:styleId="article-headerjournal">
    <w:name w:val="article-header__journal"/>
  </w:style>
  <w:style w:type="character" w:customStyle="1" w:styleId="apple-converted-space">
    <w:name w:val="apple-converted-space"/>
  </w:style>
  <w:style w:type="character" w:customStyle="1" w:styleId="article-headerpages">
    <w:name w:val="article-header__pages"/>
  </w:style>
  <w:style w:type="character" w:customStyle="1" w:styleId="article-headerdate">
    <w:name w:val="article-header__date"/>
  </w:style>
  <w:style w:type="paragraph" w:customStyle="1" w:styleId="c-article-info-details">
    <w:name w:val="c-article-info-details"/>
    <w:basedOn w:val="Normal"/>
    <w:pPr>
      <w:widowControl/>
      <w:spacing w:before="100" w:beforeAutospacing="1" w:after="100" w:afterAutospacing="1"/>
      <w:jc w:val="left"/>
    </w:pPr>
    <w:rPr>
      <w:rFonts w:ascii="SimSun" w:hAnsi="SimSun"/>
      <w:kern w:val="0"/>
      <w:sz w:val="20"/>
      <w:szCs w:val="20"/>
    </w:rPr>
  </w:style>
  <w:style w:type="character" w:customStyle="1" w:styleId="u-visually-hidden">
    <w:name w:val="u-visually-hidden"/>
  </w:style>
  <w:style w:type="character" w:customStyle="1" w:styleId="bold">
    <w:name w:val="bold"/>
  </w:style>
  <w:style w:type="character" w:customStyle="1" w:styleId="topiccitationitalics">
    <w:name w:val="topiccitationitalics"/>
  </w:style>
  <w:style w:type="character" w:customStyle="1" w:styleId="doi">
    <w:name w:val="doi"/>
  </w:style>
  <w:style w:type="character" w:customStyle="1" w:styleId="fm-citation-ids-label">
    <w:name w:val="fm-citation-ids-label"/>
  </w:style>
  <w:style w:type="character" w:customStyle="1" w:styleId="period">
    <w:name w:val="period"/>
  </w:style>
  <w:style w:type="character" w:customStyle="1" w:styleId="cit">
    <w:name w:val="cit"/>
  </w:style>
  <w:style w:type="character" w:customStyle="1" w:styleId="citation-doi">
    <w:name w:val="citation-doi"/>
  </w:style>
  <w:style w:type="character" w:customStyle="1" w:styleId="secondary-date">
    <w:name w:val="secondary-date"/>
  </w:style>
  <w:style w:type="character" w:customStyle="1" w:styleId="authors-list-item">
    <w:name w:val="authors-list-item"/>
  </w:style>
  <w:style w:type="character" w:customStyle="1" w:styleId="author-sup-separator">
    <w:name w:val="author-sup-separator"/>
  </w:style>
  <w:style w:type="character" w:customStyle="1" w:styleId="comma">
    <w:name w:val="comma"/>
  </w:style>
  <w:style w:type="character" w:customStyle="1" w:styleId="jpfdse">
    <w:name w:val="jpfdse"/>
  </w:style>
  <w:style w:type="character" w:customStyle="1" w:styleId="al-author-name-more">
    <w:name w:val="al-author-name-more"/>
  </w:style>
  <w:style w:type="character" w:customStyle="1" w:styleId="delimiter">
    <w:name w:val="delimiter"/>
  </w:style>
  <w:style w:type="character" w:customStyle="1" w:styleId="title-text">
    <w:name w:val="title-text"/>
  </w:style>
  <w:style w:type="character" w:customStyle="1" w:styleId="sr-only">
    <w:name w:val="sr-only"/>
  </w:style>
  <w:style w:type="character" w:customStyle="1" w:styleId="given-name">
    <w:name w:val="given-name"/>
  </w:style>
  <w:style w:type="character" w:customStyle="1" w:styleId="text">
    <w:name w:val="text"/>
  </w:style>
  <w:style w:type="character" w:customStyle="1" w:styleId="author-ref">
    <w:name w:val="author-ref"/>
  </w:style>
  <w:style w:type="character" w:customStyle="1" w:styleId="vuuxrf">
    <w:name w:val="vuuxrf"/>
  </w:style>
  <w:style w:type="character" w:customStyle="1" w:styleId="dyjrff">
    <w:name w:val="dyjrff"/>
  </w:style>
  <w:style w:type="character" w:customStyle="1" w:styleId="lhlbod">
    <w:name w:val="lhlbod"/>
  </w:style>
  <w:style w:type="character" w:customStyle="1" w:styleId="referenceauthorslistsuffix">
    <w:name w:val="reference__authors_list_suffix"/>
  </w:style>
  <w:style w:type="character" w:customStyle="1" w:styleId="al-author-name">
    <w:name w:val="al-author-name"/>
  </w:style>
  <w:style w:type="character" w:customStyle="1" w:styleId="accordion-tabbedtab-mobile">
    <w:name w:val="accordion-tabbed__tab-mobile"/>
  </w:style>
  <w:style w:type="character" w:customStyle="1" w:styleId="comma-separator">
    <w:name w:val="comma-separator"/>
  </w:style>
  <w:style w:type="character" w:customStyle="1" w:styleId="authors">
    <w:name w:val="authors"/>
  </w:style>
  <w:style w:type="character" w:customStyle="1" w:styleId="heading">
    <w:name w:val="heading"/>
  </w:style>
  <w:style w:type="character" w:customStyle="1" w:styleId="anchor-text">
    <w:name w:val="anchor-text"/>
  </w:style>
  <w:style w:type="character" w:customStyle="1" w:styleId="feature">
    <w:name w:val="feature"/>
  </w:style>
  <w:style w:type="paragraph" w:styleId="BodyText">
    <w:name w:val="Body Text"/>
    <w:basedOn w:val="Normal"/>
    <w:pPr>
      <w:spacing w:line="480" w:lineRule="auto"/>
      <w:jc w:val="left"/>
    </w:pPr>
    <w:rPr>
      <w:rFonts w:ascii="Times" w:hAnsi="Times"/>
    </w:rPr>
  </w:style>
  <w:style w:type="character" w:customStyle="1" w:styleId="names">
    <w:name w:val="names"/>
  </w:style>
  <w:style w:type="character" w:customStyle="1" w:styleId="colon">
    <w:name w:val="colon"/>
  </w:style>
  <w:style w:type="character" w:customStyle="1" w:styleId="cond-bold">
    <w:name w:val="cond-bold"/>
  </w:style>
  <w:style w:type="character" w:customStyle="1" w:styleId="y2iqfc">
    <w:name w:val="y2iqfc"/>
  </w:style>
  <w:style w:type="paragraph" w:styleId="BodyTextIndent2">
    <w:name w:val="Body Text Indent 2"/>
    <w:basedOn w:val="Normal"/>
    <w:pPr>
      <w:spacing w:line="360" w:lineRule="auto"/>
      <w:ind w:firstLine="360"/>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576</Words>
  <Characters>3395</Characters>
  <Application>Microsoft Office Word</Application>
  <DocSecurity>0</DocSecurity>
  <Lines>55</Lines>
  <Paragraphs>4</Paragraphs>
  <ScaleCrop>false</ScaleCrop>
  <HeadingPairs>
    <vt:vector size="4" baseType="variant">
      <vt:variant>
        <vt:lpstr>Title</vt:lpstr>
      </vt:variant>
      <vt:variant>
        <vt:i4>1</vt:i4>
      </vt:variant>
      <vt:variant>
        <vt:lpstr>标题</vt:lpstr>
      </vt:variant>
      <vt:variant>
        <vt:i4>1</vt:i4>
      </vt:variant>
    </vt:vector>
  </HeadingPairs>
  <TitlesOfParts>
    <vt:vector size="2" baseType="lpstr">
      <vt:lpstr>MDPI-IJMS</vt:lpstr>
      <vt:lpstr/>
    </vt:vector>
  </TitlesOfParts>
  <Company/>
  <LinksUpToDate>false</LinksUpToDate>
  <CharactersWithSpaces>3967</CharactersWithSpaces>
  <SharedDoc>false</SharedDoc>
  <HLinks>
    <vt:vector size="6" baseType="variant">
      <vt:variant>
        <vt:i4>1179654</vt:i4>
      </vt:variant>
      <vt:variant>
        <vt:i4>27</vt:i4>
      </vt:variant>
      <vt:variant>
        <vt:i4>0</vt:i4>
      </vt:variant>
      <vt:variant>
        <vt:i4>5</vt:i4>
      </vt:variant>
      <vt:variant>
        <vt:lpwstr>https://doi.org/10.3389/fmicb.2019.00523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MDPI-IJMS</dc:title>
  <dc:subject/>
  <dc:creator>Jean Francois Picimbon</dc:creator>
  <cp:keywords/>
  <cp:lastModifiedBy>Iva Milutinovic</cp:lastModifiedBy>
  <cp:revision>3</cp:revision>
  <dcterms:created xsi:type="dcterms:W3CDTF">2024-02-27T19:00:00Z</dcterms:created>
  <dcterms:modified xsi:type="dcterms:W3CDTF">2024-03-04T15:58:00Z</dcterms:modified>
</cp:coreProperties>
</file>