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B1FD" w14:textId="77777777" w:rsidR="002D5761" w:rsidRDefault="006C5E9A" w:rsidP="00E56371">
      <w:pPr>
        <w:widowControl/>
        <w:spacing w:line="276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 w:rsidRPr="00DF290F">
        <w:rPr>
          <w:rFonts w:ascii="Times New Roman" w:hAnsi="Times New Roman" w:cs="Times New Roman"/>
          <w:b/>
          <w:bCs/>
          <w:sz w:val="32"/>
          <w:szCs w:val="32"/>
        </w:rPr>
        <w:t>ONLINE SUPPLEMENTAL MATERIAL</w:t>
      </w:r>
    </w:p>
    <w:p w14:paraId="3AE3FBD8" w14:textId="77777777" w:rsidR="002D5761" w:rsidRDefault="002D5761" w:rsidP="00E56371">
      <w:pPr>
        <w:widowControl/>
        <w:spacing w:line="276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57416B81" w14:textId="2896E4FC" w:rsidR="004E569D" w:rsidRPr="00547533" w:rsidRDefault="006C5E9A" w:rsidP="00E56371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47533">
        <w:rPr>
          <w:rFonts w:ascii="Times New Roman" w:hAnsi="Times New Roman" w:cs="Times New Roman"/>
          <w:b/>
          <w:bCs/>
          <w:sz w:val="24"/>
          <w:szCs w:val="24"/>
        </w:rPr>
        <w:t xml:space="preserve">Spheroid-type amyloid deposition: comprehensive analysis using immunohistochemistry, proteomic analysis, and </w:t>
      </w:r>
      <w:r w:rsidR="000F232A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547533">
        <w:rPr>
          <w:rFonts w:ascii="Times New Roman" w:hAnsi="Times New Roman" w:cs="Times New Roman"/>
          <w:b/>
          <w:bCs/>
          <w:sz w:val="24"/>
          <w:szCs w:val="24"/>
        </w:rPr>
        <w:t>literature review</w:t>
      </w:r>
    </w:p>
    <w:p w14:paraId="03C60C22" w14:textId="77777777" w:rsidR="004E569D" w:rsidRPr="004E569D" w:rsidRDefault="004E569D" w:rsidP="00E56371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CC26C7" w14:textId="77777777" w:rsidR="00D53F5E" w:rsidRPr="00D53F5E" w:rsidRDefault="006C5E9A" w:rsidP="00D53F5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Shojiro Ichimata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Yukiko Hata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Tsuneaki Yoshinaga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Nagaaki Katoh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Fuyuki Kametani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Masahide Yazaki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Yoshiki Sekijima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, and Naoki Nishida</w:t>
      </w:r>
      <w:r w:rsidRPr="00D53F5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14:paraId="35F88380" w14:textId="77777777" w:rsidR="00D53F5E" w:rsidRPr="00D53F5E" w:rsidRDefault="00D53F5E" w:rsidP="00D53F5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D98BDC" w14:textId="77777777" w:rsidR="00D53F5E" w:rsidRPr="00D53F5E" w:rsidRDefault="006C5E9A" w:rsidP="00D53F5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1 Department of Legal Medicine, Faculty of Medicine, University of Toyama, Toyama, Japan</w:t>
      </w:r>
    </w:p>
    <w:p w14:paraId="49D73FE7" w14:textId="77777777" w:rsidR="00D53F5E" w:rsidRPr="00D53F5E" w:rsidRDefault="006C5E9A" w:rsidP="00D53F5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2 Department of Medicine (Neurology and Rheumatology), Shinshu University School of Medicine, Matsumoto, Japan</w:t>
      </w:r>
    </w:p>
    <w:p w14:paraId="61BB579C" w14:textId="77777777" w:rsidR="00D53F5E" w:rsidRPr="00D53F5E" w:rsidRDefault="006C5E9A" w:rsidP="00D53F5E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3 Department of Brain and Neurosciences, Tokyo Metropolitan Institute of Medical Science, Tokyo, Japan</w:t>
      </w:r>
    </w:p>
    <w:p w14:paraId="6B1CDB94" w14:textId="77777777" w:rsidR="002D5761" w:rsidRPr="00414975" w:rsidRDefault="006C5E9A" w:rsidP="00D53F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53F5E">
        <w:rPr>
          <w:rFonts w:ascii="Times New Roman" w:hAnsi="Times New Roman" w:cs="Times New Roman"/>
          <w:color w:val="000000" w:themeColor="text1"/>
          <w:sz w:val="24"/>
          <w:szCs w:val="24"/>
        </w:rPr>
        <w:t>4 Institute for Biomedical Sciences, Shinshu University, Matsumoto, Japan</w:t>
      </w:r>
    </w:p>
    <w:p w14:paraId="4D20A9C9" w14:textId="77777777" w:rsidR="002D5761" w:rsidRDefault="006C5E9A" w:rsidP="00E56371">
      <w:pPr>
        <w:widowControl/>
        <w:spacing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1E68F2" w14:textId="3FDB5656" w:rsidR="002D5761" w:rsidRPr="00107355" w:rsidRDefault="006C5E9A" w:rsidP="00E5637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07355">
        <w:rPr>
          <w:rFonts w:ascii="Times New Roman" w:hAnsi="Times New Roman" w:cs="Times New Roman"/>
          <w:b/>
          <w:bCs/>
          <w:sz w:val="24"/>
          <w:szCs w:val="24"/>
        </w:rPr>
        <w:lastRenderedPageBreak/>
        <w:t>List of Supplemental Materials</w:t>
      </w:r>
    </w:p>
    <w:p w14:paraId="1EACFF75" w14:textId="77777777" w:rsidR="00F27496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F290F">
        <w:rPr>
          <w:rFonts w:ascii="Times New Roman" w:hAnsi="Times New Roman" w:cs="Times New Roman"/>
          <w:sz w:val="24"/>
          <w:szCs w:val="24"/>
        </w:rPr>
        <w:t>Supplemental Table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F290F">
        <w:rPr>
          <w:rFonts w:ascii="Times New Roman" w:hAnsi="Times New Roman" w:cs="Times New Roman"/>
          <w:sz w:val="24"/>
          <w:szCs w:val="24"/>
        </w:rPr>
        <w:t>1</w:t>
      </w:r>
    </w:p>
    <w:p w14:paraId="6DD0E293" w14:textId="77777777" w:rsidR="002D5761" w:rsidRPr="004E569D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upplementary Figure: </w:t>
      </w:r>
      <w:r w:rsidR="00AE2E1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910EA7" w14:textId="4A422899" w:rsidR="00A80177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64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3A607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22B1F" w:rsidRPr="0035641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5641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5641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58196481"/>
      <w:r w:rsidR="000F232A">
        <w:rPr>
          <w:rFonts w:ascii="Times New Roman" w:hAnsi="Times New Roman" w:cs="Times New Roman"/>
          <w:sz w:val="24"/>
          <w:szCs w:val="24"/>
        </w:rPr>
        <w:t>Details</w:t>
      </w:r>
      <w:r w:rsidR="000F232A" w:rsidRPr="00356413">
        <w:rPr>
          <w:rFonts w:ascii="Times New Roman" w:hAnsi="Times New Roman" w:cs="Times New Roman"/>
          <w:sz w:val="24"/>
          <w:szCs w:val="24"/>
        </w:rPr>
        <w:t xml:space="preserve"> </w:t>
      </w:r>
      <w:r w:rsidRPr="00356413">
        <w:rPr>
          <w:rFonts w:ascii="Times New Roman" w:hAnsi="Times New Roman" w:cs="Times New Roman"/>
          <w:sz w:val="24"/>
          <w:szCs w:val="24"/>
        </w:rPr>
        <w:t>of</w:t>
      </w:r>
      <w:r w:rsidR="000F232A">
        <w:rPr>
          <w:rFonts w:ascii="Times New Roman" w:hAnsi="Times New Roman" w:cs="Times New Roman"/>
          <w:sz w:val="24"/>
          <w:szCs w:val="24"/>
        </w:rPr>
        <w:t xml:space="preserve"> the</w:t>
      </w:r>
      <w:r w:rsidRPr="00356413">
        <w:rPr>
          <w:rFonts w:ascii="Times New Roman" w:hAnsi="Times New Roman" w:cs="Times New Roman"/>
          <w:sz w:val="24"/>
          <w:szCs w:val="24"/>
        </w:rPr>
        <w:t xml:space="preserve"> antibodies used in this study</w:t>
      </w:r>
      <w:bookmarkEnd w:id="0"/>
    </w:p>
    <w:p w14:paraId="34EBC9DA" w14:textId="77777777" w:rsidR="00D4581C" w:rsidRPr="00356413" w:rsidRDefault="00D4581C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pPr w:leftFromText="142" w:rightFromText="142" w:vertAnchor="page" w:horzAnchor="margin" w:tblpY="23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4"/>
        <w:gridCol w:w="1276"/>
        <w:gridCol w:w="1057"/>
        <w:gridCol w:w="2203"/>
      </w:tblGrid>
      <w:tr w:rsidR="00D42663" w14:paraId="6779AA20" w14:textId="77777777" w:rsidTr="002D5761">
        <w:tc>
          <w:tcPr>
            <w:tcW w:w="24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4AB77FA" w14:textId="77777777" w:rsidR="00990FA6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Antibody</w:t>
            </w:r>
          </w:p>
        </w:tc>
        <w:tc>
          <w:tcPr>
            <w:tcW w:w="212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126979C" w14:textId="77777777" w:rsidR="00990FA6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0931F7A" w14:textId="77777777" w:rsidR="00990FA6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Clone</w:t>
            </w:r>
          </w:p>
        </w:tc>
        <w:tc>
          <w:tcPr>
            <w:tcW w:w="105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72B6310" w14:textId="77777777" w:rsidR="00990FA6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Dilution</w:t>
            </w:r>
          </w:p>
        </w:tc>
        <w:tc>
          <w:tcPr>
            <w:tcW w:w="220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6842B31" w14:textId="77777777" w:rsidR="00990FA6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Antigen retrieval</w:t>
            </w:r>
          </w:p>
        </w:tc>
      </w:tr>
      <w:tr w:rsidR="00D42663" w14:paraId="1254ACA8" w14:textId="77777777" w:rsidTr="00287BFD"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418077B9" w14:textId="77777777" w:rsidR="00414975" w:rsidRPr="00990FA6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Igλ</w:t>
            </w:r>
          </w:p>
        </w:tc>
        <w:tc>
          <w:tcPr>
            <w:tcW w:w="2124" w:type="dxa"/>
            <w:tcBorders>
              <w:top w:val="single" w:sz="12" w:space="0" w:color="auto"/>
            </w:tcBorders>
            <w:vAlign w:val="center"/>
          </w:tcPr>
          <w:p w14:paraId="787DD5D6" w14:textId="77777777" w:rsidR="00414975" w:rsidRPr="00990FA6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Abcam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0E816696" w14:textId="77777777" w:rsidR="00414975" w:rsidRPr="00990FA6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polyclonal</w:t>
            </w:r>
          </w:p>
        </w:tc>
        <w:tc>
          <w:tcPr>
            <w:tcW w:w="1057" w:type="dxa"/>
            <w:tcBorders>
              <w:top w:val="single" w:sz="12" w:space="0" w:color="auto"/>
            </w:tcBorders>
            <w:vAlign w:val="center"/>
          </w:tcPr>
          <w:p w14:paraId="15493514" w14:textId="77777777" w:rsidR="00414975" w:rsidRPr="00990FA6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1:1</w:t>
            </w:r>
            <w:r w:rsidR="001274F3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203" w:type="dxa"/>
            <w:tcBorders>
              <w:top w:val="single" w:sz="12" w:space="0" w:color="auto"/>
            </w:tcBorders>
            <w:vAlign w:val="center"/>
          </w:tcPr>
          <w:p w14:paraId="3485F6AA" w14:textId="77777777" w:rsidR="00414975" w:rsidRPr="00990FA6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Pr="00356413">
              <w:rPr>
                <w:rFonts w:ascii="Times New Roman" w:hAnsi="Times New Roman" w:cs="Times New Roman"/>
                <w:sz w:val="24"/>
                <w:szCs w:val="24"/>
              </w:rPr>
              <w:t>% FA (1 min)</w:t>
            </w:r>
          </w:p>
        </w:tc>
      </w:tr>
      <w:tr w:rsidR="00D42663" w14:paraId="3B8825FE" w14:textId="77777777" w:rsidTr="00287BFD">
        <w:tc>
          <w:tcPr>
            <w:tcW w:w="2410" w:type="dxa"/>
            <w:vAlign w:val="center"/>
          </w:tcPr>
          <w:p w14:paraId="557054CA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β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-microglobulin</w:t>
            </w:r>
          </w:p>
        </w:tc>
        <w:tc>
          <w:tcPr>
            <w:tcW w:w="2124" w:type="dxa"/>
            <w:vAlign w:val="center"/>
          </w:tcPr>
          <w:p w14:paraId="5171A638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eneTex</w:t>
            </w:r>
          </w:p>
        </w:tc>
        <w:tc>
          <w:tcPr>
            <w:tcW w:w="1276" w:type="dxa"/>
            <w:vAlign w:val="center"/>
          </w:tcPr>
          <w:p w14:paraId="10028E36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olyclonal</w:t>
            </w:r>
          </w:p>
        </w:tc>
        <w:tc>
          <w:tcPr>
            <w:tcW w:w="1057" w:type="dxa"/>
            <w:vAlign w:val="center"/>
          </w:tcPr>
          <w:p w14:paraId="4D165541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:3000</w:t>
            </w:r>
          </w:p>
        </w:tc>
        <w:tc>
          <w:tcPr>
            <w:tcW w:w="2203" w:type="dxa"/>
            <w:vAlign w:val="center"/>
          </w:tcPr>
          <w:p w14:paraId="6CD17BD2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5A8">
              <w:rPr>
                <w:rFonts w:ascii="Times New Roman" w:hAnsi="Times New Roman" w:cs="Times New Roman"/>
                <w:sz w:val="24"/>
                <w:szCs w:val="24"/>
              </w:rPr>
              <w:t>98% FA (1 min)</w:t>
            </w:r>
          </w:p>
        </w:tc>
      </w:tr>
      <w:tr w:rsidR="00D42663" w14:paraId="3A10E397" w14:textId="77777777" w:rsidTr="00287BFD">
        <w:tc>
          <w:tcPr>
            <w:tcW w:w="2410" w:type="dxa"/>
            <w:vAlign w:val="center"/>
          </w:tcPr>
          <w:p w14:paraId="7126611B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ysozyme C</w:t>
            </w:r>
          </w:p>
        </w:tc>
        <w:tc>
          <w:tcPr>
            <w:tcW w:w="2124" w:type="dxa"/>
            <w:vAlign w:val="center"/>
          </w:tcPr>
          <w:p w14:paraId="68682EDC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anta Cruz Biotechnology</w:t>
            </w:r>
          </w:p>
        </w:tc>
        <w:tc>
          <w:tcPr>
            <w:tcW w:w="1276" w:type="dxa"/>
            <w:vAlign w:val="center"/>
          </w:tcPr>
          <w:p w14:paraId="7FDA970B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057" w:type="dxa"/>
            <w:vAlign w:val="center"/>
          </w:tcPr>
          <w:p w14:paraId="7FE17B20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:150</w:t>
            </w:r>
          </w:p>
        </w:tc>
        <w:tc>
          <w:tcPr>
            <w:tcW w:w="2203" w:type="dxa"/>
            <w:vAlign w:val="center"/>
          </w:tcPr>
          <w:p w14:paraId="083D7DD4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5A8">
              <w:rPr>
                <w:rFonts w:ascii="Times New Roman" w:hAnsi="Times New Roman" w:cs="Times New Roman"/>
                <w:sz w:val="24"/>
                <w:szCs w:val="24"/>
              </w:rPr>
              <w:t>98% FA (1 min)</w:t>
            </w:r>
          </w:p>
        </w:tc>
      </w:tr>
      <w:tr w:rsidR="00D42663" w14:paraId="136A71E1" w14:textId="77777777" w:rsidTr="00287BFD">
        <w:tc>
          <w:tcPr>
            <w:tcW w:w="2410" w:type="dxa"/>
            <w:vAlign w:val="center"/>
          </w:tcPr>
          <w:p w14:paraId="34F7ECD3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SP-A</w:t>
            </w:r>
          </w:p>
        </w:tc>
        <w:tc>
          <w:tcPr>
            <w:tcW w:w="2124" w:type="dxa"/>
            <w:vAlign w:val="center"/>
          </w:tcPr>
          <w:p w14:paraId="264533BE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bcam</w:t>
            </w:r>
          </w:p>
        </w:tc>
        <w:tc>
          <w:tcPr>
            <w:tcW w:w="1276" w:type="dxa"/>
            <w:vAlign w:val="center"/>
          </w:tcPr>
          <w:p w14:paraId="47DED8BD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F10</w:t>
            </w:r>
          </w:p>
        </w:tc>
        <w:tc>
          <w:tcPr>
            <w:tcW w:w="1057" w:type="dxa"/>
            <w:vAlign w:val="center"/>
          </w:tcPr>
          <w:p w14:paraId="4B2DA6E6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:4000</w:t>
            </w:r>
          </w:p>
        </w:tc>
        <w:tc>
          <w:tcPr>
            <w:tcW w:w="2203" w:type="dxa"/>
            <w:vAlign w:val="center"/>
          </w:tcPr>
          <w:p w14:paraId="31689009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5A8">
              <w:rPr>
                <w:rFonts w:ascii="Times New Roman" w:hAnsi="Times New Roman" w:cs="Times New Roman"/>
                <w:sz w:val="24"/>
                <w:szCs w:val="24"/>
              </w:rPr>
              <w:t>98% FA (1 min)</w:t>
            </w:r>
          </w:p>
        </w:tc>
      </w:tr>
      <w:tr w:rsidR="00D42663" w14:paraId="7B66BAF4" w14:textId="77777777" w:rsidTr="00287BFD">
        <w:tc>
          <w:tcPr>
            <w:tcW w:w="2410" w:type="dxa"/>
            <w:vAlign w:val="center"/>
          </w:tcPr>
          <w:p w14:paraId="759F7896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SP-B</w:t>
            </w:r>
          </w:p>
        </w:tc>
        <w:tc>
          <w:tcPr>
            <w:tcW w:w="2124" w:type="dxa"/>
            <w:vAlign w:val="center"/>
          </w:tcPr>
          <w:p w14:paraId="01E20703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anta Cruz Biotechnology</w:t>
            </w:r>
          </w:p>
        </w:tc>
        <w:tc>
          <w:tcPr>
            <w:tcW w:w="1276" w:type="dxa"/>
            <w:vAlign w:val="center"/>
          </w:tcPr>
          <w:p w14:paraId="57339C96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057" w:type="dxa"/>
            <w:vAlign w:val="center"/>
          </w:tcPr>
          <w:p w14:paraId="720AFD8F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:4000</w:t>
            </w:r>
          </w:p>
        </w:tc>
        <w:tc>
          <w:tcPr>
            <w:tcW w:w="2203" w:type="dxa"/>
            <w:vAlign w:val="center"/>
          </w:tcPr>
          <w:p w14:paraId="2AAE4A57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5A8">
              <w:rPr>
                <w:rFonts w:ascii="Times New Roman" w:hAnsi="Times New Roman" w:cs="Times New Roman"/>
                <w:sz w:val="24"/>
                <w:szCs w:val="24"/>
              </w:rPr>
              <w:t>98% FA (1 min)</w:t>
            </w:r>
          </w:p>
        </w:tc>
      </w:tr>
      <w:tr w:rsidR="00D42663" w14:paraId="636B897E" w14:textId="77777777" w:rsidTr="00287BFD">
        <w:tc>
          <w:tcPr>
            <w:tcW w:w="2410" w:type="dxa"/>
            <w:vAlign w:val="center"/>
          </w:tcPr>
          <w:p w14:paraId="2F1F0A31" w14:textId="77777777" w:rsidR="005D0E4A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actoferrin</w:t>
            </w:r>
          </w:p>
        </w:tc>
        <w:tc>
          <w:tcPr>
            <w:tcW w:w="2124" w:type="dxa"/>
            <w:vAlign w:val="center"/>
          </w:tcPr>
          <w:p w14:paraId="54D6D4D6" w14:textId="77777777" w:rsidR="005D0E4A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anta Cruz Biotechnology</w:t>
            </w:r>
          </w:p>
        </w:tc>
        <w:tc>
          <w:tcPr>
            <w:tcW w:w="1276" w:type="dxa"/>
            <w:vAlign w:val="center"/>
          </w:tcPr>
          <w:p w14:paraId="50B00A2E" w14:textId="77777777" w:rsidR="005D0E4A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057" w:type="dxa"/>
            <w:vAlign w:val="center"/>
          </w:tcPr>
          <w:p w14:paraId="0C836AE5" w14:textId="77777777" w:rsidR="005D0E4A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:150</w:t>
            </w:r>
          </w:p>
        </w:tc>
        <w:tc>
          <w:tcPr>
            <w:tcW w:w="2203" w:type="dxa"/>
            <w:vAlign w:val="center"/>
          </w:tcPr>
          <w:p w14:paraId="28A8810D" w14:textId="77777777" w:rsidR="005D0E4A" w:rsidRPr="002025A8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5A8">
              <w:rPr>
                <w:rFonts w:ascii="Times New Roman" w:hAnsi="Times New Roman" w:cs="Times New Roman"/>
                <w:sz w:val="24"/>
                <w:szCs w:val="24"/>
              </w:rPr>
              <w:t>98% FA (1 min)</w:t>
            </w:r>
          </w:p>
        </w:tc>
      </w:tr>
      <w:tr w:rsidR="00D42663" w14:paraId="6C3A5533" w14:textId="77777777" w:rsidTr="00287BFD">
        <w:tc>
          <w:tcPr>
            <w:tcW w:w="2410" w:type="dxa"/>
            <w:vAlign w:val="center"/>
          </w:tcPr>
          <w:p w14:paraId="2F868256" w14:textId="77777777" w:rsidR="00287BFD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lfactomedin 4</w:t>
            </w:r>
          </w:p>
        </w:tc>
        <w:tc>
          <w:tcPr>
            <w:tcW w:w="2124" w:type="dxa"/>
            <w:vAlign w:val="center"/>
          </w:tcPr>
          <w:p w14:paraId="5642F5BB" w14:textId="77777777" w:rsidR="00287BFD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bcam</w:t>
            </w:r>
          </w:p>
        </w:tc>
        <w:tc>
          <w:tcPr>
            <w:tcW w:w="1276" w:type="dxa"/>
            <w:vAlign w:val="center"/>
          </w:tcPr>
          <w:p w14:paraId="61D9F4A0" w14:textId="77777777" w:rsidR="00287BFD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olyclonal</w:t>
            </w:r>
          </w:p>
        </w:tc>
        <w:tc>
          <w:tcPr>
            <w:tcW w:w="1057" w:type="dxa"/>
            <w:vAlign w:val="center"/>
          </w:tcPr>
          <w:p w14:paraId="018A9B56" w14:textId="77777777" w:rsidR="00287BFD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:50</w:t>
            </w:r>
          </w:p>
        </w:tc>
        <w:tc>
          <w:tcPr>
            <w:tcW w:w="2203" w:type="dxa"/>
            <w:vAlign w:val="center"/>
          </w:tcPr>
          <w:p w14:paraId="3D75D35C" w14:textId="77777777" w:rsidR="00287BFD" w:rsidRPr="002025A8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eat (20</w:t>
            </w:r>
            <w:r w:rsidR="005D0E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min, pH6)</w:t>
            </w:r>
          </w:p>
        </w:tc>
      </w:tr>
      <w:tr w:rsidR="00D42663" w14:paraId="103E2366" w14:textId="77777777" w:rsidTr="005D0E4A"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14E37699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4" w:type="dxa"/>
            <w:tcBorders>
              <w:bottom w:val="single" w:sz="12" w:space="0" w:color="auto"/>
            </w:tcBorders>
            <w:vAlign w:val="center"/>
          </w:tcPr>
          <w:p w14:paraId="754982CD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iomol</w:t>
            </w:r>
          </w:p>
        </w:tc>
        <w:tc>
          <w:tcPr>
            <w:tcW w:w="1276" w:type="dxa"/>
            <w:tcBorders>
              <w:bottom w:val="single" w:sz="12" w:space="0" w:color="auto"/>
            </w:tcBorders>
            <w:vAlign w:val="center"/>
          </w:tcPr>
          <w:p w14:paraId="202BEDA8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olyclonal</w:t>
            </w:r>
          </w:p>
        </w:tc>
        <w:tc>
          <w:tcPr>
            <w:tcW w:w="1057" w:type="dxa"/>
            <w:tcBorders>
              <w:bottom w:val="single" w:sz="12" w:space="0" w:color="auto"/>
            </w:tcBorders>
            <w:vAlign w:val="center"/>
          </w:tcPr>
          <w:p w14:paraId="5049112F" w14:textId="77777777" w:rsidR="00414975" w:rsidRPr="00356413" w:rsidRDefault="006C5E9A" w:rsidP="00E5637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:3000</w:t>
            </w:r>
          </w:p>
        </w:tc>
        <w:tc>
          <w:tcPr>
            <w:tcW w:w="2203" w:type="dxa"/>
            <w:tcBorders>
              <w:bottom w:val="single" w:sz="12" w:space="0" w:color="auto"/>
            </w:tcBorders>
            <w:vAlign w:val="center"/>
          </w:tcPr>
          <w:p w14:paraId="1E251909" w14:textId="77777777" w:rsidR="00414975" w:rsidRPr="00356413" w:rsidRDefault="006C5E9A" w:rsidP="00E563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eat (20 min, pH6)</w:t>
            </w:r>
          </w:p>
        </w:tc>
      </w:tr>
    </w:tbl>
    <w:p w14:paraId="3AE0AB37" w14:textId="77777777" w:rsidR="005D0E4A" w:rsidRDefault="005D0E4A" w:rsidP="00E5637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5286F" w14:textId="77777777" w:rsidR="00287BFD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87BFD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287BFD">
        <w:rPr>
          <w:rFonts w:ascii="Times New Roman" w:hAnsi="Times New Roman" w:cs="Times New Roman"/>
          <w:b/>
          <w:bCs/>
          <w:sz w:val="24"/>
          <w:szCs w:val="24"/>
        </w:rPr>
        <w:t>bbreviations:</w:t>
      </w:r>
      <w:r>
        <w:rPr>
          <w:rFonts w:ascii="Times New Roman" w:hAnsi="Times New Roman" w:cs="Times New Roman"/>
          <w:sz w:val="24"/>
          <w:szCs w:val="24"/>
        </w:rPr>
        <w:t xml:space="preserve"> FA, formic acid; PSP-A, pulmonary surfactant protein A; PSP-B, pulmonary surfactant protein B</w:t>
      </w:r>
    </w:p>
    <w:p w14:paraId="3EBD00CB" w14:textId="7402EB52" w:rsidR="00AE2E1C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56413">
        <w:rPr>
          <w:rFonts w:ascii="Times New Roman" w:hAnsi="Times New Roman" w:cs="Times New Roman"/>
          <w:sz w:val="24"/>
          <w:szCs w:val="24"/>
        </w:rPr>
        <w:t xml:space="preserve">Immunostaining was performed using the Leica Bond-IV automation and Leica Refine detection kits (Leica Biosystems, Bannockburn, IL, USA) according to the manufacturer’s instructions. </w:t>
      </w:r>
      <w:r w:rsidR="000F232A">
        <w:rPr>
          <w:rFonts w:ascii="Times New Roman" w:hAnsi="Times New Roman" w:cs="Times New Roman"/>
          <w:sz w:val="24"/>
          <w:szCs w:val="24"/>
        </w:rPr>
        <w:t>A</w:t>
      </w:r>
      <w:r w:rsidRPr="00356413">
        <w:rPr>
          <w:rFonts w:ascii="Times New Roman" w:hAnsi="Times New Roman" w:cs="Times New Roman"/>
          <w:sz w:val="24"/>
          <w:szCs w:val="24"/>
        </w:rPr>
        <w:t>ll sections were counterstained with hematoxylin.</w:t>
      </w:r>
    </w:p>
    <w:p w14:paraId="73D436BF" w14:textId="77777777" w:rsidR="00AE2E1C" w:rsidRDefault="006C5E9A" w:rsidP="00E56371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4536C6" w14:textId="2F0A949D" w:rsidR="00BF5B25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533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05075FC2" wp14:editId="06F15B3D">
            <wp:simplePos x="0" y="0"/>
            <wp:positionH relativeFrom="column">
              <wp:posOffset>513080</wp:posOffset>
            </wp:positionH>
            <wp:positionV relativeFrom="paragraph">
              <wp:posOffset>594995</wp:posOffset>
            </wp:positionV>
            <wp:extent cx="4746625" cy="6479540"/>
            <wp:effectExtent l="0" t="0" r="0" b="0"/>
            <wp:wrapTopAndBottom/>
            <wp:docPr id="17154537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52756" name="図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E1C" w:rsidRPr="0054753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AE2E1C" w:rsidRPr="00547533">
        <w:rPr>
          <w:rFonts w:ascii="Times New Roman" w:hAnsi="Times New Roman" w:cs="Times New Roman"/>
          <w:b/>
          <w:bCs/>
          <w:sz w:val="24"/>
          <w:szCs w:val="24"/>
        </w:rPr>
        <w:t>upplementary Figure S1</w:t>
      </w:r>
      <w:r w:rsidR="00AE2E1C">
        <w:rPr>
          <w:rFonts w:ascii="Times New Roman" w:hAnsi="Times New Roman" w:cs="Times New Roman"/>
          <w:sz w:val="24"/>
          <w:szCs w:val="24"/>
        </w:rPr>
        <w:t xml:space="preserve">. </w:t>
      </w:r>
      <w:r w:rsidR="00AE2E1C" w:rsidRPr="00322BE7">
        <w:rPr>
          <w:rFonts w:ascii="Times New Roman" w:hAnsi="Times New Roman" w:cs="Times New Roman"/>
          <w:sz w:val="24"/>
          <w:szCs w:val="24"/>
        </w:rPr>
        <w:t>Representative microphotographs of the pulmonary</w:t>
      </w:r>
      <w:r w:rsidR="00AE2E1C">
        <w:rPr>
          <w:rFonts w:ascii="Times New Roman" w:hAnsi="Times New Roman" w:cs="Times New Roman"/>
          <w:sz w:val="24"/>
          <w:szCs w:val="24"/>
        </w:rPr>
        <w:t xml:space="preserve"> corpora </w:t>
      </w:r>
      <w:proofErr w:type="spellStart"/>
      <w:r w:rsidR="00AE2E1C">
        <w:rPr>
          <w:rFonts w:ascii="Times New Roman" w:hAnsi="Times New Roman" w:cs="Times New Roman"/>
          <w:sz w:val="24"/>
          <w:szCs w:val="24"/>
        </w:rPr>
        <w:t>amylacea</w:t>
      </w:r>
      <w:proofErr w:type="spellEnd"/>
      <w:r w:rsidR="00AE2E1C">
        <w:rPr>
          <w:rFonts w:ascii="Times New Roman" w:hAnsi="Times New Roman" w:cs="Times New Roman"/>
          <w:sz w:val="24"/>
          <w:szCs w:val="24"/>
        </w:rPr>
        <w:t xml:space="preserve"> (CA) in all three cases.</w:t>
      </w:r>
    </w:p>
    <w:p w14:paraId="0D53074D" w14:textId="77777777" w:rsidR="00AE2E1C" w:rsidRPr="007E4FA0" w:rsidRDefault="00AE2E1C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5F9E51A" w14:textId="19A191D6" w:rsidR="004B5196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a–</w:t>
      </w:r>
      <w:r w:rsidR="007E4FA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) Pulmonary CA Case 1; (</w:t>
      </w:r>
      <w:r w:rsidR="007E4FA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E4FA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) Case 2; (</w:t>
      </w:r>
      <w:r w:rsidR="007E4FA0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7E4FA0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Case 3. (a, </w:t>
      </w:r>
      <w:r w:rsidR="007E4FA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E4FA0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) Hematoxylin and eosin (H&amp;E) staining; phenol Congo red (pCR) staining under bright field (b, </w:t>
      </w:r>
      <w:r w:rsidR="004B5196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) and polarized light (c, </w:t>
      </w:r>
      <w:r w:rsidR="004B5196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); Immunohistochemistry for </w:t>
      </w:r>
      <w:r w:rsidR="004B5196" w:rsidRPr="004B5196">
        <w:rPr>
          <w:rFonts w:ascii="Times New Roman" w:hAnsi="Times New Roman" w:cs="Times New Roman"/>
          <w:sz w:val="24"/>
          <w:szCs w:val="24"/>
        </w:rPr>
        <w:t>β</w:t>
      </w:r>
      <w:r w:rsidR="004B5196">
        <w:rPr>
          <w:rFonts w:ascii="Times New Roman" w:hAnsi="Times New Roman" w:cs="Times New Roman"/>
          <w:sz w:val="24"/>
          <w:szCs w:val="24"/>
        </w:rPr>
        <w:t>2-microglobulin (</w:t>
      </w:r>
      <w:r w:rsidR="004B5196" w:rsidRPr="004B5196">
        <w:rPr>
          <w:rFonts w:ascii="Times New Roman" w:hAnsi="Times New Roman" w:cs="Times New Roman"/>
          <w:sz w:val="24"/>
          <w:szCs w:val="24"/>
        </w:rPr>
        <w:t>β</w:t>
      </w:r>
      <w:r w:rsidR="004B5196">
        <w:rPr>
          <w:rFonts w:ascii="Times New Roman" w:hAnsi="Times New Roman" w:cs="Times New Roman"/>
          <w:sz w:val="24"/>
          <w:szCs w:val="24"/>
        </w:rPr>
        <w:t xml:space="preserve">2MG) (d, l, t); </w:t>
      </w:r>
      <w:r>
        <w:rPr>
          <w:rFonts w:ascii="Times New Roman" w:hAnsi="Times New Roman" w:cs="Times New Roman"/>
          <w:sz w:val="24"/>
          <w:szCs w:val="24"/>
        </w:rPr>
        <w:t>lysozyme C</w:t>
      </w:r>
      <w:r w:rsidR="005B57BF">
        <w:rPr>
          <w:rFonts w:ascii="Times New Roman" w:hAnsi="Times New Roman" w:cs="Times New Roman"/>
          <w:sz w:val="24"/>
          <w:szCs w:val="24"/>
        </w:rPr>
        <w:t xml:space="preserve"> (LC)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B519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); pulmonary surfactant protein A (PSP-A) (</w:t>
      </w:r>
      <w:r w:rsidR="004B5196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); PSP-B (</w:t>
      </w:r>
      <w:r w:rsidR="004B5196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); and p62 (</w:t>
      </w:r>
      <w:r w:rsidR="004B519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519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). In all cases, </w:t>
      </w:r>
      <w:r w:rsidRPr="00322BE7">
        <w:rPr>
          <w:rFonts w:ascii="Times New Roman" w:hAnsi="Times New Roman" w:cs="Times New Roman"/>
          <w:sz w:val="24"/>
          <w:szCs w:val="24"/>
        </w:rPr>
        <w:t>CAs were round and eosinophilic deposits show</w:t>
      </w:r>
      <w:r w:rsidR="000F232A">
        <w:rPr>
          <w:rFonts w:ascii="Times New Roman" w:hAnsi="Times New Roman" w:cs="Times New Roman"/>
          <w:sz w:val="24"/>
          <w:szCs w:val="24"/>
        </w:rPr>
        <w:t>ed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concentric laminations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 w:rsidR="000F232A">
        <w:rPr>
          <w:rFonts w:ascii="Times New Roman" w:hAnsi="Times New Roman" w:cs="Times New Roman"/>
          <w:sz w:val="24"/>
          <w:szCs w:val="24"/>
        </w:rPr>
        <w:t>by</w:t>
      </w:r>
      <w:r w:rsidRPr="00322BE7">
        <w:rPr>
          <w:rFonts w:ascii="Times New Roman" w:hAnsi="Times New Roman" w:cs="Times New Roman"/>
          <w:sz w:val="24"/>
          <w:szCs w:val="24"/>
        </w:rPr>
        <w:t xml:space="preserve"> H&amp;E staining</w:t>
      </w:r>
      <w:r>
        <w:rPr>
          <w:rFonts w:ascii="Times New Roman" w:hAnsi="Times New Roman" w:cs="Times New Roman"/>
          <w:sz w:val="24"/>
          <w:szCs w:val="24"/>
        </w:rPr>
        <w:t>. In addition, all</w:t>
      </w:r>
      <w:r w:rsidRPr="00322BE7">
        <w:rPr>
          <w:rFonts w:ascii="Times New Roman" w:hAnsi="Times New Roman" w:cs="Times New Roman"/>
          <w:sz w:val="24"/>
          <w:szCs w:val="24"/>
        </w:rPr>
        <w:t xml:space="preserve"> CAs exhibited </w:t>
      </w:r>
      <w:proofErr w:type="spellStart"/>
      <w:r w:rsidRPr="00322BE7">
        <w:rPr>
          <w:rFonts w:ascii="Times New Roman" w:hAnsi="Times New Roman" w:cs="Times New Roman"/>
          <w:sz w:val="24"/>
          <w:szCs w:val="24"/>
        </w:rPr>
        <w:t>congophilic</w:t>
      </w:r>
      <w:proofErr w:type="spellEnd"/>
      <w:r w:rsidRPr="00322BE7">
        <w:rPr>
          <w:rFonts w:ascii="Times New Roman" w:hAnsi="Times New Roman" w:cs="Times New Roman"/>
          <w:sz w:val="24"/>
          <w:szCs w:val="24"/>
        </w:rPr>
        <w:t xml:space="preserve"> and clear apple-green birefringence under polarized </w:t>
      </w:r>
      <w:r w:rsidRPr="00322BE7">
        <w:rPr>
          <w:rFonts w:ascii="Times New Roman" w:hAnsi="Times New Roman" w:cs="Times New Roman"/>
          <w:sz w:val="24"/>
          <w:szCs w:val="24"/>
        </w:rPr>
        <w:lastRenderedPageBreak/>
        <w:t>light</w:t>
      </w:r>
      <w:r w:rsidR="005B57BF">
        <w:rPr>
          <w:rFonts w:ascii="Times New Roman" w:hAnsi="Times New Roman" w:cs="Times New Roman"/>
          <w:sz w:val="24"/>
          <w:szCs w:val="24"/>
        </w:rPr>
        <w:t xml:space="preserve">. Furthermore, all CAs showed immunoreactivity for </w:t>
      </w:r>
      <w:r w:rsidR="004B5196" w:rsidRPr="004B5196">
        <w:rPr>
          <w:rFonts w:ascii="Times New Roman" w:hAnsi="Times New Roman" w:cs="Times New Roman"/>
          <w:sz w:val="24"/>
          <w:szCs w:val="24"/>
        </w:rPr>
        <w:t>β</w:t>
      </w:r>
      <w:r w:rsidR="004B5196">
        <w:rPr>
          <w:rFonts w:ascii="Times New Roman" w:hAnsi="Times New Roman" w:cs="Times New Roman"/>
          <w:sz w:val="24"/>
          <w:szCs w:val="24"/>
        </w:rPr>
        <w:t>2MG, LC, PAP-A, and PSP-B. In contrast, immunoreactivity for p62 was weak and focal in Cases 1 and 3, whereas it was almost negative in Case 2.</w:t>
      </w:r>
      <w:r w:rsidR="000F232A">
        <w:rPr>
          <w:rFonts w:ascii="Times New Roman" w:hAnsi="Times New Roman" w:cs="Times New Roman"/>
          <w:sz w:val="24"/>
          <w:szCs w:val="24"/>
        </w:rPr>
        <w:t xml:space="preserve"> </w:t>
      </w:r>
      <w:r w:rsidRPr="00322BE7">
        <w:rPr>
          <w:rFonts w:ascii="Times New Roman" w:hAnsi="Times New Roman" w:cs="Times New Roman"/>
          <w:sz w:val="24"/>
          <w:szCs w:val="24"/>
        </w:rPr>
        <w:t>Scale bar = 200 μm (a–</w:t>
      </w:r>
      <w:r w:rsidR="00DA3D87">
        <w:rPr>
          <w:rFonts w:ascii="Times New Roman" w:hAnsi="Times New Roman" w:cs="Times New Roman"/>
          <w:sz w:val="24"/>
          <w:szCs w:val="24"/>
        </w:rPr>
        <w:t>x</w:t>
      </w:r>
      <w:r w:rsidRPr="00322BE7">
        <w:rPr>
          <w:rFonts w:ascii="Times New Roman" w:hAnsi="Times New Roman" w:cs="Times New Roman"/>
          <w:sz w:val="24"/>
          <w:szCs w:val="24"/>
        </w:rPr>
        <w:t>).</w:t>
      </w:r>
    </w:p>
    <w:p w14:paraId="5ED6C965" w14:textId="77777777" w:rsidR="006E0074" w:rsidRDefault="006C5E9A" w:rsidP="006A436F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F9154F" w14:textId="6664894B" w:rsidR="004B5196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47533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7445EAC1" wp14:editId="0BC56098">
            <wp:simplePos x="0" y="0"/>
            <wp:positionH relativeFrom="column">
              <wp:posOffset>712470</wp:posOffset>
            </wp:positionH>
            <wp:positionV relativeFrom="paragraph">
              <wp:posOffset>494929</wp:posOffset>
            </wp:positionV>
            <wp:extent cx="4458335" cy="6119495"/>
            <wp:effectExtent l="0" t="0" r="0" b="0"/>
            <wp:wrapTopAndBottom/>
            <wp:docPr id="20552452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0171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53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547533">
        <w:rPr>
          <w:rFonts w:ascii="Times New Roman" w:hAnsi="Times New Roman" w:cs="Times New Roman"/>
          <w:b/>
          <w:bCs/>
          <w:sz w:val="24"/>
          <w:szCs w:val="24"/>
        </w:rPr>
        <w:t>upplementary Figure S</w:t>
      </w:r>
      <w:r w:rsidR="006A436F" w:rsidRPr="0054753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4753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BE7">
        <w:rPr>
          <w:rFonts w:ascii="Times New Roman" w:hAnsi="Times New Roman" w:cs="Times New Roman"/>
          <w:sz w:val="24"/>
          <w:szCs w:val="24"/>
        </w:rPr>
        <w:t xml:space="preserve">Representative microphotographs of </w:t>
      </w:r>
      <w:r>
        <w:rPr>
          <w:rFonts w:ascii="Times New Roman" w:hAnsi="Times New Roman" w:cs="Times New Roman"/>
          <w:sz w:val="24"/>
          <w:szCs w:val="24"/>
        </w:rPr>
        <w:t>prostatic CA in all three patients.</w:t>
      </w:r>
    </w:p>
    <w:p w14:paraId="648D5BF0" w14:textId="3D129FB3" w:rsidR="00DA3D87" w:rsidRDefault="006C5E9A" w:rsidP="00E5637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a–f) Prostatic CA Case 1; (g–l) Case 2; </w:t>
      </w:r>
      <w:r w:rsidR="000F232A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(m–r) Case 3. (a, g, m) H&amp;E staining; pCR staining under bright field (b, h, n) and polarized light (c, i, o); Immunohistochemistry for lysozyme C (d, j, p); lactoferrin (e, k, q); and p62 (f, l, r). </w:t>
      </w:r>
      <w:r w:rsidR="000F232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all cases, </w:t>
      </w:r>
      <w:r w:rsidR="000F232A">
        <w:rPr>
          <w:rFonts w:ascii="Times New Roman" w:hAnsi="Times New Roman" w:cs="Times New Roman"/>
          <w:sz w:val="24"/>
          <w:szCs w:val="24"/>
        </w:rPr>
        <w:t xml:space="preserve">the </w:t>
      </w:r>
      <w:r w:rsidRPr="00322BE7">
        <w:rPr>
          <w:rFonts w:ascii="Times New Roman" w:hAnsi="Times New Roman" w:cs="Times New Roman"/>
          <w:sz w:val="24"/>
          <w:szCs w:val="24"/>
        </w:rPr>
        <w:t>CAs were round and eosinophilic deposits show</w:t>
      </w:r>
      <w:r w:rsidR="000F232A">
        <w:rPr>
          <w:rFonts w:ascii="Times New Roman" w:hAnsi="Times New Roman" w:cs="Times New Roman"/>
          <w:sz w:val="24"/>
          <w:szCs w:val="24"/>
        </w:rPr>
        <w:t>ed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concentric laminations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 w:rsidR="000F232A">
        <w:rPr>
          <w:rFonts w:ascii="Times New Roman" w:hAnsi="Times New Roman" w:cs="Times New Roman"/>
          <w:sz w:val="24"/>
          <w:szCs w:val="24"/>
        </w:rPr>
        <w:t>by</w:t>
      </w:r>
      <w:r w:rsidRPr="00322BE7">
        <w:rPr>
          <w:rFonts w:ascii="Times New Roman" w:hAnsi="Times New Roman" w:cs="Times New Roman"/>
          <w:sz w:val="24"/>
          <w:szCs w:val="24"/>
        </w:rPr>
        <w:t xml:space="preserve"> H&amp;E staining</w:t>
      </w:r>
      <w:r>
        <w:rPr>
          <w:rFonts w:ascii="Times New Roman" w:hAnsi="Times New Roman" w:cs="Times New Roman"/>
          <w:sz w:val="24"/>
          <w:szCs w:val="24"/>
        </w:rPr>
        <w:t>. In addition, all</w:t>
      </w:r>
      <w:r w:rsidRPr="00322BE7">
        <w:rPr>
          <w:rFonts w:ascii="Times New Roman" w:hAnsi="Times New Roman" w:cs="Times New Roman"/>
          <w:sz w:val="24"/>
          <w:szCs w:val="24"/>
        </w:rPr>
        <w:t xml:space="preserve"> CAs exhibited </w:t>
      </w:r>
      <w:proofErr w:type="spellStart"/>
      <w:r w:rsidRPr="00322BE7">
        <w:rPr>
          <w:rFonts w:ascii="Times New Roman" w:hAnsi="Times New Roman" w:cs="Times New Roman"/>
          <w:sz w:val="24"/>
          <w:szCs w:val="24"/>
        </w:rPr>
        <w:t>congophilic</w:t>
      </w:r>
      <w:proofErr w:type="spellEnd"/>
      <w:r w:rsidRPr="00322BE7">
        <w:rPr>
          <w:rFonts w:ascii="Times New Roman" w:hAnsi="Times New Roman" w:cs="Times New Roman"/>
          <w:sz w:val="24"/>
          <w:szCs w:val="24"/>
        </w:rPr>
        <w:t xml:space="preserve"> and clear apple-green birefringence under polarized light</w:t>
      </w:r>
      <w:r>
        <w:rPr>
          <w:rFonts w:ascii="Times New Roman" w:hAnsi="Times New Roman" w:cs="Times New Roman"/>
          <w:sz w:val="24"/>
          <w:szCs w:val="24"/>
        </w:rPr>
        <w:t xml:space="preserve">. Furthermore, all CAs showed immunoreactivity for lysozyme C and lactoferrin. </w:t>
      </w:r>
      <w:r w:rsidR="00DA3D87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mmunoreactivity for p62 was </w:t>
      </w:r>
      <w:r w:rsidR="00DA3D87">
        <w:rPr>
          <w:rFonts w:ascii="Times New Roman" w:hAnsi="Times New Roman" w:cs="Times New Roman"/>
          <w:sz w:val="24"/>
          <w:szCs w:val="24"/>
        </w:rPr>
        <w:t xml:space="preserve">moderate in Case 3, but </w:t>
      </w:r>
      <w:r>
        <w:rPr>
          <w:rFonts w:ascii="Times New Roman" w:hAnsi="Times New Roman" w:cs="Times New Roman"/>
          <w:sz w:val="24"/>
          <w:szCs w:val="24"/>
        </w:rPr>
        <w:t>weak and focal in Cases</w:t>
      </w:r>
      <w:r w:rsidR="00DA3D87">
        <w:rPr>
          <w:rFonts w:ascii="Times New Roman" w:hAnsi="Times New Roman" w:cs="Times New Roman"/>
          <w:sz w:val="24"/>
          <w:szCs w:val="24"/>
        </w:rPr>
        <w:t xml:space="preserve"> </w:t>
      </w:r>
      <w:r w:rsidR="000F232A">
        <w:rPr>
          <w:rFonts w:ascii="Times New Roman" w:hAnsi="Times New Roman" w:cs="Times New Roman"/>
          <w:sz w:val="24"/>
          <w:szCs w:val="24"/>
        </w:rPr>
        <w:t>1</w:t>
      </w:r>
      <w:r w:rsidR="00DA3D87">
        <w:rPr>
          <w:rFonts w:ascii="Times New Roman" w:hAnsi="Times New Roman" w:cs="Times New Roman"/>
          <w:sz w:val="24"/>
          <w:szCs w:val="24"/>
        </w:rPr>
        <w:t xml:space="preserve"> and 2.</w:t>
      </w:r>
      <w:r w:rsidR="000F232A">
        <w:rPr>
          <w:rFonts w:ascii="Times New Roman" w:hAnsi="Times New Roman" w:cs="Times New Roman"/>
          <w:sz w:val="24"/>
          <w:szCs w:val="24"/>
        </w:rPr>
        <w:t xml:space="preserve"> </w:t>
      </w:r>
      <w:r w:rsidRPr="00322BE7">
        <w:rPr>
          <w:rFonts w:ascii="Times New Roman" w:hAnsi="Times New Roman" w:cs="Times New Roman"/>
          <w:sz w:val="24"/>
          <w:szCs w:val="24"/>
        </w:rPr>
        <w:t xml:space="preserve">Scale bar = 200 </w:t>
      </w:r>
      <w:proofErr w:type="spellStart"/>
      <w:r w:rsidRPr="00322BE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322BE7">
        <w:rPr>
          <w:rFonts w:ascii="Times New Roman" w:hAnsi="Times New Roman" w:cs="Times New Roman"/>
          <w:sz w:val="24"/>
          <w:szCs w:val="24"/>
        </w:rPr>
        <w:t xml:space="preserve"> (a–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22BE7">
        <w:rPr>
          <w:rFonts w:ascii="Times New Roman" w:hAnsi="Times New Roman" w:cs="Times New Roman"/>
          <w:sz w:val="24"/>
          <w:szCs w:val="24"/>
        </w:rPr>
        <w:t>).</w:t>
      </w:r>
    </w:p>
    <w:p w14:paraId="1E0CF888" w14:textId="77777777" w:rsidR="007272E5" w:rsidRDefault="006C5E9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A733EC" w14:textId="72E19047" w:rsidR="007272E5" w:rsidRDefault="006C5E9A" w:rsidP="007272E5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47533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2FBAB9EB" wp14:editId="297B2FCF">
            <wp:simplePos x="0" y="0"/>
            <wp:positionH relativeFrom="column">
              <wp:posOffset>1081405</wp:posOffset>
            </wp:positionH>
            <wp:positionV relativeFrom="paragraph">
              <wp:posOffset>576580</wp:posOffset>
            </wp:positionV>
            <wp:extent cx="3495675" cy="5157470"/>
            <wp:effectExtent l="0" t="0" r="9525" b="5080"/>
            <wp:wrapTopAndBottom/>
            <wp:docPr id="269017698" name="図 269017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93586" name="図 2690176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753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547533">
        <w:rPr>
          <w:rFonts w:ascii="Times New Roman" w:hAnsi="Times New Roman" w:cs="Times New Roman"/>
          <w:b/>
          <w:bCs/>
          <w:sz w:val="24"/>
          <w:szCs w:val="24"/>
        </w:rPr>
        <w:t>upplementary Figure S3.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7F6F00">
        <w:rPr>
          <w:rFonts w:ascii="Times New Roman" w:hAnsi="Times New Roman" w:cs="Times New Roman"/>
          <w:sz w:val="24"/>
          <w:szCs w:val="24"/>
        </w:rPr>
        <w:t xml:space="preserve">roteomic analysis </w:t>
      </w:r>
      <w:r>
        <w:rPr>
          <w:rFonts w:ascii="Times New Roman" w:hAnsi="Times New Roman" w:cs="Times New Roman"/>
          <w:sz w:val="24"/>
          <w:szCs w:val="24"/>
        </w:rPr>
        <w:t xml:space="preserve">results </w:t>
      </w:r>
      <w:r w:rsidR="000F232A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PSP-A and PSP-B in pulmonary CA lesions in Case 1.</w:t>
      </w:r>
    </w:p>
    <w:p w14:paraId="137FDF9F" w14:textId="77777777" w:rsidR="007272E5" w:rsidRDefault="007272E5" w:rsidP="007272E5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BB2860B" w14:textId="2CA8DE3E" w:rsidR="007272E5" w:rsidRPr="00E56371" w:rsidRDefault="006C5E9A" w:rsidP="007272E5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a) PSP-A</w:t>
      </w:r>
      <w:r w:rsidR="000F2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(b) PSP-B. Detected peptides with peptide scores of 30 or higher in the MASCOT analysis are shown in red.</w:t>
      </w:r>
    </w:p>
    <w:p w14:paraId="7ACD1F12" w14:textId="77777777" w:rsidR="007272E5" w:rsidRDefault="006C5E9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2DF5E5" w14:textId="6562C4D1" w:rsidR="004B5196" w:rsidRDefault="006C5E9A" w:rsidP="00E56371">
      <w:pPr>
        <w:widowControl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47533">
        <w:rPr>
          <w:rFonts w:ascii="Times New Roman" w:hAnsi="Times New Roman" w:cs="Times New Roman" w:hint="eastAsia"/>
          <w:b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75E5DDF4" wp14:editId="0E80DDF8">
            <wp:simplePos x="0" y="0"/>
            <wp:positionH relativeFrom="column">
              <wp:posOffset>98425</wp:posOffset>
            </wp:positionH>
            <wp:positionV relativeFrom="paragraph">
              <wp:posOffset>550545</wp:posOffset>
            </wp:positionV>
            <wp:extent cx="5495925" cy="5753735"/>
            <wp:effectExtent l="0" t="0" r="9525" b="0"/>
            <wp:wrapTopAndBottom/>
            <wp:docPr id="44349397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5418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3D87" w:rsidRPr="00547533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DA3D87" w:rsidRPr="00547533">
        <w:rPr>
          <w:rFonts w:ascii="Times New Roman" w:hAnsi="Times New Roman" w:cs="Times New Roman"/>
          <w:b/>
          <w:bCs/>
          <w:sz w:val="24"/>
          <w:szCs w:val="24"/>
        </w:rPr>
        <w:t>upplementary Figure S</w:t>
      </w:r>
      <w:r w:rsidR="007272E5" w:rsidRPr="0054753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A3D87" w:rsidRPr="0054753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A3D8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58196461"/>
      <w:r w:rsidR="00DA3D87" w:rsidRPr="00322BE7">
        <w:rPr>
          <w:rFonts w:ascii="Times New Roman" w:hAnsi="Times New Roman" w:cs="Times New Roman"/>
          <w:sz w:val="24"/>
          <w:szCs w:val="24"/>
        </w:rPr>
        <w:t xml:space="preserve">Representative microphotographs of </w:t>
      </w:r>
      <w:r w:rsidR="00DA3D87">
        <w:rPr>
          <w:rFonts w:ascii="Times New Roman" w:hAnsi="Times New Roman" w:cs="Times New Roman"/>
          <w:sz w:val="24"/>
          <w:szCs w:val="24"/>
        </w:rPr>
        <w:t>cystic tumor</w:t>
      </w:r>
      <w:r w:rsidR="000F232A">
        <w:rPr>
          <w:rFonts w:ascii="Times New Roman" w:hAnsi="Times New Roman" w:cs="Times New Roman"/>
          <w:sz w:val="24"/>
          <w:szCs w:val="24"/>
        </w:rPr>
        <w:t>s</w:t>
      </w:r>
      <w:r w:rsidR="00DA3D87">
        <w:rPr>
          <w:rFonts w:ascii="Times New Roman" w:hAnsi="Times New Roman" w:cs="Times New Roman"/>
          <w:sz w:val="24"/>
          <w:szCs w:val="24"/>
        </w:rPr>
        <w:t xml:space="preserve"> of the atrioventricular node (CTAVN)-associated CA in </w:t>
      </w:r>
      <w:r w:rsidR="00C54B73">
        <w:rPr>
          <w:rFonts w:ascii="Times New Roman" w:hAnsi="Times New Roman" w:cs="Times New Roman"/>
          <w:sz w:val="24"/>
          <w:szCs w:val="24"/>
        </w:rPr>
        <w:t>all three cases</w:t>
      </w:r>
      <w:r w:rsidR="00DA3D87">
        <w:rPr>
          <w:rFonts w:ascii="Times New Roman" w:hAnsi="Times New Roman" w:cs="Times New Roman"/>
          <w:sz w:val="24"/>
          <w:szCs w:val="24"/>
        </w:rPr>
        <w:t>.</w:t>
      </w:r>
      <w:bookmarkEnd w:id="1"/>
    </w:p>
    <w:p w14:paraId="7988829B" w14:textId="71A6753D" w:rsidR="006E0074" w:rsidRPr="006E0074" w:rsidRDefault="006C5E9A" w:rsidP="00375C0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a, d, g, j) Prostatic CA Case 1; (b, e, h, k) Case 2; (c, f, i, l) Case 3. (a–c) H&amp;E staining; pCR staining under bright field (d–f) and polarized light (g–i); (j–l) Immunohistochemistry for olfactomedin 4. </w:t>
      </w:r>
      <w:r w:rsidR="000F232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all cases, </w:t>
      </w:r>
      <w:r w:rsidR="000F232A">
        <w:rPr>
          <w:rFonts w:ascii="Times New Roman" w:hAnsi="Times New Roman" w:cs="Times New Roman"/>
          <w:sz w:val="24"/>
          <w:szCs w:val="24"/>
        </w:rPr>
        <w:t xml:space="preserve">the </w:t>
      </w:r>
      <w:r w:rsidRPr="00322BE7">
        <w:rPr>
          <w:rFonts w:ascii="Times New Roman" w:hAnsi="Times New Roman" w:cs="Times New Roman"/>
          <w:sz w:val="24"/>
          <w:szCs w:val="24"/>
        </w:rPr>
        <w:t>CAs were round and eosinophilic deposits show</w:t>
      </w:r>
      <w:r w:rsidR="000F232A">
        <w:rPr>
          <w:rFonts w:ascii="Times New Roman" w:hAnsi="Times New Roman" w:cs="Times New Roman"/>
          <w:sz w:val="24"/>
          <w:szCs w:val="24"/>
        </w:rPr>
        <w:t>ed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concentric laminations</w:t>
      </w:r>
      <w:r w:rsidRPr="00322BE7">
        <w:rPr>
          <w:rFonts w:ascii="Times New Roman" w:hAnsi="Times New Roman" w:cs="Times New Roman"/>
          <w:sz w:val="24"/>
          <w:szCs w:val="24"/>
        </w:rPr>
        <w:t xml:space="preserve"> </w:t>
      </w:r>
      <w:r w:rsidR="000F232A">
        <w:rPr>
          <w:rFonts w:ascii="Times New Roman" w:hAnsi="Times New Roman" w:cs="Times New Roman"/>
          <w:sz w:val="24"/>
          <w:szCs w:val="24"/>
        </w:rPr>
        <w:t>by</w:t>
      </w:r>
      <w:r w:rsidRPr="00322BE7">
        <w:rPr>
          <w:rFonts w:ascii="Times New Roman" w:hAnsi="Times New Roman" w:cs="Times New Roman"/>
          <w:sz w:val="24"/>
          <w:szCs w:val="24"/>
        </w:rPr>
        <w:t xml:space="preserve"> H&amp;E staining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232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pCR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staining, </w:t>
      </w:r>
      <w:r w:rsidR="000F232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CAs showed very weak (arrow) to moderate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congophili</w:t>
      </w:r>
      <w:r w:rsidR="000F232A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(arrowhead) (d–f), and those exhibiting moderate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congophili</w:t>
      </w:r>
      <w:r w:rsidR="000F232A"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0F232A">
        <w:rPr>
          <w:rFonts w:ascii="Times New Roman" w:hAnsi="Times New Roman" w:cs="Times New Roman"/>
          <w:sz w:val="24"/>
          <w:szCs w:val="24"/>
        </w:rPr>
        <w:t>how</w:t>
      </w:r>
      <w:r>
        <w:rPr>
          <w:rFonts w:ascii="Times New Roman" w:hAnsi="Times New Roman" w:cs="Times New Roman"/>
          <w:sz w:val="24"/>
          <w:szCs w:val="24"/>
        </w:rPr>
        <w:t xml:space="preserve">ed </w:t>
      </w:r>
      <w:r w:rsidRPr="00322BE7">
        <w:rPr>
          <w:rFonts w:ascii="Times New Roman" w:hAnsi="Times New Roman" w:cs="Times New Roman"/>
          <w:sz w:val="24"/>
          <w:szCs w:val="24"/>
        </w:rPr>
        <w:t>apple-green birefringence under polarized light</w:t>
      </w:r>
      <w:r>
        <w:rPr>
          <w:rFonts w:ascii="Times New Roman" w:hAnsi="Times New Roman" w:cs="Times New Roman"/>
          <w:sz w:val="24"/>
          <w:szCs w:val="24"/>
        </w:rPr>
        <w:t xml:space="preserve"> (arrowhead) (g–i). I</w:t>
      </w:r>
      <w:r w:rsidRPr="00DB3F0E">
        <w:rPr>
          <w:rFonts w:ascii="Times New Roman" w:hAnsi="Times New Roman" w:cs="Times New Roman"/>
          <w:sz w:val="24"/>
          <w:szCs w:val="24"/>
        </w:rPr>
        <w:t xml:space="preserve">mmunoreactivity of </w:t>
      </w:r>
      <w:r w:rsidR="000F232A">
        <w:rPr>
          <w:rFonts w:ascii="Times New Roman" w:hAnsi="Times New Roman" w:cs="Times New Roman"/>
          <w:sz w:val="24"/>
          <w:szCs w:val="24"/>
        </w:rPr>
        <w:t xml:space="preserve">the </w:t>
      </w:r>
      <w:r w:rsidRPr="00DB3F0E">
        <w:rPr>
          <w:rFonts w:ascii="Times New Roman" w:hAnsi="Times New Roman" w:cs="Times New Roman"/>
          <w:sz w:val="24"/>
          <w:szCs w:val="24"/>
        </w:rPr>
        <w:t xml:space="preserve">CAs to </w:t>
      </w:r>
      <w:r>
        <w:rPr>
          <w:rFonts w:ascii="Times New Roman" w:hAnsi="Times New Roman" w:cs="Times New Roman"/>
          <w:sz w:val="24"/>
          <w:szCs w:val="24"/>
        </w:rPr>
        <w:t xml:space="preserve">olfactomedin </w:t>
      </w:r>
      <w:r w:rsidRPr="00DB3F0E">
        <w:rPr>
          <w:rFonts w:ascii="Times New Roman" w:hAnsi="Times New Roman" w:cs="Times New Roman"/>
          <w:sz w:val="24"/>
          <w:szCs w:val="24"/>
        </w:rPr>
        <w:t xml:space="preserve">4 </w:t>
      </w:r>
      <w:r w:rsidR="000F232A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B3F0E">
        <w:rPr>
          <w:rFonts w:ascii="Times New Roman" w:hAnsi="Times New Roman" w:cs="Times New Roman"/>
          <w:sz w:val="24"/>
          <w:szCs w:val="24"/>
        </w:rPr>
        <w:t xml:space="preserve"> strong in Case 1</w:t>
      </w:r>
      <w:r>
        <w:rPr>
          <w:rFonts w:ascii="Times New Roman" w:hAnsi="Times New Roman" w:cs="Times New Roman"/>
          <w:sz w:val="24"/>
          <w:szCs w:val="24"/>
        </w:rPr>
        <w:t xml:space="preserve"> (j)</w:t>
      </w:r>
      <w:r w:rsidRPr="00DB3F0E">
        <w:rPr>
          <w:rFonts w:ascii="Times New Roman" w:hAnsi="Times New Roman" w:cs="Times New Roman"/>
          <w:sz w:val="24"/>
          <w:szCs w:val="24"/>
        </w:rPr>
        <w:t>, negative to weakly positive in Case 2</w:t>
      </w:r>
      <w:r>
        <w:rPr>
          <w:rFonts w:ascii="Times New Roman" w:hAnsi="Times New Roman" w:cs="Times New Roman"/>
          <w:sz w:val="24"/>
          <w:szCs w:val="24"/>
        </w:rPr>
        <w:t xml:space="preserve"> (k)</w:t>
      </w:r>
      <w:r w:rsidRPr="00DB3F0E">
        <w:rPr>
          <w:rFonts w:ascii="Times New Roman" w:hAnsi="Times New Roman" w:cs="Times New Roman"/>
          <w:sz w:val="24"/>
          <w:szCs w:val="24"/>
        </w:rPr>
        <w:t>, and weakly positive in Case 3</w:t>
      </w:r>
      <w:r>
        <w:rPr>
          <w:rFonts w:ascii="Times New Roman" w:hAnsi="Times New Roman" w:cs="Times New Roman"/>
          <w:sz w:val="24"/>
          <w:szCs w:val="24"/>
        </w:rPr>
        <w:t xml:space="preserve"> (l)</w:t>
      </w:r>
      <w:r w:rsidRPr="00DB3F0E">
        <w:rPr>
          <w:rFonts w:ascii="Times New Roman" w:hAnsi="Times New Roman" w:cs="Times New Roman"/>
          <w:sz w:val="24"/>
          <w:szCs w:val="24"/>
        </w:rPr>
        <w:t>.</w:t>
      </w:r>
      <w:r w:rsidR="000F232A">
        <w:rPr>
          <w:rFonts w:ascii="Times New Roman" w:hAnsi="Times New Roman" w:cs="Times New Roman"/>
          <w:sz w:val="24"/>
          <w:szCs w:val="24"/>
        </w:rPr>
        <w:t xml:space="preserve"> </w:t>
      </w:r>
      <w:r w:rsidRPr="00322BE7">
        <w:rPr>
          <w:rFonts w:ascii="Times New Roman" w:hAnsi="Times New Roman" w:cs="Times New Roman"/>
          <w:sz w:val="24"/>
          <w:szCs w:val="24"/>
        </w:rPr>
        <w:t>Scale bar = 200 μm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22B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22BE7">
        <w:rPr>
          <w:rFonts w:ascii="Times New Roman" w:hAnsi="Times New Roman" w:cs="Times New Roman"/>
          <w:sz w:val="24"/>
          <w:szCs w:val="24"/>
        </w:rPr>
        <w:t>)</w:t>
      </w:r>
    </w:p>
    <w:sectPr w:rsidR="006E0074" w:rsidRPr="006E0074" w:rsidSect="00774293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0E3D9" w14:textId="77777777" w:rsidR="00774293" w:rsidRDefault="00774293" w:rsidP="003A607F">
      <w:r>
        <w:separator/>
      </w:r>
    </w:p>
  </w:endnote>
  <w:endnote w:type="continuationSeparator" w:id="0">
    <w:p w14:paraId="6AF2E256" w14:textId="77777777" w:rsidR="00774293" w:rsidRDefault="00774293" w:rsidP="003A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54F5A" w14:textId="77777777" w:rsidR="00774293" w:rsidRDefault="00774293" w:rsidP="003A607F">
      <w:r>
        <w:separator/>
      </w:r>
    </w:p>
  </w:footnote>
  <w:footnote w:type="continuationSeparator" w:id="0">
    <w:p w14:paraId="3DF7127D" w14:textId="77777777" w:rsidR="00774293" w:rsidRDefault="00774293" w:rsidP="003A60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UniqueDocId" w:val="4bd24105-9028-4474-ba26-d304db9c5446"/>
  </w:docVars>
  <w:rsids>
    <w:rsidRoot w:val="0053765C"/>
    <w:rsid w:val="00005C39"/>
    <w:rsid w:val="00062C0D"/>
    <w:rsid w:val="00073F9A"/>
    <w:rsid w:val="000F167B"/>
    <w:rsid w:val="000F232A"/>
    <w:rsid w:val="000F6A08"/>
    <w:rsid w:val="00107355"/>
    <w:rsid w:val="0012732E"/>
    <w:rsid w:val="001274F3"/>
    <w:rsid w:val="00134EC2"/>
    <w:rsid w:val="00152C06"/>
    <w:rsid w:val="00161800"/>
    <w:rsid w:val="001655E3"/>
    <w:rsid w:val="00175B12"/>
    <w:rsid w:val="00190C98"/>
    <w:rsid w:val="00192843"/>
    <w:rsid w:val="00195807"/>
    <w:rsid w:val="001F09A8"/>
    <w:rsid w:val="001F3821"/>
    <w:rsid w:val="001F7DEF"/>
    <w:rsid w:val="002025A8"/>
    <w:rsid w:val="002468E7"/>
    <w:rsid w:val="00287BFD"/>
    <w:rsid w:val="002971F3"/>
    <w:rsid w:val="002D414D"/>
    <w:rsid w:val="002D5761"/>
    <w:rsid w:val="002F7D4A"/>
    <w:rsid w:val="0030152C"/>
    <w:rsid w:val="00306943"/>
    <w:rsid w:val="00322BE7"/>
    <w:rsid w:val="0034375F"/>
    <w:rsid w:val="00356413"/>
    <w:rsid w:val="00375C0E"/>
    <w:rsid w:val="00377D6D"/>
    <w:rsid w:val="00384101"/>
    <w:rsid w:val="00391C9C"/>
    <w:rsid w:val="00397F65"/>
    <w:rsid w:val="003A30CC"/>
    <w:rsid w:val="003A607F"/>
    <w:rsid w:val="003C6D69"/>
    <w:rsid w:val="003E44BD"/>
    <w:rsid w:val="00411972"/>
    <w:rsid w:val="00414975"/>
    <w:rsid w:val="0044560E"/>
    <w:rsid w:val="00473FCE"/>
    <w:rsid w:val="004B5196"/>
    <w:rsid w:val="004D11E1"/>
    <w:rsid w:val="004E2A2A"/>
    <w:rsid w:val="004E569D"/>
    <w:rsid w:val="005224D1"/>
    <w:rsid w:val="0053765C"/>
    <w:rsid w:val="00547533"/>
    <w:rsid w:val="0058342F"/>
    <w:rsid w:val="005867DC"/>
    <w:rsid w:val="00591ED9"/>
    <w:rsid w:val="005B57BF"/>
    <w:rsid w:val="005D0E4A"/>
    <w:rsid w:val="0060553D"/>
    <w:rsid w:val="00611779"/>
    <w:rsid w:val="00623F9B"/>
    <w:rsid w:val="00646B1F"/>
    <w:rsid w:val="00660F94"/>
    <w:rsid w:val="00693D09"/>
    <w:rsid w:val="0069702E"/>
    <w:rsid w:val="006A436F"/>
    <w:rsid w:val="006A4B29"/>
    <w:rsid w:val="006C5E9A"/>
    <w:rsid w:val="006D68FC"/>
    <w:rsid w:val="006E0074"/>
    <w:rsid w:val="007272E5"/>
    <w:rsid w:val="0074095B"/>
    <w:rsid w:val="00774293"/>
    <w:rsid w:val="00774541"/>
    <w:rsid w:val="00790FED"/>
    <w:rsid w:val="0079452A"/>
    <w:rsid w:val="007A4067"/>
    <w:rsid w:val="007E4FA0"/>
    <w:rsid w:val="007F6F00"/>
    <w:rsid w:val="00835E7E"/>
    <w:rsid w:val="008D39C4"/>
    <w:rsid w:val="008F1AF6"/>
    <w:rsid w:val="009005FE"/>
    <w:rsid w:val="00922B1F"/>
    <w:rsid w:val="009236CD"/>
    <w:rsid w:val="009269B2"/>
    <w:rsid w:val="009349EF"/>
    <w:rsid w:val="00952EB4"/>
    <w:rsid w:val="00990FA6"/>
    <w:rsid w:val="009C133F"/>
    <w:rsid w:val="009F1B74"/>
    <w:rsid w:val="009F5303"/>
    <w:rsid w:val="00A246C5"/>
    <w:rsid w:val="00A25D46"/>
    <w:rsid w:val="00A26E4A"/>
    <w:rsid w:val="00A75F89"/>
    <w:rsid w:val="00A77846"/>
    <w:rsid w:val="00A80177"/>
    <w:rsid w:val="00AA1614"/>
    <w:rsid w:val="00AC0536"/>
    <w:rsid w:val="00AD6C82"/>
    <w:rsid w:val="00AE2E1C"/>
    <w:rsid w:val="00AF61F2"/>
    <w:rsid w:val="00B25B91"/>
    <w:rsid w:val="00B33A61"/>
    <w:rsid w:val="00B75F8A"/>
    <w:rsid w:val="00B87939"/>
    <w:rsid w:val="00BA6FDF"/>
    <w:rsid w:val="00BF5B25"/>
    <w:rsid w:val="00BF7A3B"/>
    <w:rsid w:val="00C01765"/>
    <w:rsid w:val="00C54B73"/>
    <w:rsid w:val="00CD7A16"/>
    <w:rsid w:val="00CE0067"/>
    <w:rsid w:val="00CF257F"/>
    <w:rsid w:val="00D40C0B"/>
    <w:rsid w:val="00D42663"/>
    <w:rsid w:val="00D43C5E"/>
    <w:rsid w:val="00D4581C"/>
    <w:rsid w:val="00D53F5E"/>
    <w:rsid w:val="00D9753C"/>
    <w:rsid w:val="00DA3D87"/>
    <w:rsid w:val="00DB3F0E"/>
    <w:rsid w:val="00DB574D"/>
    <w:rsid w:val="00DB707A"/>
    <w:rsid w:val="00DB7825"/>
    <w:rsid w:val="00DC702E"/>
    <w:rsid w:val="00DD1FD0"/>
    <w:rsid w:val="00DE4194"/>
    <w:rsid w:val="00DF0CEC"/>
    <w:rsid w:val="00DF290F"/>
    <w:rsid w:val="00E323BF"/>
    <w:rsid w:val="00E56371"/>
    <w:rsid w:val="00E67FAB"/>
    <w:rsid w:val="00E7198A"/>
    <w:rsid w:val="00E76CAB"/>
    <w:rsid w:val="00EB30FF"/>
    <w:rsid w:val="00EB6138"/>
    <w:rsid w:val="00EC345F"/>
    <w:rsid w:val="00EC53D4"/>
    <w:rsid w:val="00EE0628"/>
    <w:rsid w:val="00F27496"/>
    <w:rsid w:val="00F9746A"/>
    <w:rsid w:val="00FA6BA5"/>
    <w:rsid w:val="00FD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DC4BC2"/>
  <w15:docId w15:val="{99B80367-BCC7-4C50-9B24-C61BE6CD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2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19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4194"/>
  </w:style>
  <w:style w:type="paragraph" w:styleId="a5">
    <w:name w:val="footer"/>
    <w:basedOn w:val="a"/>
    <w:link w:val="a6"/>
    <w:uiPriority w:val="99"/>
    <w:unhideWhenUsed/>
    <w:rsid w:val="00DE41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4194"/>
  </w:style>
  <w:style w:type="table" w:styleId="a7">
    <w:name w:val="Table Grid"/>
    <w:basedOn w:val="a1"/>
    <w:uiPriority w:val="39"/>
    <w:rsid w:val="00DE4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D7A16"/>
    <w:rPr>
      <w:rFonts w:ascii="Tahoma" w:hAnsi="Tahoma" w:cs="Tahoma"/>
      <w:sz w:val="16"/>
      <w:szCs w:val="16"/>
    </w:rPr>
  </w:style>
  <w:style w:type="character" w:customStyle="1" w:styleId="a9">
    <w:name w:val="吹き出し (文字)"/>
    <w:basedOn w:val="a0"/>
    <w:link w:val="a8"/>
    <w:uiPriority w:val="99"/>
    <w:semiHidden/>
    <w:rsid w:val="00CD7A16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DF0CEC"/>
  </w:style>
  <w:style w:type="character" w:styleId="ab">
    <w:name w:val="annotation reference"/>
    <w:basedOn w:val="a0"/>
    <w:uiPriority w:val="99"/>
    <w:semiHidden/>
    <w:unhideWhenUsed/>
    <w:rsid w:val="0041197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11972"/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semiHidden/>
    <w:rsid w:val="0041197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11972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119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3F97A-1E5E-4CED-B5AB-BA57663DD2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3646D0-AA83-499A-91A1-2DADE95E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655</Words>
  <Characters>3736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一萬田 正二郎</dc:creator>
  <cp:lastModifiedBy>Shojiro Ichimata</cp:lastModifiedBy>
  <cp:revision>4</cp:revision>
  <cp:lastPrinted>2021-06-10T05:23:00Z</cp:lastPrinted>
  <dcterms:created xsi:type="dcterms:W3CDTF">2024-02-28T03:28:00Z</dcterms:created>
  <dcterms:modified xsi:type="dcterms:W3CDTF">2024-03-06T02:57:00Z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Prop">
    <vt:lpwstr>bfb6effd1e2545499dee3b57aef19fa7</vt:lpwstr>
  </property>
  <property fmtid="{D5CDD505-2E9C-101B-9397-08002B2CF9AE}" pid="3" name="GrammarlyDocumentId">
    <vt:lpwstr>5324d1a9cbc939940b1cb4a78633fd2cef5db1c7ba6703b232b3c72e2516b2c9</vt:lpwstr>
  </property>
  <property fmtid="{D5CDD505-2E9C-101B-9397-08002B2CF9AE}" pid="4" name="TRFLID">
    <vt:lpwstr>AGRBG1y01MHgSeFtVE+XEg==</vt:lpwstr>
  </property>
  <property fmtid="{D5CDD505-2E9C-101B-9397-08002B2CF9AE}" pid="5" name="UniqueFileID">
    <vt:lpwstr>RxrMwTq0JIdf</vt:lpwstr>
  </property>
  <property fmtid="{D5CDD505-2E9C-101B-9397-08002B2CF9AE}" pid="6" name="TrinkaCustomProp">
    <vt:lpwstr>cca73e987d1a420e800bd57326df1086</vt:lpwstr>
  </property>
  <property fmtid="{D5CDD505-2E9C-101B-9397-08002B2CF9AE}" pid="7" name="DotEnagoUniqueKey">
    <vt:lpwstr>|0512f87ee8cccc2-aff9-4a47-9c99-a1708820324001-2de988ad</vt:lpwstr>
  </property>
</Properties>
</file>