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DPI22heading2"/>
        <w:ind w:left="0"/>
      </w:pPr>
      <w:r>
        <w:t>3.1 Downregulation of p62 RNA expression in SCA3 patients</w:t>
      </w:r>
    </w:p>
    <w:p>
      <w:pPr>
        <w:pStyle w:val="MDPI22heading2"/>
        <w:ind w:left="0"/>
        <w:rPr>
          <w:i w:val="0"/>
          <w:iCs/>
        </w:rPr>
      </w:pPr>
    </w:p>
    <w:p>
      <w:pPr>
        <w:pStyle w:val="MDPI22heading2"/>
        <w:ind w:left="0"/>
        <w:jc w:val="center"/>
        <w:rPr>
          <w:i w:val="0"/>
          <w:iCs/>
        </w:rPr>
      </w:pPr>
      <w:r>
        <w:drawing>
          <wp:inline distT="0" distB="0" distL="0" distR="0">
            <wp:extent cx="3321685" cy="3125458"/>
            <wp:effectExtent l="0" t="0" r="0" b="0"/>
            <wp:docPr id="3" name="Grafik 3" descr="Ein Bild, das Text, Screensho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reenshot, Diagramm, Design enthält.&#10;&#10;Automatisch generierte Beschreibung"/>
                    <pic:cNvPicPr/>
                  </pic:nvPicPr>
                  <pic:blipFill rotWithShape="1">
                    <a:blip r:embed="rId7" cstate="print">
                      <a:extLst>
                        <a:ext uri="{28A0092B-C50C-407E-A947-70E740481C1C}">
                          <a14:useLocalDpi xmlns:a14="http://schemas.microsoft.com/office/drawing/2010/main" val="0"/>
                        </a:ext>
                      </a:extLst>
                    </a:blip>
                    <a:srcRect t="-910" r="-591" b="-912"/>
                    <a:stretch/>
                  </pic:blipFill>
                  <pic:spPr bwMode="auto">
                    <a:xfrm>
                      <a:off x="0" y="0"/>
                      <a:ext cx="3323105" cy="3126794"/>
                    </a:xfrm>
                    <a:prstGeom prst="rect">
                      <a:avLst/>
                    </a:prstGeom>
                    <a:ln>
                      <a:noFill/>
                    </a:ln>
                    <a:extLst>
                      <a:ext uri="{53640926-AAD7-44D8-BBD7-CCE9431645EC}">
                        <a14:shadowObscured xmlns:a14="http://schemas.microsoft.com/office/drawing/2010/main"/>
                      </a:ext>
                    </a:extLst>
                  </pic:spPr>
                </pic:pic>
              </a:graphicData>
            </a:graphic>
          </wp:inline>
        </w:drawing>
      </w:r>
    </w:p>
    <w:p>
      <w:pPr>
        <w:pStyle w:val="MDPI51figurecaption"/>
        <w:ind w:left="0"/>
        <w:jc w:val="both"/>
      </w:pPr>
      <w:r>
        <w:rPr>
          <w:b/>
        </w:rPr>
        <w:t>Supplementary Figure S1.</w:t>
      </w:r>
      <w:r>
        <w:t xml:space="preserve"> Total RNA expression profile of important autophagic marker genes. Total RNA expression levels of ATG7, ATG12, ATG16L12, LAMP2 and RAB1A and RAB7A determined in cerebella post-mortem brain using RNA sequencing. TPM = transcript per million reads. ** p</w:t>
      </w:r>
      <w:r>
        <w:sym w:font="Symbol" w:char="F03C"/>
      </w:r>
      <w:r>
        <w:t>0.01</w:t>
      </w:r>
    </w:p>
    <w:p>
      <w:pPr>
        <w:rPr>
          <w:rFonts w:ascii="Palatino Linotype" w:eastAsia="Times New Roman" w:hAnsi="Palatino Linotype" w:cs="Times New Roman"/>
          <w:color w:val="000000"/>
          <w:kern w:val="0"/>
          <w:sz w:val="18"/>
          <w:lang w:eastAsia="de-DE" w:bidi="en-US"/>
          <w14:ligatures w14:val="none"/>
        </w:rPr>
      </w:pPr>
      <w:r>
        <w:br w:type="page"/>
      </w:r>
    </w:p>
    <w:p>
      <w:pPr>
        <w:pStyle w:val="MDPI51figurecaption"/>
        <w:ind w:left="0"/>
        <w:jc w:val="both"/>
      </w:pPr>
    </w:p>
    <w:p>
      <w:pPr>
        <w:pStyle w:val="MDPI51figurecaption"/>
        <w:ind w:left="0"/>
        <w:jc w:val="center"/>
      </w:pPr>
      <w:r>
        <w:rPr>
          <w:noProof/>
        </w:rPr>
        <w:drawing>
          <wp:inline distT="0" distB="0" distL="0" distR="0">
            <wp:extent cx="3489649" cy="401648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62_isoformen.emf"/>
                    <pic:cNvPicPr/>
                  </pic:nvPicPr>
                  <pic:blipFill rotWithShape="1">
                    <a:blip r:embed="rId8" cstate="print">
                      <a:extLst>
                        <a:ext uri="{28A0092B-C50C-407E-A947-70E740481C1C}">
                          <a14:useLocalDpi xmlns:a14="http://schemas.microsoft.com/office/drawing/2010/main" val="0"/>
                        </a:ext>
                      </a:extLst>
                    </a:blip>
                    <a:srcRect l="2413" t="2872" r="5133" b="2110"/>
                    <a:stretch/>
                  </pic:blipFill>
                  <pic:spPr bwMode="auto">
                    <a:xfrm>
                      <a:off x="0" y="0"/>
                      <a:ext cx="3509655" cy="4039509"/>
                    </a:xfrm>
                    <a:prstGeom prst="rect">
                      <a:avLst/>
                    </a:prstGeom>
                    <a:ln>
                      <a:noFill/>
                    </a:ln>
                    <a:extLst>
                      <a:ext uri="{53640926-AAD7-44D8-BBD7-CCE9431645EC}">
                        <a14:shadowObscured xmlns:a14="http://schemas.microsoft.com/office/drawing/2010/main"/>
                      </a:ext>
                    </a:extLst>
                  </pic:spPr>
                </pic:pic>
              </a:graphicData>
            </a:graphic>
          </wp:inline>
        </w:drawing>
      </w:r>
    </w:p>
    <w:p>
      <w:pPr>
        <w:pStyle w:val="MDPI51figurecaption"/>
        <w:ind w:left="0"/>
        <w:jc w:val="both"/>
      </w:pPr>
      <w:r>
        <w:rPr>
          <w:b/>
        </w:rPr>
        <w:lastRenderedPageBreak/>
        <w:t>Supplementary Figure S2.</w:t>
      </w:r>
      <w:r>
        <w:t xml:space="preserve"> p62 isoform expression in human cerebellar post-mortem brain samples. RNA sequencing revealed that some isoforms were not expressed in any of the brain samples, whereas others are only found in one or two samples, independently from the genotype. TPM = transcript per million reads. </w:t>
      </w:r>
    </w:p>
    <w:p>
      <w:pPr>
        <w:rPr>
          <w:rFonts w:ascii="Palatino Linotype" w:eastAsia="Times New Roman" w:hAnsi="Palatino Linotype" w:cs="Cordia New"/>
          <w:b/>
          <w:color w:val="000000"/>
          <w:kern w:val="0"/>
          <w:sz w:val="18"/>
          <w:szCs w:val="22"/>
          <w:lang w:eastAsia="de-DE" w:bidi="en-US"/>
          <w14:ligatures w14:val="none"/>
        </w:rPr>
      </w:pPr>
      <w:r>
        <w:rPr>
          <w:b/>
        </w:rPr>
        <w:br w:type="page"/>
      </w:r>
    </w:p>
    <w:p>
      <w:pPr>
        <w:pStyle w:val="MDPI41tablecaption"/>
        <w:ind w:left="0"/>
        <w:jc w:val="both"/>
      </w:pPr>
      <w:r>
        <w:rPr>
          <w:b/>
        </w:rPr>
        <w:t>Supplementary Table S1</w:t>
      </w:r>
      <w:r>
        <w:t>. RNA expression of autophagic genes in SCA3 304Q ki mice at 2 and 12 months and in human SCA3 post-mortem brain samples comparing controls to SCA3 disease mice or patients. For discovering aging effect, regulation of autophagic genes were evaluated by comparing young (2 months) vs old mice within the respective genotype (WT or 304Q; 12 months). All data from RNA sequencing data from cerebellum, all n=5-6 per genotype and age, all from male mice/subjects, M = months. Negative values implicate a downregulation in SCA3 contrasts and positive values an up-regulation always compared to controls.</w:t>
      </w:r>
    </w:p>
    <w:tbl>
      <w:tblPr>
        <w:tblW w:w="10632" w:type="dxa"/>
        <w:jc w:val="center"/>
        <w:tblBorders>
          <w:top w:val="single" w:sz="4" w:space="0" w:color="auto"/>
          <w:bottom w:val="single" w:sz="4" w:space="0" w:color="auto"/>
        </w:tblBorders>
        <w:tblLayout w:type="fixed"/>
        <w:tblCellMar>
          <w:left w:w="0" w:type="dxa"/>
          <w:right w:w="0" w:type="dxa"/>
        </w:tblCellMar>
        <w:tblLook w:val="0420" w:firstRow="1" w:lastRow="0" w:firstColumn="0" w:lastColumn="0" w:noHBand="0" w:noVBand="1"/>
      </w:tblPr>
      <w:tblGrid>
        <w:gridCol w:w="1843"/>
        <w:gridCol w:w="1701"/>
        <w:gridCol w:w="1559"/>
        <w:gridCol w:w="1843"/>
        <w:gridCol w:w="1843"/>
        <w:gridCol w:w="1843"/>
      </w:tblGrid>
      <w:tr>
        <w:trPr>
          <w:jc w:val="center"/>
        </w:trPr>
        <w:tc>
          <w:tcPr>
            <w:tcW w:w="1843" w:type="dxa"/>
            <w:tcBorders>
              <w:top w:val="single" w:sz="8" w:space="0" w:color="auto"/>
              <w:bottom w:val="single" w:sz="4" w:space="0" w:color="auto"/>
            </w:tcBorders>
            <w:shd w:val="clear" w:color="auto" w:fill="auto"/>
            <w:vAlign w:val="center"/>
          </w:tcPr>
          <w:p>
            <w:pPr>
              <w:pStyle w:val="MDPI42tablebody"/>
              <w:rPr>
                <w:b/>
                <w:bCs/>
              </w:rPr>
            </w:pPr>
          </w:p>
        </w:tc>
        <w:tc>
          <w:tcPr>
            <w:tcW w:w="1701" w:type="dxa"/>
            <w:tcBorders>
              <w:top w:val="single" w:sz="8" w:space="0" w:color="auto"/>
              <w:bottom w:val="single" w:sz="4" w:space="0" w:color="auto"/>
            </w:tcBorders>
            <w:shd w:val="clear" w:color="auto" w:fill="auto"/>
            <w:vAlign w:val="center"/>
          </w:tcPr>
          <w:p>
            <w:pPr>
              <w:pStyle w:val="MDPI42tablebody"/>
              <w:rPr>
                <w:b/>
                <w:bCs/>
              </w:rPr>
            </w:pPr>
            <w:r>
              <w:rPr>
                <w:b/>
                <w:bCs/>
              </w:rPr>
              <w:t xml:space="preserve">SCA3 304Q </w:t>
            </w:r>
          </w:p>
          <w:p>
            <w:pPr>
              <w:pStyle w:val="MDPI42tablebody"/>
              <w:rPr>
                <w:b/>
                <w:bCs/>
              </w:rPr>
            </w:pPr>
            <w:r>
              <w:rPr>
                <w:b/>
                <w:bCs/>
              </w:rPr>
              <w:t>2 months</w:t>
            </w:r>
          </w:p>
          <w:p>
            <w:pPr>
              <w:pStyle w:val="MDPI42tablebody"/>
              <w:rPr>
                <w:b/>
                <w:bCs/>
              </w:rPr>
            </w:pPr>
            <w:r>
              <w:rPr>
                <w:b/>
                <w:bCs/>
              </w:rPr>
              <w:t>compared to WT</w:t>
            </w:r>
          </w:p>
        </w:tc>
        <w:tc>
          <w:tcPr>
            <w:tcW w:w="1559" w:type="dxa"/>
            <w:tcBorders>
              <w:top w:val="single" w:sz="8" w:space="0" w:color="auto"/>
              <w:bottom w:val="single" w:sz="4" w:space="0" w:color="auto"/>
            </w:tcBorders>
            <w:shd w:val="clear" w:color="auto" w:fill="auto"/>
            <w:vAlign w:val="center"/>
            <w:hideMark/>
          </w:tcPr>
          <w:p>
            <w:pPr>
              <w:pStyle w:val="MDPI42tablebody"/>
              <w:rPr>
                <w:b/>
                <w:bCs/>
              </w:rPr>
            </w:pPr>
            <w:r>
              <w:rPr>
                <w:b/>
                <w:bCs/>
              </w:rPr>
              <w:t xml:space="preserve">SCA3 304Q </w:t>
            </w:r>
          </w:p>
          <w:p>
            <w:pPr>
              <w:pStyle w:val="MDPI42tablebody"/>
              <w:rPr>
                <w:b/>
                <w:bCs/>
              </w:rPr>
            </w:pPr>
            <w:r>
              <w:rPr>
                <w:b/>
                <w:bCs/>
              </w:rPr>
              <w:t>12 months</w:t>
            </w:r>
          </w:p>
          <w:p>
            <w:pPr>
              <w:pStyle w:val="MDPI42tablebody"/>
              <w:rPr>
                <w:b/>
                <w:bCs/>
              </w:rPr>
            </w:pPr>
            <w:r>
              <w:rPr>
                <w:b/>
                <w:bCs/>
              </w:rPr>
              <w:t>compared to WT</w:t>
            </w:r>
          </w:p>
        </w:tc>
        <w:tc>
          <w:tcPr>
            <w:tcW w:w="1843" w:type="dxa"/>
            <w:tcBorders>
              <w:top w:val="single" w:sz="8" w:space="0" w:color="auto"/>
              <w:bottom w:val="single" w:sz="4" w:space="0" w:color="auto"/>
            </w:tcBorders>
            <w:shd w:val="clear" w:color="auto" w:fill="auto"/>
            <w:vAlign w:val="center"/>
          </w:tcPr>
          <w:p>
            <w:pPr>
              <w:pStyle w:val="MDPI42tablebody"/>
              <w:rPr>
                <w:b/>
                <w:bCs/>
              </w:rPr>
            </w:pPr>
            <w:r>
              <w:rPr>
                <w:b/>
                <w:bCs/>
              </w:rPr>
              <w:t xml:space="preserve">aged WT </w:t>
            </w:r>
          </w:p>
          <w:p>
            <w:pPr>
              <w:pStyle w:val="MDPI42tablebody"/>
              <w:rPr>
                <w:b/>
                <w:bCs/>
              </w:rPr>
            </w:pPr>
            <w:r>
              <w:rPr>
                <w:b/>
                <w:bCs/>
              </w:rPr>
              <w:t>2M vs. 12M</w:t>
            </w:r>
          </w:p>
          <w:p>
            <w:pPr>
              <w:pStyle w:val="MDPI42tablebody"/>
              <w:rPr>
                <w:b/>
                <w:bCs/>
              </w:rPr>
            </w:pPr>
            <w:r>
              <w:rPr>
                <w:b/>
                <w:bCs/>
              </w:rPr>
              <w:t>aging WT</w:t>
            </w:r>
          </w:p>
        </w:tc>
        <w:tc>
          <w:tcPr>
            <w:tcW w:w="1843" w:type="dxa"/>
            <w:tcBorders>
              <w:top w:val="single" w:sz="8" w:space="0" w:color="auto"/>
              <w:bottom w:val="single" w:sz="4" w:space="0" w:color="auto"/>
            </w:tcBorders>
          </w:tcPr>
          <w:p>
            <w:pPr>
              <w:pStyle w:val="MDPI42tablebody"/>
              <w:rPr>
                <w:b/>
                <w:bCs/>
              </w:rPr>
            </w:pPr>
            <w:r>
              <w:rPr>
                <w:b/>
                <w:bCs/>
              </w:rPr>
              <w:t>aged SCA3 304Q</w:t>
            </w:r>
          </w:p>
          <w:p>
            <w:pPr>
              <w:pStyle w:val="MDPI42tablebody"/>
              <w:rPr>
                <w:b/>
                <w:bCs/>
              </w:rPr>
            </w:pPr>
            <w:r>
              <w:rPr>
                <w:b/>
                <w:bCs/>
              </w:rPr>
              <w:t>2M vs. 12M</w:t>
            </w:r>
          </w:p>
          <w:p>
            <w:pPr>
              <w:pStyle w:val="MDPI42tablebody"/>
              <w:rPr>
                <w:b/>
                <w:bCs/>
              </w:rPr>
            </w:pPr>
            <w:r>
              <w:rPr>
                <w:b/>
                <w:bCs/>
              </w:rPr>
              <w:t>aging knockin</w:t>
            </w:r>
          </w:p>
        </w:tc>
        <w:tc>
          <w:tcPr>
            <w:tcW w:w="1843" w:type="dxa"/>
            <w:tcBorders>
              <w:top w:val="single" w:sz="8" w:space="0" w:color="auto"/>
              <w:bottom w:val="single" w:sz="4" w:space="0" w:color="auto"/>
            </w:tcBorders>
          </w:tcPr>
          <w:p>
            <w:pPr>
              <w:pStyle w:val="MDPI42tablebody"/>
              <w:rPr>
                <w:b/>
                <w:bCs/>
              </w:rPr>
            </w:pPr>
            <w:r>
              <w:rPr>
                <w:b/>
                <w:bCs/>
              </w:rPr>
              <w:t>human SCA3</w:t>
            </w:r>
          </w:p>
          <w:p>
            <w:pPr>
              <w:pStyle w:val="MDPI42tablebody"/>
              <w:rPr>
                <w:b/>
                <w:bCs/>
              </w:rPr>
            </w:pPr>
            <w:r>
              <w:rPr>
                <w:b/>
                <w:bCs/>
              </w:rPr>
              <w:t>post-mortem</w:t>
            </w:r>
          </w:p>
          <w:p>
            <w:pPr>
              <w:pStyle w:val="MDPI42tablebody"/>
              <w:rPr>
                <w:b/>
                <w:bCs/>
              </w:rPr>
            </w:pPr>
            <w:r>
              <w:rPr>
                <w:b/>
                <w:bCs/>
              </w:rPr>
              <w:t>compared to CNTR</w:t>
            </w:r>
          </w:p>
        </w:tc>
      </w:tr>
      <w:tr>
        <w:trPr>
          <w:jc w:val="center"/>
        </w:trPr>
        <w:tc>
          <w:tcPr>
            <w:tcW w:w="1843" w:type="dxa"/>
            <w:vMerge w:val="restart"/>
            <w:tcBorders>
              <w:top w:val="single" w:sz="4" w:space="0" w:color="auto"/>
            </w:tcBorders>
            <w:shd w:val="clear" w:color="auto" w:fill="auto"/>
            <w:vAlign w:val="center"/>
            <w:hideMark/>
          </w:tcPr>
          <w:p>
            <w:pPr>
              <w:pStyle w:val="MDPI42tablebody"/>
            </w:pPr>
            <w:r>
              <w:t>ATG7</w:t>
            </w:r>
          </w:p>
        </w:tc>
        <w:tc>
          <w:tcPr>
            <w:tcW w:w="1701" w:type="dxa"/>
            <w:tcBorders>
              <w:top w:val="single" w:sz="4" w:space="0" w:color="auto"/>
              <w:bottom w:val="nil"/>
            </w:tcBorders>
            <w:shd w:val="clear" w:color="auto" w:fill="auto"/>
            <w:vAlign w:val="center"/>
            <w:hideMark/>
          </w:tcPr>
          <w:p>
            <w:pPr>
              <w:pStyle w:val="MDPI42tablebody"/>
            </w:pPr>
            <w:proofErr w:type="spellStart"/>
            <w:r>
              <w:t>logFC</w:t>
            </w:r>
            <w:proofErr w:type="spellEnd"/>
            <w:r>
              <w:t xml:space="preserve"> = -0.0463</w:t>
            </w:r>
          </w:p>
        </w:tc>
        <w:tc>
          <w:tcPr>
            <w:tcW w:w="1559" w:type="dxa"/>
            <w:tcBorders>
              <w:top w:val="single" w:sz="4" w:space="0" w:color="auto"/>
              <w:bottom w:val="nil"/>
            </w:tcBorders>
            <w:shd w:val="clear" w:color="auto" w:fill="auto"/>
            <w:vAlign w:val="center"/>
          </w:tcPr>
          <w:p>
            <w:pPr>
              <w:pStyle w:val="MDPI42tablebody"/>
              <w:rPr>
                <w:color w:val="FFC000" w:themeColor="accent4"/>
              </w:rPr>
            </w:pPr>
            <w:proofErr w:type="spellStart"/>
            <w:r>
              <w:rPr>
                <w:color w:val="FFC000" w:themeColor="accent4"/>
              </w:rPr>
              <w:t>logFC</w:t>
            </w:r>
            <w:proofErr w:type="spellEnd"/>
            <w:r>
              <w:rPr>
                <w:color w:val="FFC000" w:themeColor="accent4"/>
              </w:rPr>
              <w:t xml:space="preserve"> = 0.172</w:t>
            </w:r>
          </w:p>
        </w:tc>
        <w:tc>
          <w:tcPr>
            <w:tcW w:w="1843" w:type="dxa"/>
            <w:tcBorders>
              <w:top w:val="single" w:sz="4" w:space="0" w:color="auto"/>
              <w:bottom w:val="nil"/>
            </w:tcBorders>
            <w:shd w:val="clear" w:color="auto" w:fill="auto"/>
            <w:vAlign w:val="center"/>
          </w:tcPr>
          <w:p>
            <w:pPr>
              <w:pStyle w:val="MDPI42tablebody"/>
              <w:rPr>
                <w:color w:val="FF0000"/>
              </w:rPr>
            </w:pPr>
            <w:proofErr w:type="spellStart"/>
            <w:r>
              <w:rPr>
                <w:color w:val="FF0000"/>
              </w:rPr>
              <w:t>logFC</w:t>
            </w:r>
            <w:proofErr w:type="spellEnd"/>
            <w:r>
              <w:rPr>
                <w:color w:val="FF0000"/>
              </w:rPr>
              <w:t xml:space="preserve"> = 0.368</w:t>
            </w:r>
          </w:p>
        </w:tc>
        <w:tc>
          <w:tcPr>
            <w:tcW w:w="1843" w:type="dxa"/>
            <w:tcBorders>
              <w:top w:val="single" w:sz="4" w:space="0" w:color="auto"/>
              <w:bottom w:val="nil"/>
            </w:tcBorders>
          </w:tcPr>
          <w:p>
            <w:pPr>
              <w:pStyle w:val="MDPI42tablebody"/>
              <w:rPr>
                <w:color w:val="FF0000"/>
              </w:rPr>
            </w:pPr>
            <w:proofErr w:type="spellStart"/>
            <w:r>
              <w:rPr>
                <w:color w:val="FF0000"/>
              </w:rPr>
              <w:t>logFC</w:t>
            </w:r>
            <w:proofErr w:type="spellEnd"/>
            <w:r>
              <w:rPr>
                <w:color w:val="FF0000"/>
              </w:rPr>
              <w:t xml:space="preserve"> = 0.330</w:t>
            </w:r>
          </w:p>
        </w:tc>
        <w:tc>
          <w:tcPr>
            <w:tcW w:w="1843" w:type="dxa"/>
            <w:tcBorders>
              <w:top w:val="single" w:sz="4" w:space="0" w:color="auto"/>
              <w:bottom w:val="nil"/>
            </w:tcBorders>
          </w:tcPr>
          <w:p>
            <w:pPr>
              <w:pStyle w:val="MDPI42tablebody"/>
              <w:rPr>
                <w:color w:val="000000" w:themeColor="text1"/>
              </w:rPr>
            </w:pPr>
            <w:proofErr w:type="spellStart"/>
            <w:r>
              <w:t>logFC</w:t>
            </w:r>
            <w:proofErr w:type="spellEnd"/>
            <w:r>
              <w:rPr>
                <w:color w:val="000000" w:themeColor="text1"/>
              </w:rPr>
              <w:t xml:space="preserve"> = 0.086</w:t>
            </w:r>
          </w:p>
        </w:tc>
      </w:tr>
      <w:tr>
        <w:trPr>
          <w:jc w:val="center"/>
        </w:trPr>
        <w:tc>
          <w:tcPr>
            <w:tcW w:w="1843" w:type="dxa"/>
            <w:vMerge/>
            <w:shd w:val="clear" w:color="auto" w:fill="auto"/>
            <w:vAlign w:val="center"/>
            <w:hideMark/>
          </w:tcPr>
          <w:p>
            <w:pPr>
              <w:pStyle w:val="MDPI42tablebody"/>
            </w:pPr>
          </w:p>
        </w:tc>
        <w:tc>
          <w:tcPr>
            <w:tcW w:w="1701" w:type="dxa"/>
            <w:tcBorders>
              <w:top w:val="nil"/>
              <w:bottom w:val="nil"/>
            </w:tcBorders>
            <w:shd w:val="clear" w:color="auto" w:fill="auto"/>
            <w:vAlign w:val="center"/>
            <w:hideMark/>
          </w:tcPr>
          <w:p>
            <w:pPr>
              <w:pStyle w:val="MDPI42tablebody"/>
            </w:pPr>
            <w:r>
              <w:t xml:space="preserve"> p = 0.61</w:t>
            </w:r>
          </w:p>
        </w:tc>
        <w:tc>
          <w:tcPr>
            <w:tcW w:w="1559" w:type="dxa"/>
            <w:tcBorders>
              <w:top w:val="nil"/>
              <w:bottom w:val="nil"/>
            </w:tcBorders>
            <w:shd w:val="clear" w:color="auto" w:fill="auto"/>
            <w:vAlign w:val="center"/>
          </w:tcPr>
          <w:p>
            <w:pPr>
              <w:pStyle w:val="MDPI42tablebody"/>
              <w:rPr>
                <w:color w:val="FFC000" w:themeColor="accent4"/>
              </w:rPr>
            </w:pPr>
            <w:r>
              <w:rPr>
                <w:color w:val="FFC000" w:themeColor="accent4"/>
              </w:rPr>
              <w:t xml:space="preserve">      p = 0.065</w:t>
            </w:r>
          </w:p>
        </w:tc>
        <w:tc>
          <w:tcPr>
            <w:tcW w:w="1843" w:type="dxa"/>
            <w:tcBorders>
              <w:top w:val="nil"/>
              <w:bottom w:val="nil"/>
            </w:tcBorders>
            <w:shd w:val="clear" w:color="auto" w:fill="auto"/>
            <w:vAlign w:val="center"/>
          </w:tcPr>
          <w:p>
            <w:pPr>
              <w:pStyle w:val="MDPI42tablebody"/>
              <w:rPr>
                <w:color w:val="FF0000"/>
              </w:rPr>
            </w:pPr>
            <w:r>
              <w:rPr>
                <w:color w:val="FF0000"/>
              </w:rPr>
              <w:t xml:space="preserve">  p = 3.16E-06</w:t>
            </w:r>
          </w:p>
        </w:tc>
        <w:tc>
          <w:tcPr>
            <w:tcW w:w="1843" w:type="dxa"/>
            <w:tcBorders>
              <w:top w:val="nil"/>
              <w:bottom w:val="nil"/>
            </w:tcBorders>
          </w:tcPr>
          <w:p>
            <w:pPr>
              <w:pStyle w:val="MDPI42tablebody"/>
              <w:rPr>
                <w:color w:val="FF0000"/>
              </w:rPr>
            </w:pPr>
            <w:r>
              <w:rPr>
                <w:color w:val="FF0000"/>
              </w:rPr>
              <w:t>p = 2.01E-05</w:t>
            </w:r>
          </w:p>
        </w:tc>
        <w:tc>
          <w:tcPr>
            <w:tcW w:w="1843" w:type="dxa"/>
            <w:tcBorders>
              <w:top w:val="nil"/>
              <w:bottom w:val="nil"/>
            </w:tcBorders>
          </w:tcPr>
          <w:p>
            <w:pPr>
              <w:pStyle w:val="MDPI42tablebody"/>
              <w:rPr>
                <w:color w:val="000000" w:themeColor="text1"/>
              </w:rPr>
            </w:pPr>
            <w:r>
              <w:rPr>
                <w:color w:val="000000" w:themeColor="text1"/>
              </w:rPr>
              <w:t xml:space="preserve">    p = 0.45</w:t>
            </w:r>
          </w:p>
        </w:tc>
      </w:tr>
      <w:tr>
        <w:trPr>
          <w:jc w:val="center"/>
        </w:trPr>
        <w:tc>
          <w:tcPr>
            <w:tcW w:w="1843" w:type="dxa"/>
            <w:vMerge w:val="restart"/>
            <w:tcBorders>
              <w:top w:val="single" w:sz="4" w:space="0" w:color="auto"/>
              <w:bottom w:val="nil"/>
            </w:tcBorders>
            <w:shd w:val="clear" w:color="auto" w:fill="auto"/>
            <w:vAlign w:val="center"/>
            <w:hideMark/>
          </w:tcPr>
          <w:p>
            <w:pPr>
              <w:pStyle w:val="MDPI42tablebody"/>
            </w:pPr>
            <w:r>
              <w:t>ATG12</w:t>
            </w:r>
          </w:p>
        </w:tc>
        <w:tc>
          <w:tcPr>
            <w:tcW w:w="1701" w:type="dxa"/>
            <w:tcBorders>
              <w:top w:val="single" w:sz="4" w:space="0" w:color="auto"/>
              <w:bottom w:val="nil"/>
            </w:tcBorders>
            <w:shd w:val="clear" w:color="auto" w:fill="auto"/>
            <w:vAlign w:val="center"/>
            <w:hideMark/>
          </w:tcPr>
          <w:p>
            <w:pPr>
              <w:pStyle w:val="MDPI42tablebody"/>
            </w:pPr>
            <w:proofErr w:type="spellStart"/>
            <w:r>
              <w:t>logFC</w:t>
            </w:r>
            <w:proofErr w:type="spellEnd"/>
            <w:r>
              <w:t xml:space="preserve"> = -0.0058</w:t>
            </w:r>
          </w:p>
        </w:tc>
        <w:tc>
          <w:tcPr>
            <w:tcW w:w="1559" w:type="dxa"/>
            <w:tcBorders>
              <w:top w:val="single" w:sz="4" w:space="0" w:color="auto"/>
              <w:bottom w:val="nil"/>
            </w:tcBorders>
            <w:shd w:val="clear" w:color="auto" w:fill="auto"/>
            <w:vAlign w:val="center"/>
            <w:hideMark/>
          </w:tcPr>
          <w:p>
            <w:pPr>
              <w:pStyle w:val="MDPI42tablebody"/>
              <w:rPr>
                <w:color w:val="FF0000"/>
              </w:rPr>
            </w:pPr>
            <w:proofErr w:type="spellStart"/>
            <w:r>
              <w:rPr>
                <w:color w:val="FF0000"/>
              </w:rPr>
              <w:t>logFC</w:t>
            </w:r>
            <w:proofErr w:type="spellEnd"/>
            <w:r>
              <w:rPr>
                <w:color w:val="FF0000"/>
              </w:rPr>
              <w:t xml:space="preserve"> = -0.157</w:t>
            </w:r>
          </w:p>
        </w:tc>
        <w:tc>
          <w:tcPr>
            <w:tcW w:w="1843" w:type="dxa"/>
            <w:tcBorders>
              <w:top w:val="single" w:sz="4" w:space="0" w:color="auto"/>
              <w:bottom w:val="nil"/>
            </w:tcBorders>
            <w:shd w:val="clear" w:color="auto" w:fill="auto"/>
            <w:vAlign w:val="center"/>
          </w:tcPr>
          <w:p>
            <w:pPr>
              <w:pStyle w:val="MDPI42tablebody"/>
              <w:rPr>
                <w:color w:val="FF0000"/>
              </w:rPr>
            </w:pPr>
            <w:proofErr w:type="spellStart"/>
            <w:r>
              <w:rPr>
                <w:color w:val="FF0000"/>
              </w:rPr>
              <w:t>logFC</w:t>
            </w:r>
            <w:proofErr w:type="spellEnd"/>
            <w:r>
              <w:rPr>
                <w:color w:val="FF0000"/>
              </w:rPr>
              <w:t xml:space="preserve"> = -0.201</w:t>
            </w:r>
          </w:p>
        </w:tc>
        <w:tc>
          <w:tcPr>
            <w:tcW w:w="1843" w:type="dxa"/>
            <w:tcBorders>
              <w:top w:val="single" w:sz="4" w:space="0" w:color="auto"/>
              <w:bottom w:val="nil"/>
            </w:tcBorders>
            <w:vAlign w:val="center"/>
          </w:tcPr>
          <w:p>
            <w:pPr>
              <w:pStyle w:val="MDPI42tablebody"/>
              <w:rPr>
                <w:color w:val="FF0000"/>
              </w:rPr>
            </w:pPr>
            <w:proofErr w:type="spellStart"/>
            <w:r>
              <w:rPr>
                <w:color w:val="FF0000"/>
              </w:rPr>
              <w:t>logFC</w:t>
            </w:r>
            <w:proofErr w:type="spellEnd"/>
            <w:r>
              <w:rPr>
                <w:color w:val="FF0000"/>
              </w:rPr>
              <w:t xml:space="preserve"> = -0.323</w:t>
            </w:r>
          </w:p>
        </w:tc>
        <w:tc>
          <w:tcPr>
            <w:tcW w:w="1843" w:type="dxa"/>
            <w:tcBorders>
              <w:top w:val="single" w:sz="4" w:space="0" w:color="auto"/>
              <w:bottom w:val="nil"/>
            </w:tcBorders>
            <w:vAlign w:val="center"/>
          </w:tcPr>
          <w:p>
            <w:pPr>
              <w:pStyle w:val="MDPI42tablebody"/>
              <w:rPr>
                <w:color w:val="000000" w:themeColor="text1"/>
              </w:rPr>
            </w:pPr>
            <w:proofErr w:type="spellStart"/>
            <w:r>
              <w:t>logFC</w:t>
            </w:r>
            <w:proofErr w:type="spellEnd"/>
            <w:r>
              <w:rPr>
                <w:color w:val="000000" w:themeColor="text1"/>
              </w:rPr>
              <w:t xml:space="preserve"> = -0.035</w:t>
            </w:r>
          </w:p>
        </w:tc>
      </w:tr>
      <w:tr>
        <w:trPr>
          <w:jc w:val="center"/>
        </w:trPr>
        <w:tc>
          <w:tcPr>
            <w:tcW w:w="1843" w:type="dxa"/>
            <w:vMerge/>
            <w:tcBorders>
              <w:top w:val="nil"/>
              <w:bottom w:val="single" w:sz="4" w:space="0" w:color="auto"/>
            </w:tcBorders>
            <w:shd w:val="clear" w:color="auto" w:fill="auto"/>
            <w:vAlign w:val="center"/>
            <w:hideMark/>
          </w:tcPr>
          <w:p>
            <w:pPr>
              <w:pStyle w:val="MDPI42tablebody"/>
            </w:pPr>
          </w:p>
        </w:tc>
        <w:tc>
          <w:tcPr>
            <w:tcW w:w="1701" w:type="dxa"/>
            <w:tcBorders>
              <w:top w:val="nil"/>
              <w:bottom w:val="single" w:sz="4" w:space="0" w:color="auto"/>
            </w:tcBorders>
            <w:shd w:val="clear" w:color="auto" w:fill="auto"/>
            <w:vAlign w:val="center"/>
            <w:hideMark/>
          </w:tcPr>
          <w:p>
            <w:pPr>
              <w:pStyle w:val="MDPI42tablebody"/>
            </w:pPr>
            <w:r>
              <w:t xml:space="preserve"> p = 0.93</w:t>
            </w:r>
          </w:p>
        </w:tc>
        <w:tc>
          <w:tcPr>
            <w:tcW w:w="1559" w:type="dxa"/>
            <w:tcBorders>
              <w:top w:val="nil"/>
              <w:bottom w:val="single" w:sz="4" w:space="0" w:color="auto"/>
            </w:tcBorders>
            <w:shd w:val="clear" w:color="auto" w:fill="auto"/>
            <w:vAlign w:val="center"/>
            <w:hideMark/>
          </w:tcPr>
          <w:p>
            <w:pPr>
              <w:pStyle w:val="MDPI42tablebody"/>
              <w:rPr>
                <w:color w:val="FF0000"/>
              </w:rPr>
            </w:pPr>
            <w:r>
              <w:rPr>
                <w:color w:val="FF0000"/>
              </w:rPr>
              <w:t xml:space="preserve">      p = 0.027</w:t>
            </w:r>
          </w:p>
        </w:tc>
        <w:tc>
          <w:tcPr>
            <w:tcW w:w="1843" w:type="dxa"/>
            <w:tcBorders>
              <w:top w:val="nil"/>
              <w:bottom w:val="single" w:sz="4" w:space="0" w:color="auto"/>
            </w:tcBorders>
            <w:shd w:val="clear" w:color="auto" w:fill="auto"/>
            <w:vAlign w:val="center"/>
          </w:tcPr>
          <w:p>
            <w:pPr>
              <w:pStyle w:val="MDPI42tablebody"/>
              <w:rPr>
                <w:color w:val="FF0000"/>
              </w:rPr>
            </w:pPr>
            <w:r>
              <w:rPr>
                <w:color w:val="FF0000"/>
              </w:rPr>
              <w:t xml:space="preserve">      p = 0.0014</w:t>
            </w:r>
          </w:p>
        </w:tc>
        <w:tc>
          <w:tcPr>
            <w:tcW w:w="1843" w:type="dxa"/>
            <w:tcBorders>
              <w:top w:val="nil"/>
              <w:bottom w:val="single" w:sz="4" w:space="0" w:color="auto"/>
            </w:tcBorders>
            <w:vAlign w:val="center"/>
          </w:tcPr>
          <w:p>
            <w:pPr>
              <w:pStyle w:val="MDPI42tablebody"/>
              <w:rPr>
                <w:color w:val="FF0000"/>
              </w:rPr>
            </w:pPr>
            <w:r>
              <w:rPr>
                <w:color w:val="FF0000"/>
              </w:rPr>
              <w:t xml:space="preserve">       p = 0.0014</w:t>
            </w:r>
          </w:p>
        </w:tc>
        <w:tc>
          <w:tcPr>
            <w:tcW w:w="1843" w:type="dxa"/>
            <w:tcBorders>
              <w:top w:val="nil"/>
              <w:bottom w:val="single" w:sz="4" w:space="0" w:color="auto"/>
            </w:tcBorders>
            <w:vAlign w:val="center"/>
          </w:tcPr>
          <w:p>
            <w:pPr>
              <w:pStyle w:val="MDPI42tablebody"/>
              <w:rPr>
                <w:color w:val="000000" w:themeColor="text1"/>
              </w:rPr>
            </w:pPr>
            <w:r>
              <w:rPr>
                <w:color w:val="000000" w:themeColor="text1"/>
              </w:rPr>
              <w:t xml:space="preserve">   p = 0.76</w:t>
            </w:r>
          </w:p>
        </w:tc>
      </w:tr>
      <w:tr>
        <w:trPr>
          <w:jc w:val="center"/>
        </w:trPr>
        <w:tc>
          <w:tcPr>
            <w:tcW w:w="1843" w:type="dxa"/>
            <w:vMerge w:val="restart"/>
            <w:tcBorders>
              <w:top w:val="single" w:sz="4" w:space="0" w:color="auto"/>
              <w:bottom w:val="nil"/>
            </w:tcBorders>
            <w:shd w:val="clear" w:color="auto" w:fill="auto"/>
            <w:vAlign w:val="center"/>
            <w:hideMark/>
          </w:tcPr>
          <w:p>
            <w:pPr>
              <w:pStyle w:val="MDPI42tablebody"/>
            </w:pPr>
            <w:r>
              <w:t>ATG16L2</w:t>
            </w:r>
          </w:p>
        </w:tc>
        <w:tc>
          <w:tcPr>
            <w:tcW w:w="1701" w:type="dxa"/>
            <w:tcBorders>
              <w:top w:val="single" w:sz="4" w:space="0" w:color="auto"/>
              <w:bottom w:val="nil"/>
            </w:tcBorders>
            <w:shd w:val="clear" w:color="auto" w:fill="auto"/>
            <w:vAlign w:val="center"/>
            <w:hideMark/>
          </w:tcPr>
          <w:p>
            <w:pPr>
              <w:pStyle w:val="MDPI42tablebody"/>
            </w:pPr>
            <w:proofErr w:type="spellStart"/>
            <w:r>
              <w:t>logFC</w:t>
            </w:r>
            <w:proofErr w:type="spellEnd"/>
            <w:r>
              <w:t xml:space="preserve"> = 0.068</w:t>
            </w:r>
          </w:p>
        </w:tc>
        <w:tc>
          <w:tcPr>
            <w:tcW w:w="1559" w:type="dxa"/>
            <w:tcBorders>
              <w:top w:val="single" w:sz="4" w:space="0" w:color="auto"/>
              <w:bottom w:val="nil"/>
            </w:tcBorders>
            <w:shd w:val="clear" w:color="auto" w:fill="auto"/>
            <w:vAlign w:val="center"/>
            <w:hideMark/>
          </w:tcPr>
          <w:p>
            <w:pPr>
              <w:pStyle w:val="MDPI42tablebody"/>
              <w:rPr>
                <w:color w:val="000000" w:themeColor="text1"/>
              </w:rPr>
            </w:pPr>
            <w:proofErr w:type="spellStart"/>
            <w:r>
              <w:t>logFC</w:t>
            </w:r>
            <w:proofErr w:type="spellEnd"/>
            <w:r>
              <w:rPr>
                <w:color w:val="000000" w:themeColor="text1"/>
              </w:rPr>
              <w:t xml:space="preserve"> = 0.066</w:t>
            </w:r>
          </w:p>
        </w:tc>
        <w:tc>
          <w:tcPr>
            <w:tcW w:w="1843" w:type="dxa"/>
            <w:tcBorders>
              <w:top w:val="single" w:sz="4" w:space="0" w:color="auto"/>
              <w:bottom w:val="nil"/>
            </w:tcBorders>
            <w:shd w:val="clear" w:color="auto" w:fill="auto"/>
            <w:vAlign w:val="center"/>
          </w:tcPr>
          <w:p>
            <w:pPr>
              <w:pStyle w:val="MDPI42tablebody"/>
              <w:rPr>
                <w:color w:val="FF0000"/>
              </w:rPr>
            </w:pPr>
            <w:proofErr w:type="spellStart"/>
            <w:r>
              <w:rPr>
                <w:color w:val="FF0000"/>
              </w:rPr>
              <w:t>logFC</w:t>
            </w:r>
            <w:proofErr w:type="spellEnd"/>
            <w:r>
              <w:rPr>
                <w:color w:val="FF0000"/>
              </w:rPr>
              <w:t xml:space="preserve"> = 0.665</w:t>
            </w:r>
          </w:p>
        </w:tc>
        <w:tc>
          <w:tcPr>
            <w:tcW w:w="1843" w:type="dxa"/>
            <w:tcBorders>
              <w:top w:val="single" w:sz="4" w:space="0" w:color="auto"/>
              <w:bottom w:val="nil"/>
            </w:tcBorders>
            <w:vAlign w:val="center"/>
          </w:tcPr>
          <w:p>
            <w:pPr>
              <w:pStyle w:val="MDPI42tablebody"/>
              <w:rPr>
                <w:color w:val="FF0000"/>
              </w:rPr>
            </w:pPr>
            <w:proofErr w:type="spellStart"/>
            <w:r>
              <w:rPr>
                <w:color w:val="FF0000"/>
              </w:rPr>
              <w:t>logFC</w:t>
            </w:r>
            <w:proofErr w:type="spellEnd"/>
            <w:r>
              <w:rPr>
                <w:color w:val="FF0000"/>
              </w:rPr>
              <w:t xml:space="preserve"> = 1.111</w:t>
            </w:r>
          </w:p>
        </w:tc>
        <w:tc>
          <w:tcPr>
            <w:tcW w:w="1843" w:type="dxa"/>
            <w:tcBorders>
              <w:top w:val="single" w:sz="4" w:space="0" w:color="auto"/>
              <w:bottom w:val="nil"/>
            </w:tcBorders>
            <w:vAlign w:val="center"/>
          </w:tcPr>
          <w:p>
            <w:pPr>
              <w:pStyle w:val="MDPI42tablebody"/>
              <w:rPr>
                <w:color w:val="000000" w:themeColor="text1"/>
              </w:rPr>
            </w:pPr>
            <w:proofErr w:type="spellStart"/>
            <w:r>
              <w:t>logFC</w:t>
            </w:r>
            <w:proofErr w:type="spellEnd"/>
            <w:r>
              <w:rPr>
                <w:color w:val="000000" w:themeColor="text1"/>
              </w:rPr>
              <w:t xml:space="preserve"> = 0.152</w:t>
            </w:r>
          </w:p>
        </w:tc>
      </w:tr>
      <w:tr>
        <w:trPr>
          <w:jc w:val="center"/>
        </w:trPr>
        <w:tc>
          <w:tcPr>
            <w:tcW w:w="1843" w:type="dxa"/>
            <w:vMerge/>
            <w:tcBorders>
              <w:top w:val="nil"/>
              <w:bottom w:val="single" w:sz="4" w:space="0" w:color="auto"/>
            </w:tcBorders>
            <w:shd w:val="clear" w:color="auto" w:fill="auto"/>
            <w:vAlign w:val="center"/>
            <w:hideMark/>
          </w:tcPr>
          <w:p>
            <w:pPr>
              <w:pStyle w:val="MDPI42tablebody"/>
            </w:pPr>
          </w:p>
        </w:tc>
        <w:tc>
          <w:tcPr>
            <w:tcW w:w="1701" w:type="dxa"/>
            <w:tcBorders>
              <w:top w:val="nil"/>
              <w:bottom w:val="single" w:sz="4" w:space="0" w:color="auto"/>
            </w:tcBorders>
            <w:shd w:val="clear" w:color="auto" w:fill="auto"/>
            <w:vAlign w:val="center"/>
            <w:hideMark/>
          </w:tcPr>
          <w:p>
            <w:pPr>
              <w:pStyle w:val="MDPI42tablebody"/>
            </w:pPr>
            <w:r>
              <w:t xml:space="preserve">    p = 0.60</w:t>
            </w:r>
          </w:p>
        </w:tc>
        <w:tc>
          <w:tcPr>
            <w:tcW w:w="1559" w:type="dxa"/>
            <w:tcBorders>
              <w:top w:val="nil"/>
              <w:bottom w:val="single" w:sz="4" w:space="0" w:color="auto"/>
            </w:tcBorders>
            <w:shd w:val="clear" w:color="auto" w:fill="auto"/>
            <w:vAlign w:val="center"/>
            <w:hideMark/>
          </w:tcPr>
          <w:p>
            <w:pPr>
              <w:pStyle w:val="MDPI42tablebody"/>
              <w:rPr>
                <w:color w:val="000000" w:themeColor="text1"/>
              </w:rPr>
            </w:pPr>
            <w:r>
              <w:rPr>
                <w:color w:val="000000" w:themeColor="text1"/>
              </w:rPr>
              <w:t xml:space="preserve">    p = 0.96</w:t>
            </w:r>
          </w:p>
        </w:tc>
        <w:tc>
          <w:tcPr>
            <w:tcW w:w="1843" w:type="dxa"/>
            <w:tcBorders>
              <w:top w:val="nil"/>
              <w:bottom w:val="single" w:sz="4" w:space="0" w:color="auto"/>
            </w:tcBorders>
            <w:shd w:val="clear" w:color="auto" w:fill="auto"/>
            <w:vAlign w:val="center"/>
          </w:tcPr>
          <w:p>
            <w:pPr>
              <w:pStyle w:val="MDPI42tablebody"/>
              <w:rPr>
                <w:color w:val="FF0000"/>
              </w:rPr>
            </w:pPr>
            <w:r>
              <w:rPr>
                <w:color w:val="FF0000"/>
              </w:rPr>
              <w:t xml:space="preserve">        p = 0.0001</w:t>
            </w:r>
          </w:p>
        </w:tc>
        <w:tc>
          <w:tcPr>
            <w:tcW w:w="1843" w:type="dxa"/>
            <w:tcBorders>
              <w:top w:val="nil"/>
              <w:bottom w:val="single" w:sz="4" w:space="0" w:color="auto"/>
            </w:tcBorders>
            <w:vAlign w:val="center"/>
          </w:tcPr>
          <w:p>
            <w:pPr>
              <w:pStyle w:val="MDPI42tablebody"/>
              <w:rPr>
                <w:color w:val="FF0000"/>
              </w:rPr>
            </w:pPr>
            <w:r>
              <w:rPr>
                <w:color w:val="FF0000"/>
              </w:rPr>
              <w:t>p = 8.78E-09</w:t>
            </w:r>
          </w:p>
        </w:tc>
        <w:tc>
          <w:tcPr>
            <w:tcW w:w="1843" w:type="dxa"/>
            <w:tcBorders>
              <w:top w:val="nil"/>
              <w:bottom w:val="single" w:sz="4" w:space="0" w:color="auto"/>
            </w:tcBorders>
            <w:vAlign w:val="center"/>
          </w:tcPr>
          <w:p>
            <w:pPr>
              <w:pStyle w:val="MDPI42tablebody"/>
              <w:rPr>
                <w:color w:val="000000" w:themeColor="text1"/>
              </w:rPr>
            </w:pPr>
            <w:r>
              <w:rPr>
                <w:color w:val="000000" w:themeColor="text1"/>
              </w:rPr>
              <w:t xml:space="preserve">    p = 0.48</w:t>
            </w:r>
          </w:p>
        </w:tc>
      </w:tr>
      <w:tr>
        <w:trPr>
          <w:jc w:val="center"/>
        </w:trPr>
        <w:tc>
          <w:tcPr>
            <w:tcW w:w="1843" w:type="dxa"/>
            <w:vMerge w:val="restart"/>
            <w:tcBorders>
              <w:top w:val="single" w:sz="4" w:space="0" w:color="auto"/>
              <w:bottom w:val="nil"/>
            </w:tcBorders>
            <w:shd w:val="clear" w:color="auto" w:fill="auto"/>
            <w:vAlign w:val="center"/>
          </w:tcPr>
          <w:p>
            <w:pPr>
              <w:pStyle w:val="MDPI42tablebody"/>
            </w:pPr>
            <w:r>
              <w:t>LAMP2</w:t>
            </w:r>
          </w:p>
        </w:tc>
        <w:tc>
          <w:tcPr>
            <w:tcW w:w="1701" w:type="dxa"/>
            <w:tcBorders>
              <w:top w:val="single" w:sz="4" w:space="0" w:color="auto"/>
              <w:bottom w:val="nil"/>
            </w:tcBorders>
            <w:shd w:val="clear" w:color="auto" w:fill="auto"/>
            <w:vAlign w:val="center"/>
          </w:tcPr>
          <w:p>
            <w:pPr>
              <w:pStyle w:val="MDPI42tablebody"/>
            </w:pPr>
            <w:proofErr w:type="spellStart"/>
            <w:r>
              <w:t>logFC</w:t>
            </w:r>
            <w:proofErr w:type="spellEnd"/>
            <w:r>
              <w:t xml:space="preserve"> = 0.002</w:t>
            </w:r>
          </w:p>
        </w:tc>
        <w:tc>
          <w:tcPr>
            <w:tcW w:w="1559" w:type="dxa"/>
            <w:tcBorders>
              <w:top w:val="single" w:sz="4" w:space="0" w:color="auto"/>
              <w:bottom w:val="nil"/>
            </w:tcBorders>
            <w:shd w:val="clear" w:color="auto" w:fill="auto"/>
            <w:vAlign w:val="center"/>
          </w:tcPr>
          <w:p>
            <w:pPr>
              <w:pStyle w:val="MDPI42tablebody"/>
              <w:rPr>
                <w:color w:val="000000" w:themeColor="text1"/>
              </w:rPr>
            </w:pPr>
            <w:proofErr w:type="spellStart"/>
            <w:r>
              <w:t>logFC</w:t>
            </w:r>
            <w:proofErr w:type="spellEnd"/>
            <w:r>
              <w:rPr>
                <w:color w:val="000000" w:themeColor="text1"/>
              </w:rPr>
              <w:t xml:space="preserve"> = 0.0263</w:t>
            </w:r>
          </w:p>
        </w:tc>
        <w:tc>
          <w:tcPr>
            <w:tcW w:w="1843" w:type="dxa"/>
            <w:tcBorders>
              <w:top w:val="single" w:sz="4" w:space="0" w:color="auto"/>
              <w:bottom w:val="nil"/>
            </w:tcBorders>
            <w:shd w:val="clear" w:color="auto" w:fill="auto"/>
            <w:vAlign w:val="center"/>
          </w:tcPr>
          <w:p>
            <w:pPr>
              <w:pStyle w:val="MDPI42tablebody"/>
              <w:rPr>
                <w:color w:val="FF0000"/>
              </w:rPr>
            </w:pPr>
            <w:proofErr w:type="spellStart"/>
            <w:r>
              <w:rPr>
                <w:color w:val="FF0000"/>
              </w:rPr>
              <w:t>logFC</w:t>
            </w:r>
            <w:proofErr w:type="spellEnd"/>
            <w:r>
              <w:rPr>
                <w:color w:val="FF0000"/>
              </w:rPr>
              <w:t xml:space="preserve"> = 0.556</w:t>
            </w:r>
          </w:p>
        </w:tc>
        <w:tc>
          <w:tcPr>
            <w:tcW w:w="1843" w:type="dxa"/>
            <w:tcBorders>
              <w:top w:val="single" w:sz="4" w:space="0" w:color="auto"/>
              <w:bottom w:val="nil"/>
            </w:tcBorders>
            <w:vAlign w:val="center"/>
          </w:tcPr>
          <w:p>
            <w:pPr>
              <w:pStyle w:val="MDPI42tablebody"/>
              <w:rPr>
                <w:color w:val="FF0000"/>
              </w:rPr>
            </w:pPr>
            <w:proofErr w:type="spellStart"/>
            <w:r>
              <w:rPr>
                <w:color w:val="FF0000"/>
              </w:rPr>
              <w:t>logFC</w:t>
            </w:r>
            <w:proofErr w:type="spellEnd"/>
            <w:r>
              <w:rPr>
                <w:color w:val="FF0000"/>
              </w:rPr>
              <w:t xml:space="preserve"> = 0.282</w:t>
            </w:r>
          </w:p>
        </w:tc>
        <w:tc>
          <w:tcPr>
            <w:tcW w:w="1843" w:type="dxa"/>
            <w:tcBorders>
              <w:top w:val="single" w:sz="4" w:space="0" w:color="auto"/>
              <w:bottom w:val="nil"/>
            </w:tcBorders>
            <w:vAlign w:val="center"/>
          </w:tcPr>
          <w:p>
            <w:pPr>
              <w:pStyle w:val="MDPI42tablebody"/>
              <w:rPr>
                <w:color w:val="FF0000"/>
              </w:rPr>
            </w:pPr>
            <w:proofErr w:type="spellStart"/>
            <w:r>
              <w:rPr>
                <w:color w:val="FF0000"/>
              </w:rPr>
              <w:t>logFC</w:t>
            </w:r>
            <w:proofErr w:type="spellEnd"/>
            <w:r>
              <w:rPr>
                <w:color w:val="FF0000"/>
              </w:rPr>
              <w:t xml:space="preserve"> = -0.926</w:t>
            </w:r>
          </w:p>
        </w:tc>
      </w:tr>
      <w:tr>
        <w:trPr>
          <w:jc w:val="center"/>
        </w:trPr>
        <w:tc>
          <w:tcPr>
            <w:tcW w:w="1843" w:type="dxa"/>
            <w:vMerge/>
            <w:tcBorders>
              <w:top w:val="nil"/>
              <w:bottom w:val="single" w:sz="4" w:space="0" w:color="auto"/>
            </w:tcBorders>
            <w:shd w:val="clear" w:color="auto" w:fill="auto"/>
            <w:vAlign w:val="center"/>
          </w:tcPr>
          <w:p>
            <w:pPr>
              <w:pStyle w:val="MDPI42tablebody"/>
            </w:pPr>
          </w:p>
        </w:tc>
        <w:tc>
          <w:tcPr>
            <w:tcW w:w="1701" w:type="dxa"/>
            <w:tcBorders>
              <w:top w:val="nil"/>
              <w:bottom w:val="single" w:sz="4" w:space="0" w:color="auto"/>
            </w:tcBorders>
            <w:shd w:val="clear" w:color="auto" w:fill="auto"/>
            <w:vAlign w:val="center"/>
          </w:tcPr>
          <w:p>
            <w:pPr>
              <w:pStyle w:val="MDPI42tablebody"/>
            </w:pPr>
            <w:r>
              <w:t xml:space="preserve">     p = 0.97</w:t>
            </w:r>
          </w:p>
        </w:tc>
        <w:tc>
          <w:tcPr>
            <w:tcW w:w="1559" w:type="dxa"/>
            <w:tcBorders>
              <w:top w:val="nil"/>
              <w:bottom w:val="single" w:sz="4" w:space="0" w:color="auto"/>
            </w:tcBorders>
            <w:shd w:val="clear" w:color="auto" w:fill="auto"/>
            <w:vAlign w:val="center"/>
          </w:tcPr>
          <w:p>
            <w:pPr>
              <w:pStyle w:val="MDPI42tablebody"/>
              <w:rPr>
                <w:color w:val="000000" w:themeColor="text1"/>
              </w:rPr>
            </w:pPr>
            <w:r>
              <w:rPr>
                <w:color w:val="000000" w:themeColor="text1"/>
              </w:rPr>
              <w:t xml:space="preserve">   p = 0.70</w:t>
            </w:r>
          </w:p>
        </w:tc>
        <w:tc>
          <w:tcPr>
            <w:tcW w:w="1843" w:type="dxa"/>
            <w:tcBorders>
              <w:top w:val="nil"/>
              <w:bottom w:val="single" w:sz="4" w:space="0" w:color="auto"/>
            </w:tcBorders>
            <w:shd w:val="clear" w:color="auto" w:fill="auto"/>
            <w:vAlign w:val="center"/>
          </w:tcPr>
          <w:p>
            <w:pPr>
              <w:pStyle w:val="MDPI42tablebody"/>
              <w:rPr>
                <w:color w:val="FF0000"/>
              </w:rPr>
            </w:pPr>
            <w:r>
              <w:rPr>
                <w:color w:val="FF0000"/>
              </w:rPr>
              <w:t xml:space="preserve">     p = 1.12E-06</w:t>
            </w:r>
          </w:p>
        </w:tc>
        <w:tc>
          <w:tcPr>
            <w:tcW w:w="1843" w:type="dxa"/>
            <w:tcBorders>
              <w:top w:val="nil"/>
              <w:bottom w:val="single" w:sz="4" w:space="0" w:color="auto"/>
            </w:tcBorders>
            <w:vAlign w:val="center"/>
          </w:tcPr>
          <w:p>
            <w:pPr>
              <w:pStyle w:val="MDPI42tablebody"/>
              <w:rPr>
                <w:color w:val="FF0000"/>
              </w:rPr>
            </w:pPr>
            <w:r>
              <w:rPr>
                <w:color w:val="FF0000"/>
              </w:rPr>
              <w:t xml:space="preserve">        p = 0.0071</w:t>
            </w:r>
          </w:p>
        </w:tc>
        <w:tc>
          <w:tcPr>
            <w:tcW w:w="1843" w:type="dxa"/>
            <w:tcBorders>
              <w:top w:val="nil"/>
              <w:bottom w:val="single" w:sz="4" w:space="0" w:color="auto"/>
            </w:tcBorders>
            <w:vAlign w:val="center"/>
          </w:tcPr>
          <w:p>
            <w:pPr>
              <w:pStyle w:val="MDPI42tablebody"/>
              <w:rPr>
                <w:color w:val="FF0000"/>
              </w:rPr>
            </w:pPr>
            <w:r>
              <w:rPr>
                <w:color w:val="FF0000"/>
              </w:rPr>
              <w:t xml:space="preserve">       p = 0.0008</w:t>
            </w:r>
          </w:p>
        </w:tc>
      </w:tr>
      <w:tr>
        <w:trPr>
          <w:trHeight w:val="516"/>
          <w:jc w:val="center"/>
        </w:trPr>
        <w:tc>
          <w:tcPr>
            <w:tcW w:w="1843" w:type="dxa"/>
            <w:tcBorders>
              <w:top w:val="single" w:sz="4" w:space="0" w:color="auto"/>
              <w:bottom w:val="single" w:sz="4" w:space="0" w:color="auto"/>
            </w:tcBorders>
            <w:shd w:val="clear" w:color="auto" w:fill="auto"/>
            <w:vAlign w:val="center"/>
          </w:tcPr>
          <w:p>
            <w:pPr>
              <w:pStyle w:val="MDPI42tablebody"/>
            </w:pPr>
            <w:r>
              <w:t>RAB1A</w:t>
            </w:r>
          </w:p>
        </w:tc>
        <w:tc>
          <w:tcPr>
            <w:tcW w:w="1701" w:type="dxa"/>
            <w:tcBorders>
              <w:top w:val="single" w:sz="4" w:space="0" w:color="auto"/>
              <w:bottom w:val="single" w:sz="4" w:space="0" w:color="auto"/>
            </w:tcBorders>
            <w:shd w:val="clear" w:color="auto" w:fill="auto"/>
            <w:vAlign w:val="center"/>
          </w:tcPr>
          <w:p>
            <w:pPr>
              <w:pStyle w:val="MDPI42tablebody"/>
            </w:pPr>
            <w:proofErr w:type="spellStart"/>
            <w:r>
              <w:t>logFC</w:t>
            </w:r>
            <w:proofErr w:type="spellEnd"/>
            <w:r>
              <w:t xml:space="preserve"> = 0.057</w:t>
            </w:r>
          </w:p>
          <w:p>
            <w:pPr>
              <w:pStyle w:val="MDPI42tablebody"/>
            </w:pPr>
            <w:r>
              <w:t xml:space="preserve">    p = 0.23</w:t>
            </w:r>
          </w:p>
        </w:tc>
        <w:tc>
          <w:tcPr>
            <w:tcW w:w="1559" w:type="dxa"/>
            <w:tcBorders>
              <w:top w:val="single" w:sz="4" w:space="0" w:color="auto"/>
              <w:bottom w:val="single" w:sz="4" w:space="0" w:color="auto"/>
            </w:tcBorders>
            <w:shd w:val="clear" w:color="auto" w:fill="auto"/>
            <w:vAlign w:val="center"/>
          </w:tcPr>
          <w:p>
            <w:pPr>
              <w:pStyle w:val="MDPI42tablebody"/>
              <w:rPr>
                <w:color w:val="FFC000" w:themeColor="accent4"/>
              </w:rPr>
            </w:pPr>
            <w:proofErr w:type="spellStart"/>
            <w:r>
              <w:rPr>
                <w:color w:val="FFC000" w:themeColor="accent4"/>
              </w:rPr>
              <w:t>logFC</w:t>
            </w:r>
            <w:proofErr w:type="spellEnd"/>
            <w:r>
              <w:rPr>
                <w:color w:val="FFC000" w:themeColor="accent4"/>
              </w:rPr>
              <w:t xml:space="preserve"> = 0.084</w:t>
            </w:r>
          </w:p>
          <w:p>
            <w:pPr>
              <w:pStyle w:val="MDPI42tablebody"/>
              <w:rPr>
                <w:color w:val="FF0000"/>
              </w:rPr>
            </w:pPr>
            <w:r>
              <w:rPr>
                <w:color w:val="FFC000" w:themeColor="accent4"/>
              </w:rPr>
              <w:t xml:space="preserve">    p = 0.08</w:t>
            </w:r>
          </w:p>
        </w:tc>
        <w:tc>
          <w:tcPr>
            <w:tcW w:w="1843" w:type="dxa"/>
            <w:tcBorders>
              <w:top w:val="single" w:sz="4" w:space="0" w:color="auto"/>
              <w:bottom w:val="single" w:sz="4" w:space="0" w:color="auto"/>
            </w:tcBorders>
            <w:shd w:val="clear" w:color="auto" w:fill="auto"/>
            <w:vAlign w:val="center"/>
          </w:tcPr>
          <w:p>
            <w:pPr>
              <w:pStyle w:val="MDPI42tablebody"/>
              <w:rPr>
                <w:color w:val="FF0000"/>
              </w:rPr>
            </w:pPr>
            <w:proofErr w:type="spellStart"/>
            <w:r>
              <w:rPr>
                <w:color w:val="FF0000"/>
              </w:rPr>
              <w:t>logFC</w:t>
            </w:r>
            <w:proofErr w:type="spellEnd"/>
            <w:r>
              <w:rPr>
                <w:color w:val="FF0000"/>
              </w:rPr>
              <w:t xml:space="preserve"> = 0.140</w:t>
            </w:r>
          </w:p>
          <w:p>
            <w:pPr>
              <w:pStyle w:val="MDPI42tablebody"/>
              <w:rPr>
                <w:color w:val="FF0000"/>
              </w:rPr>
            </w:pPr>
            <w:r>
              <w:rPr>
                <w:color w:val="FF0000"/>
              </w:rPr>
              <w:t xml:space="preserve">       p = 0.0069</w:t>
            </w:r>
          </w:p>
        </w:tc>
        <w:tc>
          <w:tcPr>
            <w:tcW w:w="1843" w:type="dxa"/>
            <w:tcBorders>
              <w:top w:val="single" w:sz="4" w:space="0" w:color="auto"/>
              <w:bottom w:val="single" w:sz="4" w:space="0" w:color="auto"/>
            </w:tcBorders>
            <w:vAlign w:val="center"/>
          </w:tcPr>
          <w:p>
            <w:pPr>
              <w:pStyle w:val="MDPI42tablebody"/>
            </w:pPr>
            <w:proofErr w:type="spellStart"/>
            <w:r>
              <w:t>logFC</w:t>
            </w:r>
            <w:proofErr w:type="spellEnd"/>
            <w:r>
              <w:t xml:space="preserve"> = 0.048</w:t>
            </w:r>
          </w:p>
          <w:p>
            <w:pPr>
              <w:pStyle w:val="MDPI42tablebody"/>
              <w:rPr>
                <w:color w:val="FF0000"/>
              </w:rPr>
            </w:pPr>
            <w:r>
              <w:t xml:space="preserve">    p = 0.33</w:t>
            </w:r>
          </w:p>
        </w:tc>
        <w:tc>
          <w:tcPr>
            <w:tcW w:w="1843" w:type="dxa"/>
            <w:tcBorders>
              <w:top w:val="single" w:sz="4" w:space="0" w:color="auto"/>
              <w:bottom w:val="single" w:sz="4" w:space="0" w:color="auto"/>
            </w:tcBorders>
            <w:vAlign w:val="center"/>
          </w:tcPr>
          <w:p>
            <w:pPr>
              <w:pStyle w:val="MDPI42tablebody"/>
            </w:pPr>
            <w:proofErr w:type="spellStart"/>
            <w:r>
              <w:t>logFC</w:t>
            </w:r>
            <w:proofErr w:type="spellEnd"/>
            <w:r>
              <w:t xml:space="preserve"> = -0.199</w:t>
            </w:r>
          </w:p>
          <w:p>
            <w:pPr>
              <w:pStyle w:val="MDPI42tablebody"/>
              <w:rPr>
                <w:color w:val="000000" w:themeColor="text1"/>
              </w:rPr>
            </w:pPr>
            <w:r>
              <w:t xml:space="preserve">   p = 0.19</w:t>
            </w:r>
          </w:p>
        </w:tc>
      </w:tr>
      <w:tr>
        <w:trPr>
          <w:trHeight w:val="553"/>
          <w:jc w:val="center"/>
        </w:trPr>
        <w:tc>
          <w:tcPr>
            <w:tcW w:w="1843" w:type="dxa"/>
            <w:tcBorders>
              <w:top w:val="single" w:sz="4" w:space="0" w:color="auto"/>
              <w:bottom w:val="single" w:sz="4" w:space="0" w:color="auto"/>
            </w:tcBorders>
            <w:shd w:val="clear" w:color="auto" w:fill="auto"/>
            <w:vAlign w:val="center"/>
          </w:tcPr>
          <w:p>
            <w:pPr>
              <w:pStyle w:val="MDPI42tablebody"/>
            </w:pPr>
            <w:r>
              <w:t>RAB1A</w:t>
            </w:r>
          </w:p>
        </w:tc>
        <w:tc>
          <w:tcPr>
            <w:tcW w:w="1701" w:type="dxa"/>
            <w:tcBorders>
              <w:top w:val="single" w:sz="4" w:space="0" w:color="auto"/>
              <w:bottom w:val="single" w:sz="4" w:space="0" w:color="auto"/>
            </w:tcBorders>
            <w:shd w:val="clear" w:color="auto" w:fill="auto"/>
            <w:vAlign w:val="center"/>
          </w:tcPr>
          <w:p>
            <w:pPr>
              <w:pStyle w:val="MDPI42tablebody"/>
            </w:pPr>
            <w:proofErr w:type="spellStart"/>
            <w:r>
              <w:t>logFC</w:t>
            </w:r>
            <w:proofErr w:type="spellEnd"/>
            <w:r>
              <w:t xml:space="preserve"> = 0.051</w:t>
            </w:r>
          </w:p>
          <w:p>
            <w:pPr>
              <w:pStyle w:val="MDPI42tablebody"/>
            </w:pPr>
            <w:r>
              <w:t>p = 0.15</w:t>
            </w:r>
          </w:p>
        </w:tc>
        <w:tc>
          <w:tcPr>
            <w:tcW w:w="1559" w:type="dxa"/>
            <w:tcBorders>
              <w:top w:val="single" w:sz="4" w:space="0" w:color="auto"/>
              <w:bottom w:val="single" w:sz="4" w:space="0" w:color="auto"/>
            </w:tcBorders>
            <w:shd w:val="clear" w:color="auto" w:fill="auto"/>
            <w:vAlign w:val="center"/>
          </w:tcPr>
          <w:p>
            <w:pPr>
              <w:pStyle w:val="MDPI42tablebody"/>
            </w:pPr>
            <w:proofErr w:type="spellStart"/>
            <w:r>
              <w:t>logFC</w:t>
            </w:r>
            <w:proofErr w:type="spellEnd"/>
            <w:r>
              <w:t xml:space="preserve"> = 0.015</w:t>
            </w:r>
          </w:p>
          <w:p>
            <w:pPr>
              <w:pStyle w:val="MDPI42tablebody"/>
            </w:pPr>
            <w:r>
              <w:t>p = 0.66</w:t>
            </w:r>
          </w:p>
        </w:tc>
        <w:tc>
          <w:tcPr>
            <w:tcW w:w="1843" w:type="dxa"/>
            <w:tcBorders>
              <w:top w:val="single" w:sz="4" w:space="0" w:color="auto"/>
              <w:bottom w:val="single" w:sz="4" w:space="0" w:color="auto"/>
            </w:tcBorders>
            <w:shd w:val="clear" w:color="auto" w:fill="auto"/>
            <w:vAlign w:val="center"/>
          </w:tcPr>
          <w:p>
            <w:pPr>
              <w:pStyle w:val="MDPI42tablebody"/>
            </w:pPr>
            <w:proofErr w:type="spellStart"/>
            <w:r>
              <w:t>logFC</w:t>
            </w:r>
            <w:proofErr w:type="spellEnd"/>
            <w:r>
              <w:t xml:space="preserve"> = -0.022</w:t>
            </w:r>
          </w:p>
          <w:p>
            <w:pPr>
              <w:pStyle w:val="MDPI42tablebody"/>
            </w:pPr>
            <w:r>
              <w:t>p = 0.54</w:t>
            </w:r>
          </w:p>
        </w:tc>
        <w:tc>
          <w:tcPr>
            <w:tcW w:w="1843" w:type="dxa"/>
            <w:tcBorders>
              <w:top w:val="single" w:sz="4" w:space="0" w:color="auto"/>
              <w:bottom w:val="single" w:sz="4" w:space="0" w:color="auto"/>
            </w:tcBorders>
            <w:vAlign w:val="center"/>
          </w:tcPr>
          <w:p>
            <w:pPr>
              <w:pStyle w:val="MDPI42tablebody"/>
            </w:pPr>
            <w:proofErr w:type="spellStart"/>
            <w:r>
              <w:t>logFC</w:t>
            </w:r>
            <w:proofErr w:type="spellEnd"/>
            <w:r>
              <w:t xml:space="preserve"> = -0.316</w:t>
            </w:r>
          </w:p>
          <w:p>
            <w:pPr>
              <w:pStyle w:val="MDPI42tablebody"/>
            </w:pPr>
            <w:r>
              <w:t>p = 0.39</w:t>
            </w:r>
          </w:p>
        </w:tc>
        <w:tc>
          <w:tcPr>
            <w:tcW w:w="1843" w:type="dxa"/>
            <w:tcBorders>
              <w:top w:val="single" w:sz="4" w:space="0" w:color="auto"/>
              <w:bottom w:val="single" w:sz="4" w:space="0" w:color="auto"/>
            </w:tcBorders>
            <w:vAlign w:val="center"/>
          </w:tcPr>
          <w:p>
            <w:pPr>
              <w:pStyle w:val="MDPI42tablebody"/>
              <w:rPr>
                <w:color w:val="FF0000"/>
              </w:rPr>
            </w:pPr>
            <w:proofErr w:type="spellStart"/>
            <w:r>
              <w:rPr>
                <w:color w:val="FF0000"/>
              </w:rPr>
              <w:t>logFC</w:t>
            </w:r>
            <w:proofErr w:type="spellEnd"/>
            <w:r>
              <w:rPr>
                <w:color w:val="FF0000"/>
              </w:rPr>
              <w:t xml:space="preserve"> = -0.240</w:t>
            </w:r>
          </w:p>
          <w:p>
            <w:pPr>
              <w:pStyle w:val="MDPI42tablebody"/>
            </w:pPr>
            <w:r>
              <w:rPr>
                <w:color w:val="FF0000"/>
              </w:rPr>
              <w:t>p = -0.016</w:t>
            </w:r>
          </w:p>
        </w:tc>
      </w:tr>
    </w:tbl>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pStyle w:val="MDPI22heading2"/>
        <w:ind w:left="0"/>
        <w:rPr>
          <w:i w:val="0"/>
          <w:iCs/>
        </w:rPr>
      </w:pPr>
    </w:p>
    <w:p>
      <w:pPr>
        <w:rPr>
          <w:rFonts w:ascii="Palatino Linotype" w:eastAsia="Times New Roman" w:hAnsi="Palatino Linotype" w:cs="Times New Roman"/>
          <w:iCs/>
          <w:noProof/>
          <w:snapToGrid w:val="0"/>
          <w:color w:val="000000"/>
          <w:kern w:val="0"/>
          <w:sz w:val="20"/>
          <w:szCs w:val="22"/>
          <w:lang w:eastAsia="de-DE" w:bidi="en-US"/>
          <w14:ligatures w14:val="none"/>
        </w:rPr>
      </w:pPr>
      <w:r>
        <w:rPr>
          <w:i/>
          <w:iCs/>
        </w:rPr>
        <w:br w:type="page"/>
      </w:r>
    </w:p>
    <w:p>
      <w:pPr>
        <w:pStyle w:val="MDPI22heading2"/>
        <w:ind w:left="0"/>
        <w:rPr>
          <w:i w:val="0"/>
          <w:iCs/>
        </w:rPr>
      </w:pPr>
      <w:bookmarkStart w:id="0" w:name="_GoBack"/>
      <w:bookmarkEnd w:id="0"/>
    </w:p>
    <w:p>
      <w:pPr>
        <w:pStyle w:val="MDPI22heading2"/>
        <w:ind w:left="0"/>
      </w:pPr>
      <w:r>
        <w:t>3.3 Aggregation and co-localization of ATXN3- and p62-positive aggregates in SCA3 mice</w:t>
      </w:r>
    </w:p>
    <w:p/>
    <w:p>
      <w:pPr>
        <w:jc w:val="center"/>
      </w:pPr>
      <w:r>
        <w:rPr>
          <w:noProof/>
        </w:rPr>
        <w:drawing>
          <wp:inline distT="0" distB="0" distL="0" distR="0">
            <wp:extent cx="2113872" cy="4282751"/>
            <wp:effectExtent l="0" t="0" r="0" b="0"/>
            <wp:docPr id="80503735" name="Grafik 1" descr="Ein Bild, das Screenshot, Text,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3735" name="Grafik 1" descr="Ein Bild, das Screenshot, Text, Farbigkei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2842" cy="4341445"/>
                    </a:xfrm>
                    <a:prstGeom prst="rect">
                      <a:avLst/>
                    </a:prstGeom>
                  </pic:spPr>
                </pic:pic>
              </a:graphicData>
            </a:graphic>
          </wp:inline>
        </w:drawing>
      </w:r>
    </w:p>
    <w:p>
      <w:pPr>
        <w:pStyle w:val="MDPI51figurecaption"/>
        <w:ind w:left="0"/>
        <w:jc w:val="both"/>
      </w:pPr>
      <w:r>
        <w:rPr>
          <w:b/>
        </w:rPr>
        <w:t>Supplementary Figure S3.</w:t>
      </w:r>
      <w:r>
        <w:t xml:space="preserve"> Co-localized aggregation of ATXN3- and p62-positive accumulations in the cerebellum of SCA3 mice. First three rows show IHC staining of 3- and 18-months old WT and 304Q/304Q SCA3 mice cerebellum sections. Staining was performed against ATXN3 or p62. Last row represents double IF staining of 18 months old SCA3 and WT/WT mice cerebellum sections labeled with antibodies against ATXN3 and p62. Green = ATXN3, red = p62, orange = ATXN3 and p62. Scale bar indicates 20 µm. ML = molecular layer, PC = </w:t>
      </w:r>
      <w:proofErr w:type="spellStart"/>
      <w:r>
        <w:t>purkinje</w:t>
      </w:r>
      <w:proofErr w:type="spellEnd"/>
      <w:r>
        <w:t xml:space="preserve"> cells; GL = granular layer</w:t>
      </w:r>
    </w:p>
    <w:p>
      <w:pPr>
        <w:jc w:val="center"/>
      </w:pPr>
    </w:p>
    <w:sectPr>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Textkörper)">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altName w:val="Leelawadee UI"/>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30492843"/>
      <w:docPartObj>
        <w:docPartGallery w:val="Page Numbers (Bottom of Page)"/>
        <w:docPartUnique/>
      </w:docPartObj>
    </w:sdtPr>
    <w:sdtContent>
      <w:p>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151027549"/>
      <w:docPartObj>
        <w:docPartGallery w:val="Page Numbers (Bottom of Page)"/>
        <w:docPartUnique/>
      </w:docPartObj>
    </w:sdtPr>
    <w:sdtContent>
      <w:p>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B0024-FC8F-A043-866E-575291B8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Textkörper)"/>
        <w:color w:val="000000" w:themeColor="text1"/>
        <w:kern w:val="2"/>
        <w:sz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lang w:val="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lang w:val="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51figurecaption">
    <w:name w:val="MDPI_5.1_figure_caption"/>
    <w:qFormat/>
    <w:pPr>
      <w:adjustRightInd w:val="0"/>
      <w:snapToGrid w:val="0"/>
      <w:spacing w:before="120" w:after="240" w:line="228" w:lineRule="auto"/>
      <w:ind w:left="2608"/>
    </w:pPr>
    <w:rPr>
      <w:rFonts w:ascii="Palatino Linotype" w:eastAsia="Times New Roman" w:hAnsi="Palatino Linotype" w:cs="Times New Roman"/>
      <w:color w:val="000000"/>
      <w:kern w:val="0"/>
      <w:sz w:val="18"/>
      <w:lang w:val="en-US" w:eastAsia="de-DE" w:bidi="en-US"/>
      <w14:ligatures w14:val="none"/>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41tablecaption">
    <w:name w:val="MDPI_4.1_table_caption"/>
    <w:qFormat/>
    <w:pPr>
      <w:adjustRightInd w:val="0"/>
      <w:snapToGrid w:val="0"/>
      <w:spacing w:before="240" w:after="120" w:line="228" w:lineRule="auto"/>
      <w:ind w:left="2608"/>
    </w:pPr>
    <w:rPr>
      <w:rFonts w:ascii="Palatino Linotype" w:eastAsia="Times New Roman" w:hAnsi="Palatino Linotype" w:cs="Cordia New"/>
      <w:color w:val="000000"/>
      <w:kern w:val="0"/>
      <w:sz w:val="18"/>
      <w:szCs w:val="22"/>
      <w:lang w:val="en-US" w:eastAsia="de-DE" w:bidi="en-US"/>
      <w14:ligatures w14:val="none"/>
    </w:rPr>
  </w:style>
  <w:style w:type="character" w:styleId="Seitenzahl">
    <w:name w:val="pag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D285-1B1A-485A-A2E6-60820E4A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Zimmer</dc:creator>
  <cp:keywords/>
  <dc:description/>
  <cp:lastModifiedBy>Dr. Jeannette Hübener-Schmid</cp:lastModifiedBy>
  <cp:revision>2</cp:revision>
  <dcterms:created xsi:type="dcterms:W3CDTF">2024-03-05T10:05:00Z</dcterms:created>
  <dcterms:modified xsi:type="dcterms:W3CDTF">2024-03-05T10:05:00Z</dcterms:modified>
</cp:coreProperties>
</file>