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36B5" w14:textId="743D87E2" w:rsidR="00144CA9" w:rsidRDefault="00144CA9" w:rsidP="00144CA9">
      <w:pPr>
        <w:pStyle w:val="MDPI51figurecaption"/>
        <w:ind w:left="0"/>
        <w:jc w:val="left"/>
      </w:pPr>
      <w:bookmarkStart w:id="0" w:name="_Ref159349435"/>
      <w:bookmarkStart w:id="1" w:name="_Ref135139996"/>
      <w:r w:rsidRPr="003B0292">
        <w:rPr>
          <w:b/>
          <w:bCs/>
        </w:rPr>
        <w:t xml:space="preserve">Table </w:t>
      </w:r>
      <w:r w:rsidR="00D6310C">
        <w:rPr>
          <w:b/>
          <w:bCs/>
        </w:rPr>
        <w:t>S</w:t>
      </w:r>
      <w:r w:rsidRPr="003B0292">
        <w:rPr>
          <w:b/>
          <w:bCs/>
        </w:rPr>
        <w:fldChar w:fldCharType="begin"/>
      </w:r>
      <w:r w:rsidRPr="003B0292">
        <w:rPr>
          <w:b/>
          <w:bCs/>
        </w:rPr>
        <w:instrText xml:space="preserve"> SEQ Table \* ARABIC </w:instrText>
      </w:r>
      <w:r w:rsidRPr="003B0292">
        <w:rPr>
          <w:b/>
          <w:bCs/>
        </w:rPr>
        <w:fldChar w:fldCharType="separate"/>
      </w:r>
      <w:r w:rsidRPr="003B0292">
        <w:rPr>
          <w:b/>
          <w:bCs/>
          <w:noProof/>
        </w:rPr>
        <w:t>1</w:t>
      </w:r>
      <w:r w:rsidRPr="003B0292">
        <w:rPr>
          <w:b/>
          <w:bCs/>
        </w:rPr>
        <w:fldChar w:fldCharType="end"/>
      </w:r>
      <w:bookmarkEnd w:id="0"/>
      <w:bookmarkEnd w:id="1"/>
      <w:r w:rsidRPr="009936A4">
        <w:t xml:space="preserve">. </w:t>
      </w:r>
      <w:r>
        <w:t>List of i</w:t>
      </w:r>
      <w:r w:rsidRPr="009936A4">
        <w:t xml:space="preserve">ndependent </w:t>
      </w:r>
      <w:r>
        <w:t xml:space="preserve">socioeconomic, demographic, and environmental </w:t>
      </w:r>
      <w:r w:rsidRPr="009936A4">
        <w:t xml:space="preserve">variables </w:t>
      </w:r>
      <w:r>
        <w:t>for</w:t>
      </w:r>
      <w:r w:rsidRPr="009936A4">
        <w:t xml:space="preserve"> Ibagu</w:t>
      </w:r>
      <w:r>
        <w:t>é.</w:t>
      </w:r>
    </w:p>
    <w:tbl>
      <w:tblPr>
        <w:tblStyle w:val="TableGrid1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70"/>
        <w:gridCol w:w="3330"/>
        <w:gridCol w:w="810"/>
        <w:gridCol w:w="1440"/>
        <w:gridCol w:w="1260"/>
        <w:gridCol w:w="1080"/>
        <w:gridCol w:w="1350"/>
      </w:tblGrid>
      <w:tr w:rsidR="00144CA9" w:rsidRPr="00144CA9" w14:paraId="76F8D103" w14:textId="77777777" w:rsidTr="001D4BD1">
        <w:trPr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vAlign w:val="bottom"/>
          </w:tcPr>
          <w:p w14:paraId="67ADBCC1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sz w:val="20"/>
                <w:szCs w:val="20"/>
              </w:rPr>
              <w:t>Variable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bottom"/>
          </w:tcPr>
          <w:p w14:paraId="0F2F33D3" w14:textId="77777777" w:rsidR="00144CA9" w:rsidRPr="00144CA9" w:rsidRDefault="00144CA9" w:rsidP="001D4BD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20E3D4DC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sz w:val="20"/>
                <w:szCs w:val="20"/>
              </w:rPr>
              <w:t>Source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C008" w14:textId="77777777" w:rsidR="00144CA9" w:rsidRPr="00144CA9" w:rsidRDefault="00144CA9" w:rsidP="001D4BD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sz w:val="20"/>
                <w:szCs w:val="20"/>
              </w:rPr>
              <w:t>Range</w:t>
            </w:r>
          </w:p>
        </w:tc>
      </w:tr>
      <w:tr w:rsidR="00144CA9" w:rsidRPr="00144CA9" w14:paraId="74FDB11E" w14:textId="77777777" w:rsidTr="001D4BD1">
        <w:trPr>
          <w:jc w:val="center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bottom"/>
          </w:tcPr>
          <w:p w14:paraId="427765B0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bottom"/>
          </w:tcPr>
          <w:p w14:paraId="7984E5AE" w14:textId="77777777" w:rsidR="00144CA9" w:rsidRPr="00144CA9" w:rsidRDefault="00144CA9" w:rsidP="001D4BD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7A6C2EC1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AADB5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sz w:val="20"/>
                <w:szCs w:val="20"/>
              </w:rPr>
              <w:t>Comunas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6BB85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sz w:val="20"/>
                <w:szCs w:val="20"/>
              </w:rPr>
              <w:t>Sectores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48AB9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sz w:val="20"/>
                <w:szCs w:val="20"/>
              </w:rPr>
              <w:t>Secciones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AB7E5" w14:textId="77777777" w:rsidR="00144CA9" w:rsidRPr="00144CA9" w:rsidRDefault="00144CA9" w:rsidP="001D4BD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b/>
                <w:sz w:val="20"/>
                <w:szCs w:val="20"/>
              </w:rPr>
              <w:t>Manzanas</w:t>
            </w:r>
          </w:p>
        </w:tc>
      </w:tr>
      <w:tr w:rsidR="00144CA9" w:rsidRPr="00144CA9" w14:paraId="424D49D8" w14:textId="77777777" w:rsidTr="001D4BD1">
        <w:trPr>
          <w:jc w:val="center"/>
        </w:trPr>
        <w:tc>
          <w:tcPr>
            <w:tcW w:w="1170" w:type="dxa"/>
          </w:tcPr>
          <w:p w14:paraId="4380BF70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Area</w:t>
            </w:r>
          </w:p>
        </w:tc>
        <w:tc>
          <w:tcPr>
            <w:tcW w:w="3330" w:type="dxa"/>
          </w:tcPr>
          <w:p w14:paraId="3D3D0920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Area of the structure [km</w:t>
            </w:r>
            <w:r w:rsidRPr="00144CA9">
              <w:rPr>
                <w:rFonts w:ascii="Palatino Linotype" w:hAnsi="Palatino Linotype"/>
                <w:sz w:val="20"/>
                <w:szCs w:val="20"/>
                <w:vertAlign w:val="superscript"/>
              </w:rPr>
              <w:t>2</w:t>
            </w:r>
            <w:r w:rsidRPr="00144CA9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810" w:type="dxa"/>
          </w:tcPr>
          <w:p w14:paraId="6993D78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67BF699F" w14:textId="77777777" w:rsidR="00144CA9" w:rsidRPr="00144CA9" w:rsidRDefault="00144CA9" w:rsidP="001D4BD1">
            <w:pPr>
              <w:ind w:left="720" w:hanging="720"/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1.24 – 10.78</w:t>
            </w:r>
          </w:p>
        </w:tc>
        <w:tc>
          <w:tcPr>
            <w:tcW w:w="1260" w:type="dxa"/>
          </w:tcPr>
          <w:p w14:paraId="3543D8F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 xml:space="preserve">0.07 – 8.25 </w:t>
            </w:r>
          </w:p>
        </w:tc>
        <w:tc>
          <w:tcPr>
            <w:tcW w:w="1080" w:type="dxa"/>
          </w:tcPr>
          <w:p w14:paraId="06E784A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0.01– 1.86</w:t>
            </w:r>
          </w:p>
        </w:tc>
        <w:tc>
          <w:tcPr>
            <w:tcW w:w="1350" w:type="dxa"/>
          </w:tcPr>
          <w:p w14:paraId="7AD7C27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5.83E-05 – 0.84</w:t>
            </w:r>
          </w:p>
        </w:tc>
      </w:tr>
      <w:tr w:rsidR="00144CA9" w:rsidRPr="00144CA9" w14:paraId="6974FE92" w14:textId="77777777" w:rsidTr="001D4BD1">
        <w:trPr>
          <w:jc w:val="center"/>
        </w:trPr>
        <w:tc>
          <w:tcPr>
            <w:tcW w:w="1170" w:type="dxa"/>
          </w:tcPr>
          <w:p w14:paraId="2A16B6D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Population</w:t>
            </w:r>
          </w:p>
        </w:tc>
        <w:tc>
          <w:tcPr>
            <w:tcW w:w="3330" w:type="dxa"/>
          </w:tcPr>
          <w:p w14:paraId="44721C7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Count of people</w:t>
            </w:r>
          </w:p>
        </w:tc>
        <w:tc>
          <w:tcPr>
            <w:tcW w:w="810" w:type="dxa"/>
          </w:tcPr>
          <w:p w14:paraId="68BBF04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0CFEB4B5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14,903 – 71,226</w:t>
            </w:r>
          </w:p>
        </w:tc>
        <w:tc>
          <w:tcPr>
            <w:tcW w:w="1260" w:type="dxa"/>
          </w:tcPr>
          <w:p w14:paraId="22674B7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94 – 25,062</w:t>
            </w:r>
          </w:p>
        </w:tc>
        <w:tc>
          <w:tcPr>
            <w:tcW w:w="1080" w:type="dxa"/>
          </w:tcPr>
          <w:p w14:paraId="6FC6C12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6345</w:t>
            </w:r>
          </w:p>
        </w:tc>
        <w:tc>
          <w:tcPr>
            <w:tcW w:w="1350" w:type="dxa"/>
          </w:tcPr>
          <w:p w14:paraId="36EE27A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2,946</w:t>
            </w:r>
          </w:p>
        </w:tc>
      </w:tr>
      <w:tr w:rsidR="00144CA9" w:rsidRPr="00144CA9" w14:paraId="246FB95C" w14:textId="77777777" w:rsidTr="001D4BD1">
        <w:trPr>
          <w:jc w:val="center"/>
        </w:trPr>
        <w:tc>
          <w:tcPr>
            <w:tcW w:w="1170" w:type="dxa"/>
          </w:tcPr>
          <w:p w14:paraId="4857285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Density</w:t>
            </w:r>
          </w:p>
        </w:tc>
        <w:tc>
          <w:tcPr>
            <w:tcW w:w="3330" w:type="dxa"/>
          </w:tcPr>
          <w:p w14:paraId="52B4654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Population density [ppl/km</w:t>
            </w:r>
            <w:r w:rsidRPr="00144CA9">
              <w:rPr>
                <w:rFonts w:ascii="Palatino Linotype" w:hAnsi="Palatino Linotype"/>
                <w:sz w:val="20"/>
                <w:szCs w:val="20"/>
                <w:vertAlign w:val="superscript"/>
              </w:rPr>
              <w:t>2</w:t>
            </w:r>
            <w:r w:rsidRPr="00144CA9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810" w:type="dxa"/>
          </w:tcPr>
          <w:p w14:paraId="6D9D56E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481C22D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5,983 – 23,584</w:t>
            </w:r>
          </w:p>
        </w:tc>
        <w:tc>
          <w:tcPr>
            <w:tcW w:w="1260" w:type="dxa"/>
          </w:tcPr>
          <w:p w14:paraId="7A71E8E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569 – 36,759</w:t>
            </w:r>
          </w:p>
        </w:tc>
        <w:tc>
          <w:tcPr>
            <w:tcW w:w="1080" w:type="dxa"/>
          </w:tcPr>
          <w:p w14:paraId="7F019CD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66,160</w:t>
            </w:r>
          </w:p>
        </w:tc>
        <w:tc>
          <w:tcPr>
            <w:tcW w:w="1350" w:type="dxa"/>
          </w:tcPr>
          <w:p w14:paraId="7BEBE9A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378,700</w:t>
            </w:r>
          </w:p>
        </w:tc>
      </w:tr>
      <w:tr w:rsidR="00144CA9" w:rsidRPr="00144CA9" w14:paraId="4482F844" w14:textId="77777777" w:rsidTr="001D4BD1">
        <w:trPr>
          <w:jc w:val="center"/>
        </w:trPr>
        <w:tc>
          <w:tcPr>
            <w:tcW w:w="1170" w:type="dxa"/>
          </w:tcPr>
          <w:p w14:paraId="6D26C47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Houses</w:t>
            </w:r>
          </w:p>
        </w:tc>
        <w:tc>
          <w:tcPr>
            <w:tcW w:w="3330" w:type="dxa"/>
          </w:tcPr>
          <w:p w14:paraId="034C762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Count of houses</w:t>
            </w:r>
          </w:p>
        </w:tc>
        <w:tc>
          <w:tcPr>
            <w:tcW w:w="810" w:type="dxa"/>
          </w:tcPr>
          <w:p w14:paraId="275D9D7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4D6FD71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6,241 – 26,895</w:t>
            </w:r>
          </w:p>
        </w:tc>
        <w:tc>
          <w:tcPr>
            <w:tcW w:w="1260" w:type="dxa"/>
          </w:tcPr>
          <w:p w14:paraId="569CA3C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34 – 12,178</w:t>
            </w:r>
          </w:p>
        </w:tc>
        <w:tc>
          <w:tcPr>
            <w:tcW w:w="1080" w:type="dxa"/>
          </w:tcPr>
          <w:p w14:paraId="5243786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3,116</w:t>
            </w:r>
          </w:p>
        </w:tc>
        <w:tc>
          <w:tcPr>
            <w:tcW w:w="1350" w:type="dxa"/>
          </w:tcPr>
          <w:p w14:paraId="01701930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1,075</w:t>
            </w:r>
          </w:p>
        </w:tc>
      </w:tr>
      <w:tr w:rsidR="00144CA9" w:rsidRPr="00144CA9" w14:paraId="370C8448" w14:textId="77777777" w:rsidTr="001D4BD1">
        <w:trPr>
          <w:jc w:val="center"/>
        </w:trPr>
        <w:tc>
          <w:tcPr>
            <w:tcW w:w="1170" w:type="dxa"/>
          </w:tcPr>
          <w:p w14:paraId="6F7B1A8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Homes</w:t>
            </w:r>
          </w:p>
        </w:tc>
        <w:tc>
          <w:tcPr>
            <w:tcW w:w="3330" w:type="dxa"/>
          </w:tcPr>
          <w:p w14:paraId="60B5797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Count of populated houses</w:t>
            </w:r>
          </w:p>
        </w:tc>
        <w:tc>
          <w:tcPr>
            <w:tcW w:w="810" w:type="dxa"/>
          </w:tcPr>
          <w:p w14:paraId="2D01D4E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3A5243E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5,221 – 24,464</w:t>
            </w:r>
          </w:p>
        </w:tc>
        <w:tc>
          <w:tcPr>
            <w:tcW w:w="1260" w:type="dxa"/>
          </w:tcPr>
          <w:p w14:paraId="010359B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31 – 8,640</w:t>
            </w:r>
          </w:p>
        </w:tc>
        <w:tc>
          <w:tcPr>
            <w:tcW w:w="1080" w:type="dxa"/>
          </w:tcPr>
          <w:p w14:paraId="7895C427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2,205</w:t>
            </w:r>
          </w:p>
        </w:tc>
        <w:tc>
          <w:tcPr>
            <w:tcW w:w="1350" w:type="dxa"/>
          </w:tcPr>
          <w:p w14:paraId="249303F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1,071</w:t>
            </w:r>
          </w:p>
        </w:tc>
      </w:tr>
      <w:tr w:rsidR="00144CA9" w:rsidRPr="00144CA9" w14:paraId="2814B763" w14:textId="77777777" w:rsidTr="001D4BD1">
        <w:trPr>
          <w:jc w:val="center"/>
        </w:trPr>
        <w:tc>
          <w:tcPr>
            <w:tcW w:w="1170" w:type="dxa"/>
          </w:tcPr>
          <w:p w14:paraId="763B9EA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Electricity</w:t>
            </w:r>
          </w:p>
        </w:tc>
        <w:tc>
          <w:tcPr>
            <w:tcW w:w="3330" w:type="dxa"/>
          </w:tcPr>
          <w:p w14:paraId="6842B7C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houses with electricity</w:t>
            </w:r>
          </w:p>
        </w:tc>
        <w:tc>
          <w:tcPr>
            <w:tcW w:w="810" w:type="dxa"/>
          </w:tcPr>
          <w:p w14:paraId="6291F76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14CE2D80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0.77 – 0.95</w:t>
            </w:r>
          </w:p>
        </w:tc>
        <w:tc>
          <w:tcPr>
            <w:tcW w:w="1260" w:type="dxa"/>
          </w:tcPr>
          <w:p w14:paraId="44B4489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0.64 – 0.98</w:t>
            </w:r>
          </w:p>
        </w:tc>
        <w:tc>
          <w:tcPr>
            <w:tcW w:w="1080" w:type="dxa"/>
          </w:tcPr>
          <w:p w14:paraId="535282F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  <w:tc>
          <w:tcPr>
            <w:tcW w:w="1350" w:type="dxa"/>
          </w:tcPr>
          <w:p w14:paraId="1F76B54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</w:tr>
      <w:tr w:rsidR="00144CA9" w:rsidRPr="00144CA9" w14:paraId="1BD8011F" w14:textId="77777777" w:rsidTr="001D4BD1">
        <w:trPr>
          <w:jc w:val="center"/>
        </w:trPr>
        <w:tc>
          <w:tcPr>
            <w:tcW w:w="1170" w:type="dxa"/>
          </w:tcPr>
          <w:p w14:paraId="3DCC27F5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Aqueduct</w:t>
            </w:r>
          </w:p>
        </w:tc>
        <w:tc>
          <w:tcPr>
            <w:tcW w:w="3330" w:type="dxa"/>
          </w:tcPr>
          <w:p w14:paraId="5C25B76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houses connected to the aqueduct</w:t>
            </w:r>
          </w:p>
        </w:tc>
        <w:tc>
          <w:tcPr>
            <w:tcW w:w="810" w:type="dxa"/>
          </w:tcPr>
          <w:p w14:paraId="2DFA86C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7F1119E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0.76 – 0.92</w:t>
            </w:r>
          </w:p>
        </w:tc>
        <w:tc>
          <w:tcPr>
            <w:tcW w:w="1260" w:type="dxa"/>
          </w:tcPr>
          <w:p w14:paraId="4E1C2AD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0.64 – 0.97</w:t>
            </w:r>
          </w:p>
        </w:tc>
        <w:tc>
          <w:tcPr>
            <w:tcW w:w="1080" w:type="dxa"/>
          </w:tcPr>
          <w:p w14:paraId="29A4EF5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  <w:tc>
          <w:tcPr>
            <w:tcW w:w="1350" w:type="dxa"/>
          </w:tcPr>
          <w:p w14:paraId="377EF05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</w:tr>
      <w:tr w:rsidR="00144CA9" w:rsidRPr="00144CA9" w14:paraId="586785D5" w14:textId="77777777" w:rsidTr="001D4BD1">
        <w:trPr>
          <w:jc w:val="center"/>
        </w:trPr>
        <w:tc>
          <w:tcPr>
            <w:tcW w:w="1170" w:type="dxa"/>
          </w:tcPr>
          <w:p w14:paraId="48AFB3D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Sewage</w:t>
            </w:r>
          </w:p>
        </w:tc>
        <w:tc>
          <w:tcPr>
            <w:tcW w:w="3330" w:type="dxa"/>
          </w:tcPr>
          <w:p w14:paraId="1794089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houses connected to the sewage</w:t>
            </w:r>
          </w:p>
        </w:tc>
        <w:tc>
          <w:tcPr>
            <w:tcW w:w="810" w:type="dxa"/>
          </w:tcPr>
          <w:p w14:paraId="2519700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5BEA9B3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0.76 – 0.94</w:t>
            </w:r>
          </w:p>
        </w:tc>
        <w:tc>
          <w:tcPr>
            <w:tcW w:w="1260" w:type="dxa"/>
          </w:tcPr>
          <w:p w14:paraId="5251B0C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0.03 – 0.97</w:t>
            </w:r>
          </w:p>
        </w:tc>
        <w:tc>
          <w:tcPr>
            <w:tcW w:w="1080" w:type="dxa"/>
          </w:tcPr>
          <w:p w14:paraId="22F7785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  <w:tc>
          <w:tcPr>
            <w:tcW w:w="1350" w:type="dxa"/>
          </w:tcPr>
          <w:p w14:paraId="0ACF93D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</w:tr>
      <w:tr w:rsidR="00144CA9" w:rsidRPr="00144CA9" w14:paraId="0DB949B8" w14:textId="77777777" w:rsidTr="001D4BD1">
        <w:trPr>
          <w:jc w:val="center"/>
        </w:trPr>
        <w:tc>
          <w:tcPr>
            <w:tcW w:w="1170" w:type="dxa"/>
          </w:tcPr>
          <w:p w14:paraId="1686175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Gas</w:t>
            </w:r>
          </w:p>
        </w:tc>
        <w:tc>
          <w:tcPr>
            <w:tcW w:w="3330" w:type="dxa"/>
          </w:tcPr>
          <w:p w14:paraId="313A521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houses connected to the gas network</w:t>
            </w:r>
          </w:p>
        </w:tc>
        <w:tc>
          <w:tcPr>
            <w:tcW w:w="810" w:type="dxa"/>
          </w:tcPr>
          <w:p w14:paraId="256B8B3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29C81DB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0.69 – 0.90</w:t>
            </w:r>
          </w:p>
        </w:tc>
        <w:tc>
          <w:tcPr>
            <w:tcW w:w="1260" w:type="dxa"/>
          </w:tcPr>
          <w:p w14:paraId="7D2998F3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0.49 – 0.94</w:t>
            </w:r>
          </w:p>
        </w:tc>
        <w:tc>
          <w:tcPr>
            <w:tcW w:w="1080" w:type="dxa"/>
          </w:tcPr>
          <w:p w14:paraId="3FDD927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0.96</w:t>
            </w:r>
          </w:p>
        </w:tc>
        <w:tc>
          <w:tcPr>
            <w:tcW w:w="1350" w:type="dxa"/>
          </w:tcPr>
          <w:p w14:paraId="3247F61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</w:tr>
      <w:tr w:rsidR="00144CA9" w:rsidRPr="00144CA9" w14:paraId="3EAA3D05" w14:textId="77777777" w:rsidTr="001D4BD1">
        <w:trPr>
          <w:jc w:val="center"/>
        </w:trPr>
        <w:tc>
          <w:tcPr>
            <w:tcW w:w="1170" w:type="dxa"/>
          </w:tcPr>
          <w:p w14:paraId="184DDE8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Garbage</w:t>
            </w:r>
          </w:p>
        </w:tc>
        <w:tc>
          <w:tcPr>
            <w:tcW w:w="3330" w:type="dxa"/>
          </w:tcPr>
          <w:p w14:paraId="7E5DB95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houses with garbage pickup service</w:t>
            </w:r>
          </w:p>
        </w:tc>
        <w:tc>
          <w:tcPr>
            <w:tcW w:w="810" w:type="dxa"/>
          </w:tcPr>
          <w:p w14:paraId="6C9C9E4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4F70782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0.76 – 0.94</w:t>
            </w:r>
          </w:p>
        </w:tc>
        <w:tc>
          <w:tcPr>
            <w:tcW w:w="1260" w:type="dxa"/>
          </w:tcPr>
          <w:p w14:paraId="28BF890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0.63 – 0.99</w:t>
            </w:r>
          </w:p>
        </w:tc>
        <w:tc>
          <w:tcPr>
            <w:tcW w:w="1080" w:type="dxa"/>
          </w:tcPr>
          <w:p w14:paraId="56F999B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  <w:tc>
          <w:tcPr>
            <w:tcW w:w="1350" w:type="dxa"/>
          </w:tcPr>
          <w:p w14:paraId="408B64E3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</w:tr>
      <w:tr w:rsidR="00144CA9" w:rsidRPr="00144CA9" w14:paraId="032134FA" w14:textId="77777777" w:rsidTr="001D4BD1">
        <w:trPr>
          <w:jc w:val="center"/>
        </w:trPr>
        <w:tc>
          <w:tcPr>
            <w:tcW w:w="1170" w:type="dxa"/>
          </w:tcPr>
          <w:p w14:paraId="23F3B98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Internet</w:t>
            </w:r>
          </w:p>
        </w:tc>
        <w:tc>
          <w:tcPr>
            <w:tcW w:w="3330" w:type="dxa"/>
          </w:tcPr>
          <w:p w14:paraId="5820C87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houses with internet connection</w:t>
            </w:r>
          </w:p>
        </w:tc>
        <w:tc>
          <w:tcPr>
            <w:tcW w:w="810" w:type="dxa"/>
          </w:tcPr>
          <w:p w14:paraId="7CB7F41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381D1025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0.28 – 0.67</w:t>
            </w:r>
          </w:p>
        </w:tc>
        <w:tc>
          <w:tcPr>
            <w:tcW w:w="1260" w:type="dxa"/>
          </w:tcPr>
          <w:p w14:paraId="4E012EF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0.09 – 0.75</w:t>
            </w:r>
          </w:p>
        </w:tc>
        <w:tc>
          <w:tcPr>
            <w:tcW w:w="1080" w:type="dxa"/>
          </w:tcPr>
          <w:p w14:paraId="1E7467B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0.84</w:t>
            </w:r>
          </w:p>
        </w:tc>
        <w:tc>
          <w:tcPr>
            <w:tcW w:w="1350" w:type="dxa"/>
          </w:tcPr>
          <w:p w14:paraId="72BACB9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</w:tr>
      <w:tr w:rsidR="00144CA9" w:rsidRPr="00144CA9" w14:paraId="6297FC67" w14:textId="77777777" w:rsidTr="001D4BD1">
        <w:trPr>
          <w:jc w:val="center"/>
        </w:trPr>
        <w:tc>
          <w:tcPr>
            <w:tcW w:w="1170" w:type="dxa"/>
          </w:tcPr>
          <w:p w14:paraId="2BFA1B7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Strata</w:t>
            </w:r>
          </w:p>
        </w:tc>
        <w:tc>
          <w:tcPr>
            <w:tcW w:w="3330" w:type="dxa"/>
          </w:tcPr>
          <w:p w14:paraId="34FD348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Average strata</w:t>
            </w:r>
          </w:p>
        </w:tc>
        <w:tc>
          <w:tcPr>
            <w:tcW w:w="810" w:type="dxa"/>
          </w:tcPr>
          <w:p w14:paraId="70D4C64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2DC87F1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1 – 3</w:t>
            </w:r>
          </w:p>
        </w:tc>
        <w:tc>
          <w:tcPr>
            <w:tcW w:w="1260" w:type="dxa"/>
          </w:tcPr>
          <w:p w14:paraId="7FBF9C3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1 – 3</w:t>
            </w:r>
          </w:p>
        </w:tc>
        <w:tc>
          <w:tcPr>
            <w:tcW w:w="1080" w:type="dxa"/>
          </w:tcPr>
          <w:p w14:paraId="74D80F0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3</w:t>
            </w:r>
          </w:p>
        </w:tc>
        <w:tc>
          <w:tcPr>
            <w:tcW w:w="1350" w:type="dxa"/>
          </w:tcPr>
          <w:p w14:paraId="1FC4F92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5</w:t>
            </w:r>
          </w:p>
        </w:tc>
      </w:tr>
      <w:tr w:rsidR="00144CA9" w:rsidRPr="00144CA9" w14:paraId="1798BFCF" w14:textId="77777777" w:rsidTr="001D4BD1">
        <w:trPr>
          <w:jc w:val="center"/>
        </w:trPr>
        <w:tc>
          <w:tcPr>
            <w:tcW w:w="1170" w:type="dxa"/>
          </w:tcPr>
          <w:p w14:paraId="7BBAD913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Higher Ed.</w:t>
            </w:r>
          </w:p>
        </w:tc>
        <w:tc>
          <w:tcPr>
            <w:tcW w:w="3330" w:type="dxa"/>
          </w:tcPr>
          <w:p w14:paraId="4A26B00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people with a higher education degree (after high school)</w:t>
            </w:r>
          </w:p>
        </w:tc>
        <w:tc>
          <w:tcPr>
            <w:tcW w:w="810" w:type="dxa"/>
          </w:tcPr>
          <w:p w14:paraId="493CD03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3D0BD01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0.12 – 0.40</w:t>
            </w:r>
          </w:p>
        </w:tc>
        <w:tc>
          <w:tcPr>
            <w:tcW w:w="1260" w:type="dxa"/>
          </w:tcPr>
          <w:p w14:paraId="093B494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0.06 – 0.58</w:t>
            </w:r>
          </w:p>
        </w:tc>
        <w:tc>
          <w:tcPr>
            <w:tcW w:w="1080" w:type="dxa"/>
          </w:tcPr>
          <w:p w14:paraId="42777F8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0.61</w:t>
            </w:r>
          </w:p>
        </w:tc>
        <w:tc>
          <w:tcPr>
            <w:tcW w:w="1350" w:type="dxa"/>
          </w:tcPr>
          <w:p w14:paraId="7D649AE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0.86</w:t>
            </w:r>
          </w:p>
        </w:tc>
      </w:tr>
      <w:tr w:rsidR="00144CA9" w:rsidRPr="00144CA9" w14:paraId="387FBA85" w14:textId="77777777" w:rsidTr="001D4BD1">
        <w:trPr>
          <w:jc w:val="center"/>
        </w:trPr>
        <w:tc>
          <w:tcPr>
            <w:tcW w:w="1170" w:type="dxa"/>
          </w:tcPr>
          <w:p w14:paraId="5A031AC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No Ed.</w:t>
            </w:r>
          </w:p>
        </w:tc>
        <w:tc>
          <w:tcPr>
            <w:tcW w:w="3330" w:type="dxa"/>
          </w:tcPr>
          <w:p w14:paraId="44270F1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people without any education</w:t>
            </w:r>
          </w:p>
        </w:tc>
        <w:tc>
          <w:tcPr>
            <w:tcW w:w="810" w:type="dxa"/>
          </w:tcPr>
          <w:p w14:paraId="297A0A05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49DF2B8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0.02 – 0.04</w:t>
            </w:r>
          </w:p>
        </w:tc>
        <w:tc>
          <w:tcPr>
            <w:tcW w:w="1260" w:type="dxa"/>
          </w:tcPr>
          <w:p w14:paraId="11966983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0.06</w:t>
            </w:r>
          </w:p>
        </w:tc>
        <w:tc>
          <w:tcPr>
            <w:tcW w:w="1080" w:type="dxa"/>
          </w:tcPr>
          <w:p w14:paraId="525A7D4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0.08</w:t>
            </w:r>
          </w:p>
        </w:tc>
        <w:tc>
          <w:tcPr>
            <w:tcW w:w="1350" w:type="dxa"/>
          </w:tcPr>
          <w:p w14:paraId="74854A4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0.48</w:t>
            </w:r>
          </w:p>
        </w:tc>
      </w:tr>
      <w:tr w:rsidR="00144CA9" w:rsidRPr="00144CA9" w14:paraId="3C557213" w14:textId="77777777" w:rsidTr="001D4BD1">
        <w:trPr>
          <w:jc w:val="center"/>
        </w:trPr>
        <w:tc>
          <w:tcPr>
            <w:tcW w:w="1170" w:type="dxa"/>
          </w:tcPr>
          <w:p w14:paraId="17235EA7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Kids</w:t>
            </w:r>
          </w:p>
        </w:tc>
        <w:tc>
          <w:tcPr>
            <w:tcW w:w="3330" w:type="dxa"/>
          </w:tcPr>
          <w:p w14:paraId="42F2FA7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people under 19 years old</w:t>
            </w:r>
          </w:p>
        </w:tc>
        <w:tc>
          <w:tcPr>
            <w:tcW w:w="810" w:type="dxa"/>
          </w:tcPr>
          <w:p w14:paraId="7E7EAFB7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5D280A8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0.23 – 0.34</w:t>
            </w:r>
          </w:p>
        </w:tc>
        <w:tc>
          <w:tcPr>
            <w:tcW w:w="1260" w:type="dxa"/>
          </w:tcPr>
          <w:p w14:paraId="64297B7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0.15 – 0.37</w:t>
            </w:r>
          </w:p>
        </w:tc>
        <w:tc>
          <w:tcPr>
            <w:tcW w:w="1080" w:type="dxa"/>
          </w:tcPr>
          <w:p w14:paraId="26737A6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0.41</w:t>
            </w:r>
          </w:p>
        </w:tc>
        <w:tc>
          <w:tcPr>
            <w:tcW w:w="1350" w:type="dxa"/>
          </w:tcPr>
          <w:p w14:paraId="372C5F6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0.58</w:t>
            </w:r>
          </w:p>
        </w:tc>
      </w:tr>
      <w:tr w:rsidR="00144CA9" w:rsidRPr="00144CA9" w14:paraId="07BD2846" w14:textId="77777777" w:rsidTr="001D4BD1">
        <w:trPr>
          <w:jc w:val="center"/>
        </w:trPr>
        <w:tc>
          <w:tcPr>
            <w:tcW w:w="1170" w:type="dxa"/>
          </w:tcPr>
          <w:p w14:paraId="3506137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Adults</w:t>
            </w:r>
          </w:p>
        </w:tc>
        <w:tc>
          <w:tcPr>
            <w:tcW w:w="3330" w:type="dxa"/>
          </w:tcPr>
          <w:p w14:paraId="452506B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people over 19 years old</w:t>
            </w:r>
          </w:p>
        </w:tc>
        <w:tc>
          <w:tcPr>
            <w:tcW w:w="810" w:type="dxa"/>
          </w:tcPr>
          <w:p w14:paraId="3880199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2563622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0.66 – 0.77</w:t>
            </w:r>
          </w:p>
        </w:tc>
        <w:tc>
          <w:tcPr>
            <w:tcW w:w="1260" w:type="dxa"/>
          </w:tcPr>
          <w:p w14:paraId="70B9E60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0.63 – 0.85</w:t>
            </w:r>
          </w:p>
        </w:tc>
        <w:tc>
          <w:tcPr>
            <w:tcW w:w="1080" w:type="dxa"/>
          </w:tcPr>
          <w:p w14:paraId="26BBB08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0.88</w:t>
            </w:r>
          </w:p>
        </w:tc>
        <w:tc>
          <w:tcPr>
            <w:tcW w:w="1350" w:type="dxa"/>
          </w:tcPr>
          <w:p w14:paraId="096F23C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1</w:t>
            </w:r>
          </w:p>
        </w:tc>
      </w:tr>
      <w:tr w:rsidR="00144CA9" w:rsidRPr="00144CA9" w14:paraId="3F17E64B" w14:textId="77777777" w:rsidTr="001D4BD1">
        <w:trPr>
          <w:jc w:val="center"/>
        </w:trPr>
        <w:tc>
          <w:tcPr>
            <w:tcW w:w="1170" w:type="dxa"/>
          </w:tcPr>
          <w:p w14:paraId="7EBEACC3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Men</w:t>
            </w:r>
          </w:p>
        </w:tc>
        <w:tc>
          <w:tcPr>
            <w:tcW w:w="3330" w:type="dxa"/>
          </w:tcPr>
          <w:p w14:paraId="73F6C2E7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people identifying as man</w:t>
            </w:r>
          </w:p>
        </w:tc>
        <w:tc>
          <w:tcPr>
            <w:tcW w:w="810" w:type="dxa"/>
          </w:tcPr>
          <w:p w14:paraId="5CA000B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0149575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0.46 – 0.48</w:t>
            </w:r>
          </w:p>
        </w:tc>
        <w:tc>
          <w:tcPr>
            <w:tcW w:w="1260" w:type="dxa"/>
          </w:tcPr>
          <w:p w14:paraId="75A9323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0.44 – 0.52</w:t>
            </w:r>
          </w:p>
        </w:tc>
        <w:tc>
          <w:tcPr>
            <w:tcW w:w="1080" w:type="dxa"/>
          </w:tcPr>
          <w:p w14:paraId="76F796D5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0.62</w:t>
            </w:r>
          </w:p>
        </w:tc>
        <w:tc>
          <w:tcPr>
            <w:tcW w:w="1350" w:type="dxa"/>
          </w:tcPr>
          <w:p w14:paraId="136259B3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0.93</w:t>
            </w:r>
          </w:p>
        </w:tc>
      </w:tr>
      <w:tr w:rsidR="00144CA9" w:rsidRPr="00144CA9" w14:paraId="605DCB4F" w14:textId="77777777" w:rsidTr="001D4BD1">
        <w:trPr>
          <w:jc w:val="center"/>
        </w:trPr>
        <w:tc>
          <w:tcPr>
            <w:tcW w:w="1170" w:type="dxa"/>
          </w:tcPr>
          <w:p w14:paraId="12EAA2E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Women</w:t>
            </w:r>
          </w:p>
        </w:tc>
        <w:tc>
          <w:tcPr>
            <w:tcW w:w="3330" w:type="dxa"/>
          </w:tcPr>
          <w:p w14:paraId="4E78B26A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Percentage of people identifying as woman</w:t>
            </w:r>
          </w:p>
        </w:tc>
        <w:tc>
          <w:tcPr>
            <w:tcW w:w="810" w:type="dxa"/>
          </w:tcPr>
          <w:p w14:paraId="07616A5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DANE</w:t>
            </w:r>
          </w:p>
        </w:tc>
        <w:tc>
          <w:tcPr>
            <w:tcW w:w="1440" w:type="dxa"/>
          </w:tcPr>
          <w:p w14:paraId="3F388F2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0.51 – 0.54</w:t>
            </w:r>
          </w:p>
        </w:tc>
        <w:tc>
          <w:tcPr>
            <w:tcW w:w="1260" w:type="dxa"/>
          </w:tcPr>
          <w:p w14:paraId="77D889F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0.48 – 0.56</w:t>
            </w:r>
          </w:p>
        </w:tc>
        <w:tc>
          <w:tcPr>
            <w:tcW w:w="1080" w:type="dxa"/>
          </w:tcPr>
          <w:p w14:paraId="49315E1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0.62</w:t>
            </w:r>
          </w:p>
        </w:tc>
        <w:tc>
          <w:tcPr>
            <w:tcW w:w="1350" w:type="dxa"/>
          </w:tcPr>
          <w:p w14:paraId="05F342F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0.81</w:t>
            </w:r>
          </w:p>
        </w:tc>
      </w:tr>
      <w:tr w:rsidR="00144CA9" w:rsidRPr="00144CA9" w14:paraId="19286AF4" w14:textId="77777777" w:rsidTr="001D4BD1">
        <w:trPr>
          <w:jc w:val="center"/>
        </w:trPr>
        <w:tc>
          <w:tcPr>
            <w:tcW w:w="1170" w:type="dxa"/>
          </w:tcPr>
          <w:p w14:paraId="094D890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Total Prec.</w:t>
            </w:r>
          </w:p>
        </w:tc>
        <w:tc>
          <w:tcPr>
            <w:tcW w:w="3330" w:type="dxa"/>
          </w:tcPr>
          <w:p w14:paraId="7E8E26D5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Total precipitation [mm/month]</w:t>
            </w:r>
          </w:p>
        </w:tc>
        <w:tc>
          <w:tcPr>
            <w:tcW w:w="810" w:type="dxa"/>
          </w:tcPr>
          <w:p w14:paraId="2E74A50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CHIRPS</w:t>
            </w:r>
          </w:p>
        </w:tc>
        <w:tc>
          <w:tcPr>
            <w:tcW w:w="1440" w:type="dxa"/>
          </w:tcPr>
          <w:p w14:paraId="4BECBE50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0.81 – 118</w:t>
            </w:r>
          </w:p>
        </w:tc>
        <w:tc>
          <w:tcPr>
            <w:tcW w:w="1260" w:type="dxa"/>
          </w:tcPr>
          <w:p w14:paraId="544DCDB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0.05 – 89.78</w:t>
            </w:r>
          </w:p>
        </w:tc>
        <w:tc>
          <w:tcPr>
            <w:tcW w:w="1080" w:type="dxa"/>
          </w:tcPr>
          <w:p w14:paraId="47D8D5D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0.01 – 20.36</w:t>
            </w:r>
          </w:p>
        </w:tc>
        <w:tc>
          <w:tcPr>
            <w:tcW w:w="1350" w:type="dxa"/>
          </w:tcPr>
          <w:p w14:paraId="64909170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9.25</w:t>
            </w:r>
          </w:p>
        </w:tc>
      </w:tr>
      <w:tr w:rsidR="00144CA9" w:rsidRPr="00144CA9" w14:paraId="247FE912" w14:textId="77777777" w:rsidTr="001D4BD1">
        <w:trPr>
          <w:jc w:val="center"/>
        </w:trPr>
        <w:tc>
          <w:tcPr>
            <w:tcW w:w="1170" w:type="dxa"/>
          </w:tcPr>
          <w:p w14:paraId="3E9BD06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Mean Temp.</w:t>
            </w:r>
          </w:p>
        </w:tc>
        <w:tc>
          <w:tcPr>
            <w:tcW w:w="3330" w:type="dxa"/>
          </w:tcPr>
          <w:p w14:paraId="7A960CD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Mean temperature during each month [°C]</w:t>
            </w:r>
          </w:p>
        </w:tc>
        <w:tc>
          <w:tcPr>
            <w:tcW w:w="810" w:type="dxa"/>
          </w:tcPr>
          <w:p w14:paraId="6977EB7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MODIS</w:t>
            </w:r>
          </w:p>
        </w:tc>
        <w:tc>
          <w:tcPr>
            <w:tcW w:w="1440" w:type="dxa"/>
          </w:tcPr>
          <w:p w14:paraId="3890761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22.96 – 38.77</w:t>
            </w:r>
          </w:p>
        </w:tc>
        <w:tc>
          <w:tcPr>
            <w:tcW w:w="1260" w:type="dxa"/>
          </w:tcPr>
          <w:p w14:paraId="1910207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21.98 – 39.62</w:t>
            </w:r>
          </w:p>
        </w:tc>
        <w:tc>
          <w:tcPr>
            <w:tcW w:w="1080" w:type="dxa"/>
          </w:tcPr>
          <w:p w14:paraId="1ABB08B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21.03 – 39.75</w:t>
            </w:r>
          </w:p>
        </w:tc>
        <w:tc>
          <w:tcPr>
            <w:tcW w:w="1350" w:type="dxa"/>
          </w:tcPr>
          <w:p w14:paraId="144B36B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20.51 – 39.75</w:t>
            </w:r>
          </w:p>
        </w:tc>
      </w:tr>
      <w:tr w:rsidR="00144CA9" w:rsidRPr="00144CA9" w14:paraId="4C60305E" w14:textId="77777777" w:rsidTr="001D4BD1">
        <w:trPr>
          <w:jc w:val="center"/>
        </w:trPr>
        <w:tc>
          <w:tcPr>
            <w:tcW w:w="1170" w:type="dxa"/>
          </w:tcPr>
          <w:p w14:paraId="5A1D2D6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Wet Days</w:t>
            </w:r>
          </w:p>
        </w:tc>
        <w:tc>
          <w:tcPr>
            <w:tcW w:w="3330" w:type="dxa"/>
          </w:tcPr>
          <w:p w14:paraId="2C63CEC4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Count of raining days each month</w:t>
            </w:r>
          </w:p>
        </w:tc>
        <w:tc>
          <w:tcPr>
            <w:tcW w:w="810" w:type="dxa"/>
          </w:tcPr>
          <w:p w14:paraId="0C0002D5" w14:textId="62BFAD0E" w:rsidR="00144CA9" w:rsidRPr="00F9076B" w:rsidRDefault="00F9076B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77795FB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 – 20</w:t>
            </w:r>
          </w:p>
        </w:tc>
        <w:tc>
          <w:tcPr>
            <w:tcW w:w="1260" w:type="dxa"/>
          </w:tcPr>
          <w:p w14:paraId="065B0F5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 – 20</w:t>
            </w:r>
          </w:p>
        </w:tc>
        <w:tc>
          <w:tcPr>
            <w:tcW w:w="1080" w:type="dxa"/>
          </w:tcPr>
          <w:p w14:paraId="6E680DE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 – 20</w:t>
            </w:r>
          </w:p>
        </w:tc>
        <w:tc>
          <w:tcPr>
            <w:tcW w:w="1350" w:type="dxa"/>
          </w:tcPr>
          <w:p w14:paraId="28EAA24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2- 20</w:t>
            </w:r>
          </w:p>
        </w:tc>
      </w:tr>
      <w:tr w:rsidR="00144CA9" w:rsidRPr="00144CA9" w14:paraId="77BE333E" w14:textId="77777777" w:rsidTr="001D4BD1">
        <w:trPr>
          <w:jc w:val="center"/>
        </w:trPr>
        <w:tc>
          <w:tcPr>
            <w:tcW w:w="1170" w:type="dxa"/>
          </w:tcPr>
          <w:p w14:paraId="212C774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 xml:space="preserve">Days </w:t>
            </w:r>
            <w:proofErr w:type="spellStart"/>
            <w:r w:rsidRPr="00144CA9">
              <w:rPr>
                <w:rFonts w:ascii="Palatino Linotype" w:hAnsi="Palatino Linotype"/>
                <w:sz w:val="20"/>
                <w:szCs w:val="20"/>
              </w:rPr>
              <w:t>ov</w:t>
            </w:r>
            <w:proofErr w:type="spellEnd"/>
            <w:r w:rsidRPr="00144CA9">
              <w:rPr>
                <w:rFonts w:ascii="Palatino Linotype" w:hAnsi="Palatino Linotype"/>
                <w:sz w:val="20"/>
                <w:szCs w:val="20"/>
              </w:rPr>
              <w:t>. 32</w:t>
            </w:r>
          </w:p>
        </w:tc>
        <w:tc>
          <w:tcPr>
            <w:tcW w:w="3330" w:type="dxa"/>
          </w:tcPr>
          <w:p w14:paraId="41E9365D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Count of days when the maximum temperature exceeded 32°C each month</w:t>
            </w:r>
          </w:p>
        </w:tc>
        <w:tc>
          <w:tcPr>
            <w:tcW w:w="810" w:type="dxa"/>
          </w:tcPr>
          <w:p w14:paraId="2AD75784" w14:textId="3F021040" w:rsidR="00144CA9" w:rsidRPr="00F9076B" w:rsidRDefault="00F9076B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2245329B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29</w:t>
            </w:r>
          </w:p>
        </w:tc>
        <w:tc>
          <w:tcPr>
            <w:tcW w:w="1260" w:type="dxa"/>
          </w:tcPr>
          <w:p w14:paraId="53B31B01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29</w:t>
            </w:r>
          </w:p>
        </w:tc>
        <w:tc>
          <w:tcPr>
            <w:tcW w:w="1080" w:type="dxa"/>
          </w:tcPr>
          <w:p w14:paraId="191FE62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29</w:t>
            </w:r>
          </w:p>
        </w:tc>
        <w:tc>
          <w:tcPr>
            <w:tcW w:w="1350" w:type="dxa"/>
          </w:tcPr>
          <w:p w14:paraId="77CC67F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 – 29</w:t>
            </w:r>
          </w:p>
        </w:tc>
      </w:tr>
      <w:tr w:rsidR="00144CA9" w:rsidRPr="00144CA9" w14:paraId="340EC453" w14:textId="77777777" w:rsidTr="001D4BD1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</w:tcPr>
          <w:p w14:paraId="56C0C5BC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NDVI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C6EB302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Normalized Vegetation Index per month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D63B46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MODIS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ACEDAF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0.23 – 0.71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2712C9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0.16 – 0.80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5089C68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0.19 – 0.87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65377E" w14:textId="77777777" w:rsidR="00144CA9" w:rsidRPr="00144CA9" w:rsidRDefault="00144CA9" w:rsidP="001D4BD1">
            <w:pPr>
              <w:rPr>
                <w:rFonts w:ascii="Palatino Linotype" w:hAnsi="Palatino Linotype"/>
                <w:sz w:val="20"/>
                <w:szCs w:val="20"/>
              </w:rPr>
            </w:pPr>
            <w:r w:rsidRPr="00144CA9">
              <w:rPr>
                <w:rFonts w:ascii="Palatino Linotype" w:hAnsi="Palatino Linotype"/>
                <w:sz w:val="20"/>
                <w:szCs w:val="20"/>
              </w:rPr>
              <w:t>0.14 – 0.90</w:t>
            </w:r>
          </w:p>
        </w:tc>
      </w:tr>
    </w:tbl>
    <w:p w14:paraId="11BFE8A4" w14:textId="358E7F0B" w:rsidR="00144CA9" w:rsidRDefault="00144CA9">
      <w:pPr>
        <w:rPr>
          <w:lang w:val="es-CO"/>
        </w:rPr>
      </w:pPr>
    </w:p>
    <w:p w14:paraId="5A1587B3" w14:textId="57E12881" w:rsidR="003B6F63" w:rsidRDefault="00D6310C">
      <w:pPr>
        <w:rPr>
          <w:lang w:val="es-CO"/>
        </w:rPr>
      </w:pPr>
      <w:r>
        <w:rPr>
          <w:noProof/>
          <w:lang w:val="es-CO"/>
        </w:rPr>
        <w:lastRenderedPageBreak/>
        <w:drawing>
          <wp:inline distT="0" distB="0" distL="0" distR="0" wp14:anchorId="73DBB8E9" wp14:editId="4FEA36F6">
            <wp:extent cx="5983886" cy="2873829"/>
            <wp:effectExtent l="0" t="0" r="0" b="0"/>
            <wp:docPr id="24113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30278" name="Picture 24113027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3" b="5647"/>
                    <a:stretch/>
                  </pic:blipFill>
                  <pic:spPr bwMode="auto">
                    <a:xfrm>
                      <a:off x="0" y="0"/>
                      <a:ext cx="5988069" cy="2875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ABDC0" w14:textId="1D8D1556" w:rsidR="00D6310C" w:rsidRDefault="00D6310C" w:rsidP="00D6310C">
      <w:pPr>
        <w:pStyle w:val="MDPI51figurecaption"/>
        <w:ind w:left="0"/>
      </w:pPr>
      <w:r w:rsidRPr="00D6310C">
        <w:rPr>
          <w:b/>
          <w:bCs/>
        </w:rPr>
        <w:t>Figure S</w:t>
      </w:r>
      <w:r w:rsidRPr="00D6310C">
        <w:rPr>
          <w:b/>
          <w:bCs/>
        </w:rPr>
        <w:fldChar w:fldCharType="begin"/>
      </w:r>
      <w:r w:rsidRPr="00D6310C">
        <w:rPr>
          <w:b/>
          <w:bCs/>
        </w:rPr>
        <w:instrText xml:space="preserve"> SEQ Figure \* ARABIC </w:instrText>
      </w:r>
      <w:r w:rsidRPr="00D6310C">
        <w:rPr>
          <w:b/>
          <w:bCs/>
        </w:rPr>
        <w:fldChar w:fldCharType="separate"/>
      </w:r>
      <w:r w:rsidRPr="00D6310C">
        <w:rPr>
          <w:b/>
          <w:bCs/>
          <w:noProof/>
        </w:rPr>
        <w:t>1</w:t>
      </w:r>
      <w:r w:rsidRPr="00D6310C">
        <w:rPr>
          <w:b/>
          <w:bCs/>
        </w:rPr>
        <w:fldChar w:fldCharType="end"/>
      </w:r>
      <w:r w:rsidRPr="00D6310C">
        <w:rPr>
          <w:b/>
          <w:bCs/>
        </w:rPr>
        <w:t>.</w:t>
      </w:r>
      <w:r>
        <w:t xml:space="preserve"> </w:t>
      </w:r>
      <w:proofErr w:type="spellStart"/>
      <w:r w:rsidR="00180313" w:rsidRPr="00180313">
        <w:t>I</w:t>
      </w:r>
      <w:r w:rsidR="00180313">
        <w:t>bagué’s</w:t>
      </w:r>
      <w:proofErr w:type="spellEnd"/>
      <w:r w:rsidR="00180313">
        <w:t xml:space="preserve"> spatial divisio</w:t>
      </w:r>
      <w:r w:rsidR="00913EB4">
        <w:t>n, from which aggregation levels are obtained</w:t>
      </w:r>
      <w:r w:rsidR="00180313">
        <w:t xml:space="preserve">. Comunas are the biggest group, each composed </w:t>
      </w:r>
      <w:r>
        <w:t>of</w:t>
      </w:r>
      <w:r w:rsidR="00180313">
        <w:t xml:space="preserve"> multiple manzanas as shown in the figure. Smaller groups of manzanas build secciones and sectores.</w:t>
      </w:r>
    </w:p>
    <w:p w14:paraId="53C5393F" w14:textId="77777777" w:rsidR="00D6310C" w:rsidRPr="00180313" w:rsidRDefault="00D6310C" w:rsidP="00D6310C">
      <w:pPr>
        <w:pStyle w:val="MDPI51figurecaption"/>
        <w:ind w:left="0"/>
      </w:pPr>
    </w:p>
    <w:p w14:paraId="120A514D" w14:textId="777D2C48" w:rsidR="003B6F63" w:rsidRPr="00180313" w:rsidRDefault="00D6310C">
      <w:r w:rsidRPr="0004115F">
        <w:rPr>
          <w:b/>
          <w:bCs/>
          <w:noProof/>
          <w:sz w:val="24"/>
          <w:lang w:eastAsia="es-ES"/>
        </w:rPr>
        <w:drawing>
          <wp:inline distT="0" distB="0" distL="0" distR="0" wp14:anchorId="4C6F3E78" wp14:editId="0A6D5E2D">
            <wp:extent cx="5943600" cy="3352800"/>
            <wp:effectExtent l="0" t="0" r="0" b="0"/>
            <wp:docPr id="1055740740" name="Imagen 1055740740" descr="A group of images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40740" name="Picture 6" descr="A group of images of different colo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68F9" w14:textId="48D6E95B" w:rsidR="003B6F63" w:rsidRPr="00180313" w:rsidRDefault="003B6F63"/>
    <w:p w14:paraId="453825F5" w14:textId="4CA5A9BC" w:rsidR="003B6F63" w:rsidRPr="003B6F63" w:rsidRDefault="00D6310C" w:rsidP="00D6310C">
      <w:pPr>
        <w:pStyle w:val="MDPI51figurecaption"/>
        <w:ind w:left="0"/>
      </w:pPr>
      <w:r w:rsidRPr="00D6310C">
        <w:rPr>
          <w:b/>
          <w:bCs/>
        </w:rPr>
        <w:t>Figure S</w:t>
      </w:r>
      <w:r w:rsidRPr="00D6310C">
        <w:rPr>
          <w:b/>
          <w:bCs/>
        </w:rPr>
        <w:fldChar w:fldCharType="begin"/>
      </w:r>
      <w:r w:rsidRPr="00D6310C">
        <w:rPr>
          <w:b/>
          <w:bCs/>
        </w:rPr>
        <w:instrText xml:space="preserve"> SEQ Figure \* ARABIC </w:instrText>
      </w:r>
      <w:r w:rsidRPr="00D6310C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D6310C">
        <w:rPr>
          <w:b/>
          <w:bCs/>
        </w:rPr>
        <w:fldChar w:fldCharType="end"/>
      </w:r>
      <w:r w:rsidR="003B6F63" w:rsidRPr="0004115F">
        <w:rPr>
          <w:b/>
          <w:bCs/>
        </w:rPr>
        <w:t>.</w:t>
      </w:r>
      <w:r w:rsidR="003B6F63" w:rsidRPr="00FE3281">
        <w:t xml:space="preserve"> Wavelet </w:t>
      </w:r>
      <w:r w:rsidR="003B6F63">
        <w:t>c</w:t>
      </w:r>
      <w:r w:rsidR="003B6F63" w:rsidRPr="00FE3281">
        <w:t>oherence analysis for environmental variables.</w:t>
      </w:r>
      <w:r w:rsidR="003B6F63">
        <w:t xml:space="preserve"> Each plot shows the coherence between the environmental variables and DENV cases. High-significance (0.05) regions are plotted as bounded areas. A cone of influence is included to discard any significant regions outside it. Arrows indicate the relationship of the two series included in each plot.</w:t>
      </w:r>
    </w:p>
    <w:sectPr w:rsidR="003B6F63" w:rsidRPr="003B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A9"/>
    <w:rsid w:val="00005BE0"/>
    <w:rsid w:val="00031A30"/>
    <w:rsid w:val="000A7F58"/>
    <w:rsid w:val="00144CA9"/>
    <w:rsid w:val="00180313"/>
    <w:rsid w:val="003A76DC"/>
    <w:rsid w:val="003B6F63"/>
    <w:rsid w:val="006378DE"/>
    <w:rsid w:val="006B5BE4"/>
    <w:rsid w:val="007E53DF"/>
    <w:rsid w:val="00913EB4"/>
    <w:rsid w:val="00B574B7"/>
    <w:rsid w:val="00D6310C"/>
    <w:rsid w:val="00EA78D7"/>
    <w:rsid w:val="00F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124A"/>
  <w15:chartTrackingRefBased/>
  <w15:docId w15:val="{BF9D1BEF-4382-408E-A4C0-FB863919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CA9"/>
    <w:rPr>
      <w:b/>
      <w:bCs/>
      <w:smallCaps/>
      <w:color w:val="0F4761" w:themeColor="accent1" w:themeShade="BF"/>
      <w:spacing w:val="5"/>
    </w:rPr>
  </w:style>
  <w:style w:type="paragraph" w:customStyle="1" w:styleId="MDPI51figurecaption">
    <w:name w:val="MDPI_5.1_figure_caption"/>
    <w:qFormat/>
    <w:rsid w:val="00144CA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table" w:customStyle="1" w:styleId="TableGrid1">
    <w:name w:val="Table Grid1"/>
    <w:basedOn w:val="TableNormal"/>
    <w:next w:val="TableGrid"/>
    <w:uiPriority w:val="39"/>
    <w:rsid w:val="00144CA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3B6F6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D6310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725C-BA18-40A2-937E-6E113C32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David Otero Acosta</dc:creator>
  <cp:keywords/>
  <dc:description/>
  <cp:lastModifiedBy>Julian David Otero Acosta</cp:lastModifiedBy>
  <cp:revision>4</cp:revision>
  <dcterms:created xsi:type="dcterms:W3CDTF">2024-03-01T20:14:00Z</dcterms:created>
  <dcterms:modified xsi:type="dcterms:W3CDTF">2024-03-08T14:08:00Z</dcterms:modified>
</cp:coreProperties>
</file>