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ECAC33" w14:textId="2057CA1E" w:rsidR="00DD4F5D" w:rsidRPr="006453D9" w:rsidRDefault="00C10B3C" w:rsidP="00DD4F5D">
      <w:pPr>
        <w:pStyle w:val="MDPI11articletype"/>
      </w:pPr>
      <w:r>
        <w:t>Article</w:t>
      </w:r>
    </w:p>
    <w:p w14:paraId="4C96D1FB" w14:textId="3C2CDBB3" w:rsidR="00DD4F5D" w:rsidRPr="003B1AF1" w:rsidRDefault="007E608F" w:rsidP="00DD4F5D">
      <w:pPr>
        <w:pStyle w:val="MDPI12title"/>
      </w:pPr>
      <w:r>
        <w:t xml:space="preserve">Power Consumption </w:t>
      </w:r>
      <w:r w:rsidR="00FD667D">
        <w:t xml:space="preserve">Modeling </w:t>
      </w:r>
      <w:r>
        <w:t xml:space="preserve">of Airconditioning Units </w:t>
      </w:r>
      <w:r w:rsidR="00FD667D">
        <w:t xml:space="preserve">in an Educational Building </w:t>
      </w:r>
      <w:r w:rsidR="007A5AE5">
        <w:t xml:space="preserve">Using Polynomial </w:t>
      </w:r>
      <w:r w:rsidR="00D607C5">
        <w:t>and Neural Network Fitting Techniques</w:t>
      </w:r>
    </w:p>
    <w:p w14:paraId="51025F87" w14:textId="03B5C943" w:rsidR="00433F50" w:rsidRDefault="00794022" w:rsidP="00DD4F5D">
      <w:pPr>
        <w:pStyle w:val="MDPI13authornames"/>
      </w:pPr>
      <w:r>
        <w:t>Stanley Glenn</w:t>
      </w:r>
      <w:r w:rsidR="00DD4F5D" w:rsidRPr="00D945EC">
        <w:t xml:space="preserve"> </w:t>
      </w:r>
      <w:proofErr w:type="spellStart"/>
      <w:r>
        <w:t>Brucal</w:t>
      </w:r>
      <w:proofErr w:type="spellEnd"/>
      <w:r w:rsidR="00DD4F5D" w:rsidRPr="00D945EC">
        <w:t xml:space="preserve"> </w:t>
      </w:r>
      <w:r w:rsidR="00DD4F5D" w:rsidRPr="001F31D1">
        <w:rPr>
          <w:vertAlign w:val="superscript"/>
        </w:rPr>
        <w:t>1</w:t>
      </w:r>
      <w:r w:rsidR="002C3A1B" w:rsidRPr="001F31D1">
        <w:rPr>
          <w:vertAlign w:val="superscript"/>
        </w:rPr>
        <w:t>,</w:t>
      </w:r>
      <w:proofErr w:type="gramStart"/>
      <w:r w:rsidR="000B29B7">
        <w:rPr>
          <w:vertAlign w:val="superscript"/>
        </w:rPr>
        <w:t>2,</w:t>
      </w:r>
      <w:r w:rsidR="002C3A1B" w:rsidRPr="00331633">
        <w:t>*</w:t>
      </w:r>
      <w:proofErr w:type="gramEnd"/>
      <w:r w:rsidR="00DD4F5D" w:rsidRPr="00D945EC">
        <w:t xml:space="preserve">, </w:t>
      </w:r>
      <w:r>
        <w:t>Aaron Don Africa</w:t>
      </w:r>
      <w:r w:rsidR="00721C68">
        <w:t xml:space="preserve"> </w:t>
      </w:r>
      <w:r w:rsidR="00C73C9A">
        <w:rPr>
          <w:vertAlign w:val="superscript"/>
        </w:rPr>
        <w:t>1</w:t>
      </w:r>
      <w:r w:rsidR="00721C68" w:rsidRPr="001F31D1">
        <w:rPr>
          <w:vertAlign w:val="superscript"/>
        </w:rPr>
        <w:t>,</w:t>
      </w:r>
      <w:r w:rsidR="00721C68" w:rsidRPr="00331633">
        <w:t>*</w:t>
      </w:r>
      <w:r w:rsidR="00622ABC">
        <w:t xml:space="preserve">, </w:t>
      </w:r>
      <w:r w:rsidR="001A5323">
        <w:t>Roy</w:t>
      </w:r>
      <w:r w:rsidR="00B87C5C">
        <w:t xml:space="preserve"> Francis </w:t>
      </w:r>
      <w:proofErr w:type="spellStart"/>
      <w:r w:rsidR="00B87C5C">
        <w:t>Navea</w:t>
      </w:r>
      <w:proofErr w:type="spellEnd"/>
      <w:r w:rsidR="00965E16">
        <w:t xml:space="preserve"> </w:t>
      </w:r>
      <w:r w:rsidR="000B29B7">
        <w:rPr>
          <w:vertAlign w:val="superscript"/>
        </w:rPr>
        <w:t>1,3</w:t>
      </w:r>
      <w:r w:rsidR="002C3A1B" w:rsidRPr="001F31D1">
        <w:rPr>
          <w:vertAlign w:val="superscript"/>
        </w:rPr>
        <w:t>,</w:t>
      </w:r>
      <w:r w:rsidR="00EB5613">
        <w:rPr>
          <w:vertAlign w:val="superscript"/>
        </w:rPr>
        <w:t>4,</w:t>
      </w:r>
      <w:r w:rsidR="002C3A1B" w:rsidRPr="00331633">
        <w:t>*</w:t>
      </w:r>
      <w:r w:rsidR="00965E16">
        <w:t xml:space="preserve">, Ana </w:t>
      </w:r>
      <w:proofErr w:type="spellStart"/>
      <w:r w:rsidR="00965E16">
        <w:t>Antoniette</w:t>
      </w:r>
      <w:proofErr w:type="spellEnd"/>
      <w:r w:rsidR="00965E16">
        <w:t xml:space="preserve"> </w:t>
      </w:r>
      <w:proofErr w:type="spellStart"/>
      <w:r w:rsidR="00965E16">
        <w:t>Illahi</w:t>
      </w:r>
      <w:proofErr w:type="spellEnd"/>
      <w:r w:rsidR="00965E16">
        <w:t xml:space="preserve"> </w:t>
      </w:r>
      <w:r w:rsidR="00180B38">
        <w:rPr>
          <w:vertAlign w:val="superscript"/>
        </w:rPr>
        <w:t>1</w:t>
      </w:r>
      <w:r w:rsidR="002C3A1B" w:rsidRPr="001F31D1">
        <w:rPr>
          <w:vertAlign w:val="superscript"/>
        </w:rPr>
        <w:t>,</w:t>
      </w:r>
      <w:r w:rsidR="002C3A1B" w:rsidRPr="00331633">
        <w:t>*</w:t>
      </w:r>
      <w:r w:rsidR="00965E16">
        <w:t>,</w:t>
      </w:r>
      <w:r w:rsidR="001A5323">
        <w:t xml:space="preserve"> </w:t>
      </w:r>
      <w:r w:rsidR="000536BB">
        <w:br/>
      </w:r>
      <w:r w:rsidR="001A5323">
        <w:t xml:space="preserve">Aristotle </w:t>
      </w:r>
      <w:proofErr w:type="spellStart"/>
      <w:r w:rsidR="001A5323">
        <w:t>Ubando</w:t>
      </w:r>
      <w:proofErr w:type="spellEnd"/>
      <w:r w:rsidR="00965E16">
        <w:t xml:space="preserve"> </w:t>
      </w:r>
      <w:r w:rsidR="00EB5613">
        <w:rPr>
          <w:vertAlign w:val="superscript"/>
        </w:rPr>
        <w:t>5</w:t>
      </w:r>
      <w:r w:rsidR="002C3A1B" w:rsidRPr="001F31D1">
        <w:rPr>
          <w:vertAlign w:val="superscript"/>
        </w:rPr>
        <w:t>,</w:t>
      </w:r>
      <w:r w:rsidR="00EB5613">
        <w:rPr>
          <w:vertAlign w:val="superscript"/>
        </w:rPr>
        <w:t>6,7,</w:t>
      </w:r>
      <w:r w:rsidR="002C3A1B" w:rsidRPr="00331633">
        <w:t>*</w:t>
      </w:r>
      <w:r w:rsidR="001A5323">
        <w:t xml:space="preserve">, Marla </w:t>
      </w:r>
      <w:proofErr w:type="spellStart"/>
      <w:r w:rsidR="001A5323">
        <w:t>Maniquiz-Redillas</w:t>
      </w:r>
      <w:proofErr w:type="spellEnd"/>
      <w:r w:rsidR="00965E16">
        <w:t xml:space="preserve"> </w:t>
      </w:r>
      <w:r w:rsidR="00EB5613">
        <w:rPr>
          <w:vertAlign w:val="superscript"/>
        </w:rPr>
        <w:t>8</w:t>
      </w:r>
      <w:r w:rsidR="002C3A1B" w:rsidRPr="001F31D1">
        <w:rPr>
          <w:vertAlign w:val="superscript"/>
        </w:rPr>
        <w:t>,</w:t>
      </w:r>
      <w:r w:rsidR="002C3A1B" w:rsidRPr="00331633">
        <w:t>*</w:t>
      </w:r>
      <w:r w:rsidR="001A5323">
        <w:t xml:space="preserve">, </w:t>
      </w:r>
      <w:r w:rsidR="0039206A">
        <w:t>Reggie Gustilo</w:t>
      </w:r>
      <w:r w:rsidR="003922C3">
        <w:t xml:space="preserve"> </w:t>
      </w:r>
      <w:r w:rsidR="00840287">
        <w:rPr>
          <w:vertAlign w:val="superscript"/>
        </w:rPr>
        <w:t>1</w:t>
      </w:r>
      <w:r w:rsidR="002C3A1B" w:rsidRPr="001F31D1">
        <w:rPr>
          <w:vertAlign w:val="superscript"/>
        </w:rPr>
        <w:t>,</w:t>
      </w:r>
      <w:r w:rsidR="002C3A1B" w:rsidRPr="00331633">
        <w:t>*</w:t>
      </w:r>
      <w:r w:rsidR="0039206A">
        <w:t xml:space="preserve">, </w:t>
      </w:r>
      <w:proofErr w:type="spellStart"/>
      <w:r w:rsidR="00965E16">
        <w:t>Pocholo</w:t>
      </w:r>
      <w:proofErr w:type="spellEnd"/>
      <w:r w:rsidR="00965E16">
        <w:t xml:space="preserve"> James </w:t>
      </w:r>
      <w:proofErr w:type="spellStart"/>
      <w:r w:rsidR="00965E16">
        <w:t>Loresco</w:t>
      </w:r>
      <w:proofErr w:type="spellEnd"/>
      <w:r w:rsidR="00DD4F5D" w:rsidRPr="00D945EC">
        <w:t xml:space="preserve"> </w:t>
      </w:r>
      <w:r w:rsidR="00840287">
        <w:rPr>
          <w:vertAlign w:val="superscript"/>
        </w:rPr>
        <w:t>9</w:t>
      </w:r>
      <w:r w:rsidR="00702903" w:rsidRPr="001F31D1">
        <w:rPr>
          <w:vertAlign w:val="superscript"/>
        </w:rPr>
        <w:t>,</w:t>
      </w:r>
      <w:r w:rsidR="00702903" w:rsidRPr="00331633">
        <w:t>*</w:t>
      </w:r>
      <w:r w:rsidR="669A47CC" w:rsidRPr="57F2BC41">
        <w:rPr>
          <w:vertAlign w:val="superscript"/>
        </w:rPr>
        <w:t xml:space="preserve"> </w:t>
      </w:r>
    </w:p>
    <w:tbl>
      <w:tblPr>
        <w:tblpPr w:leftFromText="198" w:rightFromText="198" w:vertAnchor="page" w:horzAnchor="margin" w:tblpY="11276"/>
        <w:tblW w:w="2410" w:type="dxa"/>
        <w:tblLayout w:type="fixed"/>
        <w:tblCellMar>
          <w:left w:w="0" w:type="dxa"/>
          <w:right w:w="0" w:type="dxa"/>
        </w:tblCellMar>
        <w:tblLook w:val="04A0" w:firstRow="1" w:lastRow="0" w:firstColumn="1" w:lastColumn="0" w:noHBand="0" w:noVBand="1"/>
      </w:tblPr>
      <w:tblGrid>
        <w:gridCol w:w="2410"/>
      </w:tblGrid>
      <w:tr w:rsidR="00433F50" w:rsidRPr="00E61F03" w14:paraId="2B9411C1" w14:textId="77777777">
        <w:tc>
          <w:tcPr>
            <w:tcW w:w="2410" w:type="dxa"/>
            <w:shd w:val="clear" w:color="auto" w:fill="auto"/>
          </w:tcPr>
          <w:p w14:paraId="6317AA9D" w14:textId="77777777" w:rsidR="00433F50" w:rsidRPr="00865F48" w:rsidRDefault="00433F50">
            <w:pPr>
              <w:pStyle w:val="MDPI61Citation"/>
              <w:spacing w:after="120" w:line="240" w:lineRule="exact"/>
            </w:pPr>
            <w:r w:rsidRPr="00DC3671">
              <w:rPr>
                <w:b/>
              </w:rPr>
              <w:t>Citation:</w:t>
            </w:r>
            <w:r>
              <w:rPr>
                <w:b/>
              </w:rPr>
              <w:t xml:space="preserve"> </w:t>
            </w:r>
            <w:r>
              <w:t>To be added by editorial staff during production.</w:t>
            </w:r>
          </w:p>
          <w:p w14:paraId="1DF92A72" w14:textId="77777777" w:rsidR="00433F50" w:rsidRDefault="00433F50">
            <w:pPr>
              <w:pStyle w:val="MDPI15academiceditor"/>
              <w:spacing w:after="120"/>
            </w:pPr>
            <w:r>
              <w:t xml:space="preserve">Academic Editor: </w:t>
            </w:r>
            <w:proofErr w:type="spellStart"/>
            <w:r>
              <w:t>Firstname</w:t>
            </w:r>
            <w:proofErr w:type="spellEnd"/>
            <w:r>
              <w:t xml:space="preserve"> </w:t>
            </w:r>
            <w:proofErr w:type="spellStart"/>
            <w:r>
              <w:t>Lastname</w:t>
            </w:r>
            <w:proofErr w:type="spellEnd"/>
          </w:p>
          <w:p w14:paraId="7ADE0FFB" w14:textId="77777777" w:rsidR="00433F50" w:rsidRPr="00D8474A" w:rsidRDefault="00433F50">
            <w:pPr>
              <w:pStyle w:val="MDPI14history"/>
              <w:spacing w:before="120"/>
            </w:pPr>
            <w:r w:rsidRPr="00D8474A">
              <w:t>Received: date</w:t>
            </w:r>
          </w:p>
          <w:p w14:paraId="341815B5" w14:textId="77777777" w:rsidR="00433F50" w:rsidRDefault="00433F50">
            <w:pPr>
              <w:pStyle w:val="MDPI14history"/>
            </w:pPr>
            <w:r>
              <w:t>Revised: date</w:t>
            </w:r>
          </w:p>
          <w:p w14:paraId="1B058E9B" w14:textId="77777777" w:rsidR="00433F50" w:rsidRPr="00D8474A" w:rsidRDefault="00433F50">
            <w:pPr>
              <w:pStyle w:val="MDPI14history"/>
            </w:pPr>
            <w:r>
              <w:t>Accepted: date</w:t>
            </w:r>
          </w:p>
          <w:p w14:paraId="3F3C9F95" w14:textId="77777777" w:rsidR="00433F50" w:rsidRPr="00D8474A" w:rsidRDefault="00433F50">
            <w:pPr>
              <w:pStyle w:val="MDPI14history"/>
              <w:spacing w:after="120"/>
            </w:pPr>
            <w:r w:rsidRPr="00D8474A">
              <w:t>Published: date</w:t>
            </w:r>
          </w:p>
          <w:p w14:paraId="13C2F7B7" w14:textId="77777777" w:rsidR="00433F50" w:rsidRPr="00E61F03" w:rsidRDefault="00433F50">
            <w:pPr>
              <w:adjustRightInd w:val="0"/>
              <w:snapToGrid w:val="0"/>
              <w:spacing w:before="120" w:line="240" w:lineRule="atLeast"/>
              <w:ind w:right="113"/>
              <w:rPr>
                <w:rFonts w:eastAsia="DengXian"/>
                <w:bCs/>
                <w:sz w:val="14"/>
                <w:szCs w:val="14"/>
                <w:lang w:bidi="en-US"/>
              </w:rPr>
            </w:pPr>
            <w:r w:rsidRPr="00E61F03">
              <w:rPr>
                <w:rFonts w:eastAsia="DengXian"/>
                <w:noProof/>
              </w:rPr>
              <w:drawing>
                <wp:inline distT="0" distB="0" distL="0" distR="0" wp14:anchorId="143ED3C0" wp14:editId="494E3176">
                  <wp:extent cx="692785" cy="249555"/>
                  <wp:effectExtent l="0" t="0" r="0"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92785" cy="249555"/>
                          </a:xfrm>
                          <a:prstGeom prst="rect">
                            <a:avLst/>
                          </a:prstGeom>
                          <a:noFill/>
                          <a:ln>
                            <a:noFill/>
                          </a:ln>
                        </pic:spPr>
                      </pic:pic>
                    </a:graphicData>
                  </a:graphic>
                </wp:inline>
              </w:drawing>
            </w:r>
          </w:p>
          <w:p w14:paraId="39A5E021" w14:textId="77777777" w:rsidR="00433F50" w:rsidRPr="00E61F03" w:rsidRDefault="00433F50" w:rsidP="00911159">
            <w:pPr>
              <w:pStyle w:val="MDPI72Copyright"/>
              <w:rPr>
                <w:rFonts w:eastAsia="DengXian"/>
                <w:lang w:bidi="en-US"/>
              </w:rPr>
            </w:pPr>
            <w:r w:rsidRPr="00E61F03">
              <w:rPr>
                <w:rFonts w:eastAsia="DengXian"/>
                <w:b/>
                <w:lang w:bidi="en-US"/>
              </w:rPr>
              <w:t>Copyright:</w:t>
            </w:r>
            <w:r w:rsidRPr="00E61F03">
              <w:rPr>
                <w:rFonts w:eastAsia="DengXian"/>
                <w:lang w:bidi="en-US"/>
              </w:rPr>
              <w:t xml:space="preserve"> </w:t>
            </w:r>
            <w:r w:rsidR="00221B8E">
              <w:rPr>
                <w:rFonts w:eastAsia="DengXian"/>
                <w:lang w:bidi="en-US"/>
              </w:rPr>
              <w:t>© 2024 by the</w:t>
            </w:r>
            <w:r>
              <w:rPr>
                <w:rFonts w:eastAsia="DengXian"/>
                <w:lang w:bidi="en-US"/>
              </w:rPr>
              <w:t xml:space="preserve"> authors. Submitted for possible open access publication under the terms and conditions of the Creative Commons </w:t>
            </w:r>
            <w:r w:rsidRPr="00E61F03">
              <w:rPr>
                <w:rFonts w:eastAsia="DengXian"/>
                <w:lang w:bidi="en-US"/>
              </w:rPr>
              <w:t>Attribution (CC BY) license (</w:t>
            </w:r>
            <w:r>
              <w:rPr>
                <w:rFonts w:eastAsia="DengXian"/>
                <w:lang w:bidi="en-US"/>
              </w:rPr>
              <w:t>https://</w:t>
            </w:r>
            <w:r w:rsidRPr="00E61F03">
              <w:rPr>
                <w:rFonts w:eastAsia="DengXian"/>
                <w:lang w:bidi="en-US"/>
              </w:rPr>
              <w:t>creativecommons.org/licenses/by/4.0/).</w:t>
            </w:r>
          </w:p>
        </w:tc>
      </w:tr>
    </w:tbl>
    <w:p w14:paraId="628535D3" w14:textId="60DCCA10" w:rsidR="00FF7622" w:rsidRDefault="00B759E7" w:rsidP="007264B6">
      <w:pPr>
        <w:pStyle w:val="MDPI16affiliation"/>
      </w:pPr>
      <w:r w:rsidRPr="00B759E7">
        <w:rPr>
          <w:vertAlign w:val="superscript"/>
        </w:rPr>
        <w:t>1</w:t>
      </w:r>
      <w:r w:rsidR="00CA1BC5">
        <w:rPr>
          <w:vertAlign w:val="superscript"/>
        </w:rPr>
        <w:t xml:space="preserve"> </w:t>
      </w:r>
      <w:r w:rsidR="00DD4F5D" w:rsidRPr="00D945EC">
        <w:tab/>
      </w:r>
      <w:r w:rsidR="007075AF" w:rsidRPr="005162C3">
        <w:t xml:space="preserve">Department of </w:t>
      </w:r>
      <w:r w:rsidR="007075AF">
        <w:t>Electronics and Computer Engineering</w:t>
      </w:r>
      <w:r w:rsidR="00C73C9A">
        <w:t>,</w:t>
      </w:r>
      <w:r w:rsidR="007075AF" w:rsidRPr="005162C3">
        <w:t xml:space="preserve"> </w:t>
      </w:r>
      <w:r w:rsidR="00C73C9A" w:rsidRPr="005162C3">
        <w:t xml:space="preserve">De La Salle University, 2401 Taft Avenue, 0922 Manila, </w:t>
      </w:r>
      <w:proofErr w:type="gramStart"/>
      <w:r w:rsidR="00C73C9A" w:rsidRPr="005162C3">
        <w:t>Philippines</w:t>
      </w:r>
      <w:r w:rsidR="00C73C9A" w:rsidRPr="00D945EC">
        <w:t>;</w:t>
      </w:r>
      <w:proofErr w:type="gramEnd"/>
      <w:r w:rsidR="00C73C9A" w:rsidRPr="00675813">
        <w:t xml:space="preserve"> </w:t>
      </w:r>
    </w:p>
    <w:p w14:paraId="6E8DA64C" w14:textId="1EF61FFE" w:rsidR="00FF2095" w:rsidRDefault="00FF2095" w:rsidP="00FF2095">
      <w:pPr>
        <w:pStyle w:val="MDPI16affiliation"/>
      </w:pPr>
      <w:r>
        <w:rPr>
          <w:vertAlign w:val="superscript"/>
        </w:rPr>
        <w:t>2</w:t>
      </w:r>
      <w:r>
        <w:tab/>
      </w:r>
      <w:r w:rsidR="00F71EA3">
        <w:t>School of Engineering</w:t>
      </w:r>
      <w:r>
        <w:t xml:space="preserve">, </w:t>
      </w:r>
      <w:r w:rsidR="00F71EA3">
        <w:t>Asia Pacific College</w:t>
      </w:r>
      <w:r w:rsidRPr="00901B02">
        <w:t xml:space="preserve">, </w:t>
      </w:r>
      <w:r w:rsidR="00F71EA3">
        <w:t xml:space="preserve">3 </w:t>
      </w:r>
      <w:proofErr w:type="spellStart"/>
      <w:r w:rsidR="00F71EA3">
        <w:t>Humabon</w:t>
      </w:r>
      <w:proofErr w:type="spellEnd"/>
      <w:r w:rsidR="00F71EA3">
        <w:t xml:space="preserve"> Place, Mag</w:t>
      </w:r>
      <w:r w:rsidR="00CA1BC5">
        <w:t xml:space="preserve">allanes, 1232 Makati, </w:t>
      </w:r>
      <w:proofErr w:type="gramStart"/>
      <w:r w:rsidRPr="00901B02">
        <w:t>Philippines</w:t>
      </w:r>
      <w:r>
        <w:t>;</w:t>
      </w:r>
      <w:proofErr w:type="gramEnd"/>
    </w:p>
    <w:p w14:paraId="405CCBF4" w14:textId="55C193A6" w:rsidR="00F15314" w:rsidRDefault="00DC6DC9" w:rsidP="005434C2">
      <w:pPr>
        <w:pStyle w:val="MDPI16affiliation"/>
      </w:pPr>
      <w:r>
        <w:rPr>
          <w:vertAlign w:val="superscript"/>
        </w:rPr>
        <w:t>3</w:t>
      </w:r>
      <w:r w:rsidR="00FF7622">
        <w:tab/>
      </w:r>
      <w:r w:rsidR="00F64172" w:rsidRPr="00F64172">
        <w:t>School of Innovation and Sustainability</w:t>
      </w:r>
      <w:r w:rsidR="00F15314">
        <w:t xml:space="preserve">, </w:t>
      </w:r>
      <w:r w:rsidR="00F15314" w:rsidRPr="00901B02">
        <w:t xml:space="preserve">De La Salle University, Laguna Campus, LTI Spine Road, Laguna Blvd, </w:t>
      </w:r>
      <w:proofErr w:type="spellStart"/>
      <w:r w:rsidR="00F15314" w:rsidRPr="00901B02">
        <w:t>Biñan</w:t>
      </w:r>
      <w:proofErr w:type="spellEnd"/>
      <w:r w:rsidR="00F15314" w:rsidRPr="00901B02">
        <w:t xml:space="preserve">, Laguna 4024, </w:t>
      </w:r>
      <w:proofErr w:type="gramStart"/>
      <w:r w:rsidR="00F15314" w:rsidRPr="00901B02">
        <w:t>Philippines</w:t>
      </w:r>
      <w:r w:rsidR="00830C06">
        <w:t>;</w:t>
      </w:r>
      <w:proofErr w:type="gramEnd"/>
    </w:p>
    <w:p w14:paraId="3EF26386" w14:textId="5FA9704C" w:rsidR="005434C2" w:rsidRPr="00D945EC" w:rsidRDefault="00DC6DC9" w:rsidP="00E100A5">
      <w:pPr>
        <w:pStyle w:val="MDPI16affiliation"/>
      </w:pPr>
      <w:r>
        <w:rPr>
          <w:vertAlign w:val="superscript"/>
        </w:rPr>
        <w:t>4</w:t>
      </w:r>
      <w:r w:rsidR="00E100A5">
        <w:rPr>
          <w:vertAlign w:val="superscript"/>
        </w:rPr>
        <w:t xml:space="preserve">   </w:t>
      </w:r>
      <w:r w:rsidR="00F15314" w:rsidRPr="00F15314">
        <w:t>DLSU - Institute of Biomedical Engineering and Health Technologies (DLSU-IBEHT)</w:t>
      </w:r>
      <w:r w:rsidR="00F15314">
        <w:t xml:space="preserve">, </w:t>
      </w:r>
      <w:r w:rsidR="00F15314" w:rsidRPr="005162C3">
        <w:t xml:space="preserve">De La Salle University, 2401 Taft Avenue, 0922 Manila, </w:t>
      </w:r>
      <w:proofErr w:type="gramStart"/>
      <w:r w:rsidR="00F15314" w:rsidRPr="005162C3">
        <w:t>Philippines</w:t>
      </w:r>
      <w:r w:rsidR="00F15314" w:rsidRPr="00D945EC">
        <w:t>;</w:t>
      </w:r>
      <w:proofErr w:type="gramEnd"/>
      <w:r w:rsidR="00F15314">
        <w:t xml:space="preserve"> </w:t>
      </w:r>
    </w:p>
    <w:p w14:paraId="56D1EB75" w14:textId="422A1B6B" w:rsidR="00675813" w:rsidRDefault="00DC6DC9" w:rsidP="005434C2">
      <w:pPr>
        <w:pStyle w:val="MDPI16affiliation"/>
      </w:pPr>
      <w:r>
        <w:rPr>
          <w:vertAlign w:val="superscript"/>
        </w:rPr>
        <w:t>5</w:t>
      </w:r>
      <w:r w:rsidR="005434C2" w:rsidRPr="00D945EC">
        <w:tab/>
      </w:r>
      <w:r w:rsidR="005162C3" w:rsidRPr="005162C3">
        <w:t xml:space="preserve">Department of Mechanical </w:t>
      </w:r>
      <w:proofErr w:type="gramStart"/>
      <w:r w:rsidR="005162C3" w:rsidRPr="005162C3">
        <w:t>Engineering ,</w:t>
      </w:r>
      <w:proofErr w:type="gramEnd"/>
      <w:r w:rsidR="005162C3" w:rsidRPr="005162C3">
        <w:t xml:space="preserve"> De La Salle University, 2401 Taft Avenue, 0922 Manila, Philippines</w:t>
      </w:r>
      <w:r w:rsidR="005434C2" w:rsidRPr="00D945EC">
        <w:t>;</w:t>
      </w:r>
      <w:r w:rsidR="00675813" w:rsidRPr="00675813">
        <w:t xml:space="preserve"> </w:t>
      </w:r>
    </w:p>
    <w:p w14:paraId="45F78CF5" w14:textId="28B04D33" w:rsidR="00675813" w:rsidRDefault="00DC6DC9" w:rsidP="00E100A5">
      <w:pPr>
        <w:pStyle w:val="MDPI16affiliation"/>
      </w:pPr>
      <w:r>
        <w:rPr>
          <w:vertAlign w:val="superscript"/>
        </w:rPr>
        <w:t xml:space="preserve">6 </w:t>
      </w:r>
      <w:r w:rsidR="00E100A5">
        <w:rPr>
          <w:vertAlign w:val="superscript"/>
        </w:rPr>
        <w:t xml:space="preserve">   </w:t>
      </w:r>
      <w:r w:rsidR="00CE6737" w:rsidRPr="00CE6737">
        <w:t xml:space="preserve">Center for Engineering and Sustainable Development Research, De La Salle University, 2401 Taft Avenue, 0922 Manila, </w:t>
      </w:r>
      <w:proofErr w:type="gramStart"/>
      <w:r w:rsidR="00CE6737" w:rsidRPr="00CE6737">
        <w:t>Philippines</w:t>
      </w:r>
      <w:r w:rsidR="00675813">
        <w:t>;</w:t>
      </w:r>
      <w:proofErr w:type="gramEnd"/>
    </w:p>
    <w:p w14:paraId="09F7B489" w14:textId="28DC0F27" w:rsidR="006F3961" w:rsidRDefault="00DC6DC9" w:rsidP="00E100A5">
      <w:pPr>
        <w:pStyle w:val="MDPI16affiliation"/>
      </w:pPr>
      <w:r>
        <w:rPr>
          <w:vertAlign w:val="superscript"/>
        </w:rPr>
        <w:t>7</w:t>
      </w:r>
      <w:r w:rsidR="00E100A5">
        <w:rPr>
          <w:vertAlign w:val="superscript"/>
        </w:rPr>
        <w:t xml:space="preserve">   </w:t>
      </w:r>
      <w:r w:rsidR="00901B02" w:rsidRPr="00901B02">
        <w:t xml:space="preserve">Thermomechanical Laboratory, De La Salle University, Laguna Campus, LTI Spine Road, Laguna Blvd, </w:t>
      </w:r>
      <w:proofErr w:type="spellStart"/>
      <w:r w:rsidR="00901B02" w:rsidRPr="00901B02">
        <w:t>Biñan</w:t>
      </w:r>
      <w:proofErr w:type="spellEnd"/>
      <w:r w:rsidR="00901B02" w:rsidRPr="00901B02">
        <w:t xml:space="preserve">, Laguna 4024, </w:t>
      </w:r>
      <w:proofErr w:type="gramStart"/>
      <w:r w:rsidR="00901B02" w:rsidRPr="00901B02">
        <w:t>Philippines</w:t>
      </w:r>
      <w:r w:rsidR="006F3961">
        <w:t>;</w:t>
      </w:r>
      <w:proofErr w:type="gramEnd"/>
      <w:r w:rsidR="006F3961">
        <w:t xml:space="preserve"> </w:t>
      </w:r>
    </w:p>
    <w:p w14:paraId="511E4114" w14:textId="79593EC3" w:rsidR="005203C8" w:rsidRDefault="00DC6DC9" w:rsidP="005203C8">
      <w:pPr>
        <w:pStyle w:val="MDPI16affiliation"/>
      </w:pPr>
      <w:r>
        <w:rPr>
          <w:vertAlign w:val="superscript"/>
        </w:rPr>
        <w:t>8</w:t>
      </w:r>
      <w:r w:rsidR="005434C2" w:rsidRPr="00D945EC">
        <w:tab/>
      </w:r>
      <w:r w:rsidR="005203C8" w:rsidRPr="005162C3">
        <w:t xml:space="preserve">Department of </w:t>
      </w:r>
      <w:r w:rsidR="005203C8">
        <w:t>Civil Engineering,</w:t>
      </w:r>
      <w:r w:rsidR="005203C8" w:rsidRPr="005162C3">
        <w:t xml:space="preserve"> De La Salle University, 2401 Taft Avenue, 0922 Manila, </w:t>
      </w:r>
      <w:proofErr w:type="gramStart"/>
      <w:r w:rsidR="005203C8" w:rsidRPr="005162C3">
        <w:t>Philippines</w:t>
      </w:r>
      <w:r w:rsidR="005203C8" w:rsidRPr="00D945EC">
        <w:t>;</w:t>
      </w:r>
      <w:proofErr w:type="gramEnd"/>
      <w:r w:rsidR="005203C8" w:rsidRPr="005203C8">
        <w:t xml:space="preserve"> </w:t>
      </w:r>
    </w:p>
    <w:p w14:paraId="60FF89F7" w14:textId="0B4AF51E" w:rsidR="005434C2" w:rsidRPr="00D945EC" w:rsidRDefault="00DC6DC9" w:rsidP="00965E16">
      <w:pPr>
        <w:pStyle w:val="MDPI16affiliation"/>
      </w:pPr>
      <w:r>
        <w:rPr>
          <w:vertAlign w:val="superscript"/>
        </w:rPr>
        <w:t>9</w:t>
      </w:r>
      <w:r w:rsidR="00965E16" w:rsidRPr="00D945EC">
        <w:tab/>
      </w:r>
      <w:r w:rsidR="000B2173">
        <w:t xml:space="preserve">Electronics Engineering </w:t>
      </w:r>
      <w:r w:rsidR="007B3B9B">
        <w:t xml:space="preserve">Department, </w:t>
      </w:r>
      <w:r w:rsidR="00A65638">
        <w:t>FEU Institute of Technology</w:t>
      </w:r>
      <w:r w:rsidR="007B3B9B">
        <w:t xml:space="preserve">, FIT Bldg., P. Paredes St., Sampaloc, </w:t>
      </w:r>
      <w:r w:rsidR="00E9764D">
        <w:t xml:space="preserve">1015 </w:t>
      </w:r>
      <w:r w:rsidR="007B3B9B">
        <w:t xml:space="preserve">Manila, </w:t>
      </w:r>
      <w:proofErr w:type="gramStart"/>
      <w:r w:rsidR="007B3B9B">
        <w:t>Philippines</w:t>
      </w:r>
      <w:r w:rsidR="00965E16" w:rsidRPr="00D945EC">
        <w:t>;</w:t>
      </w:r>
      <w:proofErr w:type="gramEnd"/>
      <w:r w:rsidR="00965E16">
        <w:t xml:space="preserve"> </w:t>
      </w:r>
    </w:p>
    <w:p w14:paraId="143F57CE" w14:textId="7E33C0C6" w:rsidR="00DD4F5D" w:rsidRDefault="00DD4F5D" w:rsidP="00027B4E">
      <w:pPr>
        <w:pStyle w:val="MDPI16affiliation"/>
      </w:pPr>
      <w:r w:rsidRPr="7900C977">
        <w:rPr>
          <w:b/>
          <w:bCs/>
        </w:rPr>
        <w:t>*</w:t>
      </w:r>
      <w:r>
        <w:tab/>
        <w:t xml:space="preserve">Correspondence: </w:t>
      </w:r>
      <w:r w:rsidR="00EB3FDC">
        <w:t xml:space="preserve">stanley_brucal@dlsu.edu.ph (S.G.B); aaron.africa@dlsu.edu.ph (A.D.A); </w:t>
      </w:r>
      <w:r w:rsidR="00EB3FDC" w:rsidRPr="00EB3FDC">
        <w:t xml:space="preserve">roy.navea@dlsu.edu.ph </w:t>
      </w:r>
      <w:r w:rsidR="00EB3FDC">
        <w:t>(R.F.N.)</w:t>
      </w:r>
      <w:r w:rsidR="000C4641">
        <w:t xml:space="preserve">; </w:t>
      </w:r>
      <w:r w:rsidR="00EB3FDC">
        <w:t xml:space="preserve">ana.illahi@dlsu.edu.ph (A.A.I.); </w:t>
      </w:r>
      <w:r w:rsidR="003A2C1A" w:rsidRPr="004E4489">
        <w:t>aristotle.ubando@dlsu.edu.ph</w:t>
      </w:r>
      <w:r w:rsidR="003A2C1A">
        <w:t xml:space="preserve"> (A.U.);</w:t>
      </w:r>
      <w:r w:rsidR="004E4489">
        <w:t xml:space="preserve"> </w:t>
      </w:r>
      <w:r w:rsidR="004E4489" w:rsidRPr="00027B4E">
        <w:t>marla.redillas@dlsu.edu.ph</w:t>
      </w:r>
      <w:r w:rsidR="004E4489">
        <w:t xml:space="preserve"> (M.</w:t>
      </w:r>
      <w:r w:rsidR="00027B4E">
        <w:t xml:space="preserve">M.R.); </w:t>
      </w:r>
      <w:r w:rsidR="00EB3FDC" w:rsidRPr="003922C3">
        <w:t>reggie.gustilo@dlsu.edu.ph</w:t>
      </w:r>
      <w:r w:rsidR="00EB3FDC">
        <w:t xml:space="preserve"> (R.G.)</w:t>
      </w:r>
      <w:r w:rsidR="009E6853">
        <w:t>.</w:t>
      </w:r>
      <w:r>
        <w:t>;</w:t>
      </w:r>
      <w:r w:rsidR="00761A13">
        <w:t xml:space="preserve"> </w:t>
      </w:r>
      <w:r w:rsidR="00761A13" w:rsidRPr="00761A13">
        <w:t>pmloresco@feutech.edu.ph</w:t>
      </w:r>
      <w:r w:rsidR="00761A13">
        <w:t xml:space="preserve"> (P.J.L.);</w:t>
      </w:r>
      <w:r>
        <w:t xml:space="preserve"> Tel.:</w:t>
      </w:r>
      <w:r w:rsidR="00BC587B">
        <w:t xml:space="preserve"> 63</w:t>
      </w:r>
      <w:r w:rsidR="00354F15">
        <w:t>25244611</w:t>
      </w:r>
    </w:p>
    <w:p w14:paraId="00C1C778" w14:textId="2C8A56C4" w:rsidR="00E9693B" w:rsidRPr="00425199" w:rsidRDefault="00DD4F5D" w:rsidP="00DE1F0D">
      <w:pPr>
        <w:pStyle w:val="MDPI17abstract"/>
        <w:rPr>
          <w:color w:val="000000" w:themeColor="text1"/>
          <w:szCs w:val="18"/>
        </w:rPr>
      </w:pPr>
      <w:r w:rsidRPr="00550626">
        <w:rPr>
          <w:b/>
          <w:szCs w:val="18"/>
        </w:rPr>
        <w:t xml:space="preserve">Abstract: </w:t>
      </w:r>
      <w:r w:rsidR="00DF77C2" w:rsidRPr="00DF77C2">
        <w:rPr>
          <w:color w:val="000000" w:themeColor="text1"/>
          <w:szCs w:val="18"/>
        </w:rPr>
        <w:t xml:space="preserve">There are several challenges on how to attain energy efficiency while maintaining balance among factors affecting energy consumption such as power rating </w:t>
      </w:r>
      <w:r w:rsidR="00A57B71">
        <w:rPr>
          <w:color w:val="000000" w:themeColor="text1"/>
          <w:szCs w:val="18"/>
        </w:rPr>
        <w:t xml:space="preserve">and temperature setpoints </w:t>
      </w:r>
      <w:r w:rsidR="00DF77C2" w:rsidRPr="00DF77C2">
        <w:rPr>
          <w:color w:val="000000" w:themeColor="text1"/>
          <w:szCs w:val="18"/>
        </w:rPr>
        <w:t xml:space="preserve">of cooling units, </w:t>
      </w:r>
      <w:r w:rsidR="00AF0C2B">
        <w:rPr>
          <w:color w:val="000000" w:themeColor="text1"/>
          <w:szCs w:val="18"/>
        </w:rPr>
        <w:t>room</w:t>
      </w:r>
      <w:r w:rsidR="003F25AF">
        <w:rPr>
          <w:color w:val="000000" w:themeColor="text1"/>
          <w:szCs w:val="18"/>
        </w:rPr>
        <w:t xml:space="preserve"> temperature</w:t>
      </w:r>
      <w:r w:rsidR="00AF0C2B">
        <w:rPr>
          <w:color w:val="000000" w:themeColor="text1"/>
          <w:szCs w:val="18"/>
        </w:rPr>
        <w:t xml:space="preserve"> and</w:t>
      </w:r>
      <w:r w:rsidR="003F25AF">
        <w:rPr>
          <w:color w:val="000000" w:themeColor="text1"/>
          <w:szCs w:val="18"/>
        </w:rPr>
        <w:t xml:space="preserve"> humidity, and</w:t>
      </w:r>
      <w:r w:rsidR="00AF0C2B">
        <w:rPr>
          <w:color w:val="000000" w:themeColor="text1"/>
          <w:szCs w:val="18"/>
        </w:rPr>
        <w:t xml:space="preserve"> indoor</w:t>
      </w:r>
      <w:r w:rsidR="006339A0">
        <w:rPr>
          <w:color w:val="000000" w:themeColor="text1"/>
          <w:szCs w:val="18"/>
        </w:rPr>
        <w:t xml:space="preserve"> air quality</w:t>
      </w:r>
      <w:r w:rsidR="008F3E59">
        <w:rPr>
          <w:color w:val="000000" w:themeColor="text1"/>
          <w:szCs w:val="18"/>
        </w:rPr>
        <w:t xml:space="preserve"> (IAQ)</w:t>
      </w:r>
      <w:r w:rsidR="00DF77C2" w:rsidRPr="00DF77C2">
        <w:rPr>
          <w:color w:val="000000" w:themeColor="text1"/>
          <w:szCs w:val="18"/>
        </w:rPr>
        <w:t xml:space="preserve">. A real-time energy </w:t>
      </w:r>
      <w:r w:rsidR="00911AFE">
        <w:rPr>
          <w:color w:val="000000" w:themeColor="text1"/>
          <w:szCs w:val="18"/>
        </w:rPr>
        <w:t xml:space="preserve">and </w:t>
      </w:r>
      <w:r w:rsidR="00911AFE" w:rsidRPr="00DF77C2">
        <w:rPr>
          <w:color w:val="000000" w:themeColor="text1"/>
          <w:szCs w:val="18"/>
        </w:rPr>
        <w:t xml:space="preserve">IAQ </w:t>
      </w:r>
      <w:r w:rsidR="00DF77C2" w:rsidRPr="00DF77C2">
        <w:rPr>
          <w:color w:val="000000" w:themeColor="text1"/>
          <w:szCs w:val="18"/>
        </w:rPr>
        <w:t xml:space="preserve">monitoring system </w:t>
      </w:r>
      <w:r w:rsidR="00911AFE">
        <w:rPr>
          <w:color w:val="000000" w:themeColor="text1"/>
          <w:szCs w:val="18"/>
        </w:rPr>
        <w:t xml:space="preserve">were installed in an educational building </w:t>
      </w:r>
      <w:r w:rsidR="00332B83">
        <w:rPr>
          <w:color w:val="000000" w:themeColor="text1"/>
          <w:szCs w:val="18"/>
        </w:rPr>
        <w:t>to</w:t>
      </w:r>
      <w:r w:rsidR="00DF77C2" w:rsidRPr="00DF77C2">
        <w:rPr>
          <w:color w:val="000000" w:themeColor="text1"/>
          <w:szCs w:val="18"/>
        </w:rPr>
        <w:t xml:space="preserve"> profil</w:t>
      </w:r>
      <w:r w:rsidR="00332B83">
        <w:rPr>
          <w:color w:val="000000" w:themeColor="text1"/>
          <w:szCs w:val="18"/>
        </w:rPr>
        <w:t>e</w:t>
      </w:r>
      <w:r w:rsidR="00DF77C2" w:rsidRPr="00DF77C2">
        <w:rPr>
          <w:color w:val="000000" w:themeColor="text1"/>
          <w:szCs w:val="18"/>
        </w:rPr>
        <w:t xml:space="preserve"> </w:t>
      </w:r>
      <w:r w:rsidR="00376AAA">
        <w:rPr>
          <w:color w:val="000000" w:themeColor="text1"/>
          <w:szCs w:val="18"/>
        </w:rPr>
        <w:t xml:space="preserve">the </w:t>
      </w:r>
      <w:r w:rsidR="00376AAA" w:rsidRPr="00DF77C2">
        <w:rPr>
          <w:color w:val="000000" w:themeColor="text1"/>
          <w:szCs w:val="18"/>
        </w:rPr>
        <w:t xml:space="preserve">operational </w:t>
      </w:r>
      <w:r w:rsidR="00944D37">
        <w:rPr>
          <w:color w:val="000000" w:themeColor="text1"/>
          <w:szCs w:val="18"/>
        </w:rPr>
        <w:t>power consumption</w:t>
      </w:r>
      <w:r w:rsidR="00376AAA">
        <w:rPr>
          <w:color w:val="000000" w:themeColor="text1"/>
          <w:szCs w:val="18"/>
        </w:rPr>
        <w:t xml:space="preserve"> of inverter-based air condition unit (ACU)</w:t>
      </w:r>
      <w:r w:rsidR="000355FE">
        <w:rPr>
          <w:color w:val="000000" w:themeColor="text1"/>
          <w:szCs w:val="18"/>
        </w:rPr>
        <w:t xml:space="preserve"> installed in each room.</w:t>
      </w:r>
      <w:r w:rsidR="00CC0371" w:rsidRPr="00DF77C2">
        <w:rPr>
          <w:color w:val="000000" w:themeColor="text1"/>
          <w:szCs w:val="18"/>
        </w:rPr>
        <w:t xml:space="preserve"> </w:t>
      </w:r>
      <w:r w:rsidR="00496F53">
        <w:rPr>
          <w:color w:val="000000" w:themeColor="text1"/>
          <w:szCs w:val="18"/>
        </w:rPr>
        <w:t>P</w:t>
      </w:r>
      <w:r w:rsidR="00CE2162">
        <w:rPr>
          <w:color w:val="000000" w:themeColor="text1"/>
          <w:szCs w:val="18"/>
        </w:rPr>
        <w:t xml:space="preserve">olynomial </w:t>
      </w:r>
      <w:r w:rsidR="00AC1C06">
        <w:rPr>
          <w:color w:val="000000" w:themeColor="text1"/>
          <w:szCs w:val="18"/>
        </w:rPr>
        <w:t xml:space="preserve">curve and neural fitting </w:t>
      </w:r>
      <w:r w:rsidR="008B10B8">
        <w:rPr>
          <w:color w:val="000000" w:themeColor="text1"/>
          <w:szCs w:val="18"/>
        </w:rPr>
        <w:t xml:space="preserve">regression analysis </w:t>
      </w:r>
      <w:r w:rsidR="00496F53">
        <w:rPr>
          <w:color w:val="000000" w:themeColor="text1"/>
          <w:szCs w:val="18"/>
        </w:rPr>
        <w:t xml:space="preserve">were applied </w:t>
      </w:r>
      <w:r w:rsidR="00095DCC">
        <w:rPr>
          <w:color w:val="000000" w:themeColor="text1"/>
          <w:szCs w:val="18"/>
        </w:rPr>
        <w:t>to</w:t>
      </w:r>
      <w:r w:rsidR="008C5080">
        <w:rPr>
          <w:color w:val="000000" w:themeColor="text1"/>
          <w:szCs w:val="18"/>
        </w:rPr>
        <w:t xml:space="preserve"> </w:t>
      </w:r>
      <w:r w:rsidR="001B2282">
        <w:rPr>
          <w:color w:val="000000" w:themeColor="text1"/>
          <w:szCs w:val="18"/>
        </w:rPr>
        <w:t xml:space="preserve">the </w:t>
      </w:r>
      <w:r w:rsidR="00254F88">
        <w:rPr>
          <w:color w:val="000000" w:themeColor="text1"/>
          <w:szCs w:val="18"/>
        </w:rPr>
        <w:t xml:space="preserve">real-time </w:t>
      </w:r>
      <w:r w:rsidR="003334E4">
        <w:rPr>
          <w:color w:val="000000" w:themeColor="text1"/>
          <w:szCs w:val="18"/>
        </w:rPr>
        <w:t>power consumption</w:t>
      </w:r>
      <w:r w:rsidR="00254F88">
        <w:rPr>
          <w:color w:val="000000" w:themeColor="text1"/>
          <w:szCs w:val="18"/>
        </w:rPr>
        <w:t>, indoor temperature and humidity, and</w:t>
      </w:r>
      <w:r w:rsidR="00637580">
        <w:rPr>
          <w:color w:val="000000" w:themeColor="text1"/>
          <w:szCs w:val="18"/>
        </w:rPr>
        <w:t xml:space="preserve"> carbon dioxide</w:t>
      </w:r>
      <w:r w:rsidR="00254F88">
        <w:rPr>
          <w:color w:val="000000" w:themeColor="text1"/>
          <w:szCs w:val="18"/>
        </w:rPr>
        <w:t xml:space="preserve"> </w:t>
      </w:r>
      <w:r w:rsidR="005647C7">
        <w:rPr>
          <w:color w:val="000000" w:themeColor="text1"/>
          <w:szCs w:val="18"/>
        </w:rPr>
        <w:t>(</w:t>
      </w:r>
      <w:r w:rsidR="005647C7">
        <w:rPr>
          <w:color w:val="000000" w:themeColor="text1"/>
        </w:rPr>
        <w:t>CO</w:t>
      </w:r>
      <w:r w:rsidR="005647C7" w:rsidRPr="005647C7">
        <w:rPr>
          <w:color w:val="000000" w:themeColor="text1"/>
          <w:vertAlign w:val="subscript"/>
        </w:rPr>
        <w:t>2</w:t>
      </w:r>
      <w:r w:rsidR="005647C7">
        <w:rPr>
          <w:color w:val="000000" w:themeColor="text1"/>
        </w:rPr>
        <w:t>)</w:t>
      </w:r>
      <w:r w:rsidR="005647C7">
        <w:rPr>
          <w:color w:val="000000" w:themeColor="text1"/>
          <w:vertAlign w:val="subscript"/>
        </w:rPr>
        <w:t xml:space="preserve"> </w:t>
      </w:r>
      <w:r w:rsidR="00254F88">
        <w:rPr>
          <w:color w:val="000000" w:themeColor="text1"/>
          <w:szCs w:val="18"/>
        </w:rPr>
        <w:t>level</w:t>
      </w:r>
      <w:r w:rsidR="00095DCC">
        <w:rPr>
          <w:color w:val="000000" w:themeColor="text1"/>
          <w:szCs w:val="18"/>
        </w:rPr>
        <w:t xml:space="preserve"> data. The derived model</w:t>
      </w:r>
      <w:r w:rsidR="00086718">
        <w:rPr>
          <w:color w:val="000000" w:themeColor="text1"/>
          <w:szCs w:val="18"/>
        </w:rPr>
        <w:t xml:space="preserve">s </w:t>
      </w:r>
      <w:r w:rsidR="00330A1E">
        <w:rPr>
          <w:color w:val="000000" w:themeColor="text1"/>
          <w:szCs w:val="18"/>
        </w:rPr>
        <w:t>were able to</w:t>
      </w:r>
      <w:r w:rsidR="00086718">
        <w:rPr>
          <w:color w:val="000000" w:themeColor="text1"/>
          <w:szCs w:val="18"/>
        </w:rPr>
        <w:t xml:space="preserve"> </w:t>
      </w:r>
      <w:r w:rsidR="00330A1E">
        <w:rPr>
          <w:color w:val="000000" w:themeColor="text1"/>
          <w:szCs w:val="18"/>
        </w:rPr>
        <w:t>provide</w:t>
      </w:r>
      <w:r w:rsidR="00086718">
        <w:rPr>
          <w:color w:val="000000" w:themeColor="text1"/>
          <w:szCs w:val="18"/>
        </w:rPr>
        <w:t xml:space="preserve"> the stabilizing indoor thermal and air condition</w:t>
      </w:r>
      <w:r w:rsidR="00330A1E">
        <w:rPr>
          <w:color w:val="000000" w:themeColor="text1"/>
          <w:szCs w:val="18"/>
        </w:rPr>
        <w:t>s</w:t>
      </w:r>
      <w:r w:rsidR="00086718">
        <w:rPr>
          <w:color w:val="000000" w:themeColor="text1"/>
          <w:szCs w:val="18"/>
        </w:rPr>
        <w:t xml:space="preserve"> of the room to reach </w:t>
      </w:r>
      <w:r w:rsidR="00A840D6">
        <w:rPr>
          <w:color w:val="000000" w:themeColor="text1"/>
          <w:szCs w:val="18"/>
        </w:rPr>
        <w:t xml:space="preserve">steady state </w:t>
      </w:r>
      <w:r w:rsidR="006F5A6C">
        <w:rPr>
          <w:color w:val="000000" w:themeColor="text1"/>
          <w:szCs w:val="18"/>
        </w:rPr>
        <w:t>ACU</w:t>
      </w:r>
      <w:r w:rsidR="00AB3486">
        <w:rPr>
          <w:color w:val="000000" w:themeColor="text1"/>
          <w:szCs w:val="18"/>
        </w:rPr>
        <w:t xml:space="preserve"> </w:t>
      </w:r>
      <w:r w:rsidR="00A840D6">
        <w:rPr>
          <w:color w:val="000000" w:themeColor="text1"/>
          <w:szCs w:val="18"/>
        </w:rPr>
        <w:t>power consumption</w:t>
      </w:r>
      <w:r w:rsidR="00AB3486">
        <w:rPr>
          <w:color w:val="000000" w:themeColor="text1"/>
          <w:szCs w:val="18"/>
        </w:rPr>
        <w:t>.</w:t>
      </w:r>
      <w:r w:rsidR="008078F1">
        <w:rPr>
          <w:color w:val="000000" w:themeColor="text1"/>
          <w:szCs w:val="18"/>
        </w:rPr>
        <w:t xml:space="preserve"> </w:t>
      </w:r>
      <w:r w:rsidR="00B276C9">
        <w:rPr>
          <w:color w:val="000000" w:themeColor="text1"/>
          <w:szCs w:val="18"/>
        </w:rPr>
        <w:t xml:space="preserve"> </w:t>
      </w:r>
      <w:r w:rsidR="00B276C9" w:rsidRPr="00DF77C2">
        <w:rPr>
          <w:color w:val="000000" w:themeColor="text1"/>
          <w:szCs w:val="18"/>
        </w:rPr>
        <w:t>The</w:t>
      </w:r>
      <w:r w:rsidR="00330A1E">
        <w:rPr>
          <w:color w:val="000000" w:themeColor="text1"/>
          <w:szCs w:val="18"/>
        </w:rPr>
        <w:t>se</w:t>
      </w:r>
      <w:r w:rsidR="00B276C9">
        <w:rPr>
          <w:color w:val="000000" w:themeColor="text1"/>
          <w:szCs w:val="18"/>
        </w:rPr>
        <w:t xml:space="preserve"> collected data</w:t>
      </w:r>
      <w:r w:rsidR="00D2216E">
        <w:rPr>
          <w:color w:val="000000" w:themeColor="text1"/>
          <w:szCs w:val="18"/>
        </w:rPr>
        <w:t xml:space="preserve"> and calculated parameters</w:t>
      </w:r>
      <w:r w:rsidR="00B276C9">
        <w:rPr>
          <w:color w:val="000000" w:themeColor="text1"/>
          <w:szCs w:val="18"/>
        </w:rPr>
        <w:t xml:space="preserve"> </w:t>
      </w:r>
      <w:r w:rsidR="00CF4D6E">
        <w:rPr>
          <w:color w:val="000000" w:themeColor="text1"/>
          <w:szCs w:val="18"/>
        </w:rPr>
        <w:t>can be used to</w:t>
      </w:r>
      <w:r w:rsidR="00B276C9">
        <w:rPr>
          <w:color w:val="000000" w:themeColor="text1"/>
          <w:szCs w:val="18"/>
        </w:rPr>
        <w:t xml:space="preserve"> define rules in</w:t>
      </w:r>
      <w:r w:rsidR="00B276C9" w:rsidRPr="00DF77C2">
        <w:rPr>
          <w:color w:val="000000" w:themeColor="text1"/>
          <w:szCs w:val="18"/>
        </w:rPr>
        <w:t xml:space="preserve"> automat</w:t>
      </w:r>
      <w:r w:rsidR="00B276C9">
        <w:rPr>
          <w:color w:val="000000" w:themeColor="text1"/>
          <w:szCs w:val="18"/>
        </w:rPr>
        <w:t>ing</w:t>
      </w:r>
      <w:r w:rsidR="00B276C9" w:rsidRPr="00DF77C2">
        <w:rPr>
          <w:color w:val="000000" w:themeColor="text1"/>
          <w:szCs w:val="18"/>
        </w:rPr>
        <w:t xml:space="preserve"> control of cooling appliances for an efficient energy utilization. </w:t>
      </w:r>
      <w:r w:rsidR="00425199" w:rsidRPr="00425199">
        <w:rPr>
          <w:color w:val="000000" w:themeColor="text1"/>
          <w:szCs w:val="18"/>
        </w:rPr>
        <w:t xml:space="preserve">The regression approaches, using </w:t>
      </w:r>
      <w:r w:rsidR="0085343D">
        <w:rPr>
          <w:color w:val="000000" w:themeColor="text1"/>
          <w:szCs w:val="18"/>
        </w:rPr>
        <w:t xml:space="preserve">real-time </w:t>
      </w:r>
      <w:r w:rsidR="00425199" w:rsidRPr="00425199">
        <w:rPr>
          <w:color w:val="000000" w:themeColor="text1"/>
          <w:szCs w:val="18"/>
        </w:rPr>
        <w:t>data, have determined the influence of indoor heat conditions and carbon dioxide levels on ACU power consumption. These parameters were utilized to establish consistent values for temperature, humidity, and carbon dioxide levels under stable settings of inverter-based air conditioning units.</w:t>
      </w:r>
    </w:p>
    <w:p w14:paraId="38CD44D4" w14:textId="49101464" w:rsidR="00DD4F5D" w:rsidRPr="00550626" w:rsidRDefault="00DD4F5D" w:rsidP="00DD4F5D">
      <w:pPr>
        <w:pStyle w:val="MDPI18keywords"/>
        <w:rPr>
          <w:szCs w:val="18"/>
        </w:rPr>
      </w:pPr>
      <w:r w:rsidRPr="00550626">
        <w:rPr>
          <w:b/>
          <w:szCs w:val="18"/>
        </w:rPr>
        <w:t xml:space="preserve">Keywords: </w:t>
      </w:r>
      <w:r w:rsidR="007A5787">
        <w:rPr>
          <w:szCs w:val="18"/>
        </w:rPr>
        <w:t>power modeling</w:t>
      </w:r>
      <w:r w:rsidRPr="00D945EC">
        <w:rPr>
          <w:szCs w:val="18"/>
        </w:rPr>
        <w:t xml:space="preserve">; </w:t>
      </w:r>
      <w:r w:rsidR="007A5787">
        <w:rPr>
          <w:szCs w:val="18"/>
        </w:rPr>
        <w:t>curve fitting</w:t>
      </w:r>
      <w:r w:rsidRPr="00D945EC">
        <w:rPr>
          <w:szCs w:val="18"/>
        </w:rPr>
        <w:t xml:space="preserve">; </w:t>
      </w:r>
      <w:r w:rsidR="00295B1C">
        <w:rPr>
          <w:szCs w:val="18"/>
        </w:rPr>
        <w:t xml:space="preserve">neural network fitting; </w:t>
      </w:r>
      <w:r w:rsidR="00EF165E">
        <w:rPr>
          <w:szCs w:val="18"/>
        </w:rPr>
        <w:t>regression analysis</w:t>
      </w:r>
      <w:r w:rsidR="00397057">
        <w:rPr>
          <w:szCs w:val="18"/>
        </w:rPr>
        <w:t>;</w:t>
      </w:r>
      <w:r w:rsidR="00434182">
        <w:rPr>
          <w:szCs w:val="18"/>
        </w:rPr>
        <w:t xml:space="preserve"> </w:t>
      </w:r>
      <w:r w:rsidR="00EC30C8">
        <w:rPr>
          <w:szCs w:val="18"/>
        </w:rPr>
        <w:t xml:space="preserve">power </w:t>
      </w:r>
      <w:r w:rsidR="00434182">
        <w:rPr>
          <w:szCs w:val="18"/>
        </w:rPr>
        <w:t>stabilization</w:t>
      </w:r>
      <w:r w:rsidR="00111087">
        <w:rPr>
          <w:szCs w:val="18"/>
        </w:rPr>
        <w:t>; thermal condition; indoor air quality</w:t>
      </w:r>
    </w:p>
    <w:p w14:paraId="35D65A33" w14:textId="77777777" w:rsidR="00DD4F5D" w:rsidRPr="00550626" w:rsidRDefault="00DD4F5D" w:rsidP="00DD4F5D">
      <w:pPr>
        <w:pStyle w:val="MDPI19line"/>
      </w:pPr>
    </w:p>
    <w:p w14:paraId="2A196286" w14:textId="77777777" w:rsidR="00DD4F5D" w:rsidRDefault="00DD4F5D" w:rsidP="00DD4F5D">
      <w:pPr>
        <w:pStyle w:val="MDPI21heading1"/>
        <w:rPr>
          <w:lang w:eastAsia="zh-CN"/>
        </w:rPr>
      </w:pPr>
      <w:r w:rsidRPr="007F2582">
        <w:rPr>
          <w:lang w:eastAsia="zh-CN"/>
        </w:rPr>
        <w:t>1. Introduction</w:t>
      </w:r>
    </w:p>
    <w:p w14:paraId="295CD818" w14:textId="483450E1" w:rsidR="008A1486" w:rsidRPr="00D92363" w:rsidRDefault="008A1486" w:rsidP="008A1486">
      <w:pPr>
        <w:pStyle w:val="MDPI31text"/>
        <w:rPr>
          <w:color w:val="FF0000"/>
        </w:rPr>
      </w:pPr>
      <w:r w:rsidRPr="008A1486">
        <w:rPr>
          <w:color w:val="000000" w:themeColor="text1"/>
        </w:rPr>
        <w:t xml:space="preserve">In the absence of building energy audits, property or building management depends solely on electric bills and electrical drawings to approximate power use. Electricity audits </w:t>
      </w:r>
      <w:r w:rsidRPr="008A1486">
        <w:rPr>
          <w:color w:val="000000" w:themeColor="text1"/>
        </w:rPr>
        <w:lastRenderedPageBreak/>
        <w:t>fail to include usage patterns and factors that lead to abnormal increases in consumption. Comprehending energy consumption patterns based on visual, analytical, and behavioral observations is challenging due to the large amount of data provided by a real-time energy monitoring system, the diverse range of equipment and appliances installed, and the unique preferences of building occupants. This limitation hinders effective decision making</w:t>
      </w:r>
      <w:r w:rsidR="00926D66">
        <w:rPr>
          <w:color w:val="000000" w:themeColor="text1"/>
        </w:rPr>
        <w:t>. Th</w:t>
      </w:r>
      <w:r w:rsidR="0057455C">
        <w:rPr>
          <w:color w:val="000000" w:themeColor="text1"/>
        </w:rPr>
        <w:t>e popularity of artificial intelligence</w:t>
      </w:r>
      <w:r w:rsidR="00CB57ED">
        <w:rPr>
          <w:color w:val="000000" w:themeColor="text1"/>
        </w:rPr>
        <w:t xml:space="preserve"> (AI</w:t>
      </w:r>
      <w:r w:rsidR="00EA7765">
        <w:rPr>
          <w:color w:val="000000" w:themeColor="text1"/>
        </w:rPr>
        <w:t xml:space="preserve">) </w:t>
      </w:r>
      <w:r w:rsidR="009D6790">
        <w:rPr>
          <w:color w:val="000000" w:themeColor="text1"/>
        </w:rPr>
        <w:t xml:space="preserve">and adaptation of machine learning </w:t>
      </w:r>
      <w:r w:rsidR="00687E70">
        <w:rPr>
          <w:color w:val="000000" w:themeColor="text1"/>
        </w:rPr>
        <w:t xml:space="preserve">(ML) </w:t>
      </w:r>
      <w:r w:rsidR="0057455C">
        <w:rPr>
          <w:color w:val="000000" w:themeColor="text1"/>
        </w:rPr>
        <w:t>methods</w:t>
      </w:r>
      <w:r w:rsidR="00512F28">
        <w:rPr>
          <w:color w:val="000000" w:themeColor="text1"/>
        </w:rPr>
        <w:t xml:space="preserve"> </w:t>
      </w:r>
      <w:r w:rsidR="00687E70">
        <w:rPr>
          <w:color w:val="000000" w:themeColor="text1"/>
        </w:rPr>
        <w:t xml:space="preserve">has </w:t>
      </w:r>
      <w:r w:rsidR="009E357B">
        <w:rPr>
          <w:color w:val="000000" w:themeColor="text1"/>
        </w:rPr>
        <w:t xml:space="preserve">offered </w:t>
      </w:r>
      <w:r w:rsidR="001D5595">
        <w:rPr>
          <w:color w:val="000000" w:themeColor="text1"/>
        </w:rPr>
        <w:t>tools in</w:t>
      </w:r>
      <w:r w:rsidR="00687E70">
        <w:rPr>
          <w:color w:val="000000" w:themeColor="text1"/>
        </w:rPr>
        <w:t xml:space="preserve"> energy</w:t>
      </w:r>
      <w:r w:rsidR="001D5595">
        <w:rPr>
          <w:color w:val="000000" w:themeColor="text1"/>
        </w:rPr>
        <w:t xml:space="preserve"> savings</w:t>
      </w:r>
      <w:r w:rsidR="00E21497">
        <w:rPr>
          <w:color w:val="000000" w:themeColor="text1"/>
        </w:rPr>
        <w:t>, but no one stands out from these options</w:t>
      </w:r>
      <w:r w:rsidR="00926D66">
        <w:rPr>
          <w:color w:val="000000" w:themeColor="text1"/>
        </w:rPr>
        <w:t xml:space="preserve"> </w:t>
      </w:r>
      <w:r w:rsidR="00A7167C">
        <w:rPr>
          <w:color w:val="000000" w:themeColor="text1"/>
        </w:rPr>
        <w:fldChar w:fldCharType="begin"/>
      </w:r>
      <w:r w:rsidR="00A7167C">
        <w:rPr>
          <w:color w:val="000000" w:themeColor="text1"/>
        </w:rPr>
        <w:instrText xml:space="preserve"> ADDIN ZOTERO_ITEM CSL_CITATION {"citationID":"faxvVt97","properties":{"formattedCitation":"[1]","plainCitation":"[1]","noteIndex":0},"citationItems":[{"id":418,"uris":["http://zotero.org/users/13681048/items/8NQMFVKD"],"itemData":{"id":418,"type":"article-journal","abstract":"Ever growing population and progressive municipal business demands for constructing new buildings are known as the foremost contributor to greenhouse gasses. Therefore, improvement of energy efficiency of the building sector has become an essential target to reduce the amount of gas emission as well as fossil fuel consumption. One most effective approach to reducing CO2 emission and energy consumption with regards to new buildings is to consider energy efficiency at a very early design stage. On the other hand,efficient energy management and smart refurbishments can enhance energy performance of the existing stock. All these solutions entail accurate energy prediction for optimal decision making. In recent years, artificial intelligence (AI) in general and machine learning (ML) techniques in specific terms have been proposed for forecasting of building energy consumption and performance. This paper provides a substantial review on the four main ML approaches including artificial neural network, support vector machine, Gaussian-based regressions and clustering, which have commonly been applied in forecasting and improving building energy performance.","container-title":"Visualization in Engineering","DOI":"10.1186/s40327-018-0064-7","ISSN":"2213-7459","issue":"1","journalAbbreviation":"Visualization in Engineering","page":"5","source":"BioMed Central","title":"Machine learning for estimation of building energy consumption and performance: a review","title-short":"Machine learning for estimation of building energy consumption and performance","volume":"6","author":[{"family":"Seyedzadeh","given":"Saleh"},{"family":"Rahimian","given":"Farzad Pour"},{"family":"Glesk","given":"Ivan"},{"family":"Roper","given":"Marc"}],"issued":{"date-parts":[["2018",10,2]]}}}],"schema":"https://github.com/citation-style-language/schema/raw/master/csl-citation.json"} </w:instrText>
      </w:r>
      <w:r w:rsidR="00A7167C">
        <w:rPr>
          <w:color w:val="000000" w:themeColor="text1"/>
        </w:rPr>
        <w:fldChar w:fldCharType="separate"/>
      </w:r>
      <w:r w:rsidR="00A7167C">
        <w:rPr>
          <w:noProof/>
          <w:color w:val="000000" w:themeColor="text1"/>
        </w:rPr>
        <w:t>[1]</w:t>
      </w:r>
      <w:r w:rsidR="00A7167C">
        <w:rPr>
          <w:color w:val="000000" w:themeColor="text1"/>
        </w:rPr>
        <w:fldChar w:fldCharType="end"/>
      </w:r>
      <w:r w:rsidR="00E21497">
        <w:rPr>
          <w:color w:val="000000" w:themeColor="text1"/>
        </w:rPr>
        <w:t>.</w:t>
      </w:r>
      <w:r w:rsidR="00B607C5">
        <w:rPr>
          <w:color w:val="000000" w:themeColor="text1"/>
        </w:rPr>
        <w:t xml:space="preserve"> Conver</w:t>
      </w:r>
      <w:r w:rsidR="004A5636">
        <w:rPr>
          <w:color w:val="000000" w:themeColor="text1"/>
        </w:rPr>
        <w:t xml:space="preserve">sely, input parameters </w:t>
      </w:r>
      <w:proofErr w:type="gramStart"/>
      <w:r w:rsidR="004A5636">
        <w:rPr>
          <w:color w:val="000000" w:themeColor="text1"/>
        </w:rPr>
        <w:t>varies</w:t>
      </w:r>
      <w:proofErr w:type="gramEnd"/>
      <w:r w:rsidR="004A5636">
        <w:rPr>
          <w:color w:val="000000" w:themeColor="text1"/>
        </w:rPr>
        <w:t xml:space="preserve"> depending on the </w:t>
      </w:r>
      <w:r w:rsidR="00BE1711">
        <w:rPr>
          <w:color w:val="000000" w:themeColor="text1"/>
        </w:rPr>
        <w:t xml:space="preserve">purpose of prediction and </w:t>
      </w:r>
      <w:proofErr w:type="spellStart"/>
      <w:r w:rsidR="00BE1711">
        <w:rPr>
          <w:color w:val="000000" w:themeColor="text1"/>
        </w:rPr>
        <w:t>forecastiong</w:t>
      </w:r>
      <w:proofErr w:type="spellEnd"/>
      <w:r w:rsidR="00BE1711">
        <w:rPr>
          <w:color w:val="000000" w:themeColor="text1"/>
        </w:rPr>
        <w:t xml:space="preserve"> – primarily driven to save on operational cost.</w:t>
      </w:r>
      <w:r w:rsidRPr="008A1486">
        <w:rPr>
          <w:color w:val="000000" w:themeColor="text1"/>
        </w:rPr>
        <w:t xml:space="preserve"> </w:t>
      </w:r>
      <w:r w:rsidR="00786D4E">
        <w:rPr>
          <w:color w:val="000000" w:themeColor="text1"/>
        </w:rPr>
        <w:t>P</w:t>
      </w:r>
      <w:r w:rsidR="003E551B">
        <w:rPr>
          <w:color w:val="000000" w:themeColor="text1"/>
        </w:rPr>
        <w:t xml:space="preserve">rophet algorithm </w:t>
      </w:r>
      <w:r w:rsidR="00767D7B">
        <w:fldChar w:fldCharType="begin"/>
      </w:r>
      <w:r w:rsidR="00A7167C">
        <w:instrText xml:space="preserve"> ADDIN ZOTERO_ITEM CSL_CITATION {"citationID":"Vr22yvFx","properties":{"formattedCitation":"[2]","plainCitation":"[2]","noteIndex":0},"citationItems":[{"id":66,"uris":["http://zotero.org/users/13681048/items/BEF5CYBC"],"itemData":{"id":66,"type":"paper-conference","abstract":"There are many influencing factors of building electricity consumption, such as weather, season, time, economy and electricity price, which have the characteristics of certain linear and periodic changes, and have strong random changes. In this paper a novel prophet algorithm was proposed to do trend analysis of building power consumption. By comparing the prediction results of Prophet algorithm and ARIMA algorithm, prophet algorithm has better prediction results in terms of prediction and can add the date and time that affect the building. The simulation results show that the comprehensive power consumption of shopping malls is affected by holidays to some extent, but also by high temperature weather to some extent. The comprehensive power consumption of office buildings is relatively less affected by holidays and high temperature weather to some extent.","container-title":"2020 Asia Energy and Electrical Engineering Symposium (AEEES)","DOI":"10.1109/AEEES48850.2020.9121548","event-place":"Chengdu, China","event-title":"2020 Asia Energy and Electrical Engineering Symposium (AEEES)","ISBN":"978-1-72816-782-4","language":"en","page":"1002-1006","publisher":"IEEE","publisher-place":"Chengdu, China","source":"DOI.org (Crossref)","title":"Trend Analysis of Building Power Consumption Based on Prophet Algorithm","URL":"https://ieeexplore.ieee.org/document/9121548/","author":[{"family":"Gong","given":"Feixiang"},{"family":"Han","given":"Ninghui"},{"family":"Li","given":"Dezhi"},{"family":"Tian","given":"Shiming"}],"accessed":{"date-parts":[["2024",2,22]]},"issued":{"date-parts":[["2020",5]]}}}],"schema":"https://github.com/citation-style-language/schema/raw/master/csl-citation.json"} </w:instrText>
      </w:r>
      <w:r w:rsidR="00767D7B">
        <w:fldChar w:fldCharType="separate"/>
      </w:r>
      <w:r w:rsidR="00A7167C">
        <w:t>[2]</w:t>
      </w:r>
      <w:r w:rsidR="00767D7B">
        <w:fldChar w:fldCharType="end"/>
      </w:r>
      <w:r w:rsidR="003E551B">
        <w:rPr>
          <w:color w:val="000000" w:themeColor="text1"/>
        </w:rPr>
        <w:t xml:space="preserve"> for shopping malls and office buildings</w:t>
      </w:r>
      <w:r w:rsidR="009C558E">
        <w:rPr>
          <w:color w:val="000000" w:themeColor="text1"/>
        </w:rPr>
        <w:t xml:space="preserve"> was applied on the effects of holidays and weather in</w:t>
      </w:r>
      <w:r w:rsidR="003E551B">
        <w:rPr>
          <w:color w:val="000000" w:themeColor="text1"/>
        </w:rPr>
        <w:t xml:space="preserve"> </w:t>
      </w:r>
      <w:r w:rsidR="009C558E">
        <w:rPr>
          <w:color w:val="000000" w:themeColor="text1"/>
        </w:rPr>
        <w:t>p</w:t>
      </w:r>
      <w:r w:rsidR="00786D4E">
        <w:rPr>
          <w:color w:val="000000" w:themeColor="text1"/>
        </w:rPr>
        <w:t>ower consumption trend analysis and prediction</w:t>
      </w:r>
      <w:r w:rsidR="003E551B">
        <w:rPr>
          <w:color w:val="000000" w:themeColor="text1"/>
        </w:rPr>
        <w:t>.</w:t>
      </w:r>
      <w:r w:rsidR="005E53A8">
        <w:rPr>
          <w:color w:val="000000" w:themeColor="text1"/>
        </w:rPr>
        <w:t xml:space="preserve"> </w:t>
      </w:r>
      <w:r w:rsidR="003610E4">
        <w:rPr>
          <w:color w:val="000000" w:themeColor="text1"/>
        </w:rPr>
        <w:t xml:space="preserve">Related researches include </w:t>
      </w:r>
      <w:r w:rsidR="00767D7B">
        <w:fldChar w:fldCharType="begin"/>
      </w:r>
      <w:r w:rsidR="00A7167C">
        <w:instrText xml:space="preserve"> ADDIN ZOTERO_ITEM CSL_CITATION {"citationID":"PrtqYcu7","properties":{"formattedCitation":"[3]","plainCitation":"[3]","noteIndex":0},"citationItems":[{"id":390,"uris":["http://zotero.org/users/13681048/items/NNN82QHR"],"itemData":{"id":390,"type":"article-journal","abstract":"Currently, building energy consumption accounts for a considerable proportion of the world's energy consumption, e.g., 35 % in China, which has become a key concern with its rising proportion. Accurate prediction of building hourly energy consumption is key to realizing green, low-carbon, and energy-saving modern buildings. However, most of the current prediction methods are only based on dynamic data from IoT (Internet of Things) systems that may contain a large number of outliers, resulting in lower accuracy and reliability. To solve this problem, with the help of rich data provided by BIM (Building Information Modelling), we propose an approach named dynamic and static hybrid data analysis (D&amp;S-HDA) that can provide a solution with better prediction accuracy. Technically, the novelties of D&amp;S-HDA are fourfold. Firstly, we establish the D&amp;S-HDA framework to obtain more accurate prediction outcomes, where the electricity consumption prediction results based on dynamic data analysis are weighted with the estimation values based on static data analysis. Secondly, in the dimension of dynamic data analysis, we design an improved temporal convolutional networks (TCNs) for parallelly outputting dynamic data samples to make the prediction results more intuitive. Thirdly, in the dimension of static data analysis, a novel concept of building hourly power consumption coefficient(BHPCC) is proposed, and its calculation method using static data analysis is designed to estimate hourly electricity consumption. Finally, in order to validate the effectiveness of our D&amp;S-HDA approach, we design multidimensional evaluation metrics and conduct multi-group comparative experiments under different conditions, including climate models, electricity usage behaviour and time scales. The experimental results reveal that the proposed D&amp;S-HDA approach outperforms current mainstream works in terms of root mean square error (RMSE), mean absolute error (MAE) and mean absolute percentage error (MAPE), with values of 1.5248, 1.0693 and 2.9505, respectively, which shows the efficiency and feasibility of the proposed D&amp;S-HDA.","container-title":"Energy","DOI":"10.1016/j.energy.2023.130149","ISSN":"0360-5442","journalAbbreviation":"Energy","page":"130149","source":"ScienceDirect","title":"Predicting the electric power consumption of office buildings based on dynamic and static hybrid data analysis","volume":"290","author":[{"family":"Zou","given":"Rongwei"},{"family":"Yang","given":"Qiliang"},{"family":"Xing","given":"Jianchun"},{"family":"Zhou","given":"Qizhen"},{"family":"Xie","given":"Liqiang"},{"family":"Chen","given":"Wenjie"}],"issued":{"date-parts":[["2024",3,1]]}}}],"schema":"https://github.com/citation-style-language/schema/raw/master/csl-citation.json"} </w:instrText>
      </w:r>
      <w:r w:rsidR="00767D7B">
        <w:fldChar w:fldCharType="separate"/>
      </w:r>
      <w:r w:rsidR="00A7167C">
        <w:t>[3]</w:t>
      </w:r>
      <w:r w:rsidR="00767D7B">
        <w:fldChar w:fldCharType="end"/>
      </w:r>
      <w:r w:rsidR="003610E4">
        <w:rPr>
          <w:color w:val="000000" w:themeColor="text1"/>
        </w:rPr>
        <w:t xml:space="preserve"> using dynamic and static and hybrid data analysis in buildings,</w:t>
      </w:r>
      <w:r w:rsidR="003E551B">
        <w:rPr>
          <w:color w:val="000000" w:themeColor="text1"/>
        </w:rPr>
        <w:t xml:space="preserve"> Related research such as </w:t>
      </w:r>
      <w:r w:rsidR="00767D7B">
        <w:fldChar w:fldCharType="begin"/>
      </w:r>
      <w:r w:rsidR="00A7167C">
        <w:instrText xml:space="preserve"> ADDIN ZOTERO_ITEM CSL_CITATION {"citationID":"AVgyVkkG","properties":{"formattedCitation":"[4]","plainCitation":"[4]","noteIndex":0},"citationItems":[{"id":395,"uris":["http://zotero.org/users/13681048/items/DW2JHL9A"],"itemData":{"id":395,"type":"paper-conference","container-title":"2022 4th International Conference on Machine Learning, Big Data and Business Intelligence (MLBDBI)","DOI":"10.1109/MLBDBI58171.2022.00013","event-place":"Shanghai, China","event-title":"2022 4th International Conference on Machine Learning, Big Data and Business Intelligence (MLBDBI)","ISBN":"9798350333947","page":"39-42","publisher":"IEEE","publisher-place":"Shanghai, China","source":"DOI.org (Crossref)","title":"Analysis of User’s Power Consumption Behavior Based on K-means","URL":"https://ieeexplore.ieee.org/document/10125562/","author":[{"family":"Wang","given":"Xinmeng"},{"family":"Li","given":"Haiqi"},{"family":"Yi","given":"Xiaoguang"},{"family":"Kong","given":"Jing"},{"family":"Wang","given":"Xinling"}],"accessed":{"date-parts":[["2024",3,10]]},"issued":{"date-parts":[["2022",10]]}}}],"schema":"https://github.com/citation-style-language/schema/raw/master/csl-citation.json"} </w:instrText>
      </w:r>
      <w:r w:rsidR="00767D7B">
        <w:fldChar w:fldCharType="separate"/>
      </w:r>
      <w:r w:rsidR="00A7167C">
        <w:t>[4]</w:t>
      </w:r>
      <w:r w:rsidR="00767D7B">
        <w:fldChar w:fldCharType="end"/>
      </w:r>
      <w:r w:rsidR="003E551B">
        <w:rPr>
          <w:color w:val="000000" w:themeColor="text1"/>
        </w:rPr>
        <w:t xml:space="preserve"> using K-means</w:t>
      </w:r>
      <w:r w:rsidR="00365E9F">
        <w:rPr>
          <w:color w:val="000000" w:themeColor="text1"/>
        </w:rPr>
        <w:t xml:space="preserve"> and </w:t>
      </w:r>
      <w:r w:rsidR="00767D7B">
        <w:fldChar w:fldCharType="begin"/>
      </w:r>
      <w:r w:rsidR="00A7167C">
        <w:instrText xml:space="preserve"> ADDIN ZOTERO_ITEM CSL_CITATION {"citationID":"zQCs48jH","properties":{"formattedCitation":"[5]","plainCitation":"[5]","noteIndex":0},"citationItems":[{"id":394,"uris":["http://zotero.org/users/13681048/items/WQD2T4AX"],"itemData":{"id":394,"type":"paper-conference","abstract":"In order to adapt to the development trend of the interaction between supply and demand of power grid, the user's electricity behavior is fully excavated based on the actual data collected by smart meters, and the research on the method of resident electricity portrait is carried out. In this paper, a method based on KS-RF algorithm is proposed to analyze the user's power consumption characteristics and behavior portrait. Firstly, the cluster analysis method of user electricity consumption behavior is proposed based on k-shape clustering algorithm. Secondly, the random forest algorithm is used to extract four key feature tags from several common users' electricity consumption features, and a multi-dimensional electricity consumption feature tag system is established. Thirdly, the cluster partition results and feature tags are applied to make comprehensive portrait and visual presentation of users' electricity consumption. Finally, the actual electricity consumption data of residents is taken as an example to analyze the application effect.","container-title":"2021 IEEE/IAS Industrial and Commercial Power System Asia (I&amp;CPS Asia)","DOI":"10.1109/ICPSAsia52756.2021.9621677","event-place":"Chengdu, China","event-title":"2021 IEEE/IAS Industrial and Commercial Power System Asia (I&amp;CPS Asia)","ISBN":"978-1-66543-498-0","language":"en","page":"1586-1590","publisher":"IEEE","publisher-place":"Chengdu, China","source":"DOI.org (Crossref)","title":"Analysis of User Power Consumption Characteristics and Behavior Portrait Based on KS-RF Algorithm","URL":"https://ieeexplore.ieee.org/document/9621677/","author":[{"family":"Hu","given":"Hongbin"},{"family":"Wang","given":"Yuqiang"},{"family":"Han","given":"Junfei"},{"family":"Zhang","given":"Yifan"},{"family":"Yan","given":"Qin"}],"accessed":{"date-parts":[["2024",3,10]]},"issued":{"date-parts":[["2021",7,18]]}}}],"schema":"https://github.com/citation-style-language/schema/raw/master/csl-citation.json"} </w:instrText>
      </w:r>
      <w:r w:rsidR="00767D7B">
        <w:fldChar w:fldCharType="separate"/>
      </w:r>
      <w:r w:rsidR="00A7167C">
        <w:t>[5]</w:t>
      </w:r>
      <w:r w:rsidR="00767D7B">
        <w:fldChar w:fldCharType="end"/>
      </w:r>
      <w:r w:rsidR="00365E9F">
        <w:rPr>
          <w:color w:val="000000" w:themeColor="text1"/>
        </w:rPr>
        <w:t xml:space="preserve"> using k-shape and random forest (KS-RF),</w:t>
      </w:r>
      <w:r w:rsidR="003E551B">
        <w:rPr>
          <w:color w:val="000000" w:themeColor="text1"/>
        </w:rPr>
        <w:t xml:space="preserve"> to classify users according to power consumption behavior</w:t>
      </w:r>
      <w:r w:rsidR="00365E9F">
        <w:rPr>
          <w:color w:val="000000" w:themeColor="text1"/>
        </w:rPr>
        <w:t xml:space="preserve"> based on grid demand. A seasonal approach of educational building consumption from daily usage </w:t>
      </w:r>
      <w:r w:rsidR="009A43F1">
        <w:rPr>
          <w:color w:val="000000" w:themeColor="text1"/>
        </w:rPr>
        <w:t xml:space="preserve">was limited to descriptive analysis through data cleaning and visualization </w:t>
      </w:r>
      <w:r w:rsidR="00767D7B">
        <w:fldChar w:fldCharType="begin"/>
      </w:r>
      <w:r w:rsidR="00A7167C">
        <w:instrText xml:space="preserve"> ADDIN ZOTERO_ITEM CSL_CITATION {"citationID":"L9xsMZ3p","properties":{"formattedCitation":"[6]","plainCitation":"[6]","noteIndex":0},"citationItems":[{"id":393,"uris":["http://zotero.org/users/13681048/items/EWLNF5CY"],"itemData":{"id":393,"type":"paper-conference","abstract":"This paper presents the analysis of the consumption of electrical power in the university Campus Microgrid throughout one year. This research is conducted to fully understand our data and interpret the daily consumption of energy and its ﬂuctuations for the different proﬁles. In our study, we analyze power consumption of ﬁve different buildings within the university campus: Teacher’s ofﬁce and labs, Classrooms, Restaurant, Exterior Lighting and, Student Room (Girls-ground ﬂoor). Each type of energy consumption is described by observations, graphs, plots and conclusions that properly highlight the most efﬁcient characteristics. The paper begins with a description of the smart meters helping us record consumption history that constitutes our data. Data cleaning is one of the important steps before using the data. In this study, we begin with a general description of the aspects of consumption, using graphs in this way to clearly show the different changes. We then present our own interpretations of these changes in order to provide a general understanding of the energy load consumption.","container-title":"2022 9th International Conference on Future Internet of Things and Cloud (FiCloud)","DOI":"10.1109/FiCloud57274.2022.00022","event-place":"Rome, Italy","event-title":"2022 9th International Conference on Future Internet of Things and Cloud (FiCloud)","ISBN":"978-1-66549-350-5","language":"en","page":"107-112","publisher":"IEEE","publisher-place":"Rome, Italy","source":"DOI.org (Crossref)","title":"Energy Consumption Characterization in University Campus Microgrid Based on Power Data Analysis","URL":"https://ieeexplore.ieee.org/document/9910503/","author":[{"family":"Hajjaji","given":"Imad"},{"family":"Alami","given":"Hassan El"},{"family":"Alami","given":"Rafiq El"},{"family":"Dahmouni","given":"Hamza"}],"accessed":{"date-parts":[["2024",3,10]]},"issued":{"date-parts":[["2022",8]]}}}],"schema":"https://github.com/citation-style-language/schema/raw/master/csl-citation.json"} </w:instrText>
      </w:r>
      <w:r w:rsidR="00767D7B">
        <w:fldChar w:fldCharType="separate"/>
      </w:r>
      <w:r w:rsidR="00A7167C">
        <w:t>[6]</w:t>
      </w:r>
      <w:r w:rsidR="00767D7B">
        <w:fldChar w:fldCharType="end"/>
      </w:r>
      <w:r w:rsidR="00924926">
        <w:rPr>
          <w:color w:val="000000" w:themeColor="text1"/>
        </w:rPr>
        <w:t xml:space="preserve">, while </w:t>
      </w:r>
      <w:r w:rsidR="00767D7B">
        <w:fldChar w:fldCharType="begin"/>
      </w:r>
      <w:r w:rsidR="00A7167C">
        <w:instrText xml:space="preserve"> ADDIN ZOTERO_ITEM CSL_CITATION {"citationID":"FAajs7TD","properties":{"formattedCitation":"[7]","plainCitation":"[7]","noteIndex":0},"citationItems":[{"id":391,"uris":["http://zotero.org/users/13681048/items/I2YTXN3R"],"itemData":{"id":391,"type":"paper-conference","abstract":"This article presents a method for analyzing a time series of electricity consumption using Independent Component Analysis (ICA). With this method, it is possible to automatically identify and extract factors influencing electricity consumption individually and study their relationships on the daily consumption curve using profiles computed in parallel using ICA. ICA splits this profile into a group of components without losing representativeness of the data, providing a deeper understanding of electricity consumption to facilitate modeling and forecasting.","container-title":"2022 4th International Conference on Control Systems, Mathematical Modeling, Automation and Energy Efficiency (SUMMA)","DOI":"10.1109/SUMMA57301.2022.9973874","event-place":"Lipetsk, Russian Federation","event-title":"2022 4th International Conference on Control Systems, Mathematical Modeling, Automation and Energy Efficiency (SUMMA)","ISBN":"978-1-66545-659-3","language":"en","page":"804-807","publisher":"IEEE","publisher-place":"Lipetsk, Russian Federation","source":"DOI.org (Crossref)","title":"Power Consumption Analysis with Independent Component Analysis","URL":"https://ieeexplore.ieee.org/document/9973874/","author":[{"family":"Pavlov","given":"Ivan"},{"family":"Zatsepina","given":"Violetta"}],"accessed":{"date-parts":[["2024",3,10]]},"issued":{"date-parts":[["2022",11,9]]}}}],"schema":"https://github.com/citation-style-language/schema/raw/master/csl-citation.json"} </w:instrText>
      </w:r>
      <w:r w:rsidR="00767D7B">
        <w:fldChar w:fldCharType="separate"/>
      </w:r>
      <w:r w:rsidR="00A7167C">
        <w:t>[7]</w:t>
      </w:r>
      <w:r w:rsidR="00767D7B">
        <w:fldChar w:fldCharType="end"/>
      </w:r>
      <w:r w:rsidR="00924926">
        <w:rPr>
          <w:color w:val="000000" w:themeColor="text1"/>
        </w:rPr>
        <w:t xml:space="preserve"> used Independent Component Analysis (ICA) to determ</w:t>
      </w:r>
      <w:r w:rsidR="00924926" w:rsidRPr="009A0A8C">
        <w:rPr>
          <w:color w:val="000000" w:themeColor="text1"/>
        </w:rPr>
        <w:t>ine factors affecting consumption.</w:t>
      </w:r>
      <w:r w:rsidR="00383899" w:rsidRPr="009A0A8C">
        <w:rPr>
          <w:color w:val="000000" w:themeColor="text1"/>
        </w:rPr>
        <w:t xml:space="preserve"> </w:t>
      </w:r>
      <w:r w:rsidR="00CB3835" w:rsidRPr="009A0A8C">
        <w:rPr>
          <w:color w:val="000000" w:themeColor="text1"/>
        </w:rPr>
        <w:t>A comprehensive review o</w:t>
      </w:r>
      <w:r w:rsidR="00C25AF7" w:rsidRPr="009A0A8C">
        <w:rPr>
          <w:color w:val="000000" w:themeColor="text1"/>
        </w:rPr>
        <w:t>f</w:t>
      </w:r>
      <w:r w:rsidR="00CB3835" w:rsidRPr="009A0A8C">
        <w:rPr>
          <w:color w:val="000000" w:themeColor="text1"/>
        </w:rPr>
        <w:t xml:space="preserve"> </w:t>
      </w:r>
      <w:r w:rsidR="00C25AF7" w:rsidRPr="009A0A8C">
        <w:rPr>
          <w:color w:val="000000" w:themeColor="text1"/>
        </w:rPr>
        <w:t xml:space="preserve">building energy </w:t>
      </w:r>
      <w:r w:rsidR="00E65983" w:rsidRPr="009A0A8C">
        <w:rPr>
          <w:color w:val="000000" w:themeColor="text1"/>
        </w:rPr>
        <w:t>consumption prediction</w:t>
      </w:r>
      <w:r w:rsidR="00CB3835" w:rsidRPr="009A0A8C">
        <w:rPr>
          <w:color w:val="000000" w:themeColor="text1"/>
        </w:rPr>
        <w:t xml:space="preserve"> </w:t>
      </w:r>
      <w:r w:rsidR="00E524F2" w:rsidRPr="009A0A8C">
        <w:rPr>
          <w:color w:val="000000" w:themeColor="text1"/>
        </w:rPr>
        <w:t>empl</w:t>
      </w:r>
      <w:r w:rsidR="008B4C8D" w:rsidRPr="009A0A8C">
        <w:rPr>
          <w:color w:val="000000" w:themeColor="text1"/>
        </w:rPr>
        <w:t>oying</w:t>
      </w:r>
      <w:r w:rsidR="00E524F2" w:rsidRPr="009A0A8C">
        <w:rPr>
          <w:color w:val="000000" w:themeColor="text1"/>
        </w:rPr>
        <w:t xml:space="preserve"> various</w:t>
      </w:r>
      <w:r w:rsidR="008B4C8D" w:rsidRPr="009A0A8C">
        <w:rPr>
          <w:color w:val="000000" w:themeColor="text1"/>
        </w:rPr>
        <w:t xml:space="preserve"> </w:t>
      </w:r>
      <w:r w:rsidR="00DB32C9" w:rsidRPr="009A0A8C">
        <w:rPr>
          <w:color w:val="000000" w:themeColor="text1"/>
        </w:rPr>
        <w:t>neural network and regression methods</w:t>
      </w:r>
      <w:r w:rsidR="00256A7E" w:rsidRPr="009A0A8C">
        <w:rPr>
          <w:color w:val="000000" w:themeColor="text1"/>
        </w:rPr>
        <w:t>,</w:t>
      </w:r>
      <w:r w:rsidR="00E524F2" w:rsidRPr="009A0A8C">
        <w:rPr>
          <w:color w:val="000000" w:themeColor="text1"/>
        </w:rPr>
        <w:t xml:space="preserve"> </w:t>
      </w:r>
      <w:r w:rsidR="00CB3835" w:rsidRPr="009A0A8C">
        <w:rPr>
          <w:color w:val="000000" w:themeColor="text1"/>
        </w:rPr>
        <w:t>published between 2015 to 2022</w:t>
      </w:r>
      <w:r w:rsidR="00256A7E" w:rsidRPr="009A0A8C">
        <w:rPr>
          <w:color w:val="000000" w:themeColor="text1"/>
        </w:rPr>
        <w:t>,</w:t>
      </w:r>
      <w:r w:rsidR="00CB3835" w:rsidRPr="009A0A8C">
        <w:rPr>
          <w:color w:val="000000" w:themeColor="text1"/>
        </w:rPr>
        <w:t xml:space="preserve"> w</w:t>
      </w:r>
      <w:r w:rsidR="000029E6" w:rsidRPr="009A0A8C">
        <w:rPr>
          <w:color w:val="000000" w:themeColor="text1"/>
        </w:rPr>
        <w:t>as conducted by</w:t>
      </w:r>
      <w:r w:rsidR="00D91A5D" w:rsidRPr="009A0A8C">
        <w:rPr>
          <w:color w:val="000000" w:themeColor="text1"/>
        </w:rPr>
        <w:t xml:space="preserve"> Borowski and </w:t>
      </w:r>
      <w:proofErr w:type="spellStart"/>
      <w:r w:rsidR="00D91A5D" w:rsidRPr="009A0A8C">
        <w:rPr>
          <w:color w:val="000000" w:themeColor="text1"/>
        </w:rPr>
        <w:t>Zwolińska</w:t>
      </w:r>
      <w:proofErr w:type="spellEnd"/>
      <w:r w:rsidR="000029E6" w:rsidRPr="009A0A8C">
        <w:rPr>
          <w:color w:val="000000" w:themeColor="text1"/>
        </w:rPr>
        <w:t xml:space="preserve"> </w:t>
      </w:r>
      <w:r w:rsidR="00483421" w:rsidRPr="009A0A8C">
        <w:rPr>
          <w:color w:val="000000" w:themeColor="text1"/>
        </w:rPr>
        <w:fldChar w:fldCharType="begin"/>
      </w:r>
      <w:r w:rsidR="00A7167C" w:rsidRPr="009A0A8C">
        <w:rPr>
          <w:color w:val="000000" w:themeColor="text1"/>
        </w:rPr>
        <w:instrText xml:space="preserve"> ADDIN ZOTERO_ITEM CSL_CITATION {"citationID":"1KedcSpd","properties":{"formattedCitation":"[8]","plainCitation":"[8]","noteIndex":0},"citationItems":[{"id":405,"uris":["http://zotero.org/users/13681048/items/KNT4HKZA"],"itemData":{"id":405,"type":"article-journal","abstract":"The diversification of energy sources in buildings and the interdependence as well as communication between HVAC installations in the building have resulted in the growing interest in energy load prediction systems that enable proper management of energy resources. In addition, energy storage and the creation of energy buffers are also important in terms of proper resource management, for which it is necessary to correctly determine energy consumption over time. It is obvious that the consumption of cooling energy depends on meteorological conditions. Knowing the parameters of the outside air and the number of users, it is, therefore, possible to determine the hourly energy consumption of a cooling system in a building with some accuracy. The article presents models of cooling energy prediction in summer for a hotel building in southern Poland. The paper presents two methods that are often used for energy prediction: neural networks and support vector machines. Meteorological data, time data, and occupancy level were used as input parameters. Based on the collected input and output data, various configurations were tested to identify the model with the best accuracy. As the analysis showed, higher prediction accuracy was obtained thanks to the use of neural networks. The best of the proposed models was characterized by the WAPE and CV coefficients of 19.93% and 27.03%, respectively.","container-title":"Energies","DOI":"10.3390/en13236226","ISSN":"1996-1073","issue":"23","language":"en","license":"http://creativecommons.org/licenses/by/3.0/","note":"number: 23\npublisher: Multidisciplinary Digital Publishing Institute","page":"6226","source":"www.mdpi.com","title":"Prediction of Cooling Energy Consumption in Hotel Building Using Machine Learning Techniques","volume":"13","author":[{"family":"Borowski","given":"Marek"},{"family":"Zwolińska","given":"Klaudia"}],"issued":{"date-parts":[["2020",1]]}}}],"schema":"https://github.com/citation-style-language/schema/raw/master/csl-citation.json"} </w:instrText>
      </w:r>
      <w:r w:rsidR="00483421" w:rsidRPr="009A0A8C">
        <w:rPr>
          <w:color w:val="000000" w:themeColor="text1"/>
        </w:rPr>
        <w:fldChar w:fldCharType="separate"/>
      </w:r>
      <w:r w:rsidR="00A7167C" w:rsidRPr="009A0A8C">
        <w:rPr>
          <w:noProof/>
          <w:color w:val="000000" w:themeColor="text1"/>
        </w:rPr>
        <w:t>[8]</w:t>
      </w:r>
      <w:r w:rsidR="00483421" w:rsidRPr="009A0A8C">
        <w:rPr>
          <w:color w:val="000000" w:themeColor="text1"/>
        </w:rPr>
        <w:fldChar w:fldCharType="end"/>
      </w:r>
      <w:r w:rsidR="00E65983" w:rsidRPr="009A0A8C">
        <w:rPr>
          <w:color w:val="000000" w:themeColor="text1"/>
        </w:rPr>
        <w:t xml:space="preserve">. </w:t>
      </w:r>
      <w:r w:rsidR="00B25AD9" w:rsidRPr="009A0A8C">
        <w:rPr>
          <w:color w:val="000000" w:themeColor="text1"/>
        </w:rPr>
        <w:t xml:space="preserve">The researchers </w:t>
      </w:r>
      <w:r w:rsidR="00B25AD9" w:rsidRPr="009A0A8C">
        <w:rPr>
          <w:color w:val="000000" w:themeColor="text1"/>
        </w:rPr>
        <w:fldChar w:fldCharType="begin"/>
      </w:r>
      <w:r w:rsidR="003C6483" w:rsidRPr="009A0A8C">
        <w:rPr>
          <w:color w:val="000000" w:themeColor="text1"/>
        </w:rPr>
        <w:instrText xml:space="preserve"> ADDIN ZOTERO_ITEM CSL_CITATION {"citationID":"3NOJbw2K","properties":{"formattedCitation":"[8]","plainCitation":"[8]","noteIndex":0},"citationItems":[{"id":405,"uris":["http://zotero.org/users/13681048/items/KNT4HKZA"],"itemData":{"id":405,"type":"article-journal","abstract":"The diversification of energy sources in buildings and the interdependence as well as communication between HVAC installations in the building have resulted in the growing interest in energy load prediction systems that enable proper management of energy resources. In addition, energy storage and the creation of energy buffers are also important in terms of proper resource management, for which it is necessary to correctly determine energy consumption over time. It is obvious that the consumption of cooling energy depends on meteorological conditions. Knowing the parameters of the outside air and the number of users, it is, therefore, possible to determine the hourly energy consumption of a cooling system in a building with some accuracy. The article presents models of cooling energy prediction in summer for a hotel building in southern Poland. The paper presents two methods that are often used for energy prediction: neural networks and support vector machines. Meteorological data, time data, and occupancy level were used as input parameters. Based on the collected input and output data, various configurations were tested to identify the model with the best accuracy. As the analysis showed, higher prediction accuracy was obtained thanks to the use of neural networks. The best of the proposed models was characterized by the WAPE and CV coefficients of 19.93% and 27.03%, respectively.","container-title":"Energies","DOI":"10.3390/en13236226","ISSN":"1996-1073","issue":"23","language":"en","license":"http://creativecommons.org/licenses/by/3.0/","note":"number: 23\npublisher: Multidisciplinary Digital Publishing Institute","page":"6226","source":"www.mdpi.com","title":"Prediction of Cooling Energy Consumption in Hotel Building Using Machine Learning Techniques","volume":"13","author":[{"family":"Borowski","given":"Marek"},{"family":"Zwolińska","given":"Klaudia"}],"issued":{"date-parts":[["2020",1]]}}}],"schema":"https://github.com/citation-style-language/schema/raw/master/csl-citation.json"} </w:instrText>
      </w:r>
      <w:r w:rsidR="00B25AD9" w:rsidRPr="009A0A8C">
        <w:rPr>
          <w:color w:val="000000" w:themeColor="text1"/>
        </w:rPr>
        <w:fldChar w:fldCharType="separate"/>
      </w:r>
      <w:r w:rsidR="003C6483" w:rsidRPr="009A0A8C">
        <w:rPr>
          <w:noProof/>
          <w:color w:val="000000" w:themeColor="text1"/>
        </w:rPr>
        <w:t>[8]</w:t>
      </w:r>
      <w:r w:rsidR="00B25AD9" w:rsidRPr="009A0A8C">
        <w:rPr>
          <w:color w:val="000000" w:themeColor="text1"/>
        </w:rPr>
        <w:fldChar w:fldCharType="end"/>
      </w:r>
      <w:r w:rsidR="00B25AD9" w:rsidRPr="009A0A8C">
        <w:rPr>
          <w:color w:val="000000" w:themeColor="text1"/>
        </w:rPr>
        <w:t xml:space="preserve"> utilized artificial neural networks (ANN) and support vector machines (SVM) to forecast the amount of energy used for cooling in a hotel building. This prediction was based on hourly data of weather conditions and the number of people present in the facility</w:t>
      </w:r>
      <w:r w:rsidR="0018424E" w:rsidRPr="009A0A8C">
        <w:rPr>
          <w:color w:val="000000" w:themeColor="text1"/>
        </w:rPr>
        <w:t>.</w:t>
      </w:r>
      <w:r w:rsidR="00D4664A" w:rsidRPr="009A0A8C">
        <w:rPr>
          <w:color w:val="000000" w:themeColor="text1"/>
        </w:rPr>
        <w:t xml:space="preserve"> </w:t>
      </w:r>
      <w:r w:rsidR="00866D71" w:rsidRPr="009A0A8C">
        <w:rPr>
          <w:color w:val="000000" w:themeColor="text1"/>
        </w:rPr>
        <w:t xml:space="preserve">The hourly forecast was not suitable for </w:t>
      </w:r>
      <w:r w:rsidR="00866D71" w:rsidRPr="009A0A8C">
        <w:rPr>
          <w:color w:val="000000" w:themeColor="text1"/>
        </w:rPr>
        <w:fldChar w:fldCharType="begin"/>
      </w:r>
      <w:r w:rsidR="00866D71" w:rsidRPr="009A0A8C">
        <w:rPr>
          <w:color w:val="000000" w:themeColor="text1"/>
        </w:rPr>
        <w:instrText xml:space="preserve"> ADDIN ZOTERO_ITEM CSL_CITATION {"citationID":"hkPF12PW","properties":{"formattedCitation":"[9]","plainCitation":"[9]","noteIndex":0},"citationItems":[{"id":428,"uris":["http://zotero.org/users/13681048/items/6YU97J33"],"itemData":{"id":428,"type":"article-journal","abstract":"Predicting the load in a building is essential for the optimal control of heating, ventilating and air-conditioning (HVAC) systems that use Ice Thermal Energy Storage (ITES) technology and also for cost and energy reduction of the non-storage systems. To solve the problems of the low accuracy of prediction by a single method, and most load predictions focusing on short-time prediction that cause reducing the practical significance, the application of the combined prediction method of time series and neural networks is presented in this paper. A case study shows that high accuracy is achieved by using the combined prediction model based on these two methods compared with the time series method in predicting the building load for longer time.","container-title":"International Journal of Grid and Distributed Computing","DOI":"10.14257/ijgdc.2015.8.4.10","ISSN":"20054262, 20054262","issue":"4","journalAbbreviation":"IJGDC","language":"en","page":"105-114","source":"DOI.org (Crossref)","title":"Building Cooling Load Prediction Based on Time Series Method and Neural Networks","volume":"8","author":[{"family":"Zhuang","given":"Junhua"},{"family":"Chen","given":"Yimin"},{"family":"Shi","given":"Xiaoxia"},{"family":"Wei","given":"Dong"}],"issued":{"date-parts":[["2015",8,31]]}}}],"schema":"https://github.com/citation-style-language/schema/raw/master/csl-citation.json"} </w:instrText>
      </w:r>
      <w:r w:rsidR="00866D71" w:rsidRPr="009A0A8C">
        <w:rPr>
          <w:color w:val="000000" w:themeColor="text1"/>
        </w:rPr>
        <w:fldChar w:fldCharType="separate"/>
      </w:r>
      <w:r w:rsidR="00866D71" w:rsidRPr="009A0A8C">
        <w:rPr>
          <w:noProof/>
          <w:color w:val="000000" w:themeColor="text1"/>
        </w:rPr>
        <w:t>[9]</w:t>
      </w:r>
      <w:r w:rsidR="00866D71" w:rsidRPr="009A0A8C">
        <w:rPr>
          <w:color w:val="000000" w:themeColor="text1"/>
        </w:rPr>
        <w:fldChar w:fldCharType="end"/>
      </w:r>
      <w:r w:rsidR="009A0A8C" w:rsidRPr="009A0A8C">
        <w:rPr>
          <w:color w:val="000000" w:themeColor="text1"/>
        </w:rPr>
        <w:t xml:space="preserve">, </w:t>
      </w:r>
      <w:r w:rsidR="00866D71" w:rsidRPr="009A0A8C">
        <w:rPr>
          <w:color w:val="000000" w:themeColor="text1"/>
        </w:rPr>
        <w:t xml:space="preserve">as it necessitated the use of a combined 10-hour interval time series model and neural network to accurately anticipate building load consumption. </w:t>
      </w:r>
      <w:r w:rsidR="0086342C" w:rsidRPr="0086342C">
        <w:rPr>
          <w:color w:val="000000" w:themeColor="text1"/>
        </w:rPr>
        <w:t xml:space="preserve">Another study of </w:t>
      </w:r>
      <w:r w:rsidR="0086342C" w:rsidRPr="0086342C">
        <w:rPr>
          <w:color w:val="000000" w:themeColor="text1"/>
        </w:rPr>
        <w:fldChar w:fldCharType="begin"/>
      </w:r>
      <w:r w:rsidR="0086342C" w:rsidRPr="0086342C">
        <w:rPr>
          <w:color w:val="000000" w:themeColor="text1"/>
        </w:rPr>
        <w:instrText xml:space="preserve"> ADDIN ZOTERO_ITEM CSL_CITATION {"citationID":"glRRdb0F","properties":{"formattedCitation":"[10]","plainCitation":"[10]","noteIndex":0},"citationItems":[{"id":416,"uris":["http://zotero.org/users/13681048/items/EQDFBF99"],"itemData":{"id":416,"type":"article-journal","abstract":"Energy conservation and indoor environment concerns have motivated extensive research on various aspects of control of Heating, Ventilating and Air-Conditioning (HVAC) and building systems. The study on optimal operation as well as modeling of HVAC and building systems is one of the fastest growing fields that contribute to saving energy and improving indoor environment of buildings. The reasonable operation adjustment is one of the main methods to improve the energy efficiency. Cooling load prediction is the foundation of the optimization operation. This paper is devoted to the development of a comprehensive modeling of cooling load for a large building with ice-storage systems in Beijing, China. The models describe the dynamics of cooling load, outdoor climate parameters and indoor parameters as one multi-variable nonlinear system in a way that is useful for prediction analysis. The cooling load data collected is from June to September, and then the method of similarity for both longitudinal and transverse waveforms is used to judge whether there is abnormal data. The optimal parameter setting in the proposed model is studied. Principle Component Analysis (PCA) method was applied to select input parameters. A load prediction model has been constructed based on BP neural networks. Taking account of the generalization ability of neural networks, this paper has chosen the bayesian regularization algorithm, which can get better fitting effect than other training algorithms, to train the neural networks. Then, the BP neural network model is used for the summer hourly cooling load prediction of the business building. Evaluation of the prediction accuracy of the proposed models is based on the root mean square error (RMSE). The results show that the prediction model can accurately predict the future hourly load of 1 week and 1 day, with the prediction error at 1.60% and 1.18% respectively. The analysis shows that this model is suitable for the practical engineering application and can provide a basis for optimal operation of air conditioning control systems of large public buildings.","container-title":"International Journal of Smart Home","DOI":"10.14257/ijsh.2015.9.2.04","ISSN":"19754094, 19754094","issue":"2","journalAbbreviation":"IJSH","language":"en","page":"35-52","source":"DOI.org (Crossref)","title":"Prediction on Hourly Cooling Load of Buildings Based on Neural Networks","volume":"9","author":[{"family":"Chaowen","given":"Hu"},{"family":"Dong","given":"Wei"}],"issued":{"date-parts":[["2015",2,28]]}}}],"schema":"https://github.com/citation-style-language/schema/raw/master/csl-citation.json"} </w:instrText>
      </w:r>
      <w:r w:rsidR="0086342C" w:rsidRPr="0086342C">
        <w:rPr>
          <w:color w:val="000000" w:themeColor="text1"/>
        </w:rPr>
        <w:fldChar w:fldCharType="separate"/>
      </w:r>
      <w:r w:rsidR="0086342C" w:rsidRPr="0086342C">
        <w:rPr>
          <w:noProof/>
          <w:color w:val="000000" w:themeColor="text1"/>
        </w:rPr>
        <w:t>[10]</w:t>
      </w:r>
      <w:r w:rsidR="0086342C" w:rsidRPr="0086342C">
        <w:rPr>
          <w:color w:val="000000" w:themeColor="text1"/>
        </w:rPr>
        <w:fldChar w:fldCharType="end"/>
      </w:r>
      <w:r w:rsidR="0086342C" w:rsidRPr="0086342C">
        <w:rPr>
          <w:color w:val="000000" w:themeColor="text1"/>
        </w:rPr>
        <w:t xml:space="preserve">, referenced as [10], employed Principal Component Analysis (PCA) to preprocess the inputs of a </w:t>
      </w:r>
      <w:r w:rsidR="0086342C" w:rsidRPr="000C2642">
        <w:rPr>
          <w:color w:val="000000" w:themeColor="text1"/>
        </w:rPr>
        <w:t xml:space="preserve">backpropagation neural network. It was utilized to forecast the cooling demand of ice storage systems. </w:t>
      </w:r>
      <w:r w:rsidR="0028455B" w:rsidRPr="000C2642">
        <w:rPr>
          <w:color w:val="000000" w:themeColor="text1"/>
        </w:rPr>
        <w:t xml:space="preserve"> </w:t>
      </w:r>
      <w:r w:rsidR="00A30110" w:rsidRPr="000C2642">
        <w:rPr>
          <w:color w:val="000000" w:themeColor="text1"/>
        </w:rPr>
        <w:t xml:space="preserve">With the addition of Classification Regression Tree (CART), a model was derived </w:t>
      </w:r>
      <w:r w:rsidR="00F4653C" w:rsidRPr="000C2642">
        <w:rPr>
          <w:color w:val="000000" w:themeColor="text1"/>
        </w:rPr>
        <w:t xml:space="preserve">in </w:t>
      </w:r>
      <w:r w:rsidR="00B038BB" w:rsidRPr="000C2642">
        <w:rPr>
          <w:color w:val="000000" w:themeColor="text1"/>
        </w:rPr>
        <w:fldChar w:fldCharType="begin"/>
      </w:r>
      <w:r w:rsidR="007E6449" w:rsidRPr="000C2642">
        <w:rPr>
          <w:color w:val="000000" w:themeColor="text1"/>
        </w:rPr>
        <w:instrText xml:space="preserve"> ADDIN ZOTERO_ITEM CSL_CITATION {"citationID":"VPhNGsfk","properties":{"formattedCitation":"[11]","plainCitation":"[11]","noteIndex":0},"citationItems":[{"id":417,"uris":["http://zotero.org/users/13681048/items/KIIM7NJ2"],"itemData":{"id":417,"type":"article-journal","abstract":"&lt;abstract&gt;\n\n&lt;p&gt;Accurate energy consumption model is the basis of energy saving optimal control of air conditioning system. The existing energy consumption model of air conditioning water system mainly focuses on a certain equipment or a part of the cycle. However, the coupling between water system equipment will affect the setting of optimal energy consumption of equipment. It is necessary to establish the energy consumption model of water system as a whole. However, air conditioning water system is a highly nonlinear complex system, and its precise physical model is difficult to establish. The main goal of this paper is to develop an accurate machine learning modeling and optimization technique to predict the total energy consumption of air conditioning water system by using the actual operation data collected. The main contributions of this work are as follows: (1) Three commonly used machine learning techniques, artificial neural network (ANN), support vector machine (SVM) and classification regression tree (CART), are used to build prediction models of air conditioning water system energy consumption. The results show that all the three models have fast training speed, but the ANN model has better performance in cross-validation. (2) The improved differential evolution algorithm was used to optimize the parameters (initial weights and thresholds) of the ANN, which solved the problem that the ANN is easy to fall into the local optimal solution. The simulation results show that the root mean square error (RMSE) of the improved model decreases by 20.5%, the mean absolute error (MAE) decreases by 30.2%, and the coefficient of determination (R&lt;sup&gt;2&lt;/sup&gt;) increases from 0.9227 to 0.9512. (3) Sensitivity analysis of the established optimization model shows that chilled water flow, chilled water outlet temperature and air conditioning load are the main factors affecting the total energy consumption.&lt;/p&gt;\n\n&lt;/abstract&gt;","container-title":"Mathematical Biosciences and Engineering","DOI":"10.3934/mbe.2022226","ISSN":"1551-0018","issue":"5","journalAbbreviation":"MBE","language":"en","license":"2022 The Author(s)","note":"Cc_license_type: cc_by\nnumber: mbe-19-05-226\nPrimary_atype: Mathematical Biosciences and Engineering\nSubject_term: Research article\nSubject_term_id: Research article","page":"4841-4855","source":"www.aimspress.com","title":"Application of machine learning and its improvement technology in modeling of total energy consumption of air conditioning water system","volume":"19","author":[{"family":"Zhu","given":"Qixin"},{"family":"Liu","given":"Mengyuan"},{"family":"Liu","given":"Hongli"},{"family":"Zhu","given":"Yonghong"},{"family":"Zhu","given":"Qixin"},{"family":"Liu","given":"Mengyuan"},{"family":"Liu","given":"Hongli"},{"family":"Zhu","given":"Yonghong"}],"issued":{"date-parts":[["2022"]]}}}],"schema":"https://github.com/citation-style-language/schema/raw/master/csl-citation.json"} </w:instrText>
      </w:r>
      <w:r w:rsidR="00B038BB" w:rsidRPr="000C2642">
        <w:rPr>
          <w:color w:val="000000" w:themeColor="text1"/>
        </w:rPr>
        <w:fldChar w:fldCharType="separate"/>
      </w:r>
      <w:r w:rsidR="007E6449" w:rsidRPr="000C2642">
        <w:rPr>
          <w:noProof/>
          <w:color w:val="000000" w:themeColor="text1"/>
        </w:rPr>
        <w:t>[11]</w:t>
      </w:r>
      <w:r w:rsidR="00B038BB" w:rsidRPr="000C2642">
        <w:rPr>
          <w:color w:val="000000" w:themeColor="text1"/>
        </w:rPr>
        <w:fldChar w:fldCharType="end"/>
      </w:r>
      <w:r w:rsidR="00B038BB" w:rsidRPr="000C2642">
        <w:rPr>
          <w:color w:val="000000" w:themeColor="text1"/>
        </w:rPr>
        <w:t xml:space="preserve"> </w:t>
      </w:r>
      <w:r w:rsidR="00A30110" w:rsidRPr="000C2642">
        <w:rPr>
          <w:color w:val="000000" w:themeColor="text1"/>
        </w:rPr>
        <w:t xml:space="preserve">to predict the </w:t>
      </w:r>
      <w:r w:rsidR="005D23FD" w:rsidRPr="000C2642">
        <w:rPr>
          <w:color w:val="000000" w:themeColor="text1"/>
        </w:rPr>
        <w:t>consumption of air conditioning water system</w:t>
      </w:r>
      <w:r w:rsidR="00797438" w:rsidRPr="000C2642">
        <w:rPr>
          <w:color w:val="000000" w:themeColor="text1"/>
        </w:rPr>
        <w:t xml:space="preserve"> based on </w:t>
      </w:r>
      <w:r w:rsidR="004D7C4E" w:rsidRPr="000C2642">
        <w:rPr>
          <w:color w:val="000000" w:themeColor="text1"/>
        </w:rPr>
        <w:t>load</w:t>
      </w:r>
      <w:r w:rsidR="000C2642" w:rsidRPr="000C2642">
        <w:rPr>
          <w:color w:val="000000" w:themeColor="text1"/>
        </w:rPr>
        <w:t>,</w:t>
      </w:r>
      <w:r w:rsidR="004D7C4E" w:rsidRPr="000C2642">
        <w:rPr>
          <w:color w:val="000000" w:themeColor="text1"/>
        </w:rPr>
        <w:t xml:space="preserve"> and </w:t>
      </w:r>
      <w:r w:rsidR="00F4653C" w:rsidRPr="000C2642">
        <w:rPr>
          <w:color w:val="000000" w:themeColor="text1"/>
        </w:rPr>
        <w:t>water flow temperature and flow rate</w:t>
      </w:r>
      <w:r w:rsidR="005D23FD" w:rsidRPr="000C2642">
        <w:rPr>
          <w:color w:val="000000" w:themeColor="text1"/>
        </w:rPr>
        <w:t xml:space="preserve">. </w:t>
      </w:r>
      <w:r w:rsidR="00DA1524" w:rsidRPr="000C2642">
        <w:rPr>
          <w:color w:val="000000" w:themeColor="text1"/>
        </w:rPr>
        <w:t>T</w:t>
      </w:r>
      <w:r w:rsidR="00BE1AB6" w:rsidRPr="000C2642">
        <w:rPr>
          <w:color w:val="000000" w:themeColor="text1"/>
        </w:rPr>
        <w:t xml:space="preserve">he </w:t>
      </w:r>
      <w:r w:rsidR="0024485F" w:rsidRPr="000C2642">
        <w:rPr>
          <w:color w:val="000000" w:themeColor="text1"/>
        </w:rPr>
        <w:t xml:space="preserve">air conditioning starting time in factory setting </w:t>
      </w:r>
      <w:r w:rsidR="00DA1524" w:rsidRPr="000C2642">
        <w:rPr>
          <w:color w:val="000000" w:themeColor="text1"/>
        </w:rPr>
        <w:t>was the focus of</w:t>
      </w:r>
      <w:r w:rsidR="0024485F" w:rsidRPr="000C2642">
        <w:rPr>
          <w:color w:val="000000" w:themeColor="text1"/>
        </w:rPr>
        <w:t xml:space="preserve"> </w:t>
      </w:r>
      <w:r w:rsidR="00CD1072" w:rsidRPr="000C2642">
        <w:rPr>
          <w:color w:val="000000" w:themeColor="text1"/>
        </w:rPr>
        <w:fldChar w:fldCharType="begin"/>
      </w:r>
      <w:r w:rsidR="002615F7" w:rsidRPr="000C2642">
        <w:rPr>
          <w:color w:val="000000" w:themeColor="text1"/>
        </w:rPr>
        <w:instrText xml:space="preserve"> ADDIN ZOTERO_ITEM CSL_CITATION {"citationID":"SgCpFUfM","properties":{"formattedCitation":"[12]","plainCitation":"[12]","noteIndex":0},"citationItems":[{"id":408,"uris":["http://zotero.org/users/13681048/items/96LK4N7U"],"itemData":{"id":408,"type":"article-journal","abstract":"Energy conservation and emission reduction is an important part of enterprise management. Energy costs directly affect the economic benefits of enterprises. Energy control of industrial air conditioning has long been the focus of the attention of enterprises. At present, enterprises often adopt fixed pre-cooling and pre-heating time for air conditioning start-up strategy, and there is no unified and scientific standard. By collecting and cleaning the historical data (climate, capacity) of air conditioning operation of enterprises, this paper establishes a scientific model of air conditioning energy consumption and a prediction model of air conditioning starting time. In addition, the theory and technology proposed in this paper are applied in practice to design and implement the air-conditioning energy control system of smart factory, and to predict the starting time of the air-conditioning in the production workshop of enterprises. The results show that the system can help enterprises achieve the goal of intelligent energy management and control.","container-title":"IOP Conference Series: Earth and Environmental Science","DOI":"10.1088/1755-1315/791/1/012100","ISSN":"1755-1307, 1755-1315","issue":"1","journalAbbreviation":"IOP Conf. Ser.: Earth Environ. Sci.","language":"en","page":"012100","source":"DOI.org (Crossref)","title":"Research on Energy Consumption Prediction Based on Machine Learning","volume":"791","author":[{"family":"Liu","given":"Ren"},{"family":"Wang","given":"Zhonghang"},{"family":"Chen","given":"Haihong"},{"family":"Yang","given":"Jie"}],"issued":{"date-parts":[["2021",6,1]]}}}],"schema":"https://github.com/citation-style-language/schema/raw/master/csl-citation.json"} </w:instrText>
      </w:r>
      <w:r w:rsidR="00CD1072" w:rsidRPr="000C2642">
        <w:rPr>
          <w:color w:val="000000" w:themeColor="text1"/>
        </w:rPr>
        <w:fldChar w:fldCharType="separate"/>
      </w:r>
      <w:r w:rsidR="002615F7" w:rsidRPr="000C2642">
        <w:rPr>
          <w:noProof/>
          <w:color w:val="000000" w:themeColor="text1"/>
        </w:rPr>
        <w:t>[12]</w:t>
      </w:r>
      <w:r w:rsidR="00CD1072" w:rsidRPr="000C2642">
        <w:rPr>
          <w:color w:val="000000" w:themeColor="text1"/>
        </w:rPr>
        <w:fldChar w:fldCharType="end"/>
      </w:r>
      <w:r w:rsidR="00CD1072" w:rsidRPr="000C2642">
        <w:rPr>
          <w:color w:val="000000" w:themeColor="text1"/>
        </w:rPr>
        <w:t xml:space="preserve"> in their </w:t>
      </w:r>
      <w:r w:rsidR="000A38B7" w:rsidRPr="000C2642">
        <w:rPr>
          <w:color w:val="000000" w:themeColor="text1"/>
        </w:rPr>
        <w:t xml:space="preserve">effort to manage energy </w:t>
      </w:r>
      <w:r w:rsidR="00F87247" w:rsidRPr="000C2642">
        <w:rPr>
          <w:color w:val="000000" w:themeColor="text1"/>
        </w:rPr>
        <w:t xml:space="preserve">from their prediction model </w:t>
      </w:r>
      <w:r w:rsidR="001C52FA" w:rsidRPr="000C2642">
        <w:rPr>
          <w:color w:val="000000" w:themeColor="text1"/>
        </w:rPr>
        <w:t>based on memory loop neural networks,</w:t>
      </w:r>
      <w:r w:rsidR="00C86BE5" w:rsidRPr="000C2642">
        <w:rPr>
          <w:color w:val="000000" w:themeColor="text1"/>
        </w:rPr>
        <w:t xml:space="preserve"> </w:t>
      </w:r>
      <w:r w:rsidR="00F87247" w:rsidRPr="000C2642">
        <w:rPr>
          <w:color w:val="000000" w:themeColor="text1"/>
        </w:rPr>
        <w:t xml:space="preserve">with </w:t>
      </w:r>
      <w:r w:rsidR="001F7849" w:rsidRPr="000C2642">
        <w:rPr>
          <w:color w:val="000000" w:themeColor="text1"/>
        </w:rPr>
        <w:t>air condition capacity and climate as inputs.</w:t>
      </w:r>
      <w:r w:rsidR="008E5DF1" w:rsidRPr="000C2642">
        <w:rPr>
          <w:color w:val="000000" w:themeColor="text1"/>
        </w:rPr>
        <w:t xml:space="preserve"> </w:t>
      </w:r>
      <w:r w:rsidR="00D4688D" w:rsidRPr="000C2642">
        <w:rPr>
          <w:color w:val="000000" w:themeColor="text1"/>
        </w:rPr>
        <w:t xml:space="preserve">The </w:t>
      </w:r>
      <w:r w:rsidR="008E5DF1" w:rsidRPr="000C2642">
        <w:rPr>
          <w:color w:val="000000" w:themeColor="text1"/>
        </w:rPr>
        <w:t xml:space="preserve">goal of these papers </w:t>
      </w:r>
      <w:r w:rsidR="006B4F16" w:rsidRPr="000C2642">
        <w:rPr>
          <w:color w:val="000000" w:themeColor="text1"/>
        </w:rPr>
        <w:t>is to achieve energy savings</w:t>
      </w:r>
      <w:r w:rsidR="00D4688D" w:rsidRPr="000C2642">
        <w:rPr>
          <w:color w:val="000000" w:themeColor="text1"/>
        </w:rPr>
        <w:t xml:space="preserve"> with ANN and</w:t>
      </w:r>
      <w:r w:rsidR="00CE5D19" w:rsidRPr="000C2642">
        <w:rPr>
          <w:color w:val="000000" w:themeColor="text1"/>
        </w:rPr>
        <w:t xml:space="preserve"> </w:t>
      </w:r>
      <w:r w:rsidR="00D4688D" w:rsidRPr="000C2642">
        <w:rPr>
          <w:color w:val="000000" w:themeColor="text1"/>
        </w:rPr>
        <w:t>sensor-based data collection system</w:t>
      </w:r>
      <w:r w:rsidR="00CE5D19" w:rsidRPr="000C2642">
        <w:rPr>
          <w:color w:val="000000" w:themeColor="text1"/>
        </w:rPr>
        <w:t>, as co</w:t>
      </w:r>
      <w:r w:rsidR="00644419" w:rsidRPr="000C2642">
        <w:rPr>
          <w:color w:val="000000" w:themeColor="text1"/>
        </w:rPr>
        <w:t xml:space="preserve">mmon methodologies </w:t>
      </w:r>
      <w:r w:rsidR="00644419" w:rsidRPr="000C2642">
        <w:rPr>
          <w:color w:val="000000" w:themeColor="text1"/>
        </w:rPr>
        <w:fldChar w:fldCharType="begin"/>
      </w:r>
      <w:r w:rsidR="002615F7" w:rsidRPr="000C2642">
        <w:rPr>
          <w:color w:val="000000" w:themeColor="text1"/>
        </w:rPr>
        <w:instrText xml:space="preserve"> ADDIN ZOTERO_ITEM CSL_CITATION {"citationID":"MNwaadV7","properties":{"formattedCitation":"[13]","plainCitation":"[13]","noteIndex":0},"citationItems":[{"id":413,"uris":["http://zotero.org/users/13681048/items/SQW4TBFY"],"itemData":{"id":413,"type":"article-journal","abstract":"In our systematic mapping study, we examined 289 published works to determine which intelligent computing methods (e.g. Artificial Neural Networks, Machine Learning, and Fuzzy Logic) used by air-conditioning systems can provide energy savings and improve thermal comfort. Our goal was to identify which methods have been used most in research on the topic, which methods of data collection have been employed, and which areas of research have been empirical in nature. We observed the rules for literature reviews in identifying published works on databases (e.g. the Institute of Electrical and Electronics Engineers database, the Association for Computing Machinery Digital Library, SpringerLink, ScienceDirect, and Wiley Online Library) and classified identified works by topic. After excluding works according to the predefined criteria, we reviewed selected works according to the research parameters motivating our study. Results reveal that energy savings is the most frequently examined topic and that intelligent computing methods can be used to provide better indoor environments for occupants, with energy savings of up to 50%. The most common intelligent method used has been artificial neural networks, while sensors have been the tools most used to collect data, followed by searches of databases of experiments, simulations, and surveys accessed to validate the accuracy of findings.","container-title":"Measurement and Control","DOI":"10.1177/0020294019858108","ISSN":"0020-2940","issue":"7-8","language":"en","note":"publisher: SAGE Publications Ltd","page":"1084-1094","source":"SAGE Journals","title":"Analysis of the use of computational intelligence techniques for air-conditioning systems: A systematic mapping study","title-short":"Analysis of the use of computational intelligence techniques for air-conditioning systems","volume":"52","author":[{"family":"Çakır","given":"Mustafa"},{"family":"Akbulut","given":"Akhan"},{"family":"Hatay Önen","given":"Yusuf"}],"issued":{"date-parts":[["2019",9,1]]}}}],"schema":"https://github.com/citation-style-language/schema/raw/master/csl-citation.json"} </w:instrText>
      </w:r>
      <w:r w:rsidR="00644419" w:rsidRPr="000C2642">
        <w:rPr>
          <w:color w:val="000000" w:themeColor="text1"/>
        </w:rPr>
        <w:fldChar w:fldCharType="separate"/>
      </w:r>
      <w:r w:rsidR="002615F7" w:rsidRPr="000C2642">
        <w:rPr>
          <w:noProof/>
          <w:color w:val="000000" w:themeColor="text1"/>
        </w:rPr>
        <w:t>[13]</w:t>
      </w:r>
      <w:r w:rsidR="00644419" w:rsidRPr="000C2642">
        <w:rPr>
          <w:color w:val="000000" w:themeColor="text1"/>
        </w:rPr>
        <w:fldChar w:fldCharType="end"/>
      </w:r>
      <w:r w:rsidR="00644419" w:rsidRPr="000C2642">
        <w:rPr>
          <w:color w:val="000000" w:themeColor="text1"/>
        </w:rPr>
        <w:t>.</w:t>
      </w:r>
    </w:p>
    <w:p w14:paraId="2AE58479" w14:textId="1E138B02" w:rsidR="00DD4F5D" w:rsidRPr="00924926" w:rsidRDefault="00924926" w:rsidP="00924926">
      <w:pPr>
        <w:pStyle w:val="MDPI31text"/>
        <w:rPr>
          <w:rFonts w:eastAsiaTheme="minorEastAsia"/>
          <w:noProof/>
          <w:color w:val="auto"/>
        </w:rPr>
      </w:pPr>
      <w:r w:rsidRPr="004A520D">
        <w:rPr>
          <w:color w:val="000000" w:themeColor="text1"/>
        </w:rPr>
        <w:t>According to</w:t>
      </w:r>
      <w:r>
        <w:rPr>
          <w:color w:val="000000" w:themeColor="text1"/>
        </w:rPr>
        <w:t xml:space="preserve"> </w:t>
      </w:r>
      <w:r w:rsidR="00767D7B">
        <w:fldChar w:fldCharType="begin"/>
      </w:r>
      <w:r w:rsidR="002615F7">
        <w:instrText xml:space="preserve"> ADDIN ZOTERO_ITEM CSL_CITATION {"citationID":"GUuUqwFf","properties":{"formattedCitation":"[14]","plainCitation":"[14]","noteIndex":0},"citationItems":[{"id":103,"uris":["http://zotero.org/users/13681048/items/RV5Q35GI"],"itemData":{"id":103,"type":"webpage","title":"Guidelines For Energy Conserving Design of Buildings and Utility Systems | Department of Energy Philippines","URL":"https://www.doe.gov.ph/guidelines-energy-conserving-design-buildings-and-utility-systems#","accessed":{"date-parts":[["2024",3,2]]}}}],"schema":"https://github.com/citation-style-language/schema/raw/master/csl-citation.json"} </w:instrText>
      </w:r>
      <w:r w:rsidR="00767D7B">
        <w:fldChar w:fldCharType="separate"/>
      </w:r>
      <w:r w:rsidR="002615F7">
        <w:t>[14]</w:t>
      </w:r>
      <w:r w:rsidR="00767D7B">
        <w:fldChar w:fldCharType="end"/>
      </w:r>
      <w:r w:rsidRPr="004A520D">
        <w:rPr>
          <w:color w:val="000000" w:themeColor="text1"/>
        </w:rPr>
        <w:t>, about 15% to 20% of the nationwide electric power consumption is attributed to buildings, and that 49% to 51% of energy consumption in educational buildings is due to air conditioning systems</w:t>
      </w:r>
      <w:r>
        <w:rPr>
          <w:color w:val="000000" w:themeColor="text1"/>
        </w:rPr>
        <w:t xml:space="preserve"> </w:t>
      </w:r>
      <w:r w:rsidR="00767D7B">
        <w:fldChar w:fldCharType="begin"/>
      </w:r>
      <w:r w:rsidR="002615F7">
        <w:instrText xml:space="preserve"> ADDIN ZOTERO_ITEM CSL_CITATION {"citationID":"JHm4vaQr","properties":{"formattedCitation":"[15,16]","plainCitation":"[15,16]","noteIndex":0},"citationItems":[{"id":102,"uris":["http://zotero.org/users/13681048/items/IDYX7TLL"],"itemData":{"id":102,"type":"article-journal","abstract":"Every year, people become more dependent on electricity. Most devices for communication, business transactions, and even teaching use technology that consumes energy. In the Philippine setting, energy consumption raised to 74.15 billion kWh with 707 kWh per capita as of 2014. In comparison, they were facing the challenges of depletion of energy sources and other environmental challenges. In contrast, there were energy and other environmental challenges. An energy audit was conducted at MSU-Iligan Institute of Technology in the Philippines, looking to reduce energy costs. Results show that space cooling and lighting have the highest electrical consumption of the total university electricity demand (29%). Space cooling consumed the maximum power (49%) in academic buildings, while lighting consumed the most power (39%) in all buildings. An Energy Awareness Evaluation survey was conducted among students, faculty, staff, and the management at MSU-IIT to assess the university's users' willingness to adopt an energy management system that would require a collective effort from its stakeholders. The survey results reveal how its stakeholders perceived energy management as implemented in the institution. Thus, this study proposes energy-saving measures and a regular energy audit to save and monitor the energy consumption at the university and provide the institution management with insights and references critical for decision making and adoption of a sound energy management policy.","issue":"2","language":"en","source":"Zotero","title":"Assessment of Energy Savings Potentials at University in Lanao del Norte, Philippines","volume":"7","author":[{"family":"Ylaya","given":"Vrian Jay V"},{"family":"Malicay","given":"Leonielyn G"}]}},{"id":101,"uris":["http://zotero.org/users/13681048/items/JFYU6L6W"],"itemData":{"id":101,"type":"paper-conference","abstract":"Energy audit is the inspection, survey and analysis of energy flows in a building. The goal is to identify energy efficiency opportunities which will not negatively affect the output and operations of the building. The unique case of cleaner production in educational buildings is presented in this study – minimal material flow allows a focus on energy consumption; robust scheduling provides an advantage and equipment usage is between an office and an industrial building. Energy auditing revealed that most of the electricity consumption is due to air conditioning (51%), followed by equipment use (35%) and lighting (14%). Annual carbon dioxide emissions due to electricity consumption are estimated at 433 tons. Recommendations include using energy efficient lighting and exploiting daylighting, adopting a centralized or split-type inverter air conditioning system and implementing minimum energy performance standards (MEPS). Lastly, it is understood that scheduling uniquely plays a very important role in managing the smart consumption of educational buildings.","container-title":"2017IEEE 9th International Conference on Humanoid, Nanotechnology, Information Technology, Communication and Control, Environment and Management (HNICEM)","DOI":"10.1109/HNICEM.2017.8269505","event-place":"Manila, Philippines","event-title":"2017 IEEE 9th International Conference on Humanoid, Nanotechnology, Information Technology, Communication and Control, Environment, and Management (HNICEM )","ISBN":"978-1-5386-0912-5","language":"en","page":"1-4","publisher":"IEEE","publisher-place":"Manila, Philippines","source":"DOI.org (Crossref)","title":"Energy audit and analysis of the electricity consumption of an educational building in the Philippines for smart consumption","URL":"http://ieeexplore.ieee.org/document/8269505/","author":[{"family":"Lopez","given":"Neil Stephen"},{"family":"Gonzaga","given":"Jeremias"},{"family":"Lim","given":"Laurence A. Gan"}],"accessed":{"date-parts":[["2024",3,2]]},"issued":{"date-parts":[["2017",12]]}}}],"schema":"https://github.com/citation-style-language/schema/raw/master/csl-citation.json"} </w:instrText>
      </w:r>
      <w:r w:rsidR="00767D7B">
        <w:fldChar w:fldCharType="separate"/>
      </w:r>
      <w:r w:rsidR="002615F7">
        <w:t>[15,16]</w:t>
      </w:r>
      <w:r w:rsidR="00767D7B">
        <w:fldChar w:fldCharType="end"/>
      </w:r>
      <w:r w:rsidRPr="004A520D">
        <w:rPr>
          <w:color w:val="000000" w:themeColor="text1"/>
        </w:rPr>
        <w:t>.</w:t>
      </w:r>
      <w:r>
        <w:rPr>
          <w:color w:val="000000" w:themeColor="text1"/>
        </w:rPr>
        <w:t xml:space="preserve"> </w:t>
      </w:r>
      <w:r w:rsidRPr="006A52E5">
        <w:rPr>
          <w:rFonts w:eastAsiaTheme="minorEastAsia"/>
          <w:noProof/>
          <w:color w:val="auto"/>
        </w:rPr>
        <w:t>Based on study</w:t>
      </w:r>
      <w:r>
        <w:rPr>
          <w:rFonts w:eastAsiaTheme="minorEastAsia"/>
          <w:noProof/>
          <w:color w:val="auto"/>
        </w:rPr>
        <w:t xml:space="preserve"> </w:t>
      </w:r>
      <w:r w:rsidR="00767D7B">
        <w:fldChar w:fldCharType="begin"/>
      </w:r>
      <w:r w:rsidR="002615F7">
        <w:instrText xml:space="preserve"> ADDIN ZOTERO_ITEM CSL_CITATION {"citationID":"Lt9vq8we","properties":{"formattedCitation":"[17]","plainCitation":"[17]","noteIndex":0},"citationItems":[{"id":99,"uris":["http://zotero.org/users/13681048/items/3RSTQEFY"],"itemData":{"id":99,"type":"article-journal","abstract":"The Internet of Energy (IoE) impacts on smart cities’ power sector. IoE is an implementation of the Internet of Things technology (IoT) into distributed energy systems and aims to achieve energy efﬁciency, to avoid energy wasting, and improve environmental conditions. IoE technology includes, among others, utilizing smart sensors and renewable energy integration. Therefore, the IoE is becoming a legal science tool to serve the purpose of a smart city. In this paper, we refer to the reasons that led the European Union to compile Regulations for facilitating transformation of existing cities, starting from existing buildings, into smart buildings. We propose a smart building template that manages the performance of all technical systems through IoT technology with the view of achieving energy efﬁciency. In addition, in order to improve the certiﬁcation of existing buildings, as for energy performance, we propose an automated remote, control method supported by cloud interface. This method minimizes time consuming procedures and stores, on a cloud platform the energy performance of each building, for the purpose of drawing conclusion and applying measures.","container-title":"IEEE Access","DOI":"10.1109/ACCESS.2020.2984461","ISSN":"2169-3536","journalAbbreviation":"IEEE Access","language":"en","page":"63679-63699","source":"DOI.org (Crossref)","title":"Energy Efficiency in Smart Buildings: IoT Approaches","title-short":"Energy Efficiency in Smart Buildings","volume":"8","author":[{"family":"Metallidou","given":"Chrysi K."},{"family":"Psannis","given":"Kostas E."},{"family":"Egyptiadou","given":"Eugenia Alexandropoulou"}],"issued":{"date-parts":[["2020"]]}}}],"schema":"https://github.com/citation-style-language/schema/raw/master/csl-citation.json"} </w:instrText>
      </w:r>
      <w:r w:rsidR="00767D7B">
        <w:fldChar w:fldCharType="separate"/>
      </w:r>
      <w:r w:rsidR="002615F7">
        <w:t>[17]</w:t>
      </w:r>
      <w:r w:rsidR="00767D7B">
        <w:fldChar w:fldCharType="end"/>
      </w:r>
      <w:r w:rsidRPr="006A52E5">
        <w:rPr>
          <w:rFonts w:eastAsiaTheme="minorEastAsia"/>
          <w:noProof/>
          <w:color w:val="auto"/>
        </w:rPr>
        <w:t xml:space="preserve">, </w:t>
      </w:r>
      <w:r>
        <w:rPr>
          <w:rFonts w:eastAsiaTheme="minorEastAsia"/>
          <w:noProof/>
          <w:color w:val="auto"/>
        </w:rPr>
        <w:t>e</w:t>
      </w:r>
      <w:r w:rsidRPr="00871160">
        <w:rPr>
          <w:rFonts w:eastAsiaTheme="minorEastAsia"/>
          <w:noProof/>
          <w:color w:val="auto"/>
        </w:rPr>
        <w:t>ach degree setback saves 5-7% and each degree increase in ambient temperature increases consumption by 11-23%.</w:t>
      </w:r>
      <w:r>
        <w:rPr>
          <w:rFonts w:eastAsiaTheme="minorEastAsia"/>
          <w:noProof/>
          <w:color w:val="auto"/>
        </w:rPr>
        <w:t xml:space="preserve"> </w:t>
      </w:r>
      <w:r w:rsidRPr="00873C34">
        <w:rPr>
          <w:color w:val="000000" w:themeColor="text1"/>
        </w:rPr>
        <w:t xml:space="preserve">The need for energy monitoring and a system to </w:t>
      </w:r>
      <w:r>
        <w:rPr>
          <w:color w:val="000000" w:themeColor="text1"/>
        </w:rPr>
        <w:t>model</w:t>
      </w:r>
      <w:r w:rsidRPr="00873C34">
        <w:rPr>
          <w:color w:val="000000" w:themeColor="text1"/>
        </w:rPr>
        <w:t xml:space="preserve"> cooling electrical appliances</w:t>
      </w:r>
      <w:r w:rsidR="00E2478E">
        <w:rPr>
          <w:color w:val="000000" w:themeColor="text1"/>
        </w:rPr>
        <w:t xml:space="preserve"> </w:t>
      </w:r>
      <w:r w:rsidR="00CC337A">
        <w:rPr>
          <w:color w:val="000000" w:themeColor="text1"/>
        </w:rPr>
        <w:t xml:space="preserve">electricity </w:t>
      </w:r>
      <w:r w:rsidR="00E2478E">
        <w:rPr>
          <w:color w:val="000000" w:themeColor="text1"/>
        </w:rPr>
        <w:t>consumption</w:t>
      </w:r>
      <w:r w:rsidR="00E0139D">
        <w:rPr>
          <w:color w:val="000000" w:themeColor="text1"/>
        </w:rPr>
        <w:t xml:space="preserve"> to</w:t>
      </w:r>
      <w:r w:rsidRPr="00873C34">
        <w:rPr>
          <w:color w:val="000000" w:themeColor="text1"/>
        </w:rPr>
        <w:t xml:space="preserve"> </w:t>
      </w:r>
      <w:r w:rsidR="00E0139D" w:rsidRPr="00871160">
        <w:rPr>
          <w:color w:val="000000" w:themeColor="text1"/>
        </w:rPr>
        <w:t xml:space="preserve">determine indoor thermal and air quality conditions at steady state power condition of </w:t>
      </w:r>
      <w:r w:rsidR="00FC3C96">
        <w:rPr>
          <w:color w:val="000000" w:themeColor="text1"/>
        </w:rPr>
        <w:t>air conditioning</w:t>
      </w:r>
      <w:r w:rsidR="00CF5533">
        <w:rPr>
          <w:color w:val="000000" w:themeColor="text1"/>
        </w:rPr>
        <w:t xml:space="preserve"> unit (</w:t>
      </w:r>
      <w:r w:rsidR="00E0139D" w:rsidRPr="00871160">
        <w:rPr>
          <w:color w:val="000000" w:themeColor="text1"/>
        </w:rPr>
        <w:t>ACU</w:t>
      </w:r>
      <w:r w:rsidR="00CF5533">
        <w:rPr>
          <w:color w:val="000000" w:themeColor="text1"/>
        </w:rPr>
        <w:t>)</w:t>
      </w:r>
      <w:r w:rsidRPr="00873C34">
        <w:rPr>
          <w:color w:val="000000" w:themeColor="text1"/>
        </w:rPr>
        <w:t xml:space="preserve"> are the motivations in the pursuance of this research.</w:t>
      </w:r>
      <w:r>
        <w:rPr>
          <w:color w:val="000000" w:themeColor="text1"/>
        </w:rPr>
        <w:t xml:space="preserve"> </w:t>
      </w:r>
      <w:r w:rsidR="00BD05FF">
        <w:rPr>
          <w:color w:val="000000" w:themeColor="text1"/>
        </w:rPr>
        <w:t>Specifically</w:t>
      </w:r>
      <w:r w:rsidR="001A57FF">
        <w:rPr>
          <w:color w:val="000000" w:themeColor="text1"/>
        </w:rPr>
        <w:t xml:space="preserve">, this paper aims </w:t>
      </w:r>
      <w:r w:rsidR="0064563E">
        <w:rPr>
          <w:color w:val="000000" w:themeColor="text1"/>
        </w:rPr>
        <w:t>to:</w:t>
      </w:r>
      <w:r w:rsidR="001A57FF">
        <w:rPr>
          <w:color w:val="000000" w:themeColor="text1"/>
        </w:rPr>
        <w:t xml:space="preserve"> </w:t>
      </w:r>
      <w:r w:rsidR="001A57FF" w:rsidRPr="004E689E">
        <w:rPr>
          <w:color w:val="000000" w:themeColor="text1"/>
        </w:rPr>
        <w:t>(1)</w:t>
      </w:r>
      <w:r w:rsidR="001A57FF">
        <w:rPr>
          <w:color w:val="000000" w:themeColor="text1"/>
        </w:rPr>
        <w:t xml:space="preserve"> </w:t>
      </w:r>
      <w:r w:rsidR="001A57FF" w:rsidRPr="004E689E">
        <w:rPr>
          <w:color w:val="000000" w:themeColor="text1"/>
        </w:rPr>
        <w:t>measure and calculate the real-time electrical power consumption of buildin</w:t>
      </w:r>
      <w:r w:rsidR="00DE6AD6">
        <w:rPr>
          <w:color w:val="000000" w:themeColor="text1"/>
        </w:rPr>
        <w:t>g room’s</w:t>
      </w:r>
      <w:r w:rsidR="001A57FF" w:rsidRPr="004E689E">
        <w:rPr>
          <w:color w:val="000000" w:themeColor="text1"/>
        </w:rPr>
        <w:t xml:space="preserve"> air-conditioning units</w:t>
      </w:r>
      <w:r w:rsidR="001A57FF">
        <w:rPr>
          <w:color w:val="000000" w:themeColor="text1"/>
        </w:rPr>
        <w:t xml:space="preserve"> and indoor </w:t>
      </w:r>
      <w:r w:rsidR="004C4043">
        <w:rPr>
          <w:color w:val="000000" w:themeColor="text1"/>
        </w:rPr>
        <w:t>dry bulb temperature, relative humidity,</w:t>
      </w:r>
      <w:r w:rsidR="001A57FF">
        <w:rPr>
          <w:color w:val="000000" w:themeColor="text1"/>
        </w:rPr>
        <w:t xml:space="preserve"> and </w:t>
      </w:r>
      <w:r w:rsidR="00E77A0C">
        <w:rPr>
          <w:color w:val="000000" w:themeColor="text1"/>
        </w:rPr>
        <w:t>carbon dioxide (</w:t>
      </w:r>
      <w:r w:rsidR="005647C7">
        <w:rPr>
          <w:color w:val="000000" w:themeColor="text1"/>
        </w:rPr>
        <w:t>CO</w:t>
      </w:r>
      <w:r w:rsidR="005647C7" w:rsidRPr="005647C7">
        <w:rPr>
          <w:color w:val="000000" w:themeColor="text1"/>
          <w:vertAlign w:val="subscript"/>
        </w:rPr>
        <w:t>2</w:t>
      </w:r>
      <w:r w:rsidR="00E77A0C">
        <w:rPr>
          <w:color w:val="000000" w:themeColor="text1"/>
        </w:rPr>
        <w:t xml:space="preserve">) </w:t>
      </w:r>
      <w:r w:rsidR="001A57FF">
        <w:rPr>
          <w:color w:val="000000" w:themeColor="text1"/>
        </w:rPr>
        <w:t>levels, and (2) d</w:t>
      </w:r>
      <w:r w:rsidR="001A57FF" w:rsidRPr="00923E5E">
        <w:rPr>
          <w:color w:val="000000" w:themeColor="text1"/>
        </w:rPr>
        <w:t>erive a model</w:t>
      </w:r>
      <w:r w:rsidR="00DE6AD6">
        <w:rPr>
          <w:color w:val="000000" w:themeColor="text1"/>
        </w:rPr>
        <w:t xml:space="preserve"> </w:t>
      </w:r>
      <w:r w:rsidR="001A57FF" w:rsidRPr="00923E5E">
        <w:rPr>
          <w:color w:val="000000" w:themeColor="text1"/>
        </w:rPr>
        <w:t>to identify significant relationship</w:t>
      </w:r>
      <w:r w:rsidR="001A57FF">
        <w:rPr>
          <w:color w:val="000000" w:themeColor="text1"/>
        </w:rPr>
        <w:t>s</w:t>
      </w:r>
      <w:r w:rsidR="001A57FF" w:rsidRPr="00923E5E">
        <w:rPr>
          <w:color w:val="000000" w:themeColor="text1"/>
        </w:rPr>
        <w:t xml:space="preserve"> and patterns </w:t>
      </w:r>
      <w:r w:rsidR="001A57FF">
        <w:rPr>
          <w:color w:val="000000" w:themeColor="text1"/>
        </w:rPr>
        <w:t xml:space="preserve">among </w:t>
      </w:r>
      <w:r w:rsidR="001A57FF" w:rsidRPr="00923E5E">
        <w:rPr>
          <w:color w:val="000000" w:themeColor="text1"/>
        </w:rPr>
        <w:t>power</w:t>
      </w:r>
      <w:r w:rsidR="001A57FF">
        <w:rPr>
          <w:color w:val="000000" w:themeColor="text1"/>
        </w:rPr>
        <w:t xml:space="preserve"> and </w:t>
      </w:r>
      <w:r w:rsidR="007A68FF">
        <w:rPr>
          <w:color w:val="000000" w:themeColor="text1"/>
        </w:rPr>
        <w:t xml:space="preserve">the </w:t>
      </w:r>
      <w:proofErr w:type="gramStart"/>
      <w:r w:rsidR="007A68FF">
        <w:rPr>
          <w:color w:val="000000" w:themeColor="text1"/>
        </w:rPr>
        <w:t xml:space="preserve">aforementioned </w:t>
      </w:r>
      <w:r w:rsidR="001A57FF" w:rsidRPr="00923E5E">
        <w:rPr>
          <w:color w:val="000000" w:themeColor="text1"/>
        </w:rPr>
        <w:t>indoor</w:t>
      </w:r>
      <w:proofErr w:type="gramEnd"/>
      <w:r w:rsidR="001A57FF" w:rsidRPr="00923E5E">
        <w:rPr>
          <w:color w:val="000000" w:themeColor="text1"/>
        </w:rPr>
        <w:t xml:space="preserve"> environmental </w:t>
      </w:r>
      <w:r w:rsidR="007A68FF">
        <w:rPr>
          <w:color w:val="000000" w:themeColor="text1"/>
        </w:rPr>
        <w:t xml:space="preserve">and air quality </w:t>
      </w:r>
      <w:r w:rsidR="001A57FF" w:rsidRPr="00923E5E">
        <w:rPr>
          <w:color w:val="000000" w:themeColor="text1"/>
        </w:rPr>
        <w:t>conditions</w:t>
      </w:r>
      <w:r w:rsidR="00DE6AD6">
        <w:rPr>
          <w:color w:val="000000" w:themeColor="text1"/>
        </w:rPr>
        <w:t>.</w:t>
      </w:r>
      <w:r w:rsidR="001A57FF">
        <w:rPr>
          <w:color w:val="000000" w:themeColor="text1"/>
        </w:rPr>
        <w:t xml:space="preserve"> </w:t>
      </w:r>
      <w:r w:rsidR="00964E25">
        <w:rPr>
          <w:color w:val="000000" w:themeColor="text1"/>
        </w:rPr>
        <w:t xml:space="preserve">Input parameters that </w:t>
      </w:r>
      <w:r w:rsidR="00980FCC">
        <w:rPr>
          <w:color w:val="000000" w:themeColor="text1"/>
        </w:rPr>
        <w:t xml:space="preserve">could affects power consumption, as discussed in other </w:t>
      </w:r>
      <w:r w:rsidR="008C4248">
        <w:rPr>
          <w:color w:val="000000" w:themeColor="text1"/>
        </w:rPr>
        <w:t>researches</w:t>
      </w:r>
      <w:r w:rsidR="00980FCC">
        <w:rPr>
          <w:color w:val="000000" w:themeColor="text1"/>
        </w:rPr>
        <w:t xml:space="preserve"> </w:t>
      </w:r>
      <w:r w:rsidR="008C4248">
        <w:rPr>
          <w:color w:val="000000" w:themeColor="text1"/>
        </w:rPr>
        <w:t xml:space="preserve">such as, </w:t>
      </w:r>
      <w:r w:rsidR="00DE6AD6">
        <w:t>building materials (e.g. wall, ceiling, floor, door)</w:t>
      </w:r>
      <w:r w:rsidR="00980FCC">
        <w:rPr>
          <w:color w:val="000000" w:themeColor="text1"/>
        </w:rPr>
        <w:t xml:space="preserve"> </w:t>
      </w:r>
      <w:r w:rsidR="00980FCC">
        <w:fldChar w:fldCharType="begin"/>
      </w:r>
      <w:r w:rsidR="00973D1E">
        <w:instrText xml:space="preserve"> ADDIN ZOTERO_ITEM CSL_CITATION {"citationID":"Rj6FpesH","properties":{"formattedCitation":"[18,19]","plainCitation":"[18,19]","noteIndex":0},"citationItems":[{"id":98,"uris":["http://zotero.org/users/13681048/items/AHHRDYRY"],"itemData":{"id":98,"type":"article-journal","abstract":"Building operations represent a significant percentage of the total primary energy consumed in most countries due to the proliferation of Heating, Ventilation and Air-Conditioning (HVAC) installations in response to the growing demand for improved thermal comfort. Reducing the associated energy consumption while maintaining comfortable conditions in buildings are conflicting objectives and represent a typical optimization problem that requires intelligent system design. Over the last decade, different methodologies based on the Artificial Intelligence (AI) techniques have been deployed to find the sweet spot between energy use in HVAC systems and suitable indoor comfort levels to the occupants. This paper performs a comprehensive and an in-depth systematic review of AI-based techniques used for building control systems by assessing the outputs of these techniques, and their implementations in the reviewed works, as well as investigating their abilities to improve the energy-efficiency, while maintaining thermal comfort conditions. This enables a holistic view of (1) the complexities of delivering thermal comfort to users inside buildings in an energy-efficient way, and (2) the associated bibliographic material to assist researchers and experts in the field in tackling such a challenge. Among the 20 AI tools developed for both energy consumption and comfort control, functions such as identification and recognition patterns, optimization, predictive control. Based on the findings of this work, the application of AI technology in building control is a promising area of research and still an ongoing, i.e., the performance of AI-based control is not yet completely satisfactory. This is mainly due in part to the fact that these algorithms usually need a large amount of high-quality real-world data, which is lacking in the building or, more precisely, the energy sector. Based on the current study, from 1993 to 2020, the application of AI techniques and personalized comfort models has enabled energy savings on average between 21.81 and 44.36%, and comfort improvement on average between 21.67 and 85.77%. Finally, this paper discusses the challenges faced in the use of AI for energy productivity and comfort improvement, and opens main future directions in relation with AI-based building control systems for human comfort and energy-efficiency management.","container-title":"Renewable and Sustainable Energy Reviews","DOI":"10.1016/j.rser.2021.110969","ISSN":"1364-0321","journalAbbreviation":"Renewable and Sustainable Energy Reviews","page":"110969","source":"ScienceDirect","title":"Intelligent building control systems for thermal comfort and energy-efficiency: A systematic review of artificial intelligence-assisted techniques","title-short":"Intelligent building control systems for thermal comfort and energy-efficiency","volume":"144","author":[{"family":"Halhoul Merabet","given":"Ghezlane"},{"family":"Essaaidi","given":"Mohamed"},{"family":"Ben Haddou","given":"Mohamed"},{"family":"Qolomany","given":"Basheer"},{"family":"Qadir","given":"Junaid"},{"family":"Anan","given":"Muhammad"},{"family":"Al-Fuqaha","given":"Ala"},{"family":"Abid","given":"Mohamed Riduan"},{"family":"Benhaddou","given":"Driss"}],"issued":{"date-parts":[["2021",7,1]]}}},{"id":438,"uris":["http://zotero.org/users/13681048/items/YLIC6WG3"],"itemData":{"id":438,"type":"article-journal","abstract":"Cooling load prediction is a critically important technology for ensuring energy conservation in cooling systems. Examples include advance air conditioning control, chiller startup, and controlling the number of chilled water pumps in operation. Many existing load prediction methods are normally arranged into three categories: energy simulation, artificial intelligence, and regression analysis. In contrast to the first two categories, regression analysis is practical and easy to implement in real applications. However, cooling load data always exhibits nonlinear, dynamic features, thus it is very difficult to accurately predict cooling loads with linear regression models. Thus, a multiple nonlinear regression (MNR) model for cooling systems in public buildings was used to accurately predict short term cooling loads in this study. The key variables in the MNR model are selected based on sensitivity analysis, and calibration methods can be used to enhance the prediction accuracy. The prediction process can be divided into three steps. The first step requires determining the weight coefficients on the input variables based on historical load and weather data. Second, the initially predicted load is obtained using the weight coefficients and predicted input variables. Finally, the initially predicted results were calibrated using relative calibration methods. The initial load prediction and final calibration are based on data from the same day, which is taken as a reference. The performance of the established MNR model is validated against a real case in Guangzhou using measured cooling load data and weather data. A case study shows that the accuracy of the final calibrated load is higher than the initially predicted load. The MNR model also produces more accurate results compared with three traditional regression models. The accurate cooling load prediction method can be used as an operation control strategy in real applications.","container-title":"Energy and Buildings","DOI":"10.1016/j.enbuild.2019.05.043","ISSN":"0378-7788","journalAbbreviation":"Energy and Buildings","page":"7-17","source":"ScienceDirect","title":"Cooling load prediction and optimal operation of HVAC systems using a multiple nonlinear regression model","volume":"197","author":[{"family":"Fan","given":"Chengliang"},{"family":"Ding","given":"Yunfei"}],"issued":{"date-parts":[["2019",8,15]]}}}],"schema":"https://github.com/citation-style-language/schema/raw/master/csl-citation.json"} </w:instrText>
      </w:r>
      <w:r w:rsidR="00980FCC">
        <w:fldChar w:fldCharType="separate"/>
      </w:r>
      <w:r w:rsidR="00973D1E">
        <w:t>[18,19]</w:t>
      </w:r>
      <w:r w:rsidR="00980FCC">
        <w:fldChar w:fldCharType="end"/>
      </w:r>
      <w:r w:rsidR="00980FCC">
        <w:t>,</w:t>
      </w:r>
      <w:r w:rsidR="00DE6AD6">
        <w:t xml:space="preserve"> geographical location, geometrical configuration, other sources</w:t>
      </w:r>
      <w:r w:rsidR="0022220D">
        <w:t xml:space="preserve"> and configuration</w:t>
      </w:r>
      <w:r w:rsidR="00A65D82">
        <w:t>s</w:t>
      </w:r>
      <w:r w:rsidR="00DE6AD6">
        <w:t xml:space="preserve"> of energies</w:t>
      </w:r>
      <w:r w:rsidR="00770E71">
        <w:t xml:space="preserve"> </w:t>
      </w:r>
      <w:r w:rsidR="00C906E8">
        <w:fldChar w:fldCharType="begin"/>
      </w:r>
      <w:r w:rsidR="00C906E8">
        <w:instrText xml:space="preserve"> ADDIN ZOTERO_ITEM CSL_CITATION {"citationID":"RoAbLHeY","properties":{"formattedCitation":"[20]","plainCitation":"[20]","noteIndex":0},"citationItems":[{"id":440,"uris":["http://zotero.org/users/13681048/items/IHFT7ZEZ"],"itemData":{"id":440,"type":"article-journal","abstract":"This paper presents a regression-based approach for modeling emerging heating, ventilation, and air-conditioning (HVAC) technologies using the user-defined coil object in the building simulation software EnergyPlus. The approach can use output from HVAC system models or experimental data to create regression-based performance curves, which are then used within the building simulation. The regression approach is an alternative to modeling new HVAC technologies directly in EnergyPlus or performing co-simulation with a system model in a separate program. The proposed approach connects component and system level designs, and their associated performance, with annual energy use and costs in a variety of climates. This study focused on a Vuilleumier-cycle heat pump for a commercial building. We describe (1) the design and modeling of this system, (2) methods for translating this performance into a simplified model in EnergyPlus, and (3) building energy simulation results in United States climate zones 4–6. The results predict that the Vuilleumier-cycle heat pump will use 34 to 44% less source heating energy than an 80% efficient gas furnace, and more source cooling energy than a SEER 13 air conditioner. Total energy costs are lower when electricity prices are high and natural gas prices are low.","container-title":"Energy and Buildings","DOI":"10.1016/j.enbuild.2019.01.008","ISSN":"0378-7788","journalAbbreviation":"Energy and Buildings","page":"195-207","source":"ScienceDirect","title":"Regression-based approach to modeling emerging HVAC technologies in EnergyPlus: A case study using a Vuilleumier-cycle heat pump","title-short":"Regression-based approach to modeling emerging HVAC technologies in EnergyPlus","volume":"186","author":[{"family":"Woods","given":"Jason"},{"family":"Bonnema","given":"Eric"}],"issued":{"date-parts":[["2019",3,1]]}}}],"schema":"https://github.com/citation-style-language/schema/raw/master/csl-citation.json"} </w:instrText>
      </w:r>
      <w:r w:rsidR="00C906E8">
        <w:fldChar w:fldCharType="separate"/>
      </w:r>
      <w:r w:rsidR="00C906E8">
        <w:rPr>
          <w:noProof/>
        </w:rPr>
        <w:t>[20]</w:t>
      </w:r>
      <w:r w:rsidR="00C906E8">
        <w:fldChar w:fldCharType="end"/>
      </w:r>
      <w:r w:rsidR="00DE6AD6">
        <w:t xml:space="preserve"> and electrical loads</w:t>
      </w:r>
      <w:r w:rsidR="00A65D82">
        <w:t xml:space="preserve"> </w:t>
      </w:r>
      <w:r w:rsidR="00A65D82">
        <w:fldChar w:fldCharType="begin"/>
      </w:r>
      <w:r w:rsidR="00C906E8">
        <w:instrText xml:space="preserve"> ADDIN ZOTERO_ITEM CSL_CITATION {"citationID":"aqAAADBJ","properties":{"formattedCitation":"[21]","plainCitation":"[21]","noteIndex":0},"citationItems":[{"id":431,"uris":["http://zotero.org/users/13681048/items/YMQBKJ9W"],"itemData":{"id":431,"type":"webpage","title":"Study on simplified energy‐efficient control methods of HVAC cooling water system from the global online optimization perspective - Zhao - 2021 - Energy Science &amp; Engineering - Wiley Online Library","URL":"https://onlinelibrary.wiley.com/doi/full/10.1002/ese3.861","accessed":{"date-parts":[["2024",3,14]]}}}],"schema":"https://github.com/citation-style-language/schema/raw/master/csl-citation.json"} </w:instrText>
      </w:r>
      <w:r w:rsidR="00A65D82">
        <w:fldChar w:fldCharType="separate"/>
      </w:r>
      <w:r w:rsidR="00C906E8">
        <w:rPr>
          <w:noProof/>
        </w:rPr>
        <w:t>[21]</w:t>
      </w:r>
      <w:r w:rsidR="00A65D82">
        <w:fldChar w:fldCharType="end"/>
      </w:r>
      <w:r w:rsidR="00DE6AD6">
        <w:t>, occupant-related variables (e.g., comfort index, personal preference), and space control devices (i.e., components and electrical loads accuracy</w:t>
      </w:r>
      <w:r w:rsidR="00591FAB">
        <w:t xml:space="preserve">) </w:t>
      </w:r>
      <w:r w:rsidR="00591FAB">
        <w:fldChar w:fldCharType="begin"/>
      </w:r>
      <w:r w:rsidR="00C906E8">
        <w:instrText xml:space="preserve"> ADDIN ZOTERO_ITEM CSL_CITATION {"citationID":"rQvuJNR9","properties":{"formattedCitation":"[22]","plainCitation":"[22]","noteIndex":0},"citationItems":[{"id":426,"uris":["http://zotero.org/users/13681048/items/EUITNZD4"],"itemData":{"id":426,"type":"article-journal","abstract":"Optimizing energy consumption in buildings is a signiﬁcant challenge in today’s society. A major part of energy consumption is in heating, ventilation and air conditioning (HVAC) systems. In this paper, the aim is to reduce the energy consumption of air handling units (AHU) by applying optimal control. This system used in this study has four AHUs, all of which are assumed to be the same. Due to the uncertainty of the temperature of the heat exchanger’s (H/E) inlet and outlet water, a model of the system was ﬁrst made using its hypothetical capacity according to the ASHRAE standards. The inlet and outlet water temperatures are calculated using simulated and real data. In order to increase the model’s accuracy and facilitate implementation on a real system, the data obtained is used to train a dynamic recurrent neural network (RNN) for the H/E. Furthermore, to increase the system’s stability and bolster its response to disturbances, which change system parameters over time and reduce the accuracy of neural network models, an online recursive least squares (RLS-based) adaptive constrained generalized predictive controller (AGPC) is used to control its outlet air temperature. The AGPC attempts to minimize the computational load and estimates the transfer function by using continuously updated input-output data from the model; this model has fewer parameters than the RNN model. Finally, the power consumption of the H/E is calculated. The outlet humidity and airﬂow are controlled using an optimal controller to minimize energy consumption. The results show a reduction in the energy consumption of 54.95% with respect to the previous work and of 69.9% compared to the dataset from the real system.","container-title":"IEEE Access","DOI":"10.1109/ACCESS.2022.3177660","ISSN":"2169-3536","journalAbbreviation":"IEEE Access","language":"en","page":"56578-56590","source":"DOI.org (Crossref)","title":"Energy Optimization of Air Handling Units Using Constrained Predictive Controllers Based on Dynamic Neural Networks","volume":"10","author":[{"family":"Asvadi-Kermani","given":"Omid"},{"family":"Momeni","given":"Hamidreza"},{"family":"Justo","given":"Andrea"},{"family":"Guerrero","given":"Josep M."},{"family":"Vasquez","given":"Juan C."},{"family":"Rodriguez","given":"Jose"},{"family":"Khan","given":"Baseem"}],"issued":{"date-parts":[["2022"]]}}}],"schema":"https://github.com/citation-style-language/schema/raw/master/csl-citation.json"} </w:instrText>
      </w:r>
      <w:r w:rsidR="00591FAB">
        <w:fldChar w:fldCharType="separate"/>
      </w:r>
      <w:r w:rsidR="00C906E8">
        <w:rPr>
          <w:noProof/>
        </w:rPr>
        <w:t>[22]</w:t>
      </w:r>
      <w:r w:rsidR="00591FAB">
        <w:fldChar w:fldCharType="end"/>
      </w:r>
      <w:r w:rsidR="00DE6AD6">
        <w:t xml:space="preserve">, and other disturbances, such as outdoor weather </w:t>
      </w:r>
      <w:r w:rsidR="00E21266">
        <w:fldChar w:fldCharType="begin"/>
      </w:r>
      <w:r w:rsidR="00C906E8">
        <w:instrText xml:space="preserve"> ADDIN ZOTERO_ITEM CSL_CITATION {"citationID":"Pa7Fvu2A","properties":{"formattedCitation":"[23]","plainCitation":"[23]","noteIndex":0},"citationItems":[{"id":430,"uris":["http://zotero.org/users/13681048/items/QZEK5IDW"],"itemData":{"id":430,"type":"article-journal","container-title":"Journal of Building Engineering","DOI":"10.1016/j.jobe.2019.101078","ISSN":"23527102","journalAbbreviation":"Journal of Building Engineering","language":"en","page":"101078","source":"DOI.org (Crossref)","title":"A metamodeling method to study the nonlinearity of building thermal behavior","volume":"28","author":[{"family":"Jaffal","given":"Issa"},{"family":"Inard","given":"Christian"}],"issued":{"date-parts":[["2020",3]]}}}],"schema":"https://github.com/citation-style-language/schema/raw/master/csl-citation.json"} </w:instrText>
      </w:r>
      <w:r w:rsidR="00E21266">
        <w:fldChar w:fldCharType="separate"/>
      </w:r>
      <w:r w:rsidR="00C906E8">
        <w:rPr>
          <w:noProof/>
        </w:rPr>
        <w:t>[23]</w:t>
      </w:r>
      <w:r w:rsidR="00E21266">
        <w:fldChar w:fldCharType="end"/>
      </w:r>
      <w:r w:rsidR="00DE6AD6">
        <w:t xml:space="preserve">– parameters affecting thermal comfort will not be </w:t>
      </w:r>
      <w:r w:rsidR="00DE559A">
        <w:t xml:space="preserve">considered </w:t>
      </w:r>
      <w:r w:rsidR="008C3A02">
        <w:t>in this paper</w:t>
      </w:r>
      <w:r w:rsidR="00DE6AD6">
        <w:rPr>
          <w:color w:val="000000" w:themeColor="text1"/>
        </w:rPr>
        <w:t xml:space="preserve">. </w:t>
      </w:r>
      <w:r w:rsidR="009A43F1">
        <w:rPr>
          <w:color w:val="000000" w:themeColor="text1"/>
        </w:rPr>
        <w:t xml:space="preserve">Related to this, the characteristics and quality of supplied power of the electric distributor nor standby generator set, as presented in </w:t>
      </w:r>
      <w:r w:rsidR="00767D7B">
        <w:fldChar w:fldCharType="begin"/>
      </w:r>
      <w:r w:rsidR="00C906E8">
        <w:instrText xml:space="preserve"> ADDIN ZOTERO_ITEM CSL_CITATION {"citationID":"aHtxMvlq","properties":{"formattedCitation":"[24]","plainCitation":"[24]","noteIndex":0},"citationItems":[{"id":392,"uris":["http://zotero.org/users/13681048/items/J9UVCBVS"],"itemData":{"id":392,"type":"paper-conference","abstract":"This article presents an analysis of the electricity consumption modes of a public service building, against the IEEE 1459 standard. The essential role of the IEEE 1459 standard is to present the definitions and understandings for evaluating the quality of electric power consumption; for the design of measuring instruments; for the development of measuring methods and algorithms. The main task of the research is to check the quality indicators of electric energy for end users at low voltage level (U = 400V) in electrical power supply system of public buildings. The object of the study is the internal electric power supply system of the campus of the Technical University - Varna, Bulgaria. The results of the research can be used in the analysis of other similar public buildings.","container-title":"2023 18th Conference on Electrical Machines, Drives and Power Systems (ELMA)","DOI":"10.1109/ELMA58392.2023.10202448","event-place":"Varna, Bulgaria","event-title":"2023 18th Conference on Electrical Machines, Drives and Power Systems (ELMA)","ISBN":"9798350311273","language":"en","page":"1-5","publisher":"IEEE","publisher-place":"Varna, Bulgaria","source":"DOI.org (Crossref)","title":"Study on Power Consumption Modes and Power Quality According to IEEE1459 Standard in the Electric Power Supply Systems Of Public Buildings","URL":"https://ieeexplore.ieee.org/document/10202448/","author":[{"family":"Gyurov","given":"Valentin"},{"family":"Duganov","given":"Milen"}],"accessed":{"date-parts":[["2024",3,10]]},"issued":{"date-parts":[["2023",6,29]]}}}],"schema":"https://github.com/citation-style-language/schema/raw/master/csl-citation.json"} </w:instrText>
      </w:r>
      <w:r w:rsidR="00767D7B">
        <w:fldChar w:fldCharType="separate"/>
      </w:r>
      <w:r w:rsidR="00C906E8">
        <w:t>[24]</w:t>
      </w:r>
      <w:r w:rsidR="00767D7B">
        <w:fldChar w:fldCharType="end"/>
      </w:r>
      <w:r w:rsidR="009A43F1">
        <w:rPr>
          <w:color w:val="000000" w:themeColor="text1"/>
        </w:rPr>
        <w:t xml:space="preserve"> will not be </w:t>
      </w:r>
      <w:r w:rsidR="00DE559A">
        <w:rPr>
          <w:color w:val="000000" w:themeColor="text1"/>
        </w:rPr>
        <w:t>covered</w:t>
      </w:r>
      <w:r w:rsidR="009A43F1">
        <w:rPr>
          <w:color w:val="000000" w:themeColor="text1"/>
        </w:rPr>
        <w:t xml:space="preserve"> in this paper. </w:t>
      </w:r>
      <w:r w:rsidR="00DD1E80" w:rsidRPr="00DD1E80">
        <w:rPr>
          <w:color w:val="000000" w:themeColor="text1"/>
        </w:rPr>
        <w:lastRenderedPageBreak/>
        <w:t xml:space="preserve">This research undertaking and direction can help practice and promote energy sustainability of an organization, specifically its Building Management and Energy Management Teams </w:t>
      </w:r>
      <w:r w:rsidR="00DD1E80">
        <w:rPr>
          <w:color w:val="000000" w:themeColor="text1"/>
        </w:rPr>
        <w:t>implement b</w:t>
      </w:r>
      <w:r w:rsidR="00DD1E80" w:rsidRPr="00DD1E80">
        <w:rPr>
          <w:color w:val="000000" w:themeColor="text1"/>
        </w:rPr>
        <w:t>ehavioral change among all building occupants, tenants, and guests</w:t>
      </w:r>
      <w:r w:rsidR="002F3422">
        <w:rPr>
          <w:color w:val="000000" w:themeColor="text1"/>
        </w:rPr>
        <w:t>, and o</w:t>
      </w:r>
      <w:r w:rsidR="00DD1E80" w:rsidRPr="00DD1E80">
        <w:rPr>
          <w:color w:val="000000" w:themeColor="text1"/>
        </w:rPr>
        <w:t>bjective use of data to practice efficient electricity consumption performance and improvements</w:t>
      </w:r>
      <w:r w:rsidR="00F61BC7">
        <w:rPr>
          <w:color w:val="000000" w:themeColor="text1"/>
        </w:rPr>
        <w:t>.</w:t>
      </w:r>
      <w:r w:rsidR="00527B1F" w:rsidRPr="009E2FFB">
        <w:rPr>
          <w:color w:val="FF0000"/>
        </w:rPr>
        <w:t xml:space="preserve"> </w:t>
      </w:r>
    </w:p>
    <w:p w14:paraId="20704FCF" w14:textId="3E1B612B" w:rsidR="00211741" w:rsidRDefault="00DD4F5D" w:rsidP="00FB03C7">
      <w:pPr>
        <w:pStyle w:val="MDPI21heading1"/>
      </w:pPr>
      <w:r w:rsidRPr="00FA04F1">
        <w:rPr>
          <w:lang w:eastAsia="zh-CN"/>
        </w:rPr>
        <w:t xml:space="preserve">2. </w:t>
      </w:r>
      <w:r w:rsidRPr="00FA04F1">
        <w:t>Materials and Methods</w:t>
      </w:r>
    </w:p>
    <w:p w14:paraId="06230A84" w14:textId="77777777" w:rsidR="00B9352E" w:rsidRDefault="00FB03C7" w:rsidP="00FB03C7">
      <w:pPr>
        <w:pStyle w:val="MDPI31text"/>
      </w:pPr>
      <w:r w:rsidRPr="00FB03C7">
        <w:t>Energy consumption studies include two phases: data collection and profiling and data modeling. Figure 1 shows the beginning phase of creating suitable electrical power, indoor temperature, and air quality monitoring devices. These systems are essential for collecting real-time power consumption, indoor temperature and humidity, and CO</w:t>
      </w:r>
      <w:r w:rsidRPr="00FC3C96">
        <w:rPr>
          <w:vertAlign w:val="subscript"/>
        </w:rPr>
        <w:t xml:space="preserve">2 </w:t>
      </w:r>
      <w:r w:rsidRPr="00FB03C7">
        <w:t xml:space="preserve">levels. Following parameters will determine the dependent variables for the system model reflecting their impact on ACU electrical power consumption: In addition to data collection devices, network setups allow monitoring devices to be connected, data stored, and accessed as needed. </w:t>
      </w:r>
    </w:p>
    <w:p w14:paraId="2734E574" w14:textId="77777777" w:rsidR="00B9352E" w:rsidRDefault="00B9352E" w:rsidP="00FB03C7">
      <w:pPr>
        <w:pStyle w:val="MDPI31text"/>
      </w:pPr>
    </w:p>
    <w:p w14:paraId="628B2579" w14:textId="45CDCE80" w:rsidR="00B9352E" w:rsidRDefault="008F6AA0" w:rsidP="00B9352E">
      <w:pPr>
        <w:pStyle w:val="MDPI31text"/>
        <w:ind w:hanging="56"/>
      </w:pPr>
      <w:r w:rsidRPr="008F6AA0">
        <w:rPr>
          <w:noProof/>
        </w:rPr>
        <w:drawing>
          <wp:inline distT="0" distB="0" distL="0" distR="0" wp14:anchorId="0377E6E3" wp14:editId="47222ACB">
            <wp:extent cx="4949874" cy="2414326"/>
            <wp:effectExtent l="0" t="0" r="3175" b="0"/>
            <wp:docPr id="7433841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384188" name=""/>
                    <pic:cNvPicPr/>
                  </pic:nvPicPr>
                  <pic:blipFill>
                    <a:blip r:embed="rId9"/>
                    <a:stretch>
                      <a:fillRect/>
                    </a:stretch>
                  </pic:blipFill>
                  <pic:spPr>
                    <a:xfrm>
                      <a:off x="0" y="0"/>
                      <a:ext cx="4982422" cy="2430201"/>
                    </a:xfrm>
                    <a:prstGeom prst="rect">
                      <a:avLst/>
                    </a:prstGeom>
                  </pic:spPr>
                </pic:pic>
              </a:graphicData>
            </a:graphic>
          </wp:inline>
        </w:drawing>
      </w:r>
    </w:p>
    <w:p w14:paraId="0884E007" w14:textId="77777777" w:rsidR="003F7AAC" w:rsidRDefault="00B9352E" w:rsidP="003F7AAC">
      <w:pPr>
        <w:pStyle w:val="MDPI51figurecaption"/>
      </w:pPr>
      <w:r w:rsidRPr="00FA04F1">
        <w:rPr>
          <w:b/>
        </w:rPr>
        <w:t xml:space="preserve">Figure 1. </w:t>
      </w:r>
      <w:r>
        <w:t>Framework for Power Consumption Analysis Based on Indoor Thermal Condition and Air Quality.</w:t>
      </w:r>
    </w:p>
    <w:p w14:paraId="517066B1" w14:textId="408A61E2" w:rsidR="00C04CC4" w:rsidRDefault="00FB03C7" w:rsidP="003F7AAC">
      <w:pPr>
        <w:pStyle w:val="MDPI51figurecaption"/>
      </w:pPr>
      <w:r w:rsidRPr="00FB03C7">
        <w:rPr>
          <w:snapToGrid w:val="0"/>
          <w:sz w:val="20"/>
          <w:szCs w:val="22"/>
        </w:rPr>
        <w:t xml:space="preserve">Phase 2 analyzes </w:t>
      </w:r>
      <w:r w:rsidR="007A132D">
        <w:rPr>
          <w:snapToGrid w:val="0"/>
          <w:sz w:val="20"/>
          <w:szCs w:val="22"/>
        </w:rPr>
        <w:t xml:space="preserve">data gathered from </w:t>
      </w:r>
      <w:r w:rsidRPr="00FB03C7">
        <w:rPr>
          <w:snapToGrid w:val="0"/>
          <w:sz w:val="20"/>
          <w:szCs w:val="22"/>
        </w:rPr>
        <w:t xml:space="preserve">Phase 1, using energy audit findings to compare with the model. Electrical schematics, past electricity billings, appliance electrical requirements, and external temperature and humidity are examined in audit reports. Phase 1 data will be utilized to assess electrical usage, indoor and outdoor temperature and humidity, </w:t>
      </w:r>
      <w:proofErr w:type="gramStart"/>
      <w:r w:rsidRPr="00FB03C7">
        <w:rPr>
          <w:snapToGrid w:val="0"/>
          <w:sz w:val="20"/>
          <w:szCs w:val="22"/>
        </w:rPr>
        <w:t>humidity</w:t>
      </w:r>
      <w:proofErr w:type="gramEnd"/>
      <w:r w:rsidRPr="00FB03C7">
        <w:rPr>
          <w:snapToGrid w:val="0"/>
          <w:sz w:val="20"/>
          <w:szCs w:val="22"/>
        </w:rPr>
        <w:t xml:space="preserve"> </w:t>
      </w:r>
      <w:r w:rsidR="002D52B2">
        <w:rPr>
          <w:snapToGrid w:val="0"/>
          <w:sz w:val="20"/>
          <w:szCs w:val="22"/>
        </w:rPr>
        <w:t xml:space="preserve">and </w:t>
      </w:r>
      <w:r w:rsidRPr="00FB03C7">
        <w:rPr>
          <w:snapToGrid w:val="0"/>
          <w:sz w:val="20"/>
          <w:szCs w:val="22"/>
        </w:rPr>
        <w:t xml:space="preserve">heat </w:t>
      </w:r>
      <w:proofErr w:type="spellStart"/>
      <w:r w:rsidRPr="00FB03C7">
        <w:rPr>
          <w:snapToGrid w:val="0"/>
          <w:sz w:val="20"/>
          <w:szCs w:val="22"/>
        </w:rPr>
        <w:t>inde</w:t>
      </w:r>
      <w:r w:rsidR="002D52B2">
        <w:rPr>
          <w:snapToGrid w:val="0"/>
          <w:sz w:val="20"/>
          <w:szCs w:val="22"/>
        </w:rPr>
        <w:t>ces</w:t>
      </w:r>
      <w:proofErr w:type="spellEnd"/>
      <w:r w:rsidRPr="00FB03C7">
        <w:rPr>
          <w:snapToGrid w:val="0"/>
          <w:sz w:val="20"/>
          <w:szCs w:val="22"/>
        </w:rPr>
        <w:t>, and air quality. Multiple regression modeling</w:t>
      </w:r>
      <w:r w:rsidR="00942C8A">
        <w:rPr>
          <w:snapToGrid w:val="0"/>
          <w:sz w:val="20"/>
          <w:szCs w:val="22"/>
        </w:rPr>
        <w:t xml:space="preserve">, including linear (i.e., </w:t>
      </w:r>
      <w:r w:rsidRPr="00FB03C7">
        <w:rPr>
          <w:snapToGrid w:val="0"/>
          <w:sz w:val="20"/>
          <w:szCs w:val="22"/>
        </w:rPr>
        <w:t>curve fitting</w:t>
      </w:r>
      <w:r w:rsidR="00942C8A">
        <w:rPr>
          <w:snapToGrid w:val="0"/>
          <w:sz w:val="20"/>
          <w:szCs w:val="22"/>
        </w:rPr>
        <w:t>) and non-linear (i.e., neural network fitting)</w:t>
      </w:r>
      <w:r w:rsidRPr="00FB03C7">
        <w:rPr>
          <w:snapToGrid w:val="0"/>
          <w:sz w:val="20"/>
          <w:szCs w:val="22"/>
        </w:rPr>
        <w:t xml:space="preserve"> methods will be used in this investigation. Regression analysis indicates elements that may </w:t>
      </w:r>
      <w:r w:rsidR="00942C8A">
        <w:rPr>
          <w:snapToGrid w:val="0"/>
          <w:sz w:val="20"/>
          <w:szCs w:val="22"/>
        </w:rPr>
        <w:t xml:space="preserve">significantly </w:t>
      </w:r>
      <w:r w:rsidRPr="00FB03C7">
        <w:rPr>
          <w:snapToGrid w:val="0"/>
          <w:sz w:val="20"/>
          <w:szCs w:val="22"/>
        </w:rPr>
        <w:t>increase power usage.</w:t>
      </w:r>
    </w:p>
    <w:p w14:paraId="2435C87A" w14:textId="0E508778" w:rsidR="00C06949" w:rsidRDefault="00946271" w:rsidP="00C06949">
      <w:pPr>
        <w:pStyle w:val="MDPI22heading2"/>
        <w:spacing w:before="240"/>
      </w:pPr>
      <w:r>
        <w:t>2</w:t>
      </w:r>
      <w:r w:rsidRPr="001F31D1">
        <w:t xml:space="preserve">.1. </w:t>
      </w:r>
      <w:r w:rsidR="00751728" w:rsidRPr="00751728">
        <w:t xml:space="preserve">Electrical Power </w:t>
      </w:r>
      <w:r w:rsidR="0021090A">
        <w:t xml:space="preserve">and </w:t>
      </w:r>
      <w:r w:rsidR="0021090A" w:rsidRPr="00032633">
        <w:t xml:space="preserve">Indoor Air Quality Monitoring </w:t>
      </w:r>
      <w:r w:rsidR="00751728" w:rsidRPr="00751728">
        <w:t xml:space="preserve">Monitoring System Network </w:t>
      </w:r>
    </w:p>
    <w:p w14:paraId="329AD8EE" w14:textId="604DF0CE" w:rsidR="00FB03C7" w:rsidRPr="00FB03C7" w:rsidRDefault="00FB03C7" w:rsidP="00776DA8">
      <w:pPr>
        <w:pStyle w:val="MDPI31text"/>
        <w:rPr>
          <w:color w:val="000000" w:themeColor="text1"/>
        </w:rPr>
      </w:pPr>
      <w:r w:rsidRPr="00FB03C7">
        <w:rPr>
          <w:color w:val="000000" w:themeColor="text1"/>
        </w:rPr>
        <w:t>Building power consumption is measured, recorded, and tracked by an energy consumption monitoring system. Each floor's air conditioning and ventilating electrical distribution panel connects to its power submetering component. Remote power consumption sub-metering modules employ Arduino Mega 2560</w:t>
      </w:r>
      <w:r>
        <w:rPr>
          <w:color w:val="000000" w:themeColor="text1"/>
        </w:rPr>
        <w:t xml:space="preserve"> </w:t>
      </w:r>
      <w:r w:rsidR="00767D7B">
        <w:fldChar w:fldCharType="begin"/>
      </w:r>
      <w:r w:rsidR="00C906E8">
        <w:instrText xml:space="preserve"> ADDIN ZOTERO_ITEM CSL_CITATION {"citationID":"64tkT6MF","properties":{"formattedCitation":"[25]","plainCitation":"[25]","noteIndex":0},"citationItems":[{"id":95,"uris":["http://zotero.org/users/13681048/items/G6XLV5M9"],"itemData":{"id":95,"type":"webpage","title":"Mega 2560 Rev3 | Arduino Documentation","URL":"https://docs.arduino.cc/hardware/mega-2560/","accessed":{"date-parts":[["2024",3,3]]}}}],"schema":"https://github.com/citation-style-language/schema/raw/master/csl-citation.json"} </w:instrText>
      </w:r>
      <w:r w:rsidR="00767D7B">
        <w:fldChar w:fldCharType="separate"/>
      </w:r>
      <w:r w:rsidR="00C906E8">
        <w:t>[25]</w:t>
      </w:r>
      <w:r w:rsidR="00767D7B">
        <w:fldChar w:fldCharType="end"/>
      </w:r>
      <w:r w:rsidRPr="00FB03C7">
        <w:rPr>
          <w:color w:val="000000" w:themeColor="text1"/>
        </w:rPr>
        <w:t xml:space="preserve"> connected to a Raspberry Pi 3B+ over a </w:t>
      </w:r>
      <w:r w:rsidR="00B82B5D">
        <w:rPr>
          <w:color w:val="000000" w:themeColor="text1"/>
        </w:rPr>
        <w:t>Local Area Network (</w:t>
      </w:r>
      <w:r w:rsidRPr="00FB03C7">
        <w:rPr>
          <w:color w:val="000000" w:themeColor="text1"/>
        </w:rPr>
        <w:t>LAN</w:t>
      </w:r>
      <w:r w:rsidR="00B82B5D">
        <w:rPr>
          <w:color w:val="000000" w:themeColor="text1"/>
        </w:rPr>
        <w:t>)</w:t>
      </w:r>
      <w:r w:rsidRPr="00FB03C7">
        <w:rPr>
          <w:color w:val="000000" w:themeColor="text1"/>
        </w:rPr>
        <w:t>. Circuit breaker power consumption, room temperature, humidity, and CO</w:t>
      </w:r>
      <w:r w:rsidRPr="00B82B5D">
        <w:rPr>
          <w:color w:val="000000" w:themeColor="text1"/>
          <w:vertAlign w:val="subscript"/>
        </w:rPr>
        <w:t>2</w:t>
      </w:r>
      <w:r w:rsidRPr="00FB03C7">
        <w:rPr>
          <w:color w:val="000000" w:themeColor="text1"/>
        </w:rPr>
        <w:t xml:space="preserve"> gas sensors are measured in real time. Each floor's electrical distribution panel has a circuit breaker for each network appliance (ACU, outlets, lighting). In Indoor Air Quality (IAQ) monitoring modules, Si7021 sensors measure temperature and humidity while CCS811 sensors measure CO</w:t>
      </w:r>
      <w:r w:rsidRPr="00B4115B">
        <w:rPr>
          <w:color w:val="000000" w:themeColor="text1"/>
          <w:vertAlign w:val="subscript"/>
        </w:rPr>
        <w:t>2</w:t>
      </w:r>
      <w:r w:rsidRPr="00FB03C7">
        <w:rPr>
          <w:color w:val="000000" w:themeColor="text1"/>
        </w:rPr>
        <w:t xml:space="preserve">. IAQ monitors will only be deployed in defined places because outdoor environmental variables (temperature, </w:t>
      </w:r>
      <w:r w:rsidRPr="00FB03C7">
        <w:rPr>
          <w:color w:val="000000" w:themeColor="text1"/>
        </w:rPr>
        <w:lastRenderedPageBreak/>
        <w:t>humidity, CO</w:t>
      </w:r>
      <w:r w:rsidRPr="00B4115B">
        <w:rPr>
          <w:color w:val="000000" w:themeColor="text1"/>
          <w:vertAlign w:val="subscript"/>
        </w:rPr>
        <w:t>2</w:t>
      </w:r>
      <w:r w:rsidRPr="00FB03C7">
        <w:rPr>
          <w:color w:val="000000" w:themeColor="text1"/>
        </w:rPr>
        <w:t xml:space="preserve"> levels) vary less than indoor circumstances. Each RPi board has a 5V/2.5A DC supply.</w:t>
      </w:r>
      <w:r w:rsidR="00B82B5D">
        <w:rPr>
          <w:color w:val="000000" w:themeColor="text1"/>
        </w:rPr>
        <w:t xml:space="preserve"> </w:t>
      </w:r>
      <w:r w:rsidRPr="00FB03C7">
        <w:rPr>
          <w:color w:val="000000" w:themeColor="text1"/>
        </w:rPr>
        <w:t>Web development requires installing a LAMP (Linux, Apache, MySQL, and PHP) server on a Raspberry Pi to monitor and track power use every 5 minutes to preserve memory. Apache2 is the most used web server software. The server creates</w:t>
      </w:r>
      <w:r w:rsidR="00B82B5D">
        <w:rPr>
          <w:color w:val="000000" w:themeColor="text1"/>
        </w:rPr>
        <w:t xml:space="preserve"> </w:t>
      </w:r>
      <w:r w:rsidRPr="00FB03C7">
        <w:rPr>
          <w:color w:val="000000" w:themeColor="text1"/>
        </w:rPr>
        <w:t>.html and</w:t>
      </w:r>
      <w:r w:rsidR="00B82B5D">
        <w:rPr>
          <w:color w:val="000000" w:themeColor="text1"/>
        </w:rPr>
        <w:t xml:space="preserve"> </w:t>
      </w:r>
      <w:r w:rsidRPr="00FB03C7">
        <w:rPr>
          <w:color w:val="000000" w:themeColor="text1"/>
        </w:rPr>
        <w:t>.</w:t>
      </w:r>
      <w:proofErr w:type="spellStart"/>
      <w:r w:rsidRPr="00FB03C7">
        <w:rPr>
          <w:color w:val="000000" w:themeColor="text1"/>
        </w:rPr>
        <w:t>php</w:t>
      </w:r>
      <w:proofErr w:type="spellEnd"/>
      <w:r w:rsidRPr="00FB03C7">
        <w:rPr>
          <w:color w:val="000000" w:themeColor="text1"/>
        </w:rPr>
        <w:t xml:space="preserve"> documents based on the requested page. PHP is a server-side language for dynamic web programs. The Raspberry Pi will have Raspbian OS and phpMyAdmin for web-based database management. </w:t>
      </w:r>
      <w:r w:rsidR="00AA176F">
        <w:rPr>
          <w:color w:val="000000" w:themeColor="text1"/>
        </w:rPr>
        <w:t>MATLAB</w:t>
      </w:r>
      <w:r w:rsidR="0064563E">
        <w:rPr>
          <w:color w:val="000000" w:themeColor="text1"/>
        </w:rPr>
        <w:t xml:space="preserve"> </w:t>
      </w:r>
      <w:r w:rsidR="00B82B5D">
        <w:rPr>
          <w:color w:val="000000" w:themeColor="text1"/>
        </w:rPr>
        <w:t xml:space="preserve">is used </w:t>
      </w:r>
      <w:r w:rsidRPr="00FB03C7">
        <w:rPr>
          <w:color w:val="000000" w:themeColor="text1"/>
        </w:rPr>
        <w:t>for data analysis and processing.</w:t>
      </w:r>
    </w:p>
    <w:p w14:paraId="27629D99" w14:textId="6B21154F" w:rsidR="001614C8" w:rsidRDefault="00B82B5D" w:rsidP="00C06949">
      <w:pPr>
        <w:pStyle w:val="MDPI31text"/>
        <w:rPr>
          <w:color w:val="000000" w:themeColor="text1"/>
        </w:rPr>
      </w:pPr>
      <w:r w:rsidRPr="00B82B5D">
        <w:rPr>
          <w:color w:val="000000" w:themeColor="text1"/>
        </w:rPr>
        <w:t xml:space="preserve">Figure 2 illustrates the interconnectedness of the monitoring modules, computer server, database, remote monitoring devices, and LAMP server via a local area network. The data obtained from each power sub-metering module will be linked to both the local server and cloud for the purpose of data modeling, visualization, and analysis.  </w:t>
      </w:r>
    </w:p>
    <w:p w14:paraId="1BE37C38" w14:textId="77777777" w:rsidR="00B82B5D" w:rsidRDefault="00B82B5D" w:rsidP="00C06949">
      <w:pPr>
        <w:pStyle w:val="MDPI31text"/>
        <w:rPr>
          <w:color w:val="FF0000"/>
        </w:rPr>
      </w:pPr>
    </w:p>
    <w:p w14:paraId="0F22D311" w14:textId="5CD2FFF6" w:rsidR="001614C8" w:rsidRDefault="00673FB6" w:rsidP="00673FB6">
      <w:pPr>
        <w:pStyle w:val="MDPI31text"/>
        <w:ind w:hanging="56"/>
        <w:rPr>
          <w:color w:val="FF0000"/>
        </w:rPr>
      </w:pPr>
      <w:r w:rsidRPr="00673FB6">
        <w:rPr>
          <w:noProof/>
          <w:color w:val="FF0000"/>
        </w:rPr>
        <w:drawing>
          <wp:inline distT="0" distB="0" distL="0" distR="0" wp14:anchorId="25B26406" wp14:editId="7C4E7AF5">
            <wp:extent cx="4346956" cy="2320925"/>
            <wp:effectExtent l="0" t="0" r="0" b="3175"/>
            <wp:docPr id="1148595174" name="Picture 1" descr="Diagram of a computer networ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8595174" name="Picture 1" descr="Diagram of a computer network&#10;&#10;Description automatically generated"/>
                    <pic:cNvPicPr/>
                  </pic:nvPicPr>
                  <pic:blipFill>
                    <a:blip r:embed="rId10"/>
                    <a:stretch>
                      <a:fillRect/>
                    </a:stretch>
                  </pic:blipFill>
                  <pic:spPr>
                    <a:xfrm>
                      <a:off x="0" y="0"/>
                      <a:ext cx="4465715" cy="2384333"/>
                    </a:xfrm>
                    <a:prstGeom prst="rect">
                      <a:avLst/>
                    </a:prstGeom>
                  </pic:spPr>
                </pic:pic>
              </a:graphicData>
            </a:graphic>
          </wp:inline>
        </w:drawing>
      </w:r>
    </w:p>
    <w:p w14:paraId="5F1901C0" w14:textId="5E93D0C2" w:rsidR="001614C8" w:rsidRDefault="001614C8" w:rsidP="001614C8">
      <w:pPr>
        <w:pStyle w:val="MDPI51figurecaption"/>
      </w:pPr>
      <w:r w:rsidRPr="00FA04F1">
        <w:rPr>
          <w:b/>
        </w:rPr>
        <w:t xml:space="preserve">Figure </w:t>
      </w:r>
      <w:r w:rsidR="002854A4">
        <w:rPr>
          <w:b/>
        </w:rPr>
        <w:t>2</w:t>
      </w:r>
      <w:r w:rsidRPr="00FA04F1">
        <w:rPr>
          <w:b/>
        </w:rPr>
        <w:t xml:space="preserve">. </w:t>
      </w:r>
      <w:r w:rsidR="00DC0AB7">
        <w:t>Interconnectivity of Data Monitoring Modules and Devices, and Server</w:t>
      </w:r>
      <w:r>
        <w:t>.</w:t>
      </w:r>
    </w:p>
    <w:p w14:paraId="6CBFB0F1" w14:textId="77777777" w:rsidR="00B82B5D" w:rsidRDefault="00B82B5D" w:rsidP="001614C8">
      <w:pPr>
        <w:pStyle w:val="MDPI51figurecaption"/>
        <w:rPr>
          <w:snapToGrid w:val="0"/>
          <w:color w:val="000000" w:themeColor="text1"/>
          <w:sz w:val="20"/>
          <w:szCs w:val="22"/>
        </w:rPr>
      </w:pPr>
      <w:r w:rsidRPr="00B82B5D">
        <w:rPr>
          <w:snapToGrid w:val="0"/>
          <w:color w:val="000000" w:themeColor="text1"/>
          <w:sz w:val="20"/>
          <w:szCs w:val="22"/>
        </w:rPr>
        <w:t>Figure 3 depicts the positioning of these sensors as an example. Typically, two sets of gas sensors would be positioned in the central area of each room, which has an average floor size of 69 </w:t>
      </w:r>
      <w:r>
        <w:rPr>
          <w:snapToGrid w:val="0"/>
          <w:color w:val="000000" w:themeColor="text1"/>
          <w:sz w:val="20"/>
          <w:szCs w:val="22"/>
        </w:rPr>
        <w:t>m</w:t>
      </w:r>
      <w:r>
        <w:rPr>
          <w:snapToGrid w:val="0"/>
          <w:color w:val="000000" w:themeColor="text1"/>
          <w:sz w:val="20"/>
          <w:szCs w:val="22"/>
          <w:vertAlign w:val="superscript"/>
        </w:rPr>
        <w:t>2</w:t>
      </w:r>
      <w:r w:rsidRPr="00B82B5D">
        <w:rPr>
          <w:snapToGrid w:val="0"/>
          <w:color w:val="000000" w:themeColor="text1"/>
          <w:sz w:val="20"/>
          <w:szCs w:val="22"/>
        </w:rPr>
        <w:t>. This arrangement ensures comprehensive coverage of gas dispersion. Conversely, the thermal comfort level sensors, such as those measuring temperature and humidity, will be placed in a location within the room that is not near the ACU vents. Each instructional room is equipped with two (2) 2.5-horsepower split-type inverter air conditioning units.</w:t>
      </w:r>
    </w:p>
    <w:p w14:paraId="3B220DBA" w14:textId="77777777" w:rsidR="00B82B5D" w:rsidRDefault="0004321C" w:rsidP="00B82B5D">
      <w:pPr>
        <w:pStyle w:val="MDPI51figurecaption"/>
      </w:pPr>
      <w:r w:rsidRPr="0004321C">
        <w:rPr>
          <w:noProof/>
        </w:rPr>
        <w:drawing>
          <wp:inline distT="0" distB="0" distL="0" distR="0" wp14:anchorId="0CB7306A" wp14:editId="43E61B4E">
            <wp:extent cx="4961085" cy="2428875"/>
            <wp:effectExtent l="0" t="0" r="5080" b="0"/>
            <wp:docPr id="524901343" name="Picture 1" descr="A diagram of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901343" name="Picture 1" descr="A diagram of a building&#10;&#10;Description automatically generated"/>
                    <pic:cNvPicPr/>
                  </pic:nvPicPr>
                  <pic:blipFill>
                    <a:blip r:embed="rId11"/>
                    <a:stretch>
                      <a:fillRect/>
                    </a:stretch>
                  </pic:blipFill>
                  <pic:spPr>
                    <a:xfrm>
                      <a:off x="0" y="0"/>
                      <a:ext cx="5122708" cy="2508003"/>
                    </a:xfrm>
                    <a:prstGeom prst="rect">
                      <a:avLst/>
                    </a:prstGeom>
                  </pic:spPr>
                </pic:pic>
              </a:graphicData>
            </a:graphic>
          </wp:inline>
        </w:drawing>
      </w:r>
    </w:p>
    <w:p w14:paraId="41A50F1A" w14:textId="542CEBD6" w:rsidR="00E83FF0" w:rsidRDefault="00E83FF0" w:rsidP="00B82B5D">
      <w:pPr>
        <w:pStyle w:val="MDPI51figurecaption"/>
      </w:pPr>
      <w:r w:rsidRPr="00FA04F1">
        <w:rPr>
          <w:b/>
        </w:rPr>
        <w:t xml:space="preserve">Figure </w:t>
      </w:r>
      <w:r>
        <w:rPr>
          <w:b/>
        </w:rPr>
        <w:t>3.</w:t>
      </w:r>
      <w:r w:rsidRPr="00FA04F1">
        <w:rPr>
          <w:b/>
        </w:rPr>
        <w:t xml:space="preserve"> </w:t>
      </w:r>
      <w:r w:rsidR="00A9097A">
        <w:t>Placement of Indoor Thermal and Air Quality Sensors (</w:t>
      </w:r>
      <w:r w:rsidR="00BA0A50">
        <w:t xml:space="preserve">Room </w:t>
      </w:r>
      <w:r w:rsidR="0064563E">
        <w:t>Size:</w:t>
      </w:r>
      <w:r w:rsidR="00BA0A50">
        <w:t xml:space="preserve"> 76 m</w:t>
      </w:r>
      <w:r w:rsidR="00BA0A50" w:rsidRPr="001638E9">
        <w:rPr>
          <w:vertAlign w:val="superscript"/>
        </w:rPr>
        <w:t xml:space="preserve">2 </w:t>
      </w:r>
      <w:r w:rsidR="00BA0A50">
        <w:t>for laboratory room</w:t>
      </w:r>
      <w:r w:rsidR="001638E9">
        <w:t xml:space="preserve">, </w:t>
      </w:r>
      <w:r w:rsidR="00BA0A50">
        <w:t>61m</w:t>
      </w:r>
      <w:r w:rsidR="00BA0A50" w:rsidRPr="001638E9">
        <w:rPr>
          <w:vertAlign w:val="superscript"/>
        </w:rPr>
        <w:t>2</w:t>
      </w:r>
      <w:r w:rsidR="00BA0A50">
        <w:t xml:space="preserve"> for classroom and </w:t>
      </w:r>
      <w:r w:rsidR="001638E9">
        <w:t xml:space="preserve">shared </w:t>
      </w:r>
      <w:r w:rsidR="00BA0A50">
        <w:t>office</w:t>
      </w:r>
      <w:r w:rsidR="001638E9">
        <w:t xml:space="preserve"> space, </w:t>
      </w:r>
      <w:r w:rsidR="00762B88">
        <w:t>15m</w:t>
      </w:r>
      <w:r w:rsidR="00762B88" w:rsidRPr="00762B88">
        <w:rPr>
          <w:vertAlign w:val="superscript"/>
        </w:rPr>
        <w:t>2</w:t>
      </w:r>
      <w:r w:rsidR="00762B88">
        <w:t xml:space="preserve"> for solo office space</w:t>
      </w:r>
      <w:r w:rsidR="001638E9">
        <w:t>)</w:t>
      </w:r>
    </w:p>
    <w:p w14:paraId="0321E0A1" w14:textId="71D63FF7" w:rsidR="00946271" w:rsidRPr="001F31D1" w:rsidRDefault="00D52058" w:rsidP="00946271">
      <w:pPr>
        <w:pStyle w:val="MDPI22heading2"/>
        <w:spacing w:before="240"/>
      </w:pPr>
      <w:r>
        <w:lastRenderedPageBreak/>
        <w:t>2.</w:t>
      </w:r>
      <w:r w:rsidR="006E589B">
        <w:t>2</w:t>
      </w:r>
      <w:r>
        <w:t xml:space="preserve"> </w:t>
      </w:r>
      <w:r w:rsidRPr="00D52058">
        <w:t>Electrical Power Consumption Analysis using</w:t>
      </w:r>
      <w:r w:rsidR="00AD50B4">
        <w:t xml:space="preserve"> </w:t>
      </w:r>
      <w:r>
        <w:t>Polynomial Curve and Neural Fitting</w:t>
      </w:r>
      <w:r w:rsidR="00BB4065">
        <w:t xml:space="preserve"> Techniques</w:t>
      </w:r>
    </w:p>
    <w:p w14:paraId="1825D0F3" w14:textId="4427ED6D" w:rsidR="00514E1A" w:rsidRDefault="00B82B5D" w:rsidP="00F3424F">
      <w:pPr>
        <w:pStyle w:val="MDPI31text"/>
      </w:pPr>
      <w:r w:rsidRPr="00B82B5D">
        <w:t>The ACU usage, indoor temperature, humidity, and CO</w:t>
      </w:r>
      <w:r w:rsidRPr="00B4115B">
        <w:rPr>
          <w:vertAlign w:val="subscript"/>
        </w:rPr>
        <w:t>2</w:t>
      </w:r>
      <w:r w:rsidRPr="00B82B5D">
        <w:t xml:space="preserve"> levels were recorded and documented every five (5) minutes over a duration of five (5) weeks</w:t>
      </w:r>
      <w:r>
        <w:t xml:space="preserve">, </w:t>
      </w:r>
      <w:r w:rsidR="00CA4F3F">
        <w:t xml:space="preserve">at an average outdoor temperature and relative humidity </w:t>
      </w:r>
      <w:r w:rsidR="008713FB">
        <w:t xml:space="preserve">of </w:t>
      </w:r>
      <w:r w:rsidR="0046789F">
        <w:t>28</w:t>
      </w:r>
      <w:r w:rsidR="0046789F">
        <w:sym w:font="Symbol" w:char="F0B0"/>
      </w:r>
      <w:r w:rsidR="00D34E47">
        <w:t>C and 67%, respectively</w:t>
      </w:r>
      <w:r w:rsidR="00DA7E81">
        <w:t xml:space="preserve"> </w:t>
      </w:r>
      <w:r w:rsidR="00767D7B">
        <w:fldChar w:fldCharType="begin"/>
      </w:r>
      <w:r w:rsidR="00C906E8">
        <w:instrText xml:space="preserve"> ADDIN ZOTERO_ITEM CSL_CITATION {"citationID":"PcY0Bt6l","properties":{"unsorted":true,"formattedCitation":"[26]","plainCitation":"[26]","noteIndex":0},"citationItems":[{"id":383,"uris":["http://zotero.org/users/13681048/items/TXWBCZQ4"],"itemData":{"id":383,"type":"webpage","abstract":"Weather reports from February 2024 in Makati, Philippines with highs and lows","language":"en","title":"Weather in February 2024 in Makati, Philippines","URL":"https://www.timeanddate.com/weather/philippines/makati/historic?month=2&amp;year=2024","accessed":{"date-parts":[["2024",3,5]]}}}],"schema":"https://github.com/citation-style-language/schema/raw/master/csl-citation.json"} </w:instrText>
      </w:r>
      <w:r w:rsidR="00767D7B">
        <w:fldChar w:fldCharType="separate"/>
      </w:r>
      <w:r w:rsidR="00C906E8">
        <w:t>[26]</w:t>
      </w:r>
      <w:r w:rsidR="00767D7B">
        <w:fldChar w:fldCharType="end"/>
      </w:r>
      <w:r w:rsidR="000453ED">
        <w:t>.</w:t>
      </w:r>
      <w:r w:rsidR="00CA4F3F">
        <w:t xml:space="preserve"> </w:t>
      </w:r>
      <w:r w:rsidRPr="00B82B5D">
        <w:t>Only data collected during courses or office operations were used for curve fitting and analysis to correlate and model power usage with indoor temperature and air quality conditions. Five rooms with distinct purposes were chosen, including instructional facilities such as a 36-seater lecture room, a laboratory room, and a computer room, as well as office spaces with a maximum capacity of</w:t>
      </w:r>
      <w:r w:rsidR="00660D7D">
        <w:t xml:space="preserve"> fifteen</w:t>
      </w:r>
      <w:r w:rsidRPr="00B82B5D">
        <w:t xml:space="preserve"> </w:t>
      </w:r>
      <w:r w:rsidR="00660D7D">
        <w:t>(</w:t>
      </w:r>
      <w:r w:rsidRPr="00B82B5D">
        <w:t>15</w:t>
      </w:r>
      <w:r w:rsidR="00660D7D">
        <w:t>)</w:t>
      </w:r>
      <w:r w:rsidRPr="00B82B5D">
        <w:t xml:space="preserve"> people and a cubicle room designed for solo use. The operating duration of instructional classrooms normally spans from two (2) to eight (8) hours per day, whereas office spaces are frequently utilized for a period of eight (8) to ten (10) hours per day. During the process of data cleaning and normalization, only the numerical values falling within the specified ranges, as outlined in Equations 1, 2, and 3, were utilized. This was done </w:t>
      </w:r>
      <w:r w:rsidR="0064563E" w:rsidRPr="00B82B5D">
        <w:t>to</w:t>
      </w:r>
      <w:r w:rsidRPr="00B82B5D">
        <w:t xml:space="preserve"> reduce the impact of outliers in sensor readings on the resulting model.</w:t>
      </w:r>
    </w:p>
    <w:tbl>
      <w:tblPr>
        <w:tblW w:w="7862" w:type="dxa"/>
        <w:tblInd w:w="2613" w:type="dxa"/>
        <w:tblCellMar>
          <w:left w:w="0" w:type="dxa"/>
          <w:right w:w="0" w:type="dxa"/>
        </w:tblCellMar>
        <w:tblLook w:val="04A0" w:firstRow="1" w:lastRow="0" w:firstColumn="1" w:lastColumn="0" w:noHBand="0" w:noVBand="1"/>
      </w:tblPr>
      <w:tblGrid>
        <w:gridCol w:w="7431"/>
        <w:gridCol w:w="431"/>
      </w:tblGrid>
      <w:tr w:rsidR="00AA2CDC" w:rsidRPr="00AA2CDC" w14:paraId="589001F7" w14:textId="77777777" w:rsidTr="003F7AAC">
        <w:trPr>
          <w:trHeight w:val="328"/>
        </w:trPr>
        <w:tc>
          <w:tcPr>
            <w:tcW w:w="7431" w:type="dxa"/>
          </w:tcPr>
          <w:p w14:paraId="3CB65A9F" w14:textId="4CBE86EE" w:rsidR="00514E1A" w:rsidRPr="00AA2CDC" w:rsidRDefault="00E43EFC" w:rsidP="004D5142">
            <w:pPr>
              <w:pStyle w:val="MDPI39equation"/>
              <w:rPr>
                <w:color w:val="000000" w:themeColor="text1"/>
              </w:rPr>
            </w:pPr>
            <w:r w:rsidRPr="00AA2CDC">
              <w:rPr>
                <w:color w:val="000000" w:themeColor="text1"/>
              </w:rPr>
              <w:t>P</w:t>
            </w:r>
            <w:r w:rsidR="009629B5" w:rsidRPr="00AA2CDC">
              <w:rPr>
                <w:color w:val="000000" w:themeColor="text1"/>
              </w:rPr>
              <w:t xml:space="preserve"> &gt; 0</w:t>
            </w:r>
          </w:p>
        </w:tc>
        <w:tc>
          <w:tcPr>
            <w:tcW w:w="431" w:type="dxa"/>
            <w:vAlign w:val="center"/>
          </w:tcPr>
          <w:p w14:paraId="3ABF50EA" w14:textId="77777777" w:rsidR="00514E1A" w:rsidRPr="00AA2CDC" w:rsidRDefault="00514E1A" w:rsidP="004D5142">
            <w:pPr>
              <w:pStyle w:val="MDPI3aequationnumber"/>
              <w:spacing w:line="260" w:lineRule="atLeast"/>
              <w:rPr>
                <w:color w:val="000000" w:themeColor="text1"/>
              </w:rPr>
            </w:pPr>
            <w:r w:rsidRPr="00AA2CDC">
              <w:rPr>
                <w:color w:val="000000" w:themeColor="text1"/>
              </w:rPr>
              <w:t>(1)</w:t>
            </w:r>
          </w:p>
        </w:tc>
      </w:tr>
      <w:tr w:rsidR="00AA2CDC" w:rsidRPr="00AA2CDC" w14:paraId="72892F90" w14:textId="77777777" w:rsidTr="00680557">
        <w:trPr>
          <w:trHeight w:val="218"/>
        </w:trPr>
        <w:tc>
          <w:tcPr>
            <w:tcW w:w="7431" w:type="dxa"/>
          </w:tcPr>
          <w:p w14:paraId="799D98C2" w14:textId="1DA79FEF" w:rsidR="00EC5D1B" w:rsidRPr="00AA2CDC" w:rsidRDefault="000B6847" w:rsidP="00EC5D1B">
            <w:pPr>
              <w:pStyle w:val="MDPI39equation"/>
              <w:rPr>
                <w:color w:val="000000" w:themeColor="text1"/>
              </w:rPr>
            </w:pPr>
            <w:r w:rsidRPr="00AA2CDC">
              <w:rPr>
                <w:color w:val="000000" w:themeColor="text1"/>
              </w:rPr>
              <w:t>10</w:t>
            </w:r>
            <w:r w:rsidRPr="00AA2CDC">
              <w:rPr>
                <w:color w:val="000000" w:themeColor="text1"/>
              </w:rPr>
              <w:sym w:font="Symbol" w:char="F0B0"/>
            </w:r>
            <w:r w:rsidRPr="00AA2CDC">
              <w:rPr>
                <w:color w:val="000000" w:themeColor="text1"/>
              </w:rPr>
              <w:t xml:space="preserve">C </w:t>
            </w:r>
            <w:r w:rsidR="00C945DA" w:rsidRPr="00AA2CDC">
              <w:rPr>
                <w:color w:val="000000" w:themeColor="text1"/>
              </w:rPr>
              <w:t>&lt; T</w:t>
            </w:r>
            <w:r w:rsidR="00EC5D1B" w:rsidRPr="00AA2CDC">
              <w:rPr>
                <w:color w:val="000000" w:themeColor="text1"/>
              </w:rPr>
              <w:t xml:space="preserve"> </w:t>
            </w:r>
            <w:r w:rsidRPr="00AA2CDC">
              <w:rPr>
                <w:color w:val="000000" w:themeColor="text1"/>
              </w:rPr>
              <w:t xml:space="preserve">&lt; </w:t>
            </w:r>
            <w:r w:rsidR="00010EA7" w:rsidRPr="00AA2CDC">
              <w:rPr>
                <w:color w:val="000000" w:themeColor="text1"/>
              </w:rPr>
              <w:t>40</w:t>
            </w:r>
            <w:r w:rsidRPr="00AA2CDC">
              <w:rPr>
                <w:color w:val="000000" w:themeColor="text1"/>
              </w:rPr>
              <w:sym w:font="Symbol" w:char="F0B0"/>
            </w:r>
            <w:r w:rsidRPr="00AA2CDC">
              <w:rPr>
                <w:color w:val="000000" w:themeColor="text1"/>
              </w:rPr>
              <w:t>C</w:t>
            </w:r>
          </w:p>
        </w:tc>
        <w:tc>
          <w:tcPr>
            <w:tcW w:w="431" w:type="dxa"/>
            <w:vAlign w:val="center"/>
          </w:tcPr>
          <w:p w14:paraId="2DFA3327" w14:textId="50C131B9" w:rsidR="00EC5D1B" w:rsidRPr="00AA2CDC" w:rsidRDefault="00EC5D1B" w:rsidP="00EC5D1B">
            <w:pPr>
              <w:pStyle w:val="MDPI3aequationnumber"/>
              <w:spacing w:line="260" w:lineRule="atLeast"/>
              <w:rPr>
                <w:color w:val="000000" w:themeColor="text1"/>
              </w:rPr>
            </w:pPr>
            <w:r w:rsidRPr="00AA2CDC">
              <w:rPr>
                <w:color w:val="000000" w:themeColor="text1"/>
              </w:rPr>
              <w:t>(</w:t>
            </w:r>
            <w:r w:rsidR="00AA2CDC">
              <w:rPr>
                <w:color w:val="000000" w:themeColor="text1"/>
              </w:rPr>
              <w:t>2</w:t>
            </w:r>
            <w:r w:rsidRPr="00AA2CDC">
              <w:rPr>
                <w:color w:val="000000" w:themeColor="text1"/>
              </w:rPr>
              <w:t>)</w:t>
            </w:r>
          </w:p>
        </w:tc>
      </w:tr>
      <w:tr w:rsidR="000A31E3" w:rsidRPr="00AA2CDC" w14:paraId="6B3BA7AD" w14:textId="77777777" w:rsidTr="00680557">
        <w:trPr>
          <w:trHeight w:val="218"/>
        </w:trPr>
        <w:tc>
          <w:tcPr>
            <w:tcW w:w="7431" w:type="dxa"/>
          </w:tcPr>
          <w:p w14:paraId="30410C4D" w14:textId="7131BA19" w:rsidR="000A31E3" w:rsidRPr="00AA2CDC" w:rsidRDefault="000A31E3" w:rsidP="000A31E3">
            <w:pPr>
              <w:pStyle w:val="MDPI39equation"/>
              <w:rPr>
                <w:color w:val="000000" w:themeColor="text1"/>
              </w:rPr>
            </w:pPr>
            <w:r>
              <w:rPr>
                <w:color w:val="000000" w:themeColor="text1"/>
              </w:rPr>
              <w:t>20%</w:t>
            </w:r>
            <w:r w:rsidRPr="00AA2CDC">
              <w:rPr>
                <w:color w:val="000000" w:themeColor="text1"/>
              </w:rPr>
              <w:t xml:space="preserve"> &lt; </w:t>
            </w:r>
            <w:r>
              <w:rPr>
                <w:color w:val="000000" w:themeColor="text1"/>
              </w:rPr>
              <w:t>H</w:t>
            </w:r>
            <w:r w:rsidRPr="00AA2CDC">
              <w:rPr>
                <w:color w:val="000000" w:themeColor="text1"/>
              </w:rPr>
              <w:t xml:space="preserve"> &lt; 40</w:t>
            </w:r>
            <w:r w:rsidRPr="00AA2CDC">
              <w:rPr>
                <w:color w:val="000000" w:themeColor="text1"/>
              </w:rPr>
              <w:sym w:font="Symbol" w:char="F0B0"/>
            </w:r>
            <w:r w:rsidRPr="00AA2CDC">
              <w:rPr>
                <w:color w:val="000000" w:themeColor="text1"/>
              </w:rPr>
              <w:t>C</w:t>
            </w:r>
          </w:p>
        </w:tc>
        <w:tc>
          <w:tcPr>
            <w:tcW w:w="431" w:type="dxa"/>
            <w:vAlign w:val="center"/>
          </w:tcPr>
          <w:p w14:paraId="4A81A8F5" w14:textId="4A2E42C7" w:rsidR="000A31E3" w:rsidRPr="00AA2CDC" w:rsidRDefault="000A31E3" w:rsidP="000A31E3">
            <w:pPr>
              <w:pStyle w:val="MDPI3aequationnumber"/>
              <w:spacing w:line="260" w:lineRule="atLeast"/>
              <w:rPr>
                <w:color w:val="000000" w:themeColor="text1"/>
              </w:rPr>
            </w:pPr>
            <w:r w:rsidRPr="00AA2CDC">
              <w:rPr>
                <w:color w:val="000000" w:themeColor="text1"/>
              </w:rPr>
              <w:t>(</w:t>
            </w:r>
            <w:r>
              <w:rPr>
                <w:color w:val="000000" w:themeColor="text1"/>
              </w:rPr>
              <w:t>3</w:t>
            </w:r>
            <w:r w:rsidRPr="00AA2CDC">
              <w:rPr>
                <w:color w:val="000000" w:themeColor="text1"/>
              </w:rPr>
              <w:t>)</w:t>
            </w:r>
          </w:p>
        </w:tc>
      </w:tr>
      <w:tr w:rsidR="000A31E3" w:rsidRPr="00AA2CDC" w14:paraId="56302B75" w14:textId="77777777" w:rsidTr="00680557">
        <w:trPr>
          <w:trHeight w:val="218"/>
        </w:trPr>
        <w:tc>
          <w:tcPr>
            <w:tcW w:w="7431" w:type="dxa"/>
          </w:tcPr>
          <w:p w14:paraId="06D8ED07" w14:textId="3A0DFA2E" w:rsidR="000A31E3" w:rsidRPr="00AA2CDC" w:rsidRDefault="00680557" w:rsidP="000A31E3">
            <w:pPr>
              <w:pStyle w:val="MDPI39equation"/>
              <w:rPr>
                <w:color w:val="000000" w:themeColor="text1"/>
              </w:rPr>
            </w:pPr>
            <w:r>
              <w:rPr>
                <w:color w:val="000000" w:themeColor="text1"/>
              </w:rPr>
              <w:t>0</w:t>
            </w:r>
            <w:r w:rsidR="000A31E3" w:rsidRPr="00AA2CDC">
              <w:rPr>
                <w:color w:val="000000" w:themeColor="text1"/>
              </w:rPr>
              <w:t xml:space="preserve"> &lt; &lt; </w:t>
            </w:r>
            <w:r w:rsidR="006C2C8F">
              <w:rPr>
                <w:color w:val="000000" w:themeColor="text1"/>
              </w:rPr>
              <w:t>4,000ppm</w:t>
            </w:r>
          </w:p>
        </w:tc>
        <w:tc>
          <w:tcPr>
            <w:tcW w:w="431" w:type="dxa"/>
            <w:vAlign w:val="center"/>
          </w:tcPr>
          <w:p w14:paraId="4B09E8AE" w14:textId="373E892D" w:rsidR="000A31E3" w:rsidRPr="00AA2CDC" w:rsidRDefault="000A31E3" w:rsidP="000A31E3">
            <w:pPr>
              <w:pStyle w:val="MDPI3aequationnumber"/>
              <w:spacing w:line="260" w:lineRule="atLeast"/>
              <w:rPr>
                <w:color w:val="000000" w:themeColor="text1"/>
              </w:rPr>
            </w:pPr>
            <w:r w:rsidRPr="00AA2CDC">
              <w:rPr>
                <w:color w:val="000000" w:themeColor="text1"/>
              </w:rPr>
              <w:t>(</w:t>
            </w:r>
            <w:r>
              <w:rPr>
                <w:color w:val="000000" w:themeColor="text1"/>
              </w:rPr>
              <w:t>4</w:t>
            </w:r>
            <w:r w:rsidRPr="00AA2CDC">
              <w:rPr>
                <w:color w:val="000000" w:themeColor="text1"/>
              </w:rPr>
              <w:t>)</w:t>
            </w:r>
          </w:p>
        </w:tc>
      </w:tr>
    </w:tbl>
    <w:p w14:paraId="265FC4EE" w14:textId="726966F9" w:rsidR="00211741" w:rsidRDefault="003F7AAC" w:rsidP="003F7AAC">
      <w:pPr>
        <w:pStyle w:val="MDPI31text"/>
        <w:tabs>
          <w:tab w:val="left" w:pos="2552"/>
        </w:tabs>
        <w:ind w:hanging="56"/>
        <w:rPr>
          <w:color w:val="000000" w:themeColor="text1"/>
        </w:rPr>
      </w:pPr>
      <w:r>
        <w:rPr>
          <w:color w:val="000000" w:themeColor="text1"/>
        </w:rPr>
        <w:tab/>
      </w:r>
      <w:r>
        <w:rPr>
          <w:color w:val="000000" w:themeColor="text1"/>
        </w:rPr>
        <w:tab/>
      </w:r>
      <w:r w:rsidR="00680557" w:rsidRPr="00680557">
        <w:rPr>
          <w:color w:val="000000" w:themeColor="text1"/>
        </w:rPr>
        <w:t>w</w:t>
      </w:r>
      <w:r w:rsidR="009F262F" w:rsidRPr="00680557">
        <w:rPr>
          <w:color w:val="000000" w:themeColor="text1"/>
        </w:rPr>
        <w:t>here P = power</w:t>
      </w:r>
      <w:r w:rsidR="00B866E1">
        <w:rPr>
          <w:color w:val="000000" w:themeColor="text1"/>
        </w:rPr>
        <w:t xml:space="preserve"> consumed in kWh</w:t>
      </w:r>
      <w:r w:rsidR="00594E85" w:rsidRPr="00680557">
        <w:rPr>
          <w:color w:val="000000" w:themeColor="text1"/>
        </w:rPr>
        <w:t>, T = dry bulb temperature</w:t>
      </w:r>
      <w:r w:rsidR="00E36F86">
        <w:rPr>
          <w:color w:val="000000" w:themeColor="text1"/>
        </w:rPr>
        <w:t xml:space="preserve"> in </w:t>
      </w:r>
      <w:r w:rsidR="00E36F86" w:rsidRPr="00AA2CDC">
        <w:rPr>
          <w:color w:val="000000" w:themeColor="text1"/>
        </w:rPr>
        <w:sym w:font="Symbol" w:char="F0B0"/>
      </w:r>
      <w:r w:rsidR="00E36F86" w:rsidRPr="00AA2CDC">
        <w:rPr>
          <w:color w:val="000000" w:themeColor="text1"/>
        </w:rPr>
        <w:t>C</w:t>
      </w:r>
      <w:r w:rsidR="00594E85" w:rsidRPr="00680557">
        <w:rPr>
          <w:color w:val="000000" w:themeColor="text1"/>
        </w:rPr>
        <w:t xml:space="preserve">, </w:t>
      </w:r>
      <w:r w:rsidR="008648D9" w:rsidRPr="00680557">
        <w:rPr>
          <w:color w:val="000000" w:themeColor="text1"/>
        </w:rPr>
        <w:t>and</w:t>
      </w:r>
      <w:r w:rsidR="000A31E3" w:rsidRPr="00680557">
        <w:rPr>
          <w:color w:val="000000" w:themeColor="text1"/>
        </w:rPr>
        <w:t xml:space="preserve"> </w:t>
      </w:r>
      <w:r w:rsidR="00553DFB" w:rsidRPr="00680557">
        <w:rPr>
          <w:color w:val="000000" w:themeColor="text1"/>
        </w:rPr>
        <w:t xml:space="preserve">H = </w:t>
      </w:r>
      <w:r w:rsidR="00E36F86">
        <w:rPr>
          <w:color w:val="000000" w:themeColor="text1"/>
        </w:rPr>
        <w:t xml:space="preserve">% </w:t>
      </w:r>
      <w:r w:rsidR="00553DFB" w:rsidRPr="00680557">
        <w:rPr>
          <w:color w:val="000000" w:themeColor="text1"/>
        </w:rPr>
        <w:t>relative humidity</w:t>
      </w:r>
      <w:r w:rsidR="006C5ACE">
        <w:rPr>
          <w:color w:val="000000" w:themeColor="text1"/>
        </w:rPr>
        <w:t>, and G = C0</w:t>
      </w:r>
      <w:r w:rsidR="006C5ACE" w:rsidRPr="000A31E3">
        <w:rPr>
          <w:color w:val="000000" w:themeColor="text1"/>
          <w:vertAlign w:val="subscript"/>
        </w:rPr>
        <w:t>2</w:t>
      </w:r>
      <w:r w:rsidR="006C5ACE">
        <w:rPr>
          <w:color w:val="000000" w:themeColor="text1"/>
          <w:vertAlign w:val="subscript"/>
        </w:rPr>
        <w:t xml:space="preserve"> </w:t>
      </w:r>
      <w:r w:rsidR="006C5ACE">
        <w:rPr>
          <w:color w:val="000000" w:themeColor="text1"/>
        </w:rPr>
        <w:t>level in parts per million (ppm).</w:t>
      </w:r>
      <w:r w:rsidR="000E7388" w:rsidRPr="00680557">
        <w:rPr>
          <w:color w:val="000000" w:themeColor="text1"/>
        </w:rPr>
        <w:t xml:space="preserve"> </w:t>
      </w:r>
    </w:p>
    <w:p w14:paraId="4A3E7833" w14:textId="3BE01642" w:rsidR="00B82B5D" w:rsidRDefault="00821D7E" w:rsidP="00B82B5D">
      <w:pPr>
        <w:pStyle w:val="MDPI31text"/>
        <w:tabs>
          <w:tab w:val="left" w:pos="2552"/>
        </w:tabs>
        <w:ind w:hanging="56"/>
        <w:rPr>
          <w:color w:val="000000" w:themeColor="text1"/>
        </w:rPr>
      </w:pPr>
      <w:r>
        <w:rPr>
          <w:color w:val="000000" w:themeColor="text1"/>
        </w:rPr>
        <w:tab/>
      </w:r>
      <w:r w:rsidR="00976E6D">
        <w:rPr>
          <w:color w:val="000000" w:themeColor="text1"/>
        </w:rPr>
        <w:tab/>
      </w:r>
      <w:r w:rsidR="00976E6D">
        <w:rPr>
          <w:color w:val="000000" w:themeColor="text1"/>
        </w:rPr>
        <w:tab/>
      </w:r>
      <w:r w:rsidR="006C5ACE">
        <w:rPr>
          <w:color w:val="000000" w:themeColor="text1"/>
        </w:rPr>
        <w:t>T</w:t>
      </w:r>
      <w:r w:rsidR="00976E6D">
        <w:rPr>
          <w:color w:val="000000" w:themeColor="text1"/>
        </w:rPr>
        <w:t xml:space="preserve">wo (2) </w:t>
      </w:r>
      <w:r w:rsidR="006C6E36">
        <w:rPr>
          <w:color w:val="000000" w:themeColor="text1"/>
        </w:rPr>
        <w:t>approaches to modeling of data</w:t>
      </w:r>
      <w:r w:rsidR="00BF43C7">
        <w:rPr>
          <w:color w:val="000000" w:themeColor="text1"/>
        </w:rPr>
        <w:t xml:space="preserve"> are explored to derive a model that best fits the </w:t>
      </w:r>
      <w:r w:rsidR="006F5A6C">
        <w:rPr>
          <w:color w:val="000000" w:themeColor="text1"/>
        </w:rPr>
        <w:t>ACU</w:t>
      </w:r>
      <w:r w:rsidR="00BF43C7">
        <w:rPr>
          <w:color w:val="000000" w:themeColor="text1"/>
        </w:rPr>
        <w:t xml:space="preserve"> power consumption of each </w:t>
      </w:r>
      <w:r w:rsidR="0064563E">
        <w:rPr>
          <w:color w:val="000000" w:themeColor="text1"/>
        </w:rPr>
        <w:t>room</w:t>
      </w:r>
      <w:r w:rsidR="00FC0F58">
        <w:rPr>
          <w:color w:val="000000" w:themeColor="text1"/>
        </w:rPr>
        <w:t>. The curve fitting</w:t>
      </w:r>
      <w:r w:rsidR="00B36AFB">
        <w:rPr>
          <w:color w:val="000000" w:themeColor="text1"/>
        </w:rPr>
        <w:t xml:space="preserve"> </w:t>
      </w:r>
      <w:r w:rsidR="00767D7B">
        <w:fldChar w:fldCharType="begin"/>
      </w:r>
      <w:r w:rsidR="00C906E8">
        <w:instrText xml:space="preserve"> ADDIN ZOTERO_ITEM CSL_CITATION {"citationID":"7gsTOFJX","properties":{"formattedCitation":"[27]","plainCitation":"[27]","noteIndex":0},"citationItems":[{"id":385,"uris":["http://zotero.org/users/13681048/items/723YRP3V"],"itemData":{"id":385,"type":"webpage","title":"Parametric Fitting - MATLAB &amp; Simulink","URL":"https://www.mathworks.com/help/curvefit/parametric-fitting.html?searchHighlight=parametric%20fitting&amp;s_tid=srchtitle_support_results_1_parametric%20fitting","accessed":{"date-parts":[["2024",3,5]]}}}],"schema":"https://github.com/citation-style-language/schema/raw/master/csl-citation.json"} </w:instrText>
      </w:r>
      <w:r w:rsidR="00767D7B">
        <w:fldChar w:fldCharType="separate"/>
      </w:r>
      <w:r w:rsidR="00C906E8">
        <w:t>[27]</w:t>
      </w:r>
      <w:r w:rsidR="00767D7B">
        <w:fldChar w:fldCharType="end"/>
      </w:r>
      <w:r w:rsidR="00FC0F58">
        <w:rPr>
          <w:color w:val="000000" w:themeColor="text1"/>
        </w:rPr>
        <w:t xml:space="preserve"> and neural network fitting</w:t>
      </w:r>
      <w:r w:rsidR="003B0CD2">
        <w:rPr>
          <w:color w:val="000000" w:themeColor="text1"/>
        </w:rPr>
        <w:t xml:space="preserve"> </w:t>
      </w:r>
      <w:r w:rsidR="00767D7B">
        <w:fldChar w:fldCharType="begin"/>
      </w:r>
      <w:r w:rsidR="00C906E8">
        <w:instrText xml:space="preserve"> ADDIN ZOTERO_ITEM CSL_CITATION {"citationID":"3FBQ7giP","properties":{"formattedCitation":"[28]","plainCitation":"[28]","noteIndex":0},"citationItems":[{"id":387,"uris":["http://zotero.org/users/13681048/items/JXN6TR5Z"],"itemData":{"id":387,"type":"webpage","title":"Solve fitting problem using two-layer feed-forward networks - MATLAB","URL":"https://www.mathworks.com/help/deeplearning/ref/neuralnetfitting-app.html","accessed":{"date-parts":[["2024",3,5]]}}}],"schema":"https://github.com/citation-style-language/schema/raw/master/csl-citation.json"} </w:instrText>
      </w:r>
      <w:r w:rsidR="00767D7B">
        <w:fldChar w:fldCharType="separate"/>
      </w:r>
      <w:r w:rsidR="00C906E8">
        <w:t>[28]</w:t>
      </w:r>
      <w:r w:rsidR="00767D7B">
        <w:fldChar w:fldCharType="end"/>
      </w:r>
      <w:r w:rsidR="00FC0F58">
        <w:rPr>
          <w:color w:val="000000" w:themeColor="text1"/>
        </w:rPr>
        <w:t xml:space="preserve"> tools of </w:t>
      </w:r>
      <w:r w:rsidR="00AA176F">
        <w:rPr>
          <w:color w:val="000000" w:themeColor="text1"/>
        </w:rPr>
        <w:t xml:space="preserve">MATLAB </w:t>
      </w:r>
      <w:r w:rsidR="00FC0F58">
        <w:rPr>
          <w:color w:val="000000" w:themeColor="text1"/>
        </w:rPr>
        <w:t xml:space="preserve">were used </w:t>
      </w:r>
      <w:r w:rsidR="00EF3FA3">
        <w:rPr>
          <w:color w:val="000000" w:themeColor="text1"/>
        </w:rPr>
        <w:t>for this purpose</w:t>
      </w:r>
      <w:r w:rsidR="00F04C6C">
        <w:rPr>
          <w:color w:val="000000" w:themeColor="text1"/>
        </w:rPr>
        <w:t xml:space="preserve">. </w:t>
      </w:r>
      <w:r w:rsidR="00B82B5D" w:rsidRPr="00B82B5D">
        <w:rPr>
          <w:color w:val="000000" w:themeColor="text1"/>
        </w:rPr>
        <w:t xml:space="preserve">Curve fitting is a statistical technique that involves using regression analysis to identify the most appropriate mathematical function that accurately represents a set of observed data points and the relationship between two or more variables in a dataset. </w:t>
      </w:r>
      <w:r w:rsidR="006C5ACE">
        <w:rPr>
          <w:color w:val="000000" w:themeColor="text1"/>
        </w:rPr>
        <w:t>T</w:t>
      </w:r>
      <w:r w:rsidR="00B82B5D" w:rsidRPr="00B82B5D">
        <w:rPr>
          <w:color w:val="000000" w:themeColor="text1"/>
        </w:rPr>
        <w:t>his approach develop</w:t>
      </w:r>
      <w:r w:rsidR="006C5ACE">
        <w:rPr>
          <w:color w:val="000000" w:themeColor="text1"/>
        </w:rPr>
        <w:t>s</w:t>
      </w:r>
      <w:r w:rsidR="00B82B5D" w:rsidRPr="00B82B5D">
        <w:rPr>
          <w:color w:val="000000" w:themeColor="text1"/>
        </w:rPr>
        <w:t xml:space="preserve"> a model that accurately represents the fundamental pattern or trend in the data. </w:t>
      </w:r>
      <w:r w:rsidR="006C5ACE">
        <w:rPr>
          <w:color w:val="000000" w:themeColor="text1"/>
        </w:rPr>
        <w:t>The</w:t>
      </w:r>
      <w:r w:rsidR="00B82B5D" w:rsidRPr="00B82B5D">
        <w:rPr>
          <w:color w:val="000000" w:themeColor="text1"/>
        </w:rPr>
        <w:t xml:space="preserve"> model will enable predictions and insights that may be utilized to identify measures for operating cooling units with lower energy consumption. Curve-fitting involves selecting a mathematical function or model that precisely represents the relationship between the independent variable(s) (often denoted as x) and the dependent variable(s) (typically denoted as y). Model selection involves choosing between linear and non-linear fits to determine the appropriate relationship between power consumption and indoor temperature, humidity, and CO</w:t>
      </w:r>
      <w:r w:rsidR="00B82B5D" w:rsidRPr="001B76C3">
        <w:rPr>
          <w:color w:val="000000" w:themeColor="text1"/>
          <w:vertAlign w:val="subscript"/>
        </w:rPr>
        <w:t>2</w:t>
      </w:r>
      <w:r w:rsidR="00B82B5D" w:rsidRPr="00B82B5D">
        <w:rPr>
          <w:color w:val="000000" w:themeColor="text1"/>
        </w:rPr>
        <w:t xml:space="preserve"> levels. </w:t>
      </w:r>
      <w:r w:rsidR="006C5ACE">
        <w:rPr>
          <w:color w:val="000000" w:themeColor="text1"/>
        </w:rPr>
        <w:t>Adjustment of</w:t>
      </w:r>
      <w:r w:rsidR="00B82B5D" w:rsidRPr="00B82B5D">
        <w:rPr>
          <w:color w:val="000000" w:themeColor="text1"/>
        </w:rPr>
        <w:t xml:space="preserve"> the model parameters minimize</w:t>
      </w:r>
      <w:r w:rsidR="006C5ACE">
        <w:rPr>
          <w:color w:val="000000" w:themeColor="text1"/>
        </w:rPr>
        <w:t>s</w:t>
      </w:r>
      <w:r w:rsidR="00B82B5D" w:rsidRPr="00B82B5D">
        <w:rPr>
          <w:color w:val="000000" w:themeColor="text1"/>
        </w:rPr>
        <w:t xml:space="preserve"> the difference between the predicted values from the model and the actual values in the dataset. Optimization methods are commonly employed to iteratively augment parameter estimates </w:t>
      </w:r>
      <w:r w:rsidR="0064563E" w:rsidRPr="00B82B5D">
        <w:rPr>
          <w:color w:val="000000" w:themeColor="text1"/>
        </w:rPr>
        <w:t>to</w:t>
      </w:r>
      <w:r w:rsidR="00B82B5D" w:rsidRPr="00B82B5D">
        <w:rPr>
          <w:color w:val="000000" w:themeColor="text1"/>
        </w:rPr>
        <w:t xml:space="preserve"> </w:t>
      </w:r>
      <w:r w:rsidR="006C5ACE">
        <w:rPr>
          <w:color w:val="000000" w:themeColor="text1"/>
        </w:rPr>
        <w:t>define the best fit with minimal prediction errors.</w:t>
      </w:r>
      <w:r w:rsidR="00B82B5D" w:rsidRPr="00B82B5D">
        <w:rPr>
          <w:color w:val="000000" w:themeColor="text1"/>
        </w:rPr>
        <w:t xml:space="preserve"> This encompasses various techniques, such as data centering and scaling, degree modifications, utilization of a robust least-squares fitting approach, and the selection of algorithms like trust-region or Levenberg-Marquardt. The goodness-of-fit of a model can be assessed by various methods, such as R-squared, root mean square error (RMSE), or by visually examining the residuals (the differences between observed and predicted values). The</w:t>
      </w:r>
      <w:r w:rsidR="001B1C8D">
        <w:rPr>
          <w:color w:val="000000" w:themeColor="text1"/>
        </w:rPr>
        <w:t xml:space="preserve">se </w:t>
      </w:r>
      <w:r w:rsidR="00BF390C">
        <w:rPr>
          <w:color w:val="000000" w:themeColor="text1"/>
        </w:rPr>
        <w:t xml:space="preserve">statistical </w:t>
      </w:r>
      <w:r w:rsidR="00B82B5D" w:rsidRPr="00B82B5D">
        <w:rPr>
          <w:color w:val="000000" w:themeColor="text1"/>
        </w:rPr>
        <w:t xml:space="preserve">measurements </w:t>
      </w:r>
      <w:r w:rsidR="00BF390C">
        <w:rPr>
          <w:color w:val="000000" w:themeColor="text1"/>
        </w:rPr>
        <w:t xml:space="preserve">are model’s parametric </w:t>
      </w:r>
      <w:r w:rsidR="00B82B5D" w:rsidRPr="00B82B5D">
        <w:rPr>
          <w:color w:val="000000" w:themeColor="text1"/>
        </w:rPr>
        <w:t>evaluat</w:t>
      </w:r>
      <w:r w:rsidR="00BF390C">
        <w:rPr>
          <w:color w:val="000000" w:themeColor="text1"/>
        </w:rPr>
        <w:t>ion values</w:t>
      </w:r>
      <w:r w:rsidR="00B82B5D" w:rsidRPr="00B82B5D">
        <w:rPr>
          <w:color w:val="000000" w:themeColor="text1"/>
        </w:rPr>
        <w:t xml:space="preserve"> to </w:t>
      </w:r>
      <w:r w:rsidR="00BF390C">
        <w:rPr>
          <w:color w:val="000000" w:themeColor="text1"/>
        </w:rPr>
        <w:t>quantitatively</w:t>
      </w:r>
      <w:r w:rsidR="00B82B5D" w:rsidRPr="00B82B5D">
        <w:rPr>
          <w:color w:val="000000" w:themeColor="text1"/>
        </w:rPr>
        <w:t xml:space="preserve"> </w:t>
      </w:r>
      <w:r w:rsidR="00BF390C">
        <w:rPr>
          <w:color w:val="000000" w:themeColor="text1"/>
        </w:rPr>
        <w:t xml:space="preserve">describe </w:t>
      </w:r>
      <w:r w:rsidR="00B82B5D" w:rsidRPr="00B82B5D">
        <w:rPr>
          <w:color w:val="000000" w:themeColor="text1"/>
        </w:rPr>
        <w:t xml:space="preserve">the </w:t>
      </w:r>
      <w:r w:rsidR="00BF390C">
        <w:rPr>
          <w:color w:val="000000" w:themeColor="text1"/>
        </w:rPr>
        <w:t>variances</w:t>
      </w:r>
      <w:r w:rsidR="00B82B5D" w:rsidRPr="00B82B5D">
        <w:rPr>
          <w:color w:val="000000" w:themeColor="text1"/>
        </w:rPr>
        <w:t xml:space="preserve"> in the data.</w:t>
      </w:r>
    </w:p>
    <w:p w14:paraId="65841157" w14:textId="0A2C2512" w:rsidR="0004345C" w:rsidRPr="00B47EBE" w:rsidRDefault="00B82B5D" w:rsidP="00B82B5D">
      <w:pPr>
        <w:pStyle w:val="MDPI31text"/>
        <w:tabs>
          <w:tab w:val="left" w:pos="2552"/>
        </w:tabs>
        <w:ind w:hanging="56"/>
      </w:pPr>
      <w:r>
        <w:rPr>
          <w:color w:val="000000" w:themeColor="text1"/>
        </w:rPr>
        <w:tab/>
      </w:r>
      <w:r>
        <w:rPr>
          <w:color w:val="000000" w:themeColor="text1"/>
        </w:rPr>
        <w:tab/>
      </w:r>
      <w:r>
        <w:rPr>
          <w:color w:val="000000" w:themeColor="text1"/>
        </w:rPr>
        <w:tab/>
      </w:r>
      <w:r w:rsidRPr="00B82B5D">
        <w:t xml:space="preserve">The MATLAB Neural Network Toolbox </w:t>
      </w:r>
      <w:r w:rsidR="00A276D7">
        <w:t xml:space="preserve">has built-in and intuitive functionalities to </w:t>
      </w:r>
      <w:r w:rsidR="00CC3CCD">
        <w:t xml:space="preserve">train and </w:t>
      </w:r>
      <w:r w:rsidRPr="00B82B5D">
        <w:t>simulate artificial neural networks (ANNs)</w:t>
      </w:r>
      <w:r w:rsidR="00CC3CCD">
        <w:t xml:space="preserve"> prior to deployment</w:t>
      </w:r>
      <w:r w:rsidRPr="00B82B5D">
        <w:t xml:space="preserve">. </w:t>
      </w:r>
      <w:r w:rsidR="00CC3CCD">
        <w:t xml:space="preserve">This requires data </w:t>
      </w:r>
      <w:r w:rsidR="00AE6150">
        <w:t xml:space="preserve">cleaning, </w:t>
      </w:r>
      <w:r w:rsidR="00CC3CCD">
        <w:t>annotation</w:t>
      </w:r>
      <w:r w:rsidR="00AE6150">
        <w:t>, normalization,</w:t>
      </w:r>
      <w:r w:rsidRPr="00B82B5D">
        <w:t xml:space="preserve"> and </w:t>
      </w:r>
      <w:r w:rsidR="00AE6150">
        <w:t>segmentation</w:t>
      </w:r>
      <w:r w:rsidRPr="00B82B5D">
        <w:t xml:space="preserve"> </w:t>
      </w:r>
      <w:r w:rsidR="00AE6150">
        <w:t xml:space="preserve">of </w:t>
      </w:r>
      <w:r w:rsidRPr="00B82B5D">
        <w:t>the</w:t>
      </w:r>
      <w:r w:rsidR="00AE6150">
        <w:t xml:space="preserve"> derived</w:t>
      </w:r>
      <w:r w:rsidRPr="00B82B5D">
        <w:t xml:space="preserve"> datasets into training, validation, and testing sets. Network design is often defined with single layers </w:t>
      </w:r>
      <w:r w:rsidRPr="00B82B5D">
        <w:lastRenderedPageBreak/>
        <w:t xml:space="preserve">by default, where the number of neurons in each layer, activation functions, and connection weights are predetermined. Once </w:t>
      </w:r>
      <w:r w:rsidR="00AE6150">
        <w:t>ta</w:t>
      </w:r>
      <w:r w:rsidR="00A22AA5">
        <w:t>r</w:t>
      </w:r>
      <w:r w:rsidR="00AE6150">
        <w:t xml:space="preserve">get performance of the </w:t>
      </w:r>
      <w:r w:rsidRPr="00B82B5D">
        <w:t xml:space="preserve">network </w:t>
      </w:r>
      <w:r w:rsidR="00AE6150">
        <w:t>is met</w:t>
      </w:r>
      <w:r w:rsidRPr="00B82B5D">
        <w:t xml:space="preserve">, </w:t>
      </w:r>
      <w:r w:rsidR="00A22AA5">
        <w:t xml:space="preserve">it </w:t>
      </w:r>
      <w:r w:rsidRPr="00B82B5D">
        <w:t xml:space="preserve">undergoes training </w:t>
      </w:r>
      <w:r w:rsidR="00613118">
        <w:t xml:space="preserve">using </w:t>
      </w:r>
      <w:r w:rsidR="006C5ACE" w:rsidRPr="00B82B5D">
        <w:t>Levenberg-Marquardt</w:t>
      </w:r>
      <w:r w:rsidRPr="00B82B5D">
        <w:t xml:space="preserve"> algorithm</w:t>
      </w:r>
      <w:r w:rsidR="00613118">
        <w:t>.</w:t>
      </w:r>
      <w:r w:rsidRPr="00B82B5D">
        <w:t xml:space="preserve"> After completing the training phase, it is crucial to evaluate the performance of the trained network by using the validation dataset. This helps prevent overfitting and ensures that the model can generalize well. Occasionally, it is necessary to make modifications to hyperparameters such as learning rate, number of epochs, and regularization intensity based on the validation results </w:t>
      </w:r>
      <w:r w:rsidR="0064563E" w:rsidRPr="00B82B5D">
        <w:t>to</w:t>
      </w:r>
      <w:r w:rsidRPr="00B82B5D">
        <w:t xml:space="preserve"> enhance the model's performance. After training and validating the model, its ability to generalize is assessed by making predictions on new, unseen data and evaluating its performance on the testing dataset.</w:t>
      </w:r>
    </w:p>
    <w:p w14:paraId="6DF0E72F" w14:textId="77777777" w:rsidR="00DD4F5D" w:rsidRPr="001F31D1" w:rsidRDefault="00DD4F5D" w:rsidP="00F3424F">
      <w:pPr>
        <w:pStyle w:val="MDPI21heading1"/>
      </w:pPr>
      <w:r w:rsidRPr="001F31D1">
        <w:t>3. Results</w:t>
      </w:r>
    </w:p>
    <w:p w14:paraId="302B3B6C" w14:textId="1D45B55A" w:rsidR="00DD4F5D" w:rsidRPr="00E75611" w:rsidRDefault="00DD4F5D" w:rsidP="00DC3671">
      <w:pPr>
        <w:pStyle w:val="MDPI22heading2"/>
        <w:spacing w:before="240"/>
        <w:rPr>
          <w:noProof w:val="0"/>
        </w:rPr>
      </w:pPr>
      <w:r w:rsidRPr="00E75611">
        <w:t>3.</w:t>
      </w:r>
      <w:r w:rsidR="00310C94">
        <w:t>1</w:t>
      </w:r>
      <w:r w:rsidRPr="00E75611">
        <w:rPr>
          <w:noProof w:val="0"/>
        </w:rPr>
        <w:t xml:space="preserve">. </w:t>
      </w:r>
      <w:r w:rsidR="00550FD2">
        <w:rPr>
          <w:noProof w:val="0"/>
        </w:rPr>
        <w:t>Polynomial Curve Fitting</w:t>
      </w:r>
    </w:p>
    <w:p w14:paraId="7F584880" w14:textId="7280E3F9" w:rsidR="00927835" w:rsidRDefault="00310C94" w:rsidP="00F3424F">
      <w:pPr>
        <w:pStyle w:val="MDPI31text"/>
        <w:rPr>
          <w:color w:val="000000" w:themeColor="text1"/>
        </w:rPr>
      </w:pPr>
      <w:r w:rsidRPr="00310C94">
        <w:rPr>
          <w:color w:val="000000" w:themeColor="text1"/>
        </w:rPr>
        <w:t>Parametric fitting is the process of finding the coefficients, often known as parameters, for models that are used to fit data. The predictor variables utilized to build the power consumption model were the temperature, humidity, and CO</w:t>
      </w:r>
      <w:r w:rsidRPr="00310C94">
        <w:rPr>
          <w:color w:val="000000" w:themeColor="text1"/>
          <w:vertAlign w:val="subscript"/>
        </w:rPr>
        <w:t>2</w:t>
      </w:r>
      <w:r w:rsidRPr="00310C94">
        <w:rPr>
          <w:color w:val="000000" w:themeColor="text1"/>
        </w:rPr>
        <w:t xml:space="preserve"> levels inside each room, with coefficients assigned to each variable. Both linear and nonlinear regression models were examined, and it was found that the polynomial regression model yielded the most accurate fit to the polynomial function based on the data. Equation 5 demonstrates the comprehensive correlation between power consumption (Pt) and drive bulb temperature</w:t>
      </w:r>
      <w:r w:rsidR="00B214BB">
        <w:rPr>
          <w:color w:val="000000" w:themeColor="text1"/>
        </w:rPr>
        <w:t xml:space="preserve"> (T)</w:t>
      </w:r>
      <w:r w:rsidRPr="00310C94">
        <w:rPr>
          <w:color w:val="000000" w:themeColor="text1"/>
        </w:rPr>
        <w:t>. This correlation is established using the robust least-squares fitting approach and minimized least absolute residuals (LAR) at 95% confidence bounds.</w:t>
      </w:r>
    </w:p>
    <w:tbl>
      <w:tblPr>
        <w:tblW w:w="7862" w:type="dxa"/>
        <w:tblInd w:w="2613" w:type="dxa"/>
        <w:tblCellMar>
          <w:left w:w="0" w:type="dxa"/>
          <w:right w:w="0" w:type="dxa"/>
        </w:tblCellMar>
        <w:tblLook w:val="04A0" w:firstRow="1" w:lastRow="0" w:firstColumn="1" w:lastColumn="0" w:noHBand="0" w:noVBand="1"/>
      </w:tblPr>
      <w:tblGrid>
        <w:gridCol w:w="7431"/>
        <w:gridCol w:w="431"/>
      </w:tblGrid>
      <w:tr w:rsidR="00927835" w:rsidRPr="00AA2CDC" w14:paraId="6EBD540F" w14:textId="77777777" w:rsidTr="004D5142">
        <w:trPr>
          <w:trHeight w:val="218"/>
        </w:trPr>
        <w:tc>
          <w:tcPr>
            <w:tcW w:w="7431" w:type="dxa"/>
          </w:tcPr>
          <w:p w14:paraId="5122786B" w14:textId="16B9080E" w:rsidR="00927835" w:rsidRDefault="00927835" w:rsidP="004D5142">
            <w:pPr>
              <w:pStyle w:val="MDPI39equation"/>
              <w:rPr>
                <w:color w:val="000000" w:themeColor="text1"/>
              </w:rPr>
            </w:pPr>
            <w:r>
              <w:rPr>
                <w:color w:val="000000" w:themeColor="text1"/>
              </w:rPr>
              <w:t>P</w:t>
            </w:r>
            <w:r w:rsidR="00673A87">
              <w:rPr>
                <w:color w:val="000000" w:themeColor="text1"/>
              </w:rPr>
              <w:t>t</w:t>
            </w:r>
            <w:r>
              <w:rPr>
                <w:color w:val="000000" w:themeColor="text1"/>
              </w:rPr>
              <w:t xml:space="preserve"> = c</w:t>
            </w:r>
            <w:r w:rsidRPr="00927835">
              <w:rPr>
                <w:color w:val="000000" w:themeColor="text1"/>
                <w:vertAlign w:val="subscript"/>
              </w:rPr>
              <w:t>1</w:t>
            </w:r>
            <w:r>
              <w:rPr>
                <w:color w:val="000000" w:themeColor="text1"/>
              </w:rPr>
              <w:t>T</w:t>
            </w:r>
            <w:r>
              <w:rPr>
                <w:color w:val="000000" w:themeColor="text1"/>
                <w:vertAlign w:val="superscript"/>
              </w:rPr>
              <w:t>2</w:t>
            </w:r>
            <w:r>
              <w:rPr>
                <w:color w:val="000000" w:themeColor="text1"/>
              </w:rPr>
              <w:t xml:space="preserve"> + c</w:t>
            </w:r>
            <w:r w:rsidRPr="00927835">
              <w:rPr>
                <w:color w:val="000000" w:themeColor="text1"/>
                <w:vertAlign w:val="subscript"/>
              </w:rPr>
              <w:t>2</w:t>
            </w:r>
            <w:r>
              <w:rPr>
                <w:color w:val="000000" w:themeColor="text1"/>
              </w:rPr>
              <w:t>T + c</w:t>
            </w:r>
            <w:r w:rsidRPr="00927835">
              <w:rPr>
                <w:color w:val="000000" w:themeColor="text1"/>
                <w:vertAlign w:val="subscript"/>
              </w:rPr>
              <w:t>3</w:t>
            </w:r>
          </w:p>
        </w:tc>
        <w:tc>
          <w:tcPr>
            <w:tcW w:w="431" w:type="dxa"/>
            <w:vAlign w:val="center"/>
          </w:tcPr>
          <w:p w14:paraId="3272874D" w14:textId="20EF833A" w:rsidR="00927835" w:rsidRPr="00AA2CDC" w:rsidRDefault="00927835" w:rsidP="004D5142">
            <w:pPr>
              <w:pStyle w:val="MDPI3aequationnumber"/>
              <w:spacing w:line="260" w:lineRule="atLeast"/>
              <w:rPr>
                <w:color w:val="000000" w:themeColor="text1"/>
              </w:rPr>
            </w:pPr>
            <w:r w:rsidRPr="00AA2CDC">
              <w:rPr>
                <w:color w:val="000000" w:themeColor="text1"/>
              </w:rPr>
              <w:t>(</w:t>
            </w:r>
            <w:r>
              <w:rPr>
                <w:color w:val="000000" w:themeColor="text1"/>
              </w:rPr>
              <w:t>5</w:t>
            </w:r>
            <w:r w:rsidRPr="00AA2CDC">
              <w:rPr>
                <w:color w:val="000000" w:themeColor="text1"/>
              </w:rPr>
              <w:t>)</w:t>
            </w:r>
          </w:p>
        </w:tc>
      </w:tr>
    </w:tbl>
    <w:p w14:paraId="30F87740" w14:textId="239E8A9A" w:rsidR="006C5ACE" w:rsidRDefault="00BC2172" w:rsidP="006C5ACE">
      <w:pPr>
        <w:pStyle w:val="MDPI31text"/>
        <w:ind w:left="2550" w:firstLine="0"/>
        <w:rPr>
          <w:color w:val="000000" w:themeColor="text1"/>
        </w:rPr>
      </w:pPr>
      <w:r>
        <w:rPr>
          <w:color w:val="000000" w:themeColor="text1"/>
        </w:rPr>
        <w:t>where values of c</w:t>
      </w:r>
      <w:r w:rsidRPr="00284EB4">
        <w:rPr>
          <w:color w:val="000000" w:themeColor="text1"/>
          <w:vertAlign w:val="subscript"/>
        </w:rPr>
        <w:t>1</w:t>
      </w:r>
      <w:r>
        <w:rPr>
          <w:color w:val="000000" w:themeColor="text1"/>
        </w:rPr>
        <w:t>, c</w:t>
      </w:r>
      <w:r w:rsidRPr="00284EB4">
        <w:rPr>
          <w:color w:val="000000" w:themeColor="text1"/>
          <w:vertAlign w:val="subscript"/>
        </w:rPr>
        <w:t>2</w:t>
      </w:r>
      <w:r>
        <w:rPr>
          <w:color w:val="000000" w:themeColor="text1"/>
        </w:rPr>
        <w:t xml:space="preserve">, </w:t>
      </w:r>
      <w:r w:rsidR="00936FD9">
        <w:rPr>
          <w:color w:val="000000" w:themeColor="text1"/>
        </w:rPr>
        <w:t xml:space="preserve">and </w:t>
      </w:r>
      <w:r>
        <w:rPr>
          <w:color w:val="000000" w:themeColor="text1"/>
        </w:rPr>
        <w:t>c</w:t>
      </w:r>
      <w:r w:rsidRPr="00284EB4">
        <w:rPr>
          <w:color w:val="000000" w:themeColor="text1"/>
          <w:vertAlign w:val="subscript"/>
        </w:rPr>
        <w:t>3</w:t>
      </w:r>
      <w:r>
        <w:rPr>
          <w:color w:val="000000" w:themeColor="text1"/>
        </w:rPr>
        <w:t xml:space="preserve"> varies according to room type</w:t>
      </w:r>
      <w:r w:rsidR="00310C94">
        <w:rPr>
          <w:color w:val="000000" w:themeColor="text1"/>
        </w:rPr>
        <w:t xml:space="preserve">. </w:t>
      </w:r>
      <w:r w:rsidR="006C5ACE">
        <w:rPr>
          <w:color w:val="000000" w:themeColor="text1"/>
        </w:rPr>
        <w:t xml:space="preserve">Table 1 contains the summary of these coefficient values of Equation 5. </w:t>
      </w:r>
    </w:p>
    <w:p w14:paraId="3B6A198F" w14:textId="77777777" w:rsidR="00D662AC" w:rsidRDefault="00D662AC" w:rsidP="006C5ACE">
      <w:pPr>
        <w:pStyle w:val="MDPI31text"/>
        <w:ind w:left="2550" w:firstLine="0"/>
        <w:rPr>
          <w:color w:val="000000" w:themeColor="text1"/>
        </w:rPr>
      </w:pPr>
    </w:p>
    <w:p w14:paraId="6109877B" w14:textId="77777777" w:rsidR="006C5ACE" w:rsidRDefault="006C5ACE" w:rsidP="006C5ACE">
      <w:pPr>
        <w:pStyle w:val="MDPI41tablecaption"/>
        <w:rPr>
          <w:color w:val="000000" w:themeColor="text1"/>
        </w:rPr>
      </w:pPr>
      <w:r w:rsidRPr="00B849BA">
        <w:rPr>
          <w:b/>
          <w:color w:val="000000" w:themeColor="text1"/>
        </w:rPr>
        <w:t xml:space="preserve">Table 1. </w:t>
      </w:r>
      <w:r>
        <w:rPr>
          <w:color w:val="000000" w:themeColor="text1"/>
        </w:rPr>
        <w:t>Coefficients of Polynomial Curve Fit for Power vs Dry Bulb Temperature</w:t>
      </w:r>
    </w:p>
    <w:tbl>
      <w:tblPr>
        <w:tblW w:w="9700" w:type="dxa"/>
        <w:jc w:val="right"/>
        <w:tblLook w:val="04A0" w:firstRow="1" w:lastRow="0" w:firstColumn="1" w:lastColumn="0" w:noHBand="0" w:noVBand="1"/>
      </w:tblPr>
      <w:tblGrid>
        <w:gridCol w:w="1900"/>
        <w:gridCol w:w="1300"/>
        <w:gridCol w:w="1300"/>
        <w:gridCol w:w="1300"/>
        <w:gridCol w:w="1300"/>
        <w:gridCol w:w="1300"/>
        <w:gridCol w:w="1300"/>
      </w:tblGrid>
      <w:tr w:rsidR="006C5ACE" w14:paraId="6DC67DF8" w14:textId="77777777" w:rsidTr="008A1AC2">
        <w:trPr>
          <w:trHeight w:val="600"/>
          <w:jc w:val="right"/>
        </w:trPr>
        <w:tc>
          <w:tcPr>
            <w:tcW w:w="3200" w:type="dxa"/>
            <w:gridSpan w:val="2"/>
            <w:tcBorders>
              <w:top w:val="single" w:sz="8" w:space="0" w:color="auto"/>
              <w:left w:val="nil"/>
              <w:bottom w:val="single" w:sz="4" w:space="0" w:color="auto"/>
              <w:right w:val="nil"/>
            </w:tcBorders>
            <w:shd w:val="clear" w:color="auto" w:fill="auto"/>
            <w:noWrap/>
            <w:vAlign w:val="center"/>
            <w:hideMark/>
          </w:tcPr>
          <w:p w14:paraId="459F69A0" w14:textId="77777777" w:rsidR="006C5ACE" w:rsidRDefault="006C5ACE" w:rsidP="008A1AC2">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Coefficients</w:t>
            </w:r>
          </w:p>
        </w:tc>
        <w:tc>
          <w:tcPr>
            <w:tcW w:w="1300" w:type="dxa"/>
            <w:tcBorders>
              <w:top w:val="single" w:sz="8" w:space="0" w:color="auto"/>
              <w:left w:val="nil"/>
              <w:bottom w:val="single" w:sz="4" w:space="0" w:color="auto"/>
              <w:right w:val="nil"/>
            </w:tcBorders>
            <w:shd w:val="clear" w:color="auto" w:fill="auto"/>
            <w:vAlign w:val="center"/>
            <w:hideMark/>
          </w:tcPr>
          <w:p w14:paraId="0FA40734" w14:textId="77777777" w:rsidR="006C5ACE" w:rsidRDefault="006C5ACE" w:rsidP="008A1AC2">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Classroom</w:t>
            </w:r>
          </w:p>
        </w:tc>
        <w:tc>
          <w:tcPr>
            <w:tcW w:w="1300" w:type="dxa"/>
            <w:tcBorders>
              <w:top w:val="single" w:sz="8" w:space="0" w:color="auto"/>
              <w:left w:val="nil"/>
              <w:bottom w:val="single" w:sz="4" w:space="0" w:color="auto"/>
              <w:right w:val="nil"/>
            </w:tcBorders>
            <w:shd w:val="clear" w:color="auto" w:fill="auto"/>
            <w:vAlign w:val="center"/>
            <w:hideMark/>
          </w:tcPr>
          <w:p w14:paraId="22B514D5" w14:textId="77777777" w:rsidR="006C5ACE" w:rsidRDefault="006C5ACE" w:rsidP="008A1AC2">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Computer Room</w:t>
            </w:r>
          </w:p>
        </w:tc>
        <w:tc>
          <w:tcPr>
            <w:tcW w:w="1300" w:type="dxa"/>
            <w:tcBorders>
              <w:top w:val="single" w:sz="8" w:space="0" w:color="auto"/>
              <w:left w:val="nil"/>
              <w:bottom w:val="single" w:sz="4" w:space="0" w:color="auto"/>
              <w:right w:val="nil"/>
            </w:tcBorders>
            <w:shd w:val="clear" w:color="auto" w:fill="auto"/>
            <w:vAlign w:val="center"/>
            <w:hideMark/>
          </w:tcPr>
          <w:p w14:paraId="17ECF909" w14:textId="77777777" w:rsidR="006C5ACE" w:rsidRDefault="006C5ACE" w:rsidP="008A1AC2">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Laboratory Room</w:t>
            </w:r>
          </w:p>
        </w:tc>
        <w:tc>
          <w:tcPr>
            <w:tcW w:w="1300" w:type="dxa"/>
            <w:tcBorders>
              <w:top w:val="single" w:sz="8" w:space="0" w:color="auto"/>
              <w:left w:val="nil"/>
              <w:bottom w:val="single" w:sz="4" w:space="0" w:color="auto"/>
              <w:right w:val="nil"/>
            </w:tcBorders>
            <w:shd w:val="clear" w:color="auto" w:fill="auto"/>
            <w:vAlign w:val="center"/>
            <w:hideMark/>
          </w:tcPr>
          <w:p w14:paraId="791A96F2" w14:textId="77777777" w:rsidR="006C5ACE" w:rsidRDefault="006C5ACE" w:rsidP="008A1AC2">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Office</w:t>
            </w:r>
            <w:r>
              <w:rPr>
                <w:rFonts w:ascii="Palatino Linotype" w:hAnsi="Palatino Linotype" w:cs="Calibri"/>
                <w:b/>
                <w:bCs/>
                <w:color w:val="000000"/>
                <w:sz w:val="20"/>
                <w:szCs w:val="20"/>
              </w:rPr>
              <w:br/>
              <w:t>(shared)</w:t>
            </w:r>
          </w:p>
        </w:tc>
        <w:tc>
          <w:tcPr>
            <w:tcW w:w="1300" w:type="dxa"/>
            <w:tcBorders>
              <w:top w:val="single" w:sz="8" w:space="0" w:color="auto"/>
              <w:left w:val="nil"/>
              <w:bottom w:val="single" w:sz="4" w:space="0" w:color="auto"/>
              <w:right w:val="nil"/>
            </w:tcBorders>
            <w:shd w:val="clear" w:color="auto" w:fill="auto"/>
            <w:vAlign w:val="center"/>
            <w:hideMark/>
          </w:tcPr>
          <w:p w14:paraId="0C1DC976" w14:textId="77777777" w:rsidR="006C5ACE" w:rsidRDefault="006C5ACE" w:rsidP="008A1AC2">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Office</w:t>
            </w:r>
            <w:r>
              <w:rPr>
                <w:rFonts w:ascii="Palatino Linotype" w:hAnsi="Palatino Linotype" w:cs="Calibri"/>
                <w:b/>
                <w:bCs/>
                <w:color w:val="000000"/>
                <w:sz w:val="20"/>
                <w:szCs w:val="20"/>
              </w:rPr>
              <w:br/>
              <w:t>(solo)</w:t>
            </w:r>
          </w:p>
        </w:tc>
      </w:tr>
      <w:tr w:rsidR="006C5ACE" w14:paraId="7A995C9E" w14:textId="77777777" w:rsidTr="008A1AC2">
        <w:trPr>
          <w:trHeight w:val="320"/>
          <w:jc w:val="right"/>
        </w:trPr>
        <w:tc>
          <w:tcPr>
            <w:tcW w:w="1900" w:type="dxa"/>
            <w:vMerge w:val="restart"/>
            <w:tcBorders>
              <w:top w:val="single" w:sz="4" w:space="0" w:color="auto"/>
              <w:left w:val="nil"/>
              <w:bottom w:val="single" w:sz="4" w:space="0" w:color="000000"/>
              <w:right w:val="nil"/>
            </w:tcBorders>
            <w:shd w:val="clear" w:color="auto" w:fill="auto"/>
            <w:vAlign w:val="center"/>
            <w:hideMark/>
          </w:tcPr>
          <w:p w14:paraId="72DB8595" w14:textId="77777777" w:rsidR="006C5ACE" w:rsidRDefault="006C5ACE" w:rsidP="008A1AC2">
            <w:pPr>
              <w:jc w:val="center"/>
              <w:rPr>
                <w:rFonts w:ascii="Palatino Linotype" w:hAnsi="Palatino Linotype" w:cs="Calibri"/>
                <w:color w:val="000000"/>
                <w:sz w:val="20"/>
                <w:szCs w:val="20"/>
              </w:rPr>
            </w:pPr>
            <w:r>
              <w:rPr>
                <w:rFonts w:ascii="Palatino Linotype" w:hAnsi="Palatino Linotype" w:cs="Calibri"/>
                <w:color w:val="000000"/>
                <w:sz w:val="20"/>
                <w:szCs w:val="20"/>
              </w:rPr>
              <w:t>Power vs Dry Bulb Temperature</w:t>
            </w:r>
          </w:p>
        </w:tc>
        <w:tc>
          <w:tcPr>
            <w:tcW w:w="1300" w:type="dxa"/>
            <w:tcBorders>
              <w:top w:val="single" w:sz="4" w:space="0" w:color="auto"/>
              <w:left w:val="nil"/>
              <w:bottom w:val="nil"/>
              <w:right w:val="nil"/>
            </w:tcBorders>
            <w:shd w:val="clear" w:color="auto" w:fill="auto"/>
            <w:noWrap/>
            <w:vAlign w:val="bottom"/>
            <w:hideMark/>
          </w:tcPr>
          <w:p w14:paraId="6AA093F2" w14:textId="77777777" w:rsidR="006C5ACE" w:rsidRDefault="006C5ACE" w:rsidP="008A1AC2">
            <w:pPr>
              <w:jc w:val="center"/>
              <w:rPr>
                <w:rFonts w:ascii="Palatino Linotype" w:hAnsi="Palatino Linotype" w:cs="Calibri"/>
                <w:color w:val="000000"/>
                <w:sz w:val="20"/>
                <w:szCs w:val="20"/>
              </w:rPr>
            </w:pPr>
            <w:r>
              <w:rPr>
                <w:rFonts w:ascii="Palatino Linotype" w:hAnsi="Palatino Linotype" w:cs="Calibri"/>
                <w:color w:val="000000"/>
                <w:sz w:val="20"/>
                <w:szCs w:val="20"/>
              </w:rPr>
              <w:t>c</w:t>
            </w:r>
            <w:r w:rsidRPr="00084838">
              <w:rPr>
                <w:rFonts w:ascii="Palatino Linotype" w:hAnsi="Palatino Linotype" w:cs="Calibri"/>
                <w:color w:val="000000"/>
                <w:sz w:val="20"/>
                <w:szCs w:val="20"/>
                <w:vertAlign w:val="subscript"/>
              </w:rPr>
              <w:t>1</w:t>
            </w:r>
          </w:p>
        </w:tc>
        <w:tc>
          <w:tcPr>
            <w:tcW w:w="1300" w:type="dxa"/>
            <w:tcBorders>
              <w:top w:val="single" w:sz="4" w:space="0" w:color="auto"/>
              <w:left w:val="nil"/>
              <w:bottom w:val="nil"/>
              <w:right w:val="nil"/>
            </w:tcBorders>
            <w:shd w:val="clear" w:color="auto" w:fill="auto"/>
            <w:vAlign w:val="center"/>
            <w:hideMark/>
          </w:tcPr>
          <w:p w14:paraId="2D589DA1" w14:textId="77777777" w:rsidR="006C5ACE" w:rsidRDefault="006C5ACE" w:rsidP="008A1AC2">
            <w:pPr>
              <w:jc w:val="center"/>
              <w:rPr>
                <w:rFonts w:ascii="Palatino Linotype" w:hAnsi="Palatino Linotype" w:cs="Calibri"/>
                <w:color w:val="000000"/>
                <w:sz w:val="20"/>
                <w:szCs w:val="20"/>
              </w:rPr>
            </w:pPr>
            <w:r>
              <w:rPr>
                <w:rFonts w:ascii="Palatino Linotype" w:hAnsi="Palatino Linotype" w:cs="Calibri"/>
                <w:color w:val="000000"/>
                <w:sz w:val="20"/>
                <w:szCs w:val="20"/>
              </w:rPr>
              <w:t xml:space="preserve">0 </w:t>
            </w:r>
          </w:p>
        </w:tc>
        <w:tc>
          <w:tcPr>
            <w:tcW w:w="1300" w:type="dxa"/>
            <w:tcBorders>
              <w:top w:val="single" w:sz="4" w:space="0" w:color="auto"/>
              <w:left w:val="nil"/>
              <w:bottom w:val="nil"/>
              <w:right w:val="nil"/>
            </w:tcBorders>
            <w:shd w:val="clear" w:color="auto" w:fill="auto"/>
            <w:vAlign w:val="center"/>
            <w:hideMark/>
          </w:tcPr>
          <w:p w14:paraId="3BA406D9" w14:textId="77777777" w:rsidR="006C5ACE" w:rsidRDefault="006C5ACE" w:rsidP="008A1AC2">
            <w:pPr>
              <w:jc w:val="center"/>
              <w:rPr>
                <w:rFonts w:ascii="Palatino Linotype" w:hAnsi="Palatino Linotype" w:cs="Calibri"/>
                <w:color w:val="000000"/>
                <w:sz w:val="20"/>
                <w:szCs w:val="20"/>
              </w:rPr>
            </w:pPr>
            <w:r>
              <w:rPr>
                <w:rFonts w:ascii="Palatino Linotype" w:hAnsi="Palatino Linotype" w:cs="Calibri"/>
                <w:color w:val="000000"/>
                <w:sz w:val="20"/>
                <w:szCs w:val="20"/>
              </w:rPr>
              <w:t xml:space="preserve">0 </w:t>
            </w:r>
          </w:p>
        </w:tc>
        <w:tc>
          <w:tcPr>
            <w:tcW w:w="1300" w:type="dxa"/>
            <w:tcBorders>
              <w:top w:val="single" w:sz="4" w:space="0" w:color="auto"/>
              <w:left w:val="nil"/>
              <w:bottom w:val="nil"/>
              <w:right w:val="nil"/>
            </w:tcBorders>
            <w:shd w:val="clear" w:color="auto" w:fill="auto"/>
            <w:vAlign w:val="center"/>
            <w:hideMark/>
          </w:tcPr>
          <w:p w14:paraId="1EA7991D" w14:textId="77777777" w:rsidR="006C5ACE" w:rsidRDefault="006C5ACE" w:rsidP="008A1AC2">
            <w:pPr>
              <w:jc w:val="center"/>
              <w:rPr>
                <w:rFonts w:ascii="Palatino Linotype" w:hAnsi="Palatino Linotype" w:cs="Calibri"/>
                <w:color w:val="000000"/>
                <w:sz w:val="20"/>
                <w:szCs w:val="20"/>
              </w:rPr>
            </w:pPr>
            <w:r>
              <w:rPr>
                <w:rFonts w:ascii="Palatino Linotype" w:hAnsi="Palatino Linotype" w:cs="Calibri"/>
                <w:color w:val="000000"/>
                <w:sz w:val="20"/>
                <w:szCs w:val="20"/>
              </w:rPr>
              <w:t xml:space="preserve">0 </w:t>
            </w:r>
          </w:p>
        </w:tc>
        <w:tc>
          <w:tcPr>
            <w:tcW w:w="1300" w:type="dxa"/>
            <w:tcBorders>
              <w:top w:val="single" w:sz="4" w:space="0" w:color="auto"/>
              <w:left w:val="nil"/>
              <w:bottom w:val="nil"/>
              <w:right w:val="nil"/>
            </w:tcBorders>
            <w:shd w:val="clear" w:color="auto" w:fill="auto"/>
            <w:vAlign w:val="center"/>
            <w:hideMark/>
          </w:tcPr>
          <w:p w14:paraId="1EA99EB1" w14:textId="77777777" w:rsidR="006C5ACE" w:rsidRDefault="006C5ACE" w:rsidP="008A1AC2">
            <w:pPr>
              <w:jc w:val="center"/>
              <w:rPr>
                <w:rFonts w:ascii="Palatino Linotype" w:hAnsi="Palatino Linotype" w:cs="Calibri"/>
                <w:color w:val="000000"/>
                <w:sz w:val="20"/>
                <w:szCs w:val="20"/>
              </w:rPr>
            </w:pPr>
            <w:r>
              <w:rPr>
                <w:rFonts w:ascii="Palatino Linotype" w:hAnsi="Palatino Linotype" w:cs="Calibri"/>
                <w:color w:val="000000"/>
                <w:sz w:val="20"/>
                <w:szCs w:val="20"/>
              </w:rPr>
              <w:t xml:space="preserve">0.0136 </w:t>
            </w:r>
          </w:p>
        </w:tc>
        <w:tc>
          <w:tcPr>
            <w:tcW w:w="1300" w:type="dxa"/>
            <w:tcBorders>
              <w:top w:val="single" w:sz="4" w:space="0" w:color="auto"/>
              <w:left w:val="nil"/>
              <w:bottom w:val="nil"/>
              <w:right w:val="nil"/>
            </w:tcBorders>
            <w:shd w:val="clear" w:color="auto" w:fill="auto"/>
            <w:vAlign w:val="center"/>
            <w:hideMark/>
          </w:tcPr>
          <w:p w14:paraId="6C39A5C5" w14:textId="77777777" w:rsidR="006C5ACE" w:rsidRDefault="006C5ACE" w:rsidP="008A1AC2">
            <w:pPr>
              <w:jc w:val="center"/>
              <w:rPr>
                <w:rFonts w:ascii="Palatino Linotype" w:hAnsi="Palatino Linotype" w:cs="Calibri"/>
                <w:color w:val="000000"/>
                <w:sz w:val="20"/>
                <w:szCs w:val="20"/>
              </w:rPr>
            </w:pPr>
            <w:r>
              <w:rPr>
                <w:rFonts w:ascii="Palatino Linotype" w:hAnsi="Palatino Linotype" w:cs="Calibri"/>
                <w:color w:val="000000"/>
                <w:sz w:val="20"/>
                <w:szCs w:val="20"/>
              </w:rPr>
              <w:t xml:space="preserve">0.0120 </w:t>
            </w:r>
          </w:p>
        </w:tc>
      </w:tr>
      <w:tr w:rsidR="006C5ACE" w14:paraId="6EB12707" w14:textId="77777777" w:rsidTr="008A1AC2">
        <w:trPr>
          <w:trHeight w:val="320"/>
          <w:jc w:val="right"/>
        </w:trPr>
        <w:tc>
          <w:tcPr>
            <w:tcW w:w="1900" w:type="dxa"/>
            <w:vMerge/>
            <w:tcBorders>
              <w:top w:val="nil"/>
              <w:left w:val="nil"/>
              <w:bottom w:val="single" w:sz="4" w:space="0" w:color="000000"/>
              <w:right w:val="nil"/>
            </w:tcBorders>
            <w:vAlign w:val="center"/>
            <w:hideMark/>
          </w:tcPr>
          <w:p w14:paraId="6883025F" w14:textId="77777777" w:rsidR="006C5ACE" w:rsidRDefault="006C5ACE" w:rsidP="008A1AC2">
            <w:pPr>
              <w:rPr>
                <w:rFonts w:ascii="Palatino Linotype" w:hAnsi="Palatino Linotype" w:cs="Calibri"/>
                <w:color w:val="000000"/>
                <w:sz w:val="20"/>
                <w:szCs w:val="20"/>
              </w:rPr>
            </w:pPr>
          </w:p>
        </w:tc>
        <w:tc>
          <w:tcPr>
            <w:tcW w:w="1300" w:type="dxa"/>
            <w:tcBorders>
              <w:top w:val="nil"/>
              <w:left w:val="nil"/>
              <w:bottom w:val="nil"/>
              <w:right w:val="nil"/>
            </w:tcBorders>
            <w:shd w:val="clear" w:color="auto" w:fill="auto"/>
            <w:noWrap/>
            <w:vAlign w:val="bottom"/>
            <w:hideMark/>
          </w:tcPr>
          <w:p w14:paraId="04FEE2C9" w14:textId="77777777" w:rsidR="006C5ACE" w:rsidRDefault="006C5ACE" w:rsidP="008A1AC2">
            <w:pPr>
              <w:jc w:val="center"/>
              <w:rPr>
                <w:rFonts w:ascii="Palatino Linotype" w:hAnsi="Palatino Linotype" w:cs="Calibri"/>
                <w:color w:val="000000"/>
                <w:sz w:val="20"/>
                <w:szCs w:val="20"/>
              </w:rPr>
            </w:pPr>
            <w:r>
              <w:rPr>
                <w:rFonts w:ascii="Palatino Linotype" w:hAnsi="Palatino Linotype" w:cs="Calibri"/>
                <w:color w:val="000000"/>
                <w:sz w:val="20"/>
                <w:szCs w:val="20"/>
              </w:rPr>
              <w:t>c</w:t>
            </w:r>
            <w:r w:rsidRPr="00084838">
              <w:rPr>
                <w:rFonts w:ascii="Palatino Linotype" w:hAnsi="Palatino Linotype" w:cs="Calibri"/>
                <w:color w:val="000000"/>
                <w:sz w:val="20"/>
                <w:szCs w:val="20"/>
                <w:vertAlign w:val="subscript"/>
              </w:rPr>
              <w:t>2</w:t>
            </w:r>
          </w:p>
        </w:tc>
        <w:tc>
          <w:tcPr>
            <w:tcW w:w="1300" w:type="dxa"/>
            <w:tcBorders>
              <w:top w:val="nil"/>
              <w:left w:val="nil"/>
              <w:bottom w:val="nil"/>
              <w:right w:val="nil"/>
            </w:tcBorders>
            <w:shd w:val="clear" w:color="auto" w:fill="auto"/>
            <w:vAlign w:val="bottom"/>
            <w:hideMark/>
          </w:tcPr>
          <w:p w14:paraId="414EFE8E" w14:textId="77777777" w:rsidR="006C5ACE" w:rsidRDefault="006C5ACE" w:rsidP="008A1AC2">
            <w:pPr>
              <w:jc w:val="center"/>
              <w:rPr>
                <w:rFonts w:ascii="Palatino Linotype" w:hAnsi="Palatino Linotype" w:cs="Calibri"/>
                <w:color w:val="000000"/>
                <w:sz w:val="20"/>
                <w:szCs w:val="20"/>
              </w:rPr>
            </w:pPr>
            <w:r>
              <w:rPr>
                <w:rFonts w:ascii="Palatino Linotype" w:hAnsi="Palatino Linotype" w:cs="Calibri"/>
                <w:color w:val="000000"/>
                <w:sz w:val="20"/>
                <w:szCs w:val="20"/>
              </w:rPr>
              <w:t>-0.0023</w:t>
            </w:r>
          </w:p>
        </w:tc>
        <w:tc>
          <w:tcPr>
            <w:tcW w:w="1300" w:type="dxa"/>
            <w:tcBorders>
              <w:top w:val="nil"/>
              <w:left w:val="nil"/>
              <w:bottom w:val="nil"/>
              <w:right w:val="nil"/>
            </w:tcBorders>
            <w:shd w:val="clear" w:color="auto" w:fill="auto"/>
            <w:vAlign w:val="bottom"/>
            <w:hideMark/>
          </w:tcPr>
          <w:p w14:paraId="0E8856A5" w14:textId="77777777" w:rsidR="006C5ACE" w:rsidRDefault="006C5ACE" w:rsidP="008A1AC2">
            <w:pPr>
              <w:jc w:val="center"/>
              <w:rPr>
                <w:rFonts w:ascii="Palatino Linotype" w:hAnsi="Palatino Linotype" w:cs="Calibri"/>
                <w:color w:val="000000"/>
                <w:sz w:val="20"/>
                <w:szCs w:val="20"/>
              </w:rPr>
            </w:pPr>
            <w:r>
              <w:rPr>
                <w:rFonts w:ascii="Palatino Linotype" w:hAnsi="Palatino Linotype" w:cs="Calibri"/>
                <w:color w:val="000000"/>
                <w:sz w:val="20"/>
                <w:szCs w:val="20"/>
              </w:rPr>
              <w:t>-0.0005</w:t>
            </w:r>
          </w:p>
        </w:tc>
        <w:tc>
          <w:tcPr>
            <w:tcW w:w="1300" w:type="dxa"/>
            <w:tcBorders>
              <w:top w:val="nil"/>
              <w:left w:val="nil"/>
              <w:bottom w:val="nil"/>
              <w:right w:val="nil"/>
            </w:tcBorders>
            <w:shd w:val="clear" w:color="auto" w:fill="auto"/>
            <w:vAlign w:val="bottom"/>
            <w:hideMark/>
          </w:tcPr>
          <w:p w14:paraId="1F70AF3E" w14:textId="77777777" w:rsidR="006C5ACE" w:rsidRDefault="006C5ACE" w:rsidP="008A1AC2">
            <w:pPr>
              <w:jc w:val="center"/>
              <w:rPr>
                <w:rFonts w:ascii="Palatino Linotype" w:hAnsi="Palatino Linotype" w:cs="Calibri"/>
                <w:color w:val="000000"/>
                <w:sz w:val="20"/>
                <w:szCs w:val="20"/>
              </w:rPr>
            </w:pPr>
            <w:r>
              <w:rPr>
                <w:rFonts w:ascii="Palatino Linotype" w:hAnsi="Palatino Linotype" w:cs="Calibri"/>
                <w:color w:val="000000"/>
                <w:sz w:val="20"/>
                <w:szCs w:val="20"/>
              </w:rPr>
              <w:t>-0.0006</w:t>
            </w:r>
          </w:p>
        </w:tc>
        <w:tc>
          <w:tcPr>
            <w:tcW w:w="1300" w:type="dxa"/>
            <w:tcBorders>
              <w:top w:val="nil"/>
              <w:left w:val="nil"/>
              <w:bottom w:val="nil"/>
              <w:right w:val="nil"/>
            </w:tcBorders>
            <w:shd w:val="clear" w:color="auto" w:fill="auto"/>
            <w:vAlign w:val="bottom"/>
            <w:hideMark/>
          </w:tcPr>
          <w:p w14:paraId="40FF92F3" w14:textId="77777777" w:rsidR="006C5ACE" w:rsidRDefault="006C5ACE" w:rsidP="008A1AC2">
            <w:pPr>
              <w:jc w:val="center"/>
              <w:rPr>
                <w:rFonts w:ascii="Palatino Linotype" w:hAnsi="Palatino Linotype" w:cs="Calibri"/>
                <w:color w:val="000000"/>
                <w:sz w:val="20"/>
                <w:szCs w:val="20"/>
              </w:rPr>
            </w:pPr>
            <w:r>
              <w:rPr>
                <w:rFonts w:ascii="Palatino Linotype" w:hAnsi="Palatino Linotype" w:cs="Calibri"/>
                <w:color w:val="000000"/>
                <w:sz w:val="20"/>
                <w:szCs w:val="20"/>
              </w:rPr>
              <w:t>-0.0124</w:t>
            </w:r>
          </w:p>
        </w:tc>
        <w:tc>
          <w:tcPr>
            <w:tcW w:w="1300" w:type="dxa"/>
            <w:tcBorders>
              <w:top w:val="nil"/>
              <w:left w:val="nil"/>
              <w:bottom w:val="nil"/>
              <w:right w:val="nil"/>
            </w:tcBorders>
            <w:shd w:val="clear" w:color="auto" w:fill="auto"/>
            <w:vAlign w:val="bottom"/>
            <w:hideMark/>
          </w:tcPr>
          <w:p w14:paraId="27B53B50" w14:textId="77777777" w:rsidR="006C5ACE" w:rsidRDefault="006C5ACE" w:rsidP="008A1AC2">
            <w:pPr>
              <w:jc w:val="center"/>
              <w:rPr>
                <w:rFonts w:ascii="Palatino Linotype" w:hAnsi="Palatino Linotype" w:cs="Calibri"/>
                <w:color w:val="000000"/>
                <w:sz w:val="20"/>
                <w:szCs w:val="20"/>
              </w:rPr>
            </w:pPr>
            <w:r>
              <w:rPr>
                <w:rFonts w:ascii="Palatino Linotype" w:hAnsi="Palatino Linotype" w:cs="Calibri"/>
                <w:color w:val="000000"/>
                <w:sz w:val="20"/>
                <w:szCs w:val="20"/>
              </w:rPr>
              <w:t>-0.0159</w:t>
            </w:r>
          </w:p>
        </w:tc>
      </w:tr>
      <w:tr w:rsidR="006C5ACE" w14:paraId="2F4FCDFF" w14:textId="77777777" w:rsidTr="008A1AC2">
        <w:trPr>
          <w:trHeight w:val="320"/>
          <w:jc w:val="right"/>
        </w:trPr>
        <w:tc>
          <w:tcPr>
            <w:tcW w:w="1900" w:type="dxa"/>
            <w:vMerge/>
            <w:tcBorders>
              <w:top w:val="nil"/>
              <w:left w:val="nil"/>
              <w:bottom w:val="single" w:sz="4" w:space="0" w:color="auto"/>
              <w:right w:val="nil"/>
            </w:tcBorders>
            <w:vAlign w:val="center"/>
            <w:hideMark/>
          </w:tcPr>
          <w:p w14:paraId="1D3335E0" w14:textId="77777777" w:rsidR="006C5ACE" w:rsidRDefault="006C5ACE" w:rsidP="008A1AC2">
            <w:pPr>
              <w:rPr>
                <w:rFonts w:ascii="Palatino Linotype" w:hAnsi="Palatino Linotype" w:cs="Calibri"/>
                <w:color w:val="000000"/>
                <w:sz w:val="20"/>
                <w:szCs w:val="20"/>
              </w:rPr>
            </w:pPr>
          </w:p>
        </w:tc>
        <w:tc>
          <w:tcPr>
            <w:tcW w:w="1300" w:type="dxa"/>
            <w:tcBorders>
              <w:top w:val="nil"/>
              <w:left w:val="nil"/>
              <w:bottom w:val="single" w:sz="4" w:space="0" w:color="auto"/>
              <w:right w:val="nil"/>
            </w:tcBorders>
            <w:shd w:val="clear" w:color="auto" w:fill="auto"/>
            <w:noWrap/>
            <w:vAlign w:val="bottom"/>
            <w:hideMark/>
          </w:tcPr>
          <w:p w14:paraId="50A68F4A" w14:textId="77777777" w:rsidR="006C5ACE" w:rsidRDefault="006C5ACE" w:rsidP="008A1AC2">
            <w:pPr>
              <w:jc w:val="center"/>
              <w:rPr>
                <w:rFonts w:ascii="Palatino Linotype" w:hAnsi="Palatino Linotype" w:cs="Calibri"/>
                <w:color w:val="000000"/>
                <w:sz w:val="20"/>
                <w:szCs w:val="20"/>
              </w:rPr>
            </w:pPr>
            <w:r>
              <w:rPr>
                <w:rFonts w:ascii="Palatino Linotype" w:hAnsi="Palatino Linotype" w:cs="Calibri"/>
                <w:color w:val="000000"/>
                <w:sz w:val="20"/>
                <w:szCs w:val="20"/>
              </w:rPr>
              <w:t>c</w:t>
            </w:r>
            <w:r w:rsidRPr="00084838">
              <w:rPr>
                <w:rFonts w:ascii="Palatino Linotype" w:hAnsi="Palatino Linotype" w:cs="Calibri"/>
                <w:color w:val="000000"/>
                <w:sz w:val="20"/>
                <w:szCs w:val="20"/>
                <w:vertAlign w:val="subscript"/>
              </w:rPr>
              <w:t>3</w:t>
            </w:r>
          </w:p>
        </w:tc>
        <w:tc>
          <w:tcPr>
            <w:tcW w:w="1300" w:type="dxa"/>
            <w:tcBorders>
              <w:top w:val="nil"/>
              <w:left w:val="nil"/>
              <w:bottom w:val="single" w:sz="4" w:space="0" w:color="auto"/>
              <w:right w:val="nil"/>
            </w:tcBorders>
            <w:shd w:val="clear" w:color="auto" w:fill="auto"/>
            <w:vAlign w:val="bottom"/>
            <w:hideMark/>
          </w:tcPr>
          <w:p w14:paraId="20D3FD93" w14:textId="77777777" w:rsidR="006C5ACE" w:rsidRDefault="006C5ACE" w:rsidP="008A1AC2">
            <w:pPr>
              <w:jc w:val="center"/>
              <w:rPr>
                <w:rFonts w:ascii="Palatino Linotype" w:hAnsi="Palatino Linotype" w:cs="Calibri"/>
                <w:color w:val="000000"/>
                <w:sz w:val="20"/>
                <w:szCs w:val="20"/>
              </w:rPr>
            </w:pPr>
            <w:r>
              <w:rPr>
                <w:rFonts w:ascii="Palatino Linotype" w:hAnsi="Palatino Linotype" w:cs="Calibri"/>
                <w:color w:val="000000"/>
                <w:sz w:val="20"/>
                <w:szCs w:val="20"/>
              </w:rPr>
              <w:t>0.0693</w:t>
            </w:r>
          </w:p>
        </w:tc>
        <w:tc>
          <w:tcPr>
            <w:tcW w:w="1300" w:type="dxa"/>
            <w:tcBorders>
              <w:top w:val="nil"/>
              <w:left w:val="nil"/>
              <w:bottom w:val="single" w:sz="4" w:space="0" w:color="auto"/>
              <w:right w:val="nil"/>
            </w:tcBorders>
            <w:shd w:val="clear" w:color="auto" w:fill="auto"/>
            <w:vAlign w:val="bottom"/>
            <w:hideMark/>
          </w:tcPr>
          <w:p w14:paraId="7FB3B542" w14:textId="77777777" w:rsidR="006C5ACE" w:rsidRDefault="006C5ACE" w:rsidP="008A1AC2">
            <w:pPr>
              <w:jc w:val="center"/>
              <w:rPr>
                <w:rFonts w:ascii="Palatino Linotype" w:hAnsi="Palatino Linotype" w:cs="Calibri"/>
                <w:color w:val="000000"/>
                <w:sz w:val="20"/>
                <w:szCs w:val="20"/>
              </w:rPr>
            </w:pPr>
            <w:r>
              <w:rPr>
                <w:rFonts w:ascii="Palatino Linotype" w:hAnsi="Palatino Linotype" w:cs="Calibri"/>
                <w:color w:val="000000"/>
                <w:sz w:val="20"/>
                <w:szCs w:val="20"/>
              </w:rPr>
              <w:t>0.1731</w:t>
            </w:r>
          </w:p>
        </w:tc>
        <w:tc>
          <w:tcPr>
            <w:tcW w:w="1300" w:type="dxa"/>
            <w:tcBorders>
              <w:top w:val="nil"/>
              <w:left w:val="nil"/>
              <w:bottom w:val="single" w:sz="4" w:space="0" w:color="auto"/>
              <w:right w:val="nil"/>
            </w:tcBorders>
            <w:shd w:val="clear" w:color="auto" w:fill="auto"/>
            <w:vAlign w:val="bottom"/>
            <w:hideMark/>
          </w:tcPr>
          <w:p w14:paraId="2C3DA268" w14:textId="77777777" w:rsidR="006C5ACE" w:rsidRDefault="006C5ACE" w:rsidP="008A1AC2">
            <w:pPr>
              <w:jc w:val="center"/>
              <w:rPr>
                <w:rFonts w:ascii="Palatino Linotype" w:hAnsi="Palatino Linotype" w:cs="Calibri"/>
                <w:color w:val="000000"/>
                <w:sz w:val="20"/>
                <w:szCs w:val="20"/>
              </w:rPr>
            </w:pPr>
            <w:r>
              <w:rPr>
                <w:rFonts w:ascii="Palatino Linotype" w:hAnsi="Palatino Linotype" w:cs="Calibri"/>
                <w:color w:val="000000"/>
                <w:sz w:val="20"/>
                <w:szCs w:val="20"/>
              </w:rPr>
              <w:t>0.1020</w:t>
            </w:r>
          </w:p>
        </w:tc>
        <w:tc>
          <w:tcPr>
            <w:tcW w:w="1300" w:type="dxa"/>
            <w:tcBorders>
              <w:top w:val="nil"/>
              <w:left w:val="nil"/>
              <w:bottom w:val="single" w:sz="4" w:space="0" w:color="auto"/>
              <w:right w:val="nil"/>
            </w:tcBorders>
            <w:shd w:val="clear" w:color="auto" w:fill="auto"/>
            <w:vAlign w:val="bottom"/>
            <w:hideMark/>
          </w:tcPr>
          <w:p w14:paraId="538C4C2B" w14:textId="77777777" w:rsidR="006C5ACE" w:rsidRDefault="006C5ACE" w:rsidP="008A1AC2">
            <w:pPr>
              <w:jc w:val="center"/>
              <w:rPr>
                <w:rFonts w:ascii="Palatino Linotype" w:hAnsi="Palatino Linotype" w:cs="Calibri"/>
                <w:color w:val="000000"/>
                <w:sz w:val="20"/>
                <w:szCs w:val="20"/>
              </w:rPr>
            </w:pPr>
            <w:r>
              <w:rPr>
                <w:rFonts w:ascii="Palatino Linotype" w:hAnsi="Palatino Linotype" w:cs="Calibri"/>
                <w:color w:val="000000"/>
                <w:sz w:val="20"/>
                <w:szCs w:val="20"/>
              </w:rPr>
              <w:t>0.0222</w:t>
            </w:r>
          </w:p>
        </w:tc>
        <w:tc>
          <w:tcPr>
            <w:tcW w:w="1300" w:type="dxa"/>
            <w:tcBorders>
              <w:top w:val="nil"/>
              <w:left w:val="nil"/>
              <w:bottom w:val="single" w:sz="4" w:space="0" w:color="auto"/>
              <w:right w:val="nil"/>
            </w:tcBorders>
            <w:shd w:val="clear" w:color="auto" w:fill="auto"/>
            <w:vAlign w:val="bottom"/>
            <w:hideMark/>
          </w:tcPr>
          <w:p w14:paraId="4852E609" w14:textId="77777777" w:rsidR="006C5ACE" w:rsidRDefault="006C5ACE" w:rsidP="008A1AC2">
            <w:pPr>
              <w:jc w:val="center"/>
              <w:rPr>
                <w:rFonts w:ascii="Palatino Linotype" w:hAnsi="Palatino Linotype" w:cs="Calibri"/>
                <w:color w:val="000000"/>
                <w:sz w:val="20"/>
                <w:szCs w:val="20"/>
              </w:rPr>
            </w:pPr>
            <w:r>
              <w:rPr>
                <w:rFonts w:ascii="Palatino Linotype" w:hAnsi="Palatino Linotype" w:cs="Calibri"/>
                <w:color w:val="000000"/>
                <w:sz w:val="20"/>
                <w:szCs w:val="20"/>
              </w:rPr>
              <w:t>0.0261</w:t>
            </w:r>
          </w:p>
        </w:tc>
      </w:tr>
    </w:tbl>
    <w:p w14:paraId="115C0DF4" w14:textId="77777777" w:rsidR="006C5ACE" w:rsidRDefault="006C5ACE" w:rsidP="006C5ACE">
      <w:pPr>
        <w:pStyle w:val="MDPI31text"/>
        <w:ind w:left="0" w:firstLine="0"/>
        <w:rPr>
          <w:color w:val="000000" w:themeColor="text1"/>
        </w:rPr>
      </w:pPr>
    </w:p>
    <w:p w14:paraId="12503EAC" w14:textId="77777777" w:rsidR="00D662AC" w:rsidRDefault="00D662AC" w:rsidP="00310C94">
      <w:pPr>
        <w:pStyle w:val="MDPI31text"/>
        <w:ind w:left="2550" w:firstLine="0"/>
        <w:rPr>
          <w:color w:val="000000" w:themeColor="text1"/>
        </w:rPr>
      </w:pPr>
    </w:p>
    <w:p w14:paraId="6480E029" w14:textId="274161C3" w:rsidR="00BC2172" w:rsidRDefault="00310C94" w:rsidP="00310C94">
      <w:pPr>
        <w:pStyle w:val="MDPI31text"/>
        <w:ind w:left="2550" w:firstLine="0"/>
        <w:rPr>
          <w:color w:val="000000" w:themeColor="text1"/>
        </w:rPr>
      </w:pPr>
      <w:r w:rsidRPr="00310C94">
        <w:rPr>
          <w:color w:val="000000" w:themeColor="text1"/>
        </w:rPr>
        <w:t>There are variations in the coefficient values of a first-degree polynomial equation for a computer room, laboratory room, and classroom. A second-degree polynomial was necessary to provide a suitable fit for power functions in shared office spaces and small enclosed cubicles with only one occupant. The predictor values for office spaces were normalized with a mean of 28.19 and a standard deviation of 1.421 for shared space, and with a mean of 28.07 and a standard deviation of 1.394 for cubicle space.</w:t>
      </w:r>
      <w:r w:rsidR="00BC2172">
        <w:rPr>
          <w:color w:val="000000" w:themeColor="text1"/>
        </w:rPr>
        <w:t xml:space="preserve"> </w:t>
      </w:r>
    </w:p>
    <w:p w14:paraId="46A56A3D" w14:textId="0B7E96C8" w:rsidR="001C7B25" w:rsidRDefault="00310C94" w:rsidP="00541B44">
      <w:pPr>
        <w:pStyle w:val="MDPI31text"/>
        <w:ind w:left="2550" w:firstLine="510"/>
        <w:rPr>
          <w:color w:val="000000" w:themeColor="text1"/>
        </w:rPr>
      </w:pPr>
      <w:r w:rsidRPr="00310C94">
        <w:rPr>
          <w:color w:val="000000" w:themeColor="text1"/>
        </w:rPr>
        <w:t>Equations 6 examined the impact of humidity</w:t>
      </w:r>
      <w:r w:rsidR="009C47F2">
        <w:rPr>
          <w:color w:val="000000" w:themeColor="text1"/>
        </w:rPr>
        <w:t xml:space="preserve"> (H)</w:t>
      </w:r>
      <w:r w:rsidRPr="00310C94">
        <w:rPr>
          <w:color w:val="000000" w:themeColor="text1"/>
        </w:rPr>
        <w:t xml:space="preserve"> on power consumption (Ph) in various types of rooms, </w:t>
      </w:r>
      <w:r w:rsidR="0064563E" w:rsidRPr="00310C94">
        <w:rPr>
          <w:color w:val="000000" w:themeColor="text1"/>
        </w:rPr>
        <w:t>except for</w:t>
      </w:r>
      <w:r w:rsidRPr="00310C94">
        <w:rPr>
          <w:color w:val="000000" w:themeColor="text1"/>
        </w:rPr>
        <w:t xml:space="preserve"> classrooms. In the case of classrooms, humidity needed to be normalized using a mean of 55.92 and a standard deviation of 9.765.</w:t>
      </w:r>
    </w:p>
    <w:tbl>
      <w:tblPr>
        <w:tblW w:w="7862" w:type="dxa"/>
        <w:tblInd w:w="2613" w:type="dxa"/>
        <w:tblCellMar>
          <w:left w:w="0" w:type="dxa"/>
          <w:right w:w="0" w:type="dxa"/>
        </w:tblCellMar>
        <w:tblLook w:val="04A0" w:firstRow="1" w:lastRow="0" w:firstColumn="1" w:lastColumn="0" w:noHBand="0" w:noVBand="1"/>
      </w:tblPr>
      <w:tblGrid>
        <w:gridCol w:w="7431"/>
        <w:gridCol w:w="431"/>
      </w:tblGrid>
      <w:tr w:rsidR="001C7B25" w:rsidRPr="00AA2CDC" w14:paraId="15177BAE" w14:textId="77777777" w:rsidTr="00541B44">
        <w:trPr>
          <w:trHeight w:val="134"/>
        </w:trPr>
        <w:tc>
          <w:tcPr>
            <w:tcW w:w="7431" w:type="dxa"/>
          </w:tcPr>
          <w:p w14:paraId="52D14E6F" w14:textId="2B518731" w:rsidR="001C7B25" w:rsidRPr="00D62371" w:rsidRDefault="001C7B25" w:rsidP="004D5142">
            <w:pPr>
              <w:pStyle w:val="MDPI39equation"/>
              <w:rPr>
                <w:color w:val="000000" w:themeColor="text1"/>
              </w:rPr>
            </w:pPr>
            <w:r w:rsidRPr="00D62371">
              <w:rPr>
                <w:color w:val="000000" w:themeColor="text1"/>
              </w:rPr>
              <w:t>P</w:t>
            </w:r>
            <w:r w:rsidR="0008545F" w:rsidRPr="00D62371">
              <w:rPr>
                <w:color w:val="000000" w:themeColor="text1"/>
              </w:rPr>
              <w:t>h</w:t>
            </w:r>
            <w:r w:rsidRPr="00D62371">
              <w:rPr>
                <w:color w:val="000000" w:themeColor="text1"/>
              </w:rPr>
              <w:t xml:space="preserve"> = </w:t>
            </w:r>
            <w:r w:rsidR="0008545F" w:rsidRPr="00D62371">
              <w:rPr>
                <w:color w:val="000000" w:themeColor="text1"/>
              </w:rPr>
              <w:t>c</w:t>
            </w:r>
            <w:r w:rsidR="0008545F" w:rsidRPr="00D62371">
              <w:rPr>
                <w:color w:val="000000" w:themeColor="text1"/>
                <w:vertAlign w:val="subscript"/>
              </w:rPr>
              <w:t>1</w:t>
            </w:r>
            <w:r w:rsidR="00B663AE">
              <w:rPr>
                <w:color w:val="000000" w:themeColor="text1"/>
              </w:rPr>
              <w:t>H</w:t>
            </w:r>
            <w:r w:rsidR="00D62371" w:rsidRPr="00D62371">
              <w:rPr>
                <w:color w:val="000000" w:themeColor="text1"/>
                <w:vertAlign w:val="superscript"/>
              </w:rPr>
              <w:t>3</w:t>
            </w:r>
            <w:r w:rsidR="0008545F" w:rsidRPr="00D62371">
              <w:rPr>
                <w:color w:val="000000" w:themeColor="text1"/>
              </w:rPr>
              <w:t xml:space="preserve"> </w:t>
            </w:r>
            <w:r w:rsidR="00D62371" w:rsidRPr="00D62371">
              <w:rPr>
                <w:color w:val="000000" w:themeColor="text1"/>
              </w:rPr>
              <w:t xml:space="preserve">+ </w:t>
            </w:r>
            <w:r w:rsidR="0008545F" w:rsidRPr="00D62371">
              <w:rPr>
                <w:color w:val="000000" w:themeColor="text1"/>
              </w:rPr>
              <w:t>c</w:t>
            </w:r>
            <w:r w:rsidR="00D62371" w:rsidRPr="00D62371">
              <w:rPr>
                <w:color w:val="000000" w:themeColor="text1"/>
                <w:vertAlign w:val="subscript"/>
              </w:rPr>
              <w:t>2</w:t>
            </w:r>
            <w:r w:rsidR="00B663AE">
              <w:rPr>
                <w:color w:val="000000" w:themeColor="text1"/>
              </w:rPr>
              <w:t>H</w:t>
            </w:r>
            <w:r w:rsidR="0008545F" w:rsidRPr="00D62371">
              <w:rPr>
                <w:color w:val="000000" w:themeColor="text1"/>
                <w:vertAlign w:val="superscript"/>
              </w:rPr>
              <w:t>2</w:t>
            </w:r>
            <w:r w:rsidR="0008545F" w:rsidRPr="00D62371">
              <w:rPr>
                <w:color w:val="000000" w:themeColor="text1"/>
              </w:rPr>
              <w:t xml:space="preserve"> + c</w:t>
            </w:r>
            <w:r w:rsidR="00D62371" w:rsidRPr="00D62371">
              <w:rPr>
                <w:color w:val="000000" w:themeColor="text1"/>
                <w:vertAlign w:val="subscript"/>
              </w:rPr>
              <w:t>3</w:t>
            </w:r>
            <w:r w:rsidR="00B663AE">
              <w:rPr>
                <w:color w:val="000000" w:themeColor="text1"/>
              </w:rPr>
              <w:t>H</w:t>
            </w:r>
            <w:r w:rsidR="0008545F" w:rsidRPr="00D62371">
              <w:rPr>
                <w:color w:val="000000" w:themeColor="text1"/>
              </w:rPr>
              <w:t xml:space="preserve"> + c</w:t>
            </w:r>
            <w:r w:rsidR="00D62371" w:rsidRPr="00D62371">
              <w:rPr>
                <w:color w:val="000000" w:themeColor="text1"/>
                <w:vertAlign w:val="subscript"/>
              </w:rPr>
              <w:t>4</w:t>
            </w:r>
          </w:p>
        </w:tc>
        <w:tc>
          <w:tcPr>
            <w:tcW w:w="431" w:type="dxa"/>
            <w:vAlign w:val="center"/>
          </w:tcPr>
          <w:p w14:paraId="42BAD8AF" w14:textId="1572276D" w:rsidR="001C7B25" w:rsidRPr="00D62371" w:rsidRDefault="001C7B25" w:rsidP="004D5142">
            <w:pPr>
              <w:pStyle w:val="MDPI3aequationnumber"/>
              <w:spacing w:line="260" w:lineRule="atLeast"/>
              <w:rPr>
                <w:color w:val="000000" w:themeColor="text1"/>
              </w:rPr>
            </w:pPr>
            <w:r w:rsidRPr="00D62371">
              <w:rPr>
                <w:color w:val="000000" w:themeColor="text1"/>
              </w:rPr>
              <w:t>(</w:t>
            </w:r>
            <w:r w:rsidR="00D62371">
              <w:rPr>
                <w:color w:val="000000" w:themeColor="text1"/>
              </w:rPr>
              <w:t>6</w:t>
            </w:r>
            <w:r w:rsidRPr="00D62371">
              <w:rPr>
                <w:color w:val="000000" w:themeColor="text1"/>
              </w:rPr>
              <w:t>)</w:t>
            </w:r>
          </w:p>
        </w:tc>
      </w:tr>
    </w:tbl>
    <w:p w14:paraId="5A9008DC" w14:textId="30723934" w:rsidR="007F6D12" w:rsidRPr="007F6D12" w:rsidRDefault="00310C94" w:rsidP="007F6D12">
      <w:pPr>
        <w:pStyle w:val="MDPI31text"/>
        <w:ind w:left="2040" w:firstLine="510"/>
        <w:rPr>
          <w:color w:val="000000" w:themeColor="text1"/>
        </w:rPr>
      </w:pPr>
      <w:r w:rsidRPr="00310C94">
        <w:rPr>
          <w:color w:val="000000" w:themeColor="text1"/>
        </w:rPr>
        <w:t>The values of c</w:t>
      </w:r>
      <w:r w:rsidRPr="003F7AAC">
        <w:rPr>
          <w:color w:val="000000" w:themeColor="text1"/>
          <w:vertAlign w:val="subscript"/>
        </w:rPr>
        <w:t>1</w:t>
      </w:r>
      <w:r w:rsidRPr="00310C94">
        <w:rPr>
          <w:color w:val="000000" w:themeColor="text1"/>
        </w:rPr>
        <w:t>, c</w:t>
      </w:r>
      <w:r w:rsidRPr="003F7AAC">
        <w:rPr>
          <w:color w:val="000000" w:themeColor="text1"/>
          <w:vertAlign w:val="subscript"/>
        </w:rPr>
        <w:t>2</w:t>
      </w:r>
      <w:r w:rsidRPr="00310C94">
        <w:rPr>
          <w:color w:val="000000" w:themeColor="text1"/>
        </w:rPr>
        <w:t>, c</w:t>
      </w:r>
      <w:r w:rsidRPr="003F7AAC">
        <w:rPr>
          <w:color w:val="000000" w:themeColor="text1"/>
          <w:vertAlign w:val="subscript"/>
        </w:rPr>
        <w:t>3</w:t>
      </w:r>
      <w:r w:rsidRPr="00310C94">
        <w:rPr>
          <w:color w:val="000000" w:themeColor="text1"/>
        </w:rPr>
        <w:t>, and c</w:t>
      </w:r>
      <w:r w:rsidRPr="003F7AAC">
        <w:rPr>
          <w:color w:val="000000" w:themeColor="text1"/>
          <w:vertAlign w:val="subscript"/>
        </w:rPr>
        <w:t>4</w:t>
      </w:r>
      <w:r w:rsidRPr="00310C94">
        <w:rPr>
          <w:color w:val="000000" w:themeColor="text1"/>
        </w:rPr>
        <w:t xml:space="preserve"> vary based on the room type, as seen in Table 2.</w:t>
      </w:r>
      <w:r w:rsidR="007F6D12">
        <w:rPr>
          <w:color w:val="000000" w:themeColor="text1"/>
        </w:rPr>
        <w:t xml:space="preserve"> </w:t>
      </w:r>
    </w:p>
    <w:p w14:paraId="6B0B4C9E" w14:textId="77777777" w:rsidR="00D662AC" w:rsidRDefault="00D662AC" w:rsidP="008E5082">
      <w:pPr>
        <w:pStyle w:val="MDPI41tablecaption"/>
        <w:rPr>
          <w:b/>
          <w:color w:val="000000" w:themeColor="text1"/>
        </w:rPr>
      </w:pPr>
    </w:p>
    <w:p w14:paraId="78861D10" w14:textId="56E6B06E" w:rsidR="008E5082" w:rsidRDefault="008E5082" w:rsidP="008E5082">
      <w:pPr>
        <w:pStyle w:val="MDPI41tablecaption"/>
        <w:rPr>
          <w:color w:val="000000" w:themeColor="text1"/>
        </w:rPr>
      </w:pPr>
      <w:r w:rsidRPr="00B849BA">
        <w:rPr>
          <w:b/>
          <w:color w:val="000000" w:themeColor="text1"/>
        </w:rPr>
        <w:lastRenderedPageBreak/>
        <w:t xml:space="preserve">Table </w:t>
      </w:r>
      <w:r>
        <w:rPr>
          <w:b/>
          <w:color w:val="000000" w:themeColor="text1"/>
        </w:rPr>
        <w:t>2</w:t>
      </w:r>
      <w:r w:rsidRPr="00B849BA">
        <w:rPr>
          <w:b/>
          <w:color w:val="000000" w:themeColor="text1"/>
        </w:rPr>
        <w:t xml:space="preserve">. </w:t>
      </w:r>
      <w:r>
        <w:rPr>
          <w:color w:val="000000" w:themeColor="text1"/>
        </w:rPr>
        <w:t>Coefficients of Polynomial Curve Fit for Power vs Relative Humidity</w:t>
      </w:r>
    </w:p>
    <w:tbl>
      <w:tblPr>
        <w:tblW w:w="9700" w:type="dxa"/>
        <w:jc w:val="right"/>
        <w:tblLook w:val="04A0" w:firstRow="1" w:lastRow="0" w:firstColumn="1" w:lastColumn="0" w:noHBand="0" w:noVBand="1"/>
      </w:tblPr>
      <w:tblGrid>
        <w:gridCol w:w="1900"/>
        <w:gridCol w:w="1300"/>
        <w:gridCol w:w="1300"/>
        <w:gridCol w:w="1300"/>
        <w:gridCol w:w="1300"/>
        <w:gridCol w:w="1300"/>
        <w:gridCol w:w="1300"/>
      </w:tblGrid>
      <w:tr w:rsidR="008A0D2C" w14:paraId="7BDCC417" w14:textId="77777777" w:rsidTr="008A0D2C">
        <w:trPr>
          <w:trHeight w:val="600"/>
          <w:jc w:val="right"/>
        </w:trPr>
        <w:tc>
          <w:tcPr>
            <w:tcW w:w="3200" w:type="dxa"/>
            <w:gridSpan w:val="2"/>
            <w:tcBorders>
              <w:top w:val="single" w:sz="8" w:space="0" w:color="auto"/>
              <w:left w:val="nil"/>
              <w:bottom w:val="single" w:sz="4" w:space="0" w:color="auto"/>
              <w:right w:val="nil"/>
            </w:tcBorders>
            <w:shd w:val="clear" w:color="auto" w:fill="auto"/>
            <w:noWrap/>
            <w:vAlign w:val="center"/>
            <w:hideMark/>
          </w:tcPr>
          <w:p w14:paraId="76D89160" w14:textId="77777777" w:rsidR="008A0D2C" w:rsidRDefault="008A0D2C">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Coefficients</w:t>
            </w:r>
          </w:p>
        </w:tc>
        <w:tc>
          <w:tcPr>
            <w:tcW w:w="1300" w:type="dxa"/>
            <w:tcBorders>
              <w:top w:val="single" w:sz="8" w:space="0" w:color="auto"/>
              <w:left w:val="nil"/>
              <w:bottom w:val="single" w:sz="4" w:space="0" w:color="auto"/>
              <w:right w:val="nil"/>
            </w:tcBorders>
            <w:shd w:val="clear" w:color="auto" w:fill="auto"/>
            <w:vAlign w:val="center"/>
            <w:hideMark/>
          </w:tcPr>
          <w:p w14:paraId="6D4DFD6B" w14:textId="77777777" w:rsidR="008A0D2C" w:rsidRDefault="008A0D2C">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Classroom</w:t>
            </w:r>
          </w:p>
        </w:tc>
        <w:tc>
          <w:tcPr>
            <w:tcW w:w="1300" w:type="dxa"/>
            <w:tcBorders>
              <w:top w:val="single" w:sz="8" w:space="0" w:color="auto"/>
              <w:left w:val="nil"/>
              <w:bottom w:val="single" w:sz="4" w:space="0" w:color="auto"/>
              <w:right w:val="nil"/>
            </w:tcBorders>
            <w:shd w:val="clear" w:color="auto" w:fill="auto"/>
            <w:vAlign w:val="center"/>
            <w:hideMark/>
          </w:tcPr>
          <w:p w14:paraId="63FFE123" w14:textId="77777777" w:rsidR="008A0D2C" w:rsidRDefault="008A0D2C">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Computer Room</w:t>
            </w:r>
          </w:p>
        </w:tc>
        <w:tc>
          <w:tcPr>
            <w:tcW w:w="1300" w:type="dxa"/>
            <w:tcBorders>
              <w:top w:val="single" w:sz="8" w:space="0" w:color="auto"/>
              <w:left w:val="nil"/>
              <w:bottom w:val="single" w:sz="4" w:space="0" w:color="auto"/>
              <w:right w:val="nil"/>
            </w:tcBorders>
            <w:shd w:val="clear" w:color="auto" w:fill="auto"/>
            <w:vAlign w:val="center"/>
            <w:hideMark/>
          </w:tcPr>
          <w:p w14:paraId="6A6CF1E0" w14:textId="77777777" w:rsidR="008A0D2C" w:rsidRDefault="008A0D2C">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Laboratory Room</w:t>
            </w:r>
          </w:p>
        </w:tc>
        <w:tc>
          <w:tcPr>
            <w:tcW w:w="1300" w:type="dxa"/>
            <w:tcBorders>
              <w:top w:val="single" w:sz="8" w:space="0" w:color="auto"/>
              <w:left w:val="nil"/>
              <w:bottom w:val="single" w:sz="4" w:space="0" w:color="auto"/>
              <w:right w:val="nil"/>
            </w:tcBorders>
            <w:shd w:val="clear" w:color="auto" w:fill="auto"/>
            <w:vAlign w:val="center"/>
            <w:hideMark/>
          </w:tcPr>
          <w:p w14:paraId="7088095F" w14:textId="77777777" w:rsidR="008A0D2C" w:rsidRDefault="008A0D2C">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Office</w:t>
            </w:r>
            <w:r>
              <w:rPr>
                <w:rFonts w:ascii="Palatino Linotype" w:hAnsi="Palatino Linotype" w:cs="Calibri"/>
                <w:b/>
                <w:bCs/>
                <w:color w:val="000000"/>
                <w:sz w:val="20"/>
                <w:szCs w:val="20"/>
              </w:rPr>
              <w:br/>
              <w:t>(shared)</w:t>
            </w:r>
          </w:p>
        </w:tc>
        <w:tc>
          <w:tcPr>
            <w:tcW w:w="1300" w:type="dxa"/>
            <w:tcBorders>
              <w:top w:val="single" w:sz="8" w:space="0" w:color="auto"/>
              <w:left w:val="nil"/>
              <w:bottom w:val="single" w:sz="4" w:space="0" w:color="auto"/>
              <w:right w:val="nil"/>
            </w:tcBorders>
            <w:shd w:val="clear" w:color="auto" w:fill="auto"/>
            <w:vAlign w:val="center"/>
            <w:hideMark/>
          </w:tcPr>
          <w:p w14:paraId="2DDC6A0A" w14:textId="77777777" w:rsidR="008A0D2C" w:rsidRDefault="008A0D2C">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Office</w:t>
            </w:r>
            <w:r>
              <w:rPr>
                <w:rFonts w:ascii="Palatino Linotype" w:hAnsi="Palatino Linotype" w:cs="Calibri"/>
                <w:b/>
                <w:bCs/>
                <w:color w:val="000000"/>
                <w:sz w:val="20"/>
                <w:szCs w:val="20"/>
              </w:rPr>
              <w:br/>
              <w:t>(solo)</w:t>
            </w:r>
          </w:p>
        </w:tc>
      </w:tr>
      <w:tr w:rsidR="008A0D2C" w14:paraId="6FF7D299" w14:textId="77777777" w:rsidTr="008A0D2C">
        <w:trPr>
          <w:trHeight w:val="320"/>
          <w:jc w:val="right"/>
        </w:trPr>
        <w:tc>
          <w:tcPr>
            <w:tcW w:w="1900" w:type="dxa"/>
            <w:vMerge w:val="restart"/>
            <w:tcBorders>
              <w:top w:val="nil"/>
              <w:left w:val="nil"/>
              <w:bottom w:val="single" w:sz="8" w:space="0" w:color="000000"/>
              <w:right w:val="nil"/>
            </w:tcBorders>
            <w:shd w:val="clear" w:color="auto" w:fill="auto"/>
            <w:vAlign w:val="center"/>
            <w:hideMark/>
          </w:tcPr>
          <w:p w14:paraId="5F5BAAFA" w14:textId="77777777" w:rsidR="008A0D2C" w:rsidRDefault="008A0D2C">
            <w:pPr>
              <w:jc w:val="center"/>
              <w:rPr>
                <w:rFonts w:ascii="Palatino Linotype" w:hAnsi="Palatino Linotype" w:cs="Calibri"/>
                <w:color w:val="000000"/>
                <w:sz w:val="20"/>
                <w:szCs w:val="20"/>
              </w:rPr>
            </w:pPr>
            <w:r>
              <w:rPr>
                <w:rFonts w:ascii="Palatino Linotype" w:hAnsi="Palatino Linotype" w:cs="Calibri"/>
                <w:color w:val="000000"/>
                <w:sz w:val="20"/>
                <w:szCs w:val="20"/>
              </w:rPr>
              <w:t>Power vs Humidity</w:t>
            </w:r>
          </w:p>
        </w:tc>
        <w:tc>
          <w:tcPr>
            <w:tcW w:w="1300" w:type="dxa"/>
            <w:tcBorders>
              <w:top w:val="nil"/>
              <w:left w:val="nil"/>
              <w:bottom w:val="nil"/>
              <w:right w:val="nil"/>
            </w:tcBorders>
            <w:shd w:val="clear" w:color="auto" w:fill="auto"/>
            <w:noWrap/>
            <w:vAlign w:val="bottom"/>
            <w:hideMark/>
          </w:tcPr>
          <w:p w14:paraId="5ABB25FD" w14:textId="77777777" w:rsidR="008A0D2C" w:rsidRDefault="008A0D2C">
            <w:pPr>
              <w:jc w:val="center"/>
              <w:rPr>
                <w:rFonts w:ascii="Palatino Linotype" w:hAnsi="Palatino Linotype" w:cs="Calibri"/>
                <w:color w:val="000000"/>
                <w:sz w:val="20"/>
                <w:szCs w:val="20"/>
              </w:rPr>
            </w:pPr>
            <w:r>
              <w:rPr>
                <w:rFonts w:ascii="Palatino Linotype" w:hAnsi="Palatino Linotype" w:cs="Calibri"/>
                <w:color w:val="000000"/>
                <w:sz w:val="20"/>
                <w:szCs w:val="20"/>
              </w:rPr>
              <w:t>c</w:t>
            </w:r>
            <w:r w:rsidRPr="00706492">
              <w:rPr>
                <w:rFonts w:ascii="Palatino Linotype" w:hAnsi="Palatino Linotype" w:cs="Calibri"/>
                <w:color w:val="000000"/>
                <w:sz w:val="20"/>
                <w:szCs w:val="20"/>
                <w:vertAlign w:val="subscript"/>
              </w:rPr>
              <w:t>1</w:t>
            </w:r>
          </w:p>
        </w:tc>
        <w:tc>
          <w:tcPr>
            <w:tcW w:w="1300" w:type="dxa"/>
            <w:tcBorders>
              <w:top w:val="nil"/>
              <w:left w:val="nil"/>
              <w:bottom w:val="nil"/>
              <w:right w:val="nil"/>
            </w:tcBorders>
            <w:shd w:val="clear" w:color="auto" w:fill="auto"/>
            <w:vAlign w:val="bottom"/>
            <w:hideMark/>
          </w:tcPr>
          <w:p w14:paraId="58AD4DB3" w14:textId="77777777" w:rsidR="008A0D2C" w:rsidRDefault="008A0D2C">
            <w:pPr>
              <w:jc w:val="center"/>
              <w:rPr>
                <w:rFonts w:ascii="Palatino Linotype" w:hAnsi="Palatino Linotype" w:cs="Calibri"/>
                <w:color w:val="000000"/>
                <w:sz w:val="20"/>
                <w:szCs w:val="20"/>
              </w:rPr>
            </w:pPr>
            <w:r>
              <w:rPr>
                <w:rFonts w:ascii="Palatino Linotype" w:hAnsi="Palatino Linotype" w:cs="Calibri"/>
                <w:color w:val="000000"/>
                <w:sz w:val="20"/>
                <w:szCs w:val="20"/>
              </w:rPr>
              <w:t>0.0106</w:t>
            </w:r>
          </w:p>
        </w:tc>
        <w:tc>
          <w:tcPr>
            <w:tcW w:w="1300" w:type="dxa"/>
            <w:tcBorders>
              <w:top w:val="nil"/>
              <w:left w:val="nil"/>
              <w:bottom w:val="nil"/>
              <w:right w:val="nil"/>
            </w:tcBorders>
            <w:shd w:val="clear" w:color="auto" w:fill="auto"/>
            <w:vAlign w:val="bottom"/>
            <w:hideMark/>
          </w:tcPr>
          <w:p w14:paraId="0B8AB05C" w14:textId="77777777" w:rsidR="008A0D2C" w:rsidRDefault="008A0D2C">
            <w:pPr>
              <w:jc w:val="center"/>
              <w:rPr>
                <w:rFonts w:ascii="Palatino Linotype" w:hAnsi="Palatino Linotype" w:cs="Calibri"/>
                <w:color w:val="000000"/>
                <w:sz w:val="20"/>
                <w:szCs w:val="20"/>
              </w:rPr>
            </w:pPr>
            <w:r>
              <w:rPr>
                <w:rFonts w:ascii="Palatino Linotype" w:hAnsi="Palatino Linotype" w:cs="Calibri"/>
                <w:color w:val="000000"/>
                <w:sz w:val="20"/>
                <w:szCs w:val="20"/>
              </w:rPr>
              <w:t>0</w:t>
            </w:r>
          </w:p>
        </w:tc>
        <w:tc>
          <w:tcPr>
            <w:tcW w:w="1300" w:type="dxa"/>
            <w:tcBorders>
              <w:top w:val="nil"/>
              <w:left w:val="nil"/>
              <w:bottom w:val="nil"/>
              <w:right w:val="nil"/>
            </w:tcBorders>
            <w:shd w:val="clear" w:color="auto" w:fill="auto"/>
            <w:vAlign w:val="bottom"/>
            <w:hideMark/>
          </w:tcPr>
          <w:p w14:paraId="629C7536" w14:textId="77777777" w:rsidR="008A0D2C" w:rsidRDefault="008A0D2C">
            <w:pPr>
              <w:jc w:val="center"/>
              <w:rPr>
                <w:rFonts w:ascii="Palatino Linotype" w:hAnsi="Palatino Linotype" w:cs="Calibri"/>
                <w:color w:val="000000"/>
                <w:sz w:val="20"/>
                <w:szCs w:val="20"/>
              </w:rPr>
            </w:pPr>
            <w:r>
              <w:rPr>
                <w:rFonts w:ascii="Palatino Linotype" w:hAnsi="Palatino Linotype" w:cs="Calibri"/>
                <w:color w:val="000000"/>
                <w:sz w:val="20"/>
                <w:szCs w:val="20"/>
              </w:rPr>
              <w:t>0.0066</w:t>
            </w:r>
          </w:p>
        </w:tc>
        <w:tc>
          <w:tcPr>
            <w:tcW w:w="1300" w:type="dxa"/>
            <w:tcBorders>
              <w:top w:val="nil"/>
              <w:left w:val="nil"/>
              <w:bottom w:val="nil"/>
              <w:right w:val="nil"/>
            </w:tcBorders>
            <w:shd w:val="clear" w:color="auto" w:fill="auto"/>
            <w:vAlign w:val="bottom"/>
            <w:hideMark/>
          </w:tcPr>
          <w:p w14:paraId="274996E0" w14:textId="77777777" w:rsidR="008A0D2C" w:rsidRDefault="008A0D2C">
            <w:pPr>
              <w:jc w:val="center"/>
              <w:rPr>
                <w:rFonts w:ascii="Palatino Linotype" w:hAnsi="Palatino Linotype" w:cs="Calibri"/>
                <w:color w:val="000000"/>
                <w:sz w:val="20"/>
                <w:szCs w:val="20"/>
              </w:rPr>
            </w:pPr>
            <w:r>
              <w:rPr>
                <w:rFonts w:ascii="Palatino Linotype" w:hAnsi="Palatino Linotype" w:cs="Calibri"/>
                <w:color w:val="000000"/>
                <w:sz w:val="20"/>
                <w:szCs w:val="20"/>
              </w:rPr>
              <w:t>-0.0026</w:t>
            </w:r>
          </w:p>
        </w:tc>
        <w:tc>
          <w:tcPr>
            <w:tcW w:w="1300" w:type="dxa"/>
            <w:tcBorders>
              <w:top w:val="nil"/>
              <w:left w:val="nil"/>
              <w:bottom w:val="nil"/>
              <w:right w:val="nil"/>
            </w:tcBorders>
            <w:shd w:val="clear" w:color="auto" w:fill="auto"/>
            <w:vAlign w:val="bottom"/>
            <w:hideMark/>
          </w:tcPr>
          <w:p w14:paraId="4D2DC553" w14:textId="77777777" w:rsidR="008A0D2C" w:rsidRDefault="008A0D2C">
            <w:pPr>
              <w:jc w:val="center"/>
              <w:rPr>
                <w:rFonts w:ascii="Palatino Linotype" w:hAnsi="Palatino Linotype" w:cs="Calibri"/>
                <w:color w:val="000000"/>
                <w:sz w:val="20"/>
                <w:szCs w:val="20"/>
              </w:rPr>
            </w:pPr>
            <w:r>
              <w:rPr>
                <w:rFonts w:ascii="Palatino Linotype" w:hAnsi="Palatino Linotype" w:cs="Calibri"/>
                <w:color w:val="000000"/>
                <w:sz w:val="20"/>
                <w:szCs w:val="20"/>
              </w:rPr>
              <w:t>-0.0023</w:t>
            </w:r>
          </w:p>
        </w:tc>
      </w:tr>
      <w:tr w:rsidR="008A0D2C" w14:paraId="355B44D0" w14:textId="77777777" w:rsidTr="008A0D2C">
        <w:trPr>
          <w:trHeight w:val="320"/>
          <w:jc w:val="right"/>
        </w:trPr>
        <w:tc>
          <w:tcPr>
            <w:tcW w:w="1900" w:type="dxa"/>
            <w:vMerge/>
            <w:tcBorders>
              <w:top w:val="nil"/>
              <w:left w:val="nil"/>
              <w:bottom w:val="single" w:sz="8" w:space="0" w:color="000000"/>
              <w:right w:val="nil"/>
            </w:tcBorders>
            <w:vAlign w:val="center"/>
            <w:hideMark/>
          </w:tcPr>
          <w:p w14:paraId="1157226F" w14:textId="77777777" w:rsidR="008A0D2C" w:rsidRDefault="008A0D2C">
            <w:pPr>
              <w:rPr>
                <w:rFonts w:ascii="Palatino Linotype" w:hAnsi="Palatino Linotype" w:cs="Calibri"/>
                <w:color w:val="000000"/>
                <w:sz w:val="20"/>
                <w:szCs w:val="20"/>
              </w:rPr>
            </w:pPr>
          </w:p>
        </w:tc>
        <w:tc>
          <w:tcPr>
            <w:tcW w:w="1300" w:type="dxa"/>
            <w:tcBorders>
              <w:top w:val="nil"/>
              <w:left w:val="nil"/>
              <w:bottom w:val="nil"/>
              <w:right w:val="nil"/>
            </w:tcBorders>
            <w:shd w:val="clear" w:color="auto" w:fill="auto"/>
            <w:noWrap/>
            <w:vAlign w:val="bottom"/>
            <w:hideMark/>
          </w:tcPr>
          <w:p w14:paraId="56D0B08C" w14:textId="77777777" w:rsidR="008A0D2C" w:rsidRDefault="008A0D2C">
            <w:pPr>
              <w:jc w:val="center"/>
              <w:rPr>
                <w:rFonts w:ascii="Palatino Linotype" w:hAnsi="Palatino Linotype" w:cs="Calibri"/>
                <w:color w:val="000000"/>
                <w:sz w:val="20"/>
                <w:szCs w:val="20"/>
              </w:rPr>
            </w:pPr>
            <w:r>
              <w:rPr>
                <w:rFonts w:ascii="Palatino Linotype" w:hAnsi="Palatino Linotype" w:cs="Calibri"/>
                <w:color w:val="000000"/>
                <w:sz w:val="20"/>
                <w:szCs w:val="20"/>
              </w:rPr>
              <w:t>c</w:t>
            </w:r>
            <w:r w:rsidRPr="00706492">
              <w:rPr>
                <w:rFonts w:ascii="Palatino Linotype" w:hAnsi="Palatino Linotype" w:cs="Calibri"/>
                <w:color w:val="000000"/>
                <w:sz w:val="20"/>
                <w:szCs w:val="20"/>
                <w:vertAlign w:val="subscript"/>
              </w:rPr>
              <w:t>2</w:t>
            </w:r>
          </w:p>
        </w:tc>
        <w:tc>
          <w:tcPr>
            <w:tcW w:w="1300" w:type="dxa"/>
            <w:tcBorders>
              <w:top w:val="nil"/>
              <w:left w:val="nil"/>
              <w:bottom w:val="nil"/>
              <w:right w:val="nil"/>
            </w:tcBorders>
            <w:shd w:val="clear" w:color="auto" w:fill="auto"/>
            <w:vAlign w:val="bottom"/>
            <w:hideMark/>
          </w:tcPr>
          <w:p w14:paraId="1F11DBDB" w14:textId="77777777" w:rsidR="008A0D2C" w:rsidRDefault="008A0D2C">
            <w:pPr>
              <w:jc w:val="center"/>
              <w:rPr>
                <w:rFonts w:ascii="Palatino Linotype" w:hAnsi="Palatino Linotype" w:cs="Calibri"/>
                <w:color w:val="000000"/>
                <w:sz w:val="20"/>
                <w:szCs w:val="20"/>
              </w:rPr>
            </w:pPr>
            <w:r>
              <w:rPr>
                <w:rFonts w:ascii="Palatino Linotype" w:hAnsi="Palatino Linotype" w:cs="Calibri"/>
                <w:color w:val="000000"/>
                <w:sz w:val="20"/>
                <w:szCs w:val="20"/>
              </w:rPr>
              <w:t>-0.0055</w:t>
            </w:r>
          </w:p>
        </w:tc>
        <w:tc>
          <w:tcPr>
            <w:tcW w:w="1300" w:type="dxa"/>
            <w:tcBorders>
              <w:top w:val="nil"/>
              <w:left w:val="nil"/>
              <w:bottom w:val="nil"/>
              <w:right w:val="nil"/>
            </w:tcBorders>
            <w:shd w:val="clear" w:color="auto" w:fill="auto"/>
            <w:vAlign w:val="bottom"/>
            <w:hideMark/>
          </w:tcPr>
          <w:p w14:paraId="0B2C10BE" w14:textId="77777777" w:rsidR="008A0D2C" w:rsidRDefault="008A0D2C">
            <w:pPr>
              <w:jc w:val="center"/>
              <w:rPr>
                <w:rFonts w:ascii="Palatino Linotype" w:hAnsi="Palatino Linotype" w:cs="Calibri"/>
                <w:color w:val="000000"/>
                <w:sz w:val="20"/>
                <w:szCs w:val="20"/>
              </w:rPr>
            </w:pPr>
            <w:r>
              <w:rPr>
                <w:rFonts w:ascii="Palatino Linotype" w:hAnsi="Palatino Linotype" w:cs="Calibri"/>
                <w:color w:val="000000"/>
                <w:sz w:val="20"/>
                <w:szCs w:val="20"/>
              </w:rPr>
              <w:t>0.0022</w:t>
            </w:r>
          </w:p>
        </w:tc>
        <w:tc>
          <w:tcPr>
            <w:tcW w:w="1300" w:type="dxa"/>
            <w:tcBorders>
              <w:top w:val="nil"/>
              <w:left w:val="nil"/>
              <w:bottom w:val="nil"/>
              <w:right w:val="nil"/>
            </w:tcBorders>
            <w:shd w:val="clear" w:color="auto" w:fill="auto"/>
            <w:vAlign w:val="bottom"/>
            <w:hideMark/>
          </w:tcPr>
          <w:p w14:paraId="348AF4A2" w14:textId="77777777" w:rsidR="008A0D2C" w:rsidRDefault="008A0D2C">
            <w:pPr>
              <w:jc w:val="center"/>
              <w:rPr>
                <w:rFonts w:ascii="Palatino Linotype" w:hAnsi="Palatino Linotype" w:cs="Calibri"/>
                <w:color w:val="000000"/>
                <w:sz w:val="20"/>
                <w:szCs w:val="20"/>
              </w:rPr>
            </w:pPr>
            <w:r>
              <w:rPr>
                <w:rFonts w:ascii="Palatino Linotype" w:hAnsi="Palatino Linotype" w:cs="Calibri"/>
                <w:color w:val="000000"/>
                <w:sz w:val="20"/>
                <w:szCs w:val="20"/>
              </w:rPr>
              <w:t>-0.0104</w:t>
            </w:r>
          </w:p>
        </w:tc>
        <w:tc>
          <w:tcPr>
            <w:tcW w:w="1300" w:type="dxa"/>
            <w:tcBorders>
              <w:top w:val="nil"/>
              <w:left w:val="nil"/>
              <w:bottom w:val="nil"/>
              <w:right w:val="nil"/>
            </w:tcBorders>
            <w:shd w:val="clear" w:color="auto" w:fill="auto"/>
            <w:vAlign w:val="bottom"/>
            <w:hideMark/>
          </w:tcPr>
          <w:p w14:paraId="51D7B9C0" w14:textId="77777777" w:rsidR="008A0D2C" w:rsidRDefault="008A0D2C">
            <w:pPr>
              <w:jc w:val="center"/>
              <w:rPr>
                <w:rFonts w:ascii="Palatino Linotype" w:hAnsi="Palatino Linotype" w:cs="Calibri"/>
                <w:color w:val="000000"/>
                <w:sz w:val="20"/>
                <w:szCs w:val="20"/>
              </w:rPr>
            </w:pPr>
            <w:r>
              <w:rPr>
                <w:rFonts w:ascii="Palatino Linotype" w:hAnsi="Palatino Linotype" w:cs="Calibri"/>
                <w:color w:val="000000"/>
                <w:sz w:val="20"/>
                <w:szCs w:val="20"/>
              </w:rPr>
              <w:t>0.0116</w:t>
            </w:r>
          </w:p>
        </w:tc>
        <w:tc>
          <w:tcPr>
            <w:tcW w:w="1300" w:type="dxa"/>
            <w:tcBorders>
              <w:top w:val="nil"/>
              <w:left w:val="nil"/>
              <w:bottom w:val="nil"/>
              <w:right w:val="nil"/>
            </w:tcBorders>
            <w:shd w:val="clear" w:color="auto" w:fill="auto"/>
            <w:vAlign w:val="bottom"/>
            <w:hideMark/>
          </w:tcPr>
          <w:p w14:paraId="5BFDDEDA" w14:textId="77777777" w:rsidR="008A0D2C" w:rsidRDefault="008A0D2C">
            <w:pPr>
              <w:jc w:val="center"/>
              <w:rPr>
                <w:rFonts w:ascii="Palatino Linotype" w:hAnsi="Palatino Linotype" w:cs="Calibri"/>
                <w:color w:val="000000"/>
                <w:sz w:val="20"/>
                <w:szCs w:val="20"/>
              </w:rPr>
            </w:pPr>
            <w:r>
              <w:rPr>
                <w:rFonts w:ascii="Palatino Linotype" w:hAnsi="Palatino Linotype" w:cs="Calibri"/>
                <w:color w:val="000000"/>
                <w:sz w:val="20"/>
                <w:szCs w:val="20"/>
              </w:rPr>
              <w:t>0.0113</w:t>
            </w:r>
          </w:p>
        </w:tc>
      </w:tr>
      <w:tr w:rsidR="008A0D2C" w14:paraId="2B422690" w14:textId="77777777" w:rsidTr="008A0D2C">
        <w:trPr>
          <w:trHeight w:val="320"/>
          <w:jc w:val="right"/>
        </w:trPr>
        <w:tc>
          <w:tcPr>
            <w:tcW w:w="1900" w:type="dxa"/>
            <w:vMerge/>
            <w:tcBorders>
              <w:top w:val="nil"/>
              <w:left w:val="nil"/>
              <w:bottom w:val="single" w:sz="8" w:space="0" w:color="000000"/>
              <w:right w:val="nil"/>
            </w:tcBorders>
            <w:vAlign w:val="center"/>
            <w:hideMark/>
          </w:tcPr>
          <w:p w14:paraId="096B9D75" w14:textId="77777777" w:rsidR="008A0D2C" w:rsidRDefault="008A0D2C">
            <w:pPr>
              <w:rPr>
                <w:rFonts w:ascii="Palatino Linotype" w:hAnsi="Palatino Linotype" w:cs="Calibri"/>
                <w:color w:val="000000"/>
                <w:sz w:val="20"/>
                <w:szCs w:val="20"/>
              </w:rPr>
            </w:pPr>
          </w:p>
        </w:tc>
        <w:tc>
          <w:tcPr>
            <w:tcW w:w="1300" w:type="dxa"/>
            <w:tcBorders>
              <w:top w:val="nil"/>
              <w:left w:val="nil"/>
              <w:bottom w:val="nil"/>
              <w:right w:val="nil"/>
            </w:tcBorders>
            <w:shd w:val="clear" w:color="auto" w:fill="auto"/>
            <w:noWrap/>
            <w:vAlign w:val="bottom"/>
            <w:hideMark/>
          </w:tcPr>
          <w:p w14:paraId="00844655" w14:textId="77777777" w:rsidR="008A0D2C" w:rsidRDefault="008A0D2C">
            <w:pPr>
              <w:jc w:val="center"/>
              <w:rPr>
                <w:rFonts w:ascii="Palatino Linotype" w:hAnsi="Palatino Linotype" w:cs="Calibri"/>
                <w:color w:val="000000"/>
                <w:sz w:val="20"/>
                <w:szCs w:val="20"/>
              </w:rPr>
            </w:pPr>
            <w:r>
              <w:rPr>
                <w:rFonts w:ascii="Palatino Linotype" w:hAnsi="Palatino Linotype" w:cs="Calibri"/>
                <w:color w:val="000000"/>
                <w:sz w:val="20"/>
                <w:szCs w:val="20"/>
              </w:rPr>
              <w:t>c</w:t>
            </w:r>
            <w:r w:rsidRPr="00706492">
              <w:rPr>
                <w:rFonts w:ascii="Palatino Linotype" w:hAnsi="Palatino Linotype" w:cs="Calibri"/>
                <w:color w:val="000000"/>
                <w:sz w:val="20"/>
                <w:szCs w:val="20"/>
                <w:vertAlign w:val="subscript"/>
              </w:rPr>
              <w:t>3</w:t>
            </w:r>
          </w:p>
        </w:tc>
        <w:tc>
          <w:tcPr>
            <w:tcW w:w="1300" w:type="dxa"/>
            <w:tcBorders>
              <w:top w:val="nil"/>
              <w:left w:val="nil"/>
              <w:bottom w:val="nil"/>
              <w:right w:val="nil"/>
            </w:tcBorders>
            <w:shd w:val="clear" w:color="auto" w:fill="auto"/>
            <w:vAlign w:val="bottom"/>
            <w:hideMark/>
          </w:tcPr>
          <w:p w14:paraId="6D8AE086" w14:textId="77777777" w:rsidR="008A0D2C" w:rsidRDefault="008A0D2C">
            <w:pPr>
              <w:jc w:val="center"/>
              <w:rPr>
                <w:rFonts w:ascii="Palatino Linotype" w:hAnsi="Palatino Linotype" w:cs="Calibri"/>
                <w:color w:val="000000"/>
                <w:sz w:val="20"/>
                <w:szCs w:val="20"/>
              </w:rPr>
            </w:pPr>
            <w:r>
              <w:rPr>
                <w:rFonts w:ascii="Palatino Linotype" w:hAnsi="Palatino Linotype" w:cs="Calibri"/>
                <w:color w:val="000000"/>
                <w:sz w:val="20"/>
                <w:szCs w:val="20"/>
              </w:rPr>
              <w:t>-0.0694</w:t>
            </w:r>
          </w:p>
        </w:tc>
        <w:tc>
          <w:tcPr>
            <w:tcW w:w="1300" w:type="dxa"/>
            <w:tcBorders>
              <w:top w:val="nil"/>
              <w:left w:val="nil"/>
              <w:bottom w:val="nil"/>
              <w:right w:val="nil"/>
            </w:tcBorders>
            <w:shd w:val="clear" w:color="auto" w:fill="auto"/>
            <w:vAlign w:val="bottom"/>
            <w:hideMark/>
          </w:tcPr>
          <w:p w14:paraId="03D476FC" w14:textId="77777777" w:rsidR="008A0D2C" w:rsidRDefault="008A0D2C">
            <w:pPr>
              <w:jc w:val="center"/>
              <w:rPr>
                <w:rFonts w:ascii="Palatino Linotype" w:hAnsi="Palatino Linotype" w:cs="Calibri"/>
                <w:color w:val="000000"/>
                <w:sz w:val="20"/>
                <w:szCs w:val="20"/>
              </w:rPr>
            </w:pPr>
            <w:r>
              <w:rPr>
                <w:rFonts w:ascii="Palatino Linotype" w:hAnsi="Palatino Linotype" w:cs="Calibri"/>
                <w:color w:val="000000"/>
                <w:sz w:val="20"/>
                <w:szCs w:val="20"/>
              </w:rPr>
              <w:t>-0.1478</w:t>
            </w:r>
          </w:p>
        </w:tc>
        <w:tc>
          <w:tcPr>
            <w:tcW w:w="1300" w:type="dxa"/>
            <w:tcBorders>
              <w:top w:val="nil"/>
              <w:left w:val="nil"/>
              <w:bottom w:val="nil"/>
              <w:right w:val="nil"/>
            </w:tcBorders>
            <w:shd w:val="clear" w:color="auto" w:fill="auto"/>
            <w:vAlign w:val="bottom"/>
            <w:hideMark/>
          </w:tcPr>
          <w:p w14:paraId="08E55B9F" w14:textId="77777777" w:rsidR="008A0D2C" w:rsidRDefault="008A0D2C">
            <w:pPr>
              <w:jc w:val="center"/>
              <w:rPr>
                <w:rFonts w:ascii="Palatino Linotype" w:hAnsi="Palatino Linotype" w:cs="Calibri"/>
                <w:color w:val="000000"/>
                <w:sz w:val="20"/>
                <w:szCs w:val="20"/>
              </w:rPr>
            </w:pPr>
            <w:r>
              <w:rPr>
                <w:rFonts w:ascii="Palatino Linotype" w:hAnsi="Palatino Linotype" w:cs="Calibri"/>
                <w:color w:val="000000"/>
                <w:sz w:val="20"/>
                <w:szCs w:val="20"/>
              </w:rPr>
              <w:t>-0.0504</w:t>
            </w:r>
          </w:p>
        </w:tc>
        <w:tc>
          <w:tcPr>
            <w:tcW w:w="1300" w:type="dxa"/>
            <w:tcBorders>
              <w:top w:val="nil"/>
              <w:left w:val="nil"/>
              <w:bottom w:val="nil"/>
              <w:right w:val="nil"/>
            </w:tcBorders>
            <w:shd w:val="clear" w:color="auto" w:fill="auto"/>
            <w:vAlign w:val="bottom"/>
            <w:hideMark/>
          </w:tcPr>
          <w:p w14:paraId="61F88D78" w14:textId="77777777" w:rsidR="008A0D2C" w:rsidRDefault="008A0D2C">
            <w:pPr>
              <w:jc w:val="center"/>
              <w:rPr>
                <w:rFonts w:ascii="Palatino Linotype" w:hAnsi="Palatino Linotype" w:cs="Calibri"/>
                <w:color w:val="000000"/>
                <w:sz w:val="20"/>
                <w:szCs w:val="20"/>
              </w:rPr>
            </w:pPr>
            <w:r>
              <w:rPr>
                <w:rFonts w:ascii="Palatino Linotype" w:hAnsi="Palatino Linotype" w:cs="Calibri"/>
                <w:color w:val="000000"/>
                <w:sz w:val="20"/>
                <w:szCs w:val="20"/>
              </w:rPr>
              <w:t>-0.0190</w:t>
            </w:r>
          </w:p>
        </w:tc>
        <w:tc>
          <w:tcPr>
            <w:tcW w:w="1300" w:type="dxa"/>
            <w:tcBorders>
              <w:top w:val="nil"/>
              <w:left w:val="nil"/>
              <w:bottom w:val="nil"/>
              <w:right w:val="nil"/>
            </w:tcBorders>
            <w:shd w:val="clear" w:color="auto" w:fill="auto"/>
            <w:vAlign w:val="bottom"/>
            <w:hideMark/>
          </w:tcPr>
          <w:p w14:paraId="175822F7" w14:textId="77777777" w:rsidR="008A0D2C" w:rsidRDefault="008A0D2C">
            <w:pPr>
              <w:jc w:val="center"/>
              <w:rPr>
                <w:rFonts w:ascii="Palatino Linotype" w:hAnsi="Palatino Linotype" w:cs="Calibri"/>
                <w:color w:val="000000"/>
                <w:sz w:val="20"/>
                <w:szCs w:val="20"/>
              </w:rPr>
            </w:pPr>
            <w:r>
              <w:rPr>
                <w:rFonts w:ascii="Palatino Linotype" w:hAnsi="Palatino Linotype" w:cs="Calibri"/>
                <w:color w:val="000000"/>
                <w:sz w:val="20"/>
                <w:szCs w:val="20"/>
              </w:rPr>
              <w:t>-0.0188</w:t>
            </w:r>
          </w:p>
        </w:tc>
      </w:tr>
      <w:tr w:rsidR="008A0D2C" w14:paraId="66F52323" w14:textId="77777777" w:rsidTr="008A0D2C">
        <w:trPr>
          <w:trHeight w:val="340"/>
          <w:jc w:val="right"/>
        </w:trPr>
        <w:tc>
          <w:tcPr>
            <w:tcW w:w="1900" w:type="dxa"/>
            <w:vMerge/>
            <w:tcBorders>
              <w:top w:val="nil"/>
              <w:left w:val="nil"/>
              <w:bottom w:val="single" w:sz="8" w:space="0" w:color="000000"/>
              <w:right w:val="nil"/>
            </w:tcBorders>
            <w:vAlign w:val="center"/>
            <w:hideMark/>
          </w:tcPr>
          <w:p w14:paraId="23CE2B12" w14:textId="77777777" w:rsidR="008A0D2C" w:rsidRDefault="008A0D2C">
            <w:pPr>
              <w:rPr>
                <w:rFonts w:ascii="Palatino Linotype" w:hAnsi="Palatino Linotype" w:cs="Calibri"/>
                <w:color w:val="000000"/>
                <w:sz w:val="20"/>
                <w:szCs w:val="20"/>
              </w:rPr>
            </w:pPr>
          </w:p>
        </w:tc>
        <w:tc>
          <w:tcPr>
            <w:tcW w:w="1300" w:type="dxa"/>
            <w:tcBorders>
              <w:top w:val="nil"/>
              <w:left w:val="nil"/>
              <w:bottom w:val="single" w:sz="8" w:space="0" w:color="auto"/>
              <w:right w:val="nil"/>
            </w:tcBorders>
            <w:shd w:val="clear" w:color="auto" w:fill="auto"/>
            <w:noWrap/>
            <w:vAlign w:val="bottom"/>
            <w:hideMark/>
          </w:tcPr>
          <w:p w14:paraId="37571354" w14:textId="77777777" w:rsidR="008A0D2C" w:rsidRDefault="008A0D2C">
            <w:pPr>
              <w:jc w:val="center"/>
              <w:rPr>
                <w:rFonts w:ascii="Palatino Linotype" w:hAnsi="Palatino Linotype" w:cs="Calibri"/>
                <w:color w:val="000000"/>
                <w:sz w:val="20"/>
                <w:szCs w:val="20"/>
              </w:rPr>
            </w:pPr>
            <w:r>
              <w:rPr>
                <w:rFonts w:ascii="Palatino Linotype" w:hAnsi="Palatino Linotype" w:cs="Calibri"/>
                <w:color w:val="000000"/>
                <w:sz w:val="20"/>
                <w:szCs w:val="20"/>
              </w:rPr>
              <w:t>c</w:t>
            </w:r>
            <w:r w:rsidRPr="00706492">
              <w:rPr>
                <w:rFonts w:ascii="Palatino Linotype" w:hAnsi="Palatino Linotype" w:cs="Calibri"/>
                <w:color w:val="000000"/>
                <w:sz w:val="20"/>
                <w:szCs w:val="20"/>
                <w:vertAlign w:val="subscript"/>
              </w:rPr>
              <w:t>4</w:t>
            </w:r>
          </w:p>
        </w:tc>
        <w:tc>
          <w:tcPr>
            <w:tcW w:w="1300" w:type="dxa"/>
            <w:tcBorders>
              <w:top w:val="nil"/>
              <w:left w:val="nil"/>
              <w:bottom w:val="single" w:sz="8" w:space="0" w:color="auto"/>
              <w:right w:val="nil"/>
            </w:tcBorders>
            <w:shd w:val="clear" w:color="auto" w:fill="auto"/>
            <w:vAlign w:val="bottom"/>
            <w:hideMark/>
          </w:tcPr>
          <w:p w14:paraId="228D436D" w14:textId="77777777" w:rsidR="008A0D2C" w:rsidRDefault="008A0D2C">
            <w:pPr>
              <w:jc w:val="center"/>
              <w:rPr>
                <w:rFonts w:ascii="Palatino Linotype" w:hAnsi="Palatino Linotype" w:cs="Calibri"/>
                <w:color w:val="000000"/>
                <w:sz w:val="20"/>
                <w:szCs w:val="20"/>
              </w:rPr>
            </w:pPr>
            <w:r>
              <w:rPr>
                <w:rFonts w:ascii="Palatino Linotype" w:hAnsi="Palatino Linotype" w:cs="Calibri"/>
                <w:color w:val="000000"/>
                <w:sz w:val="20"/>
                <w:szCs w:val="20"/>
              </w:rPr>
              <w:t>0.1041</w:t>
            </w:r>
          </w:p>
        </w:tc>
        <w:tc>
          <w:tcPr>
            <w:tcW w:w="1300" w:type="dxa"/>
            <w:tcBorders>
              <w:top w:val="nil"/>
              <w:left w:val="nil"/>
              <w:bottom w:val="single" w:sz="8" w:space="0" w:color="auto"/>
              <w:right w:val="nil"/>
            </w:tcBorders>
            <w:shd w:val="clear" w:color="auto" w:fill="auto"/>
            <w:vAlign w:val="bottom"/>
            <w:hideMark/>
          </w:tcPr>
          <w:p w14:paraId="20607222" w14:textId="77777777" w:rsidR="008A0D2C" w:rsidRDefault="008A0D2C">
            <w:pPr>
              <w:jc w:val="center"/>
              <w:rPr>
                <w:rFonts w:ascii="Palatino Linotype" w:hAnsi="Palatino Linotype" w:cs="Calibri"/>
                <w:color w:val="000000"/>
                <w:sz w:val="20"/>
                <w:szCs w:val="20"/>
              </w:rPr>
            </w:pPr>
            <w:r>
              <w:rPr>
                <w:rFonts w:ascii="Palatino Linotype" w:hAnsi="Palatino Linotype" w:cs="Calibri"/>
                <w:color w:val="000000"/>
                <w:sz w:val="20"/>
                <w:szCs w:val="20"/>
              </w:rPr>
              <w:t>3.2459</w:t>
            </w:r>
          </w:p>
        </w:tc>
        <w:tc>
          <w:tcPr>
            <w:tcW w:w="1300" w:type="dxa"/>
            <w:tcBorders>
              <w:top w:val="nil"/>
              <w:left w:val="nil"/>
              <w:bottom w:val="single" w:sz="8" w:space="0" w:color="auto"/>
              <w:right w:val="nil"/>
            </w:tcBorders>
            <w:shd w:val="clear" w:color="auto" w:fill="auto"/>
            <w:vAlign w:val="bottom"/>
            <w:hideMark/>
          </w:tcPr>
          <w:p w14:paraId="2F074B68" w14:textId="77777777" w:rsidR="008A0D2C" w:rsidRDefault="008A0D2C">
            <w:pPr>
              <w:jc w:val="center"/>
              <w:rPr>
                <w:rFonts w:ascii="Palatino Linotype" w:hAnsi="Palatino Linotype" w:cs="Calibri"/>
                <w:color w:val="000000"/>
                <w:sz w:val="20"/>
                <w:szCs w:val="20"/>
              </w:rPr>
            </w:pPr>
            <w:r>
              <w:rPr>
                <w:rFonts w:ascii="Palatino Linotype" w:hAnsi="Palatino Linotype" w:cs="Calibri"/>
                <w:color w:val="000000"/>
                <w:sz w:val="20"/>
                <w:szCs w:val="20"/>
              </w:rPr>
              <w:t>0.1266</w:t>
            </w:r>
          </w:p>
        </w:tc>
        <w:tc>
          <w:tcPr>
            <w:tcW w:w="1300" w:type="dxa"/>
            <w:tcBorders>
              <w:top w:val="nil"/>
              <w:left w:val="nil"/>
              <w:bottom w:val="single" w:sz="8" w:space="0" w:color="auto"/>
              <w:right w:val="nil"/>
            </w:tcBorders>
            <w:shd w:val="clear" w:color="auto" w:fill="auto"/>
            <w:vAlign w:val="bottom"/>
            <w:hideMark/>
          </w:tcPr>
          <w:p w14:paraId="45E4B271" w14:textId="77777777" w:rsidR="008A0D2C" w:rsidRDefault="008A0D2C">
            <w:pPr>
              <w:jc w:val="center"/>
              <w:rPr>
                <w:rFonts w:ascii="Palatino Linotype" w:hAnsi="Palatino Linotype" w:cs="Calibri"/>
                <w:color w:val="000000"/>
                <w:sz w:val="20"/>
                <w:szCs w:val="20"/>
              </w:rPr>
            </w:pPr>
            <w:r>
              <w:rPr>
                <w:rFonts w:ascii="Palatino Linotype" w:hAnsi="Palatino Linotype" w:cs="Calibri"/>
                <w:color w:val="000000"/>
                <w:sz w:val="20"/>
                <w:szCs w:val="20"/>
              </w:rPr>
              <w:t>0.0268</w:t>
            </w:r>
          </w:p>
        </w:tc>
        <w:tc>
          <w:tcPr>
            <w:tcW w:w="1300" w:type="dxa"/>
            <w:tcBorders>
              <w:top w:val="nil"/>
              <w:left w:val="nil"/>
              <w:bottom w:val="single" w:sz="8" w:space="0" w:color="auto"/>
              <w:right w:val="nil"/>
            </w:tcBorders>
            <w:shd w:val="clear" w:color="auto" w:fill="auto"/>
            <w:vAlign w:val="bottom"/>
            <w:hideMark/>
          </w:tcPr>
          <w:p w14:paraId="719E74D6" w14:textId="77777777" w:rsidR="008A0D2C" w:rsidRDefault="008A0D2C">
            <w:pPr>
              <w:jc w:val="center"/>
              <w:rPr>
                <w:rFonts w:ascii="Palatino Linotype" w:hAnsi="Palatino Linotype" w:cs="Calibri"/>
                <w:color w:val="000000"/>
                <w:sz w:val="20"/>
                <w:szCs w:val="20"/>
              </w:rPr>
            </w:pPr>
            <w:r>
              <w:rPr>
                <w:rFonts w:ascii="Palatino Linotype" w:hAnsi="Palatino Linotype" w:cs="Calibri"/>
                <w:color w:val="000000"/>
                <w:sz w:val="20"/>
                <w:szCs w:val="20"/>
              </w:rPr>
              <w:t>0.0277</w:t>
            </w:r>
          </w:p>
        </w:tc>
      </w:tr>
    </w:tbl>
    <w:p w14:paraId="77465B6D" w14:textId="77777777" w:rsidR="008E5082" w:rsidRDefault="008E5082" w:rsidP="00F3424F">
      <w:pPr>
        <w:pStyle w:val="MDPI31text"/>
        <w:rPr>
          <w:color w:val="000000" w:themeColor="text1"/>
        </w:rPr>
      </w:pPr>
    </w:p>
    <w:p w14:paraId="620CCD10" w14:textId="76EDD6A1" w:rsidR="00B214BB" w:rsidRPr="007F6D12" w:rsidRDefault="00310C94" w:rsidP="00B214BB">
      <w:pPr>
        <w:pStyle w:val="MDPI31text"/>
        <w:ind w:left="2550" w:firstLine="0"/>
        <w:rPr>
          <w:color w:val="000000" w:themeColor="text1"/>
        </w:rPr>
      </w:pPr>
      <w:r w:rsidRPr="00310C94">
        <w:rPr>
          <w:color w:val="000000" w:themeColor="text1"/>
        </w:rPr>
        <w:t xml:space="preserve">Additional refinements were made to the process of fitting a power equation to the </w:t>
      </w:r>
      <w:r w:rsidR="00B214BB">
        <w:rPr>
          <w:color w:val="000000" w:themeColor="text1"/>
        </w:rPr>
        <w:t>indoor</w:t>
      </w:r>
      <w:r w:rsidRPr="00310C94">
        <w:rPr>
          <w:color w:val="000000" w:themeColor="text1"/>
        </w:rPr>
        <w:t xml:space="preserve"> CO</w:t>
      </w:r>
      <w:r w:rsidRPr="00C06C3F">
        <w:rPr>
          <w:color w:val="000000" w:themeColor="text1"/>
          <w:vertAlign w:val="subscript"/>
        </w:rPr>
        <w:t>2</w:t>
      </w:r>
      <w:r w:rsidRPr="00310C94">
        <w:rPr>
          <w:color w:val="000000" w:themeColor="text1"/>
        </w:rPr>
        <w:t xml:space="preserve"> level data, specifically </w:t>
      </w:r>
      <w:r w:rsidR="0064563E" w:rsidRPr="00310C94">
        <w:rPr>
          <w:color w:val="000000" w:themeColor="text1"/>
        </w:rPr>
        <w:t>considering</w:t>
      </w:r>
      <w:r w:rsidRPr="00310C94">
        <w:rPr>
          <w:color w:val="000000" w:themeColor="text1"/>
        </w:rPr>
        <w:t xml:space="preserve"> the slight fluctuations observed when the ACU is activated. Therefore, power measurement readings below 0.03Wh for instructional classes and 0.003Wh for offices were omitted from the analysis </w:t>
      </w:r>
      <w:r w:rsidR="0064563E" w:rsidRPr="00310C94">
        <w:rPr>
          <w:color w:val="000000" w:themeColor="text1"/>
        </w:rPr>
        <w:t>to</w:t>
      </w:r>
      <w:r w:rsidRPr="00310C94">
        <w:rPr>
          <w:color w:val="000000" w:themeColor="text1"/>
        </w:rPr>
        <w:t xml:space="preserve"> get meaningful coefficients. However, it was observed that the laboratory room had an unusually high amount of CO</w:t>
      </w:r>
      <w:r w:rsidRPr="00C06C3F">
        <w:rPr>
          <w:color w:val="000000" w:themeColor="text1"/>
          <w:vertAlign w:val="subscript"/>
        </w:rPr>
        <w:t>2</w:t>
      </w:r>
      <w:r w:rsidRPr="00310C94">
        <w:rPr>
          <w:color w:val="000000" w:themeColor="text1"/>
        </w:rPr>
        <w:t>, namely above 5,000ppm. This aspect was specifically excluded from the research as it pertains to exceptional activities (such as soldering and carpentry) that are not seen in the other rooms included in this study. Specifically, carbon dioxide (CO</w:t>
      </w:r>
      <w:r w:rsidRPr="00C06C3F">
        <w:rPr>
          <w:color w:val="000000" w:themeColor="text1"/>
          <w:vertAlign w:val="subscript"/>
        </w:rPr>
        <w:t>2</w:t>
      </w:r>
      <w:r w:rsidRPr="00310C94">
        <w:rPr>
          <w:color w:val="000000" w:themeColor="text1"/>
        </w:rPr>
        <w:t>) levels were linked to the quality of ventilation and were not utilized to identify and quantify the existence of indoor contaminants.</w:t>
      </w:r>
      <w:r w:rsidR="00B214BB">
        <w:rPr>
          <w:color w:val="000000" w:themeColor="text1"/>
        </w:rPr>
        <w:t xml:space="preserve"> </w:t>
      </w:r>
      <w:r w:rsidR="00B214BB" w:rsidRPr="00310C94">
        <w:rPr>
          <w:color w:val="000000" w:themeColor="text1"/>
        </w:rPr>
        <w:t xml:space="preserve">Equations </w:t>
      </w:r>
      <w:r w:rsidR="00B214BB">
        <w:rPr>
          <w:color w:val="000000" w:themeColor="text1"/>
        </w:rPr>
        <w:t>7</w:t>
      </w:r>
      <w:r w:rsidR="00B214BB" w:rsidRPr="00310C94">
        <w:rPr>
          <w:color w:val="000000" w:themeColor="text1"/>
        </w:rPr>
        <w:t xml:space="preserve"> examined the impact of </w:t>
      </w:r>
      <w:r w:rsidR="00B214BB">
        <w:rPr>
          <w:color w:val="000000" w:themeColor="text1"/>
        </w:rPr>
        <w:t xml:space="preserve">indoor </w:t>
      </w:r>
      <w:r w:rsidR="00B214BB" w:rsidRPr="00310C94">
        <w:rPr>
          <w:color w:val="000000" w:themeColor="text1"/>
        </w:rPr>
        <w:t>CO</w:t>
      </w:r>
      <w:r w:rsidR="00B214BB" w:rsidRPr="00C06C3F">
        <w:rPr>
          <w:color w:val="000000" w:themeColor="text1"/>
          <w:vertAlign w:val="subscript"/>
        </w:rPr>
        <w:t>2</w:t>
      </w:r>
      <w:r w:rsidR="00B214BB">
        <w:rPr>
          <w:color w:val="000000" w:themeColor="text1"/>
          <w:vertAlign w:val="subscript"/>
        </w:rPr>
        <w:t xml:space="preserve"> </w:t>
      </w:r>
      <w:r w:rsidR="00B214BB">
        <w:rPr>
          <w:color w:val="000000" w:themeColor="text1"/>
        </w:rPr>
        <w:t>levels (G)</w:t>
      </w:r>
      <w:r w:rsidR="00B214BB" w:rsidRPr="00310C94">
        <w:rPr>
          <w:color w:val="000000" w:themeColor="text1"/>
        </w:rPr>
        <w:t xml:space="preserve"> on power consumption (P</w:t>
      </w:r>
      <w:r w:rsidR="00B214BB">
        <w:rPr>
          <w:color w:val="000000" w:themeColor="text1"/>
        </w:rPr>
        <w:t>c</w:t>
      </w:r>
      <w:r w:rsidR="00B214BB" w:rsidRPr="00310C94">
        <w:rPr>
          <w:color w:val="000000" w:themeColor="text1"/>
        </w:rPr>
        <w:t>) in various types of rooms</w:t>
      </w:r>
      <w:r w:rsidR="00B214BB">
        <w:rPr>
          <w:color w:val="000000" w:themeColor="text1"/>
        </w:rPr>
        <w:t xml:space="preserve">. </w:t>
      </w:r>
      <w:r w:rsidR="00B214BB" w:rsidRPr="00310C94">
        <w:rPr>
          <w:color w:val="000000" w:themeColor="text1"/>
        </w:rPr>
        <w:t>The values of c1</w:t>
      </w:r>
      <w:r w:rsidR="00B214BB">
        <w:rPr>
          <w:color w:val="000000" w:themeColor="text1"/>
        </w:rPr>
        <w:t xml:space="preserve"> and </w:t>
      </w:r>
      <w:r w:rsidR="00B214BB" w:rsidRPr="00310C94">
        <w:rPr>
          <w:color w:val="000000" w:themeColor="text1"/>
        </w:rPr>
        <w:t>c2</w:t>
      </w:r>
      <w:r w:rsidR="00B214BB">
        <w:rPr>
          <w:color w:val="000000" w:themeColor="text1"/>
        </w:rPr>
        <w:t xml:space="preserve"> vary per </w:t>
      </w:r>
      <w:r w:rsidR="00B214BB" w:rsidRPr="00310C94">
        <w:rPr>
          <w:color w:val="000000" w:themeColor="text1"/>
        </w:rPr>
        <w:t>room type, as seen in Table 2.</w:t>
      </w:r>
      <w:r w:rsidR="00B214BB">
        <w:rPr>
          <w:color w:val="000000" w:themeColor="text1"/>
        </w:rPr>
        <w:t xml:space="preserve"> </w:t>
      </w:r>
    </w:p>
    <w:tbl>
      <w:tblPr>
        <w:tblW w:w="7862" w:type="dxa"/>
        <w:tblInd w:w="2613" w:type="dxa"/>
        <w:tblCellMar>
          <w:left w:w="0" w:type="dxa"/>
          <w:right w:w="0" w:type="dxa"/>
        </w:tblCellMar>
        <w:tblLook w:val="04A0" w:firstRow="1" w:lastRow="0" w:firstColumn="1" w:lastColumn="0" w:noHBand="0" w:noVBand="1"/>
      </w:tblPr>
      <w:tblGrid>
        <w:gridCol w:w="7431"/>
        <w:gridCol w:w="431"/>
      </w:tblGrid>
      <w:tr w:rsidR="00B214BB" w:rsidRPr="00D62371" w14:paraId="7A1C10EE" w14:textId="77777777" w:rsidTr="008A1AC2">
        <w:trPr>
          <w:trHeight w:val="134"/>
        </w:trPr>
        <w:tc>
          <w:tcPr>
            <w:tcW w:w="7431" w:type="dxa"/>
          </w:tcPr>
          <w:p w14:paraId="3910FAA8" w14:textId="77777777" w:rsidR="00B214BB" w:rsidRPr="00D62371" w:rsidRDefault="00B214BB" w:rsidP="008A1AC2">
            <w:pPr>
              <w:pStyle w:val="MDPI39equation"/>
              <w:rPr>
                <w:color w:val="000000" w:themeColor="text1"/>
              </w:rPr>
            </w:pPr>
            <w:r w:rsidRPr="00D62371">
              <w:rPr>
                <w:color w:val="000000" w:themeColor="text1"/>
              </w:rPr>
              <w:t>P</w:t>
            </w:r>
            <w:r>
              <w:rPr>
                <w:color w:val="000000" w:themeColor="text1"/>
              </w:rPr>
              <w:t>c</w:t>
            </w:r>
            <w:r w:rsidRPr="00D62371">
              <w:rPr>
                <w:color w:val="000000" w:themeColor="text1"/>
              </w:rPr>
              <w:t xml:space="preserve"> = c</w:t>
            </w:r>
            <w:r>
              <w:rPr>
                <w:color w:val="000000" w:themeColor="text1"/>
                <w:vertAlign w:val="subscript"/>
              </w:rPr>
              <w:t>1</w:t>
            </w:r>
            <w:r>
              <w:rPr>
                <w:color w:val="000000" w:themeColor="text1"/>
              </w:rPr>
              <w:t>G</w:t>
            </w:r>
            <w:r w:rsidRPr="00D62371">
              <w:rPr>
                <w:color w:val="000000" w:themeColor="text1"/>
              </w:rPr>
              <w:t xml:space="preserve"> + c</w:t>
            </w:r>
            <w:r>
              <w:rPr>
                <w:color w:val="000000" w:themeColor="text1"/>
                <w:vertAlign w:val="subscript"/>
              </w:rPr>
              <w:t>2</w:t>
            </w:r>
          </w:p>
        </w:tc>
        <w:tc>
          <w:tcPr>
            <w:tcW w:w="431" w:type="dxa"/>
            <w:vAlign w:val="center"/>
          </w:tcPr>
          <w:p w14:paraId="5B6CDB0B" w14:textId="77777777" w:rsidR="00B214BB" w:rsidRPr="00D62371" w:rsidRDefault="00B214BB" w:rsidP="008A1AC2">
            <w:pPr>
              <w:pStyle w:val="MDPI3aequationnumber"/>
              <w:spacing w:line="260" w:lineRule="atLeast"/>
              <w:rPr>
                <w:color w:val="000000" w:themeColor="text1"/>
              </w:rPr>
            </w:pPr>
            <w:r w:rsidRPr="00D62371">
              <w:rPr>
                <w:color w:val="000000" w:themeColor="text1"/>
              </w:rPr>
              <w:t>(</w:t>
            </w:r>
            <w:r>
              <w:rPr>
                <w:color w:val="000000" w:themeColor="text1"/>
              </w:rPr>
              <w:t>7</w:t>
            </w:r>
            <w:r w:rsidRPr="00D62371">
              <w:rPr>
                <w:color w:val="000000" w:themeColor="text1"/>
              </w:rPr>
              <w:t>)</w:t>
            </w:r>
          </w:p>
        </w:tc>
      </w:tr>
    </w:tbl>
    <w:p w14:paraId="587624F0" w14:textId="0073ACC4" w:rsidR="00F26902" w:rsidRDefault="00F26902" w:rsidP="00F26902">
      <w:pPr>
        <w:pStyle w:val="MDPI41tablecaption"/>
        <w:rPr>
          <w:color w:val="000000" w:themeColor="text1"/>
        </w:rPr>
      </w:pPr>
      <w:r w:rsidRPr="00B849BA">
        <w:rPr>
          <w:b/>
          <w:color w:val="000000" w:themeColor="text1"/>
        </w:rPr>
        <w:t xml:space="preserve">Table </w:t>
      </w:r>
      <w:r>
        <w:rPr>
          <w:b/>
          <w:color w:val="000000" w:themeColor="text1"/>
        </w:rPr>
        <w:t>3</w:t>
      </w:r>
      <w:r w:rsidRPr="00B849BA">
        <w:rPr>
          <w:b/>
          <w:color w:val="000000" w:themeColor="text1"/>
        </w:rPr>
        <w:t xml:space="preserve">. </w:t>
      </w:r>
      <w:r>
        <w:rPr>
          <w:color w:val="000000" w:themeColor="text1"/>
        </w:rPr>
        <w:t xml:space="preserve">Coefficients of Polynomial Curve Fit for Power vs </w:t>
      </w:r>
      <w:r w:rsidR="00637580">
        <w:rPr>
          <w:color w:val="000000" w:themeColor="text1"/>
        </w:rPr>
        <w:t>CO</w:t>
      </w:r>
      <w:r w:rsidR="00637580" w:rsidRPr="005647C7">
        <w:rPr>
          <w:color w:val="000000" w:themeColor="text1"/>
          <w:vertAlign w:val="subscript"/>
        </w:rPr>
        <w:t>2</w:t>
      </w:r>
      <w:r w:rsidR="00637580">
        <w:rPr>
          <w:color w:val="000000" w:themeColor="text1"/>
        </w:rPr>
        <w:t xml:space="preserve"> </w:t>
      </w:r>
      <w:r>
        <w:rPr>
          <w:color w:val="000000" w:themeColor="text1"/>
        </w:rPr>
        <w:t>Levels</w:t>
      </w:r>
    </w:p>
    <w:tbl>
      <w:tblPr>
        <w:tblW w:w="9700" w:type="dxa"/>
        <w:tblInd w:w="402" w:type="dxa"/>
        <w:tblLook w:val="04A0" w:firstRow="1" w:lastRow="0" w:firstColumn="1" w:lastColumn="0" w:noHBand="0" w:noVBand="1"/>
      </w:tblPr>
      <w:tblGrid>
        <w:gridCol w:w="1900"/>
        <w:gridCol w:w="1300"/>
        <w:gridCol w:w="1300"/>
        <w:gridCol w:w="1300"/>
        <w:gridCol w:w="1300"/>
        <w:gridCol w:w="1300"/>
        <w:gridCol w:w="1300"/>
      </w:tblGrid>
      <w:tr w:rsidR="00C020CA" w14:paraId="5B385E62" w14:textId="77777777" w:rsidTr="00C020CA">
        <w:trPr>
          <w:trHeight w:val="600"/>
        </w:trPr>
        <w:tc>
          <w:tcPr>
            <w:tcW w:w="3200" w:type="dxa"/>
            <w:gridSpan w:val="2"/>
            <w:tcBorders>
              <w:top w:val="single" w:sz="8" w:space="0" w:color="auto"/>
              <w:left w:val="nil"/>
              <w:bottom w:val="single" w:sz="4" w:space="0" w:color="auto"/>
              <w:right w:val="nil"/>
            </w:tcBorders>
            <w:shd w:val="clear" w:color="auto" w:fill="auto"/>
            <w:noWrap/>
            <w:vAlign w:val="center"/>
            <w:hideMark/>
          </w:tcPr>
          <w:p w14:paraId="24A170FC" w14:textId="77777777" w:rsidR="00C020CA" w:rsidRDefault="00C020CA">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Coefficients</w:t>
            </w:r>
          </w:p>
        </w:tc>
        <w:tc>
          <w:tcPr>
            <w:tcW w:w="1300" w:type="dxa"/>
            <w:tcBorders>
              <w:top w:val="single" w:sz="8" w:space="0" w:color="auto"/>
              <w:left w:val="nil"/>
              <w:bottom w:val="single" w:sz="4" w:space="0" w:color="auto"/>
              <w:right w:val="nil"/>
            </w:tcBorders>
            <w:shd w:val="clear" w:color="auto" w:fill="auto"/>
            <w:vAlign w:val="center"/>
            <w:hideMark/>
          </w:tcPr>
          <w:p w14:paraId="60784751" w14:textId="77777777" w:rsidR="00C020CA" w:rsidRDefault="00C020CA">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Classroom</w:t>
            </w:r>
          </w:p>
        </w:tc>
        <w:tc>
          <w:tcPr>
            <w:tcW w:w="1300" w:type="dxa"/>
            <w:tcBorders>
              <w:top w:val="single" w:sz="8" w:space="0" w:color="auto"/>
              <w:left w:val="nil"/>
              <w:bottom w:val="single" w:sz="4" w:space="0" w:color="auto"/>
              <w:right w:val="nil"/>
            </w:tcBorders>
            <w:shd w:val="clear" w:color="auto" w:fill="auto"/>
            <w:vAlign w:val="center"/>
            <w:hideMark/>
          </w:tcPr>
          <w:p w14:paraId="0154CB1E" w14:textId="77777777" w:rsidR="00C020CA" w:rsidRDefault="00C020CA">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Computer Room</w:t>
            </w:r>
          </w:p>
        </w:tc>
        <w:tc>
          <w:tcPr>
            <w:tcW w:w="1300" w:type="dxa"/>
            <w:tcBorders>
              <w:top w:val="single" w:sz="8" w:space="0" w:color="auto"/>
              <w:left w:val="nil"/>
              <w:bottom w:val="single" w:sz="4" w:space="0" w:color="auto"/>
              <w:right w:val="nil"/>
            </w:tcBorders>
            <w:shd w:val="clear" w:color="auto" w:fill="auto"/>
            <w:vAlign w:val="center"/>
            <w:hideMark/>
          </w:tcPr>
          <w:p w14:paraId="2D00E576" w14:textId="77777777" w:rsidR="00C020CA" w:rsidRDefault="00C020CA">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Laboratory Room</w:t>
            </w:r>
          </w:p>
        </w:tc>
        <w:tc>
          <w:tcPr>
            <w:tcW w:w="1300" w:type="dxa"/>
            <w:tcBorders>
              <w:top w:val="single" w:sz="8" w:space="0" w:color="auto"/>
              <w:left w:val="nil"/>
              <w:bottom w:val="single" w:sz="4" w:space="0" w:color="auto"/>
              <w:right w:val="nil"/>
            </w:tcBorders>
            <w:shd w:val="clear" w:color="auto" w:fill="auto"/>
            <w:vAlign w:val="center"/>
            <w:hideMark/>
          </w:tcPr>
          <w:p w14:paraId="166FB61D" w14:textId="77777777" w:rsidR="00C020CA" w:rsidRDefault="00C020CA">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Office</w:t>
            </w:r>
            <w:r>
              <w:rPr>
                <w:rFonts w:ascii="Palatino Linotype" w:hAnsi="Palatino Linotype" w:cs="Calibri"/>
                <w:b/>
                <w:bCs/>
                <w:color w:val="000000"/>
                <w:sz w:val="20"/>
                <w:szCs w:val="20"/>
              </w:rPr>
              <w:br/>
              <w:t>(shared)</w:t>
            </w:r>
          </w:p>
        </w:tc>
        <w:tc>
          <w:tcPr>
            <w:tcW w:w="1300" w:type="dxa"/>
            <w:tcBorders>
              <w:top w:val="single" w:sz="8" w:space="0" w:color="auto"/>
              <w:left w:val="nil"/>
              <w:bottom w:val="single" w:sz="4" w:space="0" w:color="auto"/>
              <w:right w:val="nil"/>
            </w:tcBorders>
            <w:shd w:val="clear" w:color="auto" w:fill="auto"/>
            <w:vAlign w:val="center"/>
            <w:hideMark/>
          </w:tcPr>
          <w:p w14:paraId="56AA3822" w14:textId="77777777" w:rsidR="00C020CA" w:rsidRDefault="00C020CA">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Office</w:t>
            </w:r>
            <w:r>
              <w:rPr>
                <w:rFonts w:ascii="Palatino Linotype" w:hAnsi="Palatino Linotype" w:cs="Calibri"/>
                <w:b/>
                <w:bCs/>
                <w:color w:val="000000"/>
                <w:sz w:val="20"/>
                <w:szCs w:val="20"/>
              </w:rPr>
              <w:br/>
              <w:t>(solo)</w:t>
            </w:r>
          </w:p>
        </w:tc>
      </w:tr>
      <w:tr w:rsidR="00C020CA" w14:paraId="01FA4051" w14:textId="77777777" w:rsidTr="00C020CA">
        <w:trPr>
          <w:trHeight w:val="320"/>
        </w:trPr>
        <w:tc>
          <w:tcPr>
            <w:tcW w:w="1900" w:type="dxa"/>
            <w:vMerge w:val="restart"/>
            <w:tcBorders>
              <w:top w:val="nil"/>
              <w:left w:val="nil"/>
              <w:bottom w:val="single" w:sz="8" w:space="0" w:color="000000"/>
              <w:right w:val="nil"/>
            </w:tcBorders>
            <w:shd w:val="clear" w:color="auto" w:fill="auto"/>
            <w:vAlign w:val="center"/>
            <w:hideMark/>
          </w:tcPr>
          <w:p w14:paraId="1C89B8A9" w14:textId="733CFF0E" w:rsidR="00C020CA" w:rsidRDefault="00C020CA">
            <w:pPr>
              <w:jc w:val="center"/>
              <w:rPr>
                <w:rFonts w:ascii="Palatino Linotype" w:hAnsi="Palatino Linotype" w:cs="Calibri"/>
                <w:color w:val="000000"/>
                <w:sz w:val="20"/>
                <w:szCs w:val="20"/>
              </w:rPr>
            </w:pPr>
            <w:r>
              <w:rPr>
                <w:rFonts w:ascii="Palatino Linotype" w:hAnsi="Palatino Linotype" w:cs="Calibri"/>
                <w:color w:val="000000"/>
                <w:sz w:val="20"/>
                <w:szCs w:val="20"/>
              </w:rPr>
              <w:t xml:space="preserve">Power vs </w:t>
            </w:r>
            <w:r w:rsidR="00637580">
              <w:rPr>
                <w:color w:val="000000" w:themeColor="text1"/>
              </w:rPr>
              <w:t>CO</w:t>
            </w:r>
            <w:r w:rsidR="00637580" w:rsidRPr="005647C7">
              <w:rPr>
                <w:color w:val="000000" w:themeColor="text1"/>
                <w:vertAlign w:val="subscript"/>
              </w:rPr>
              <w:t>2</w:t>
            </w:r>
            <w:r>
              <w:rPr>
                <w:rFonts w:ascii="Palatino Linotype" w:hAnsi="Palatino Linotype" w:cs="Calibri"/>
                <w:color w:val="000000"/>
                <w:sz w:val="20"/>
                <w:szCs w:val="20"/>
              </w:rPr>
              <w:t xml:space="preserve"> Level</w:t>
            </w:r>
          </w:p>
        </w:tc>
        <w:tc>
          <w:tcPr>
            <w:tcW w:w="1300" w:type="dxa"/>
            <w:tcBorders>
              <w:top w:val="nil"/>
              <w:left w:val="nil"/>
              <w:bottom w:val="nil"/>
              <w:right w:val="nil"/>
            </w:tcBorders>
            <w:shd w:val="clear" w:color="auto" w:fill="auto"/>
            <w:noWrap/>
            <w:vAlign w:val="bottom"/>
            <w:hideMark/>
          </w:tcPr>
          <w:p w14:paraId="6A7DE3D0" w14:textId="77777777" w:rsidR="00C020CA" w:rsidRDefault="00C020CA">
            <w:pPr>
              <w:jc w:val="center"/>
              <w:rPr>
                <w:rFonts w:ascii="Palatino Linotype" w:hAnsi="Palatino Linotype" w:cs="Calibri"/>
                <w:color w:val="000000"/>
                <w:sz w:val="20"/>
                <w:szCs w:val="20"/>
              </w:rPr>
            </w:pPr>
            <w:r>
              <w:rPr>
                <w:rFonts w:ascii="Palatino Linotype" w:hAnsi="Palatino Linotype" w:cs="Calibri"/>
                <w:color w:val="000000"/>
                <w:sz w:val="20"/>
                <w:szCs w:val="20"/>
              </w:rPr>
              <w:t>c</w:t>
            </w:r>
            <w:r w:rsidRPr="00706492">
              <w:rPr>
                <w:rFonts w:ascii="Palatino Linotype" w:hAnsi="Palatino Linotype" w:cs="Calibri"/>
                <w:color w:val="000000"/>
                <w:sz w:val="20"/>
                <w:szCs w:val="20"/>
                <w:vertAlign w:val="subscript"/>
              </w:rPr>
              <w:t>1</w:t>
            </w:r>
          </w:p>
        </w:tc>
        <w:tc>
          <w:tcPr>
            <w:tcW w:w="1300" w:type="dxa"/>
            <w:tcBorders>
              <w:top w:val="nil"/>
              <w:left w:val="nil"/>
              <w:bottom w:val="nil"/>
              <w:right w:val="nil"/>
            </w:tcBorders>
            <w:shd w:val="clear" w:color="auto" w:fill="auto"/>
            <w:vAlign w:val="bottom"/>
            <w:hideMark/>
          </w:tcPr>
          <w:p w14:paraId="7A999A25" w14:textId="77777777" w:rsidR="00C020CA" w:rsidRDefault="00C020CA">
            <w:pPr>
              <w:jc w:val="center"/>
              <w:rPr>
                <w:rFonts w:ascii="Palatino Linotype" w:hAnsi="Palatino Linotype" w:cs="Calibri"/>
                <w:color w:val="000000"/>
                <w:sz w:val="20"/>
                <w:szCs w:val="20"/>
              </w:rPr>
            </w:pPr>
            <w:r>
              <w:rPr>
                <w:rFonts w:ascii="Palatino Linotype" w:hAnsi="Palatino Linotype" w:cs="Calibri"/>
                <w:color w:val="000000"/>
                <w:sz w:val="20"/>
                <w:szCs w:val="20"/>
              </w:rPr>
              <w:t>-0.0125</w:t>
            </w:r>
          </w:p>
        </w:tc>
        <w:tc>
          <w:tcPr>
            <w:tcW w:w="1300" w:type="dxa"/>
            <w:tcBorders>
              <w:top w:val="nil"/>
              <w:left w:val="nil"/>
              <w:bottom w:val="nil"/>
              <w:right w:val="nil"/>
            </w:tcBorders>
            <w:shd w:val="clear" w:color="auto" w:fill="auto"/>
            <w:vAlign w:val="bottom"/>
            <w:hideMark/>
          </w:tcPr>
          <w:p w14:paraId="71BB79BF" w14:textId="77777777" w:rsidR="00C020CA" w:rsidRDefault="00C020CA">
            <w:pPr>
              <w:jc w:val="center"/>
              <w:rPr>
                <w:rFonts w:ascii="Palatino Linotype" w:hAnsi="Palatino Linotype" w:cs="Calibri"/>
                <w:color w:val="000000"/>
                <w:sz w:val="20"/>
                <w:szCs w:val="20"/>
              </w:rPr>
            </w:pPr>
            <w:r>
              <w:rPr>
                <w:rFonts w:ascii="Palatino Linotype" w:hAnsi="Palatino Linotype" w:cs="Calibri"/>
                <w:color w:val="000000"/>
                <w:sz w:val="20"/>
                <w:szCs w:val="20"/>
              </w:rPr>
              <w:t>-0.0007</w:t>
            </w:r>
          </w:p>
        </w:tc>
        <w:tc>
          <w:tcPr>
            <w:tcW w:w="1300" w:type="dxa"/>
            <w:tcBorders>
              <w:top w:val="nil"/>
              <w:left w:val="nil"/>
              <w:bottom w:val="nil"/>
              <w:right w:val="nil"/>
            </w:tcBorders>
            <w:shd w:val="clear" w:color="auto" w:fill="auto"/>
            <w:vAlign w:val="bottom"/>
            <w:hideMark/>
          </w:tcPr>
          <w:p w14:paraId="403A7B6A" w14:textId="77777777" w:rsidR="00C020CA" w:rsidRDefault="00C020CA">
            <w:pPr>
              <w:jc w:val="center"/>
              <w:rPr>
                <w:rFonts w:ascii="Palatino Linotype" w:hAnsi="Palatino Linotype" w:cs="Calibri"/>
                <w:color w:val="000000"/>
                <w:sz w:val="20"/>
                <w:szCs w:val="20"/>
              </w:rPr>
            </w:pPr>
            <w:r>
              <w:rPr>
                <w:rFonts w:ascii="Palatino Linotype" w:hAnsi="Palatino Linotype" w:cs="Calibri"/>
                <w:color w:val="000000"/>
                <w:sz w:val="20"/>
                <w:szCs w:val="20"/>
              </w:rPr>
              <w:t>-0.0018</w:t>
            </w:r>
          </w:p>
        </w:tc>
        <w:tc>
          <w:tcPr>
            <w:tcW w:w="1300" w:type="dxa"/>
            <w:tcBorders>
              <w:top w:val="nil"/>
              <w:left w:val="nil"/>
              <w:bottom w:val="nil"/>
              <w:right w:val="nil"/>
            </w:tcBorders>
            <w:shd w:val="clear" w:color="auto" w:fill="auto"/>
            <w:vAlign w:val="bottom"/>
            <w:hideMark/>
          </w:tcPr>
          <w:p w14:paraId="1E9D620F" w14:textId="77777777" w:rsidR="00C020CA" w:rsidRDefault="00C020CA">
            <w:pPr>
              <w:jc w:val="center"/>
              <w:rPr>
                <w:rFonts w:ascii="Palatino Linotype" w:hAnsi="Palatino Linotype" w:cs="Calibri"/>
                <w:color w:val="000000"/>
                <w:sz w:val="20"/>
                <w:szCs w:val="20"/>
              </w:rPr>
            </w:pPr>
            <w:r>
              <w:rPr>
                <w:rFonts w:ascii="Palatino Linotype" w:hAnsi="Palatino Linotype" w:cs="Calibri"/>
                <w:color w:val="000000"/>
                <w:sz w:val="20"/>
                <w:szCs w:val="20"/>
              </w:rPr>
              <w:t>-0.0015</w:t>
            </w:r>
          </w:p>
        </w:tc>
        <w:tc>
          <w:tcPr>
            <w:tcW w:w="1300" w:type="dxa"/>
            <w:tcBorders>
              <w:top w:val="nil"/>
              <w:left w:val="nil"/>
              <w:bottom w:val="nil"/>
              <w:right w:val="nil"/>
            </w:tcBorders>
            <w:shd w:val="clear" w:color="auto" w:fill="auto"/>
            <w:vAlign w:val="bottom"/>
            <w:hideMark/>
          </w:tcPr>
          <w:p w14:paraId="16C7970B" w14:textId="77777777" w:rsidR="00C020CA" w:rsidRDefault="00C020CA">
            <w:pPr>
              <w:jc w:val="center"/>
              <w:rPr>
                <w:rFonts w:ascii="Palatino Linotype" w:hAnsi="Palatino Linotype" w:cs="Calibri"/>
                <w:color w:val="000000"/>
                <w:sz w:val="20"/>
                <w:szCs w:val="20"/>
              </w:rPr>
            </w:pPr>
            <w:r>
              <w:rPr>
                <w:rFonts w:ascii="Palatino Linotype" w:hAnsi="Palatino Linotype" w:cs="Calibri"/>
                <w:color w:val="000000"/>
                <w:sz w:val="20"/>
                <w:szCs w:val="20"/>
              </w:rPr>
              <w:t>0.0002</w:t>
            </w:r>
          </w:p>
        </w:tc>
      </w:tr>
      <w:tr w:rsidR="00C020CA" w14:paraId="09B4ECDC" w14:textId="77777777" w:rsidTr="00C020CA">
        <w:trPr>
          <w:trHeight w:val="340"/>
        </w:trPr>
        <w:tc>
          <w:tcPr>
            <w:tcW w:w="1900" w:type="dxa"/>
            <w:vMerge/>
            <w:tcBorders>
              <w:top w:val="nil"/>
              <w:left w:val="nil"/>
              <w:bottom w:val="single" w:sz="8" w:space="0" w:color="000000"/>
              <w:right w:val="nil"/>
            </w:tcBorders>
            <w:vAlign w:val="center"/>
            <w:hideMark/>
          </w:tcPr>
          <w:p w14:paraId="78820331" w14:textId="77777777" w:rsidR="00C020CA" w:rsidRDefault="00C020CA">
            <w:pPr>
              <w:rPr>
                <w:rFonts w:ascii="Palatino Linotype" w:hAnsi="Palatino Linotype" w:cs="Calibri"/>
                <w:color w:val="000000"/>
                <w:sz w:val="20"/>
                <w:szCs w:val="20"/>
              </w:rPr>
            </w:pPr>
          </w:p>
        </w:tc>
        <w:tc>
          <w:tcPr>
            <w:tcW w:w="1300" w:type="dxa"/>
            <w:tcBorders>
              <w:top w:val="nil"/>
              <w:left w:val="nil"/>
              <w:bottom w:val="single" w:sz="8" w:space="0" w:color="auto"/>
              <w:right w:val="nil"/>
            </w:tcBorders>
            <w:shd w:val="clear" w:color="auto" w:fill="auto"/>
            <w:noWrap/>
            <w:vAlign w:val="bottom"/>
            <w:hideMark/>
          </w:tcPr>
          <w:p w14:paraId="2EC16F9B" w14:textId="77777777" w:rsidR="00C020CA" w:rsidRDefault="00C020CA">
            <w:pPr>
              <w:jc w:val="center"/>
              <w:rPr>
                <w:rFonts w:ascii="Palatino Linotype" w:hAnsi="Palatino Linotype" w:cs="Calibri"/>
                <w:color w:val="000000"/>
                <w:sz w:val="20"/>
                <w:szCs w:val="20"/>
              </w:rPr>
            </w:pPr>
            <w:r>
              <w:rPr>
                <w:rFonts w:ascii="Palatino Linotype" w:hAnsi="Palatino Linotype" w:cs="Calibri"/>
                <w:color w:val="000000"/>
                <w:sz w:val="20"/>
                <w:szCs w:val="20"/>
              </w:rPr>
              <w:t>c</w:t>
            </w:r>
            <w:r w:rsidRPr="00706492">
              <w:rPr>
                <w:rFonts w:ascii="Palatino Linotype" w:hAnsi="Palatino Linotype" w:cs="Calibri"/>
                <w:color w:val="000000"/>
                <w:sz w:val="20"/>
                <w:szCs w:val="20"/>
                <w:vertAlign w:val="subscript"/>
              </w:rPr>
              <w:t>2</w:t>
            </w:r>
          </w:p>
        </w:tc>
        <w:tc>
          <w:tcPr>
            <w:tcW w:w="1300" w:type="dxa"/>
            <w:tcBorders>
              <w:top w:val="nil"/>
              <w:left w:val="nil"/>
              <w:bottom w:val="single" w:sz="8" w:space="0" w:color="auto"/>
              <w:right w:val="nil"/>
            </w:tcBorders>
            <w:shd w:val="clear" w:color="auto" w:fill="auto"/>
            <w:vAlign w:val="bottom"/>
            <w:hideMark/>
          </w:tcPr>
          <w:p w14:paraId="4DE36101" w14:textId="77777777" w:rsidR="00C020CA" w:rsidRDefault="00C020CA">
            <w:pPr>
              <w:jc w:val="center"/>
              <w:rPr>
                <w:rFonts w:ascii="Palatino Linotype" w:hAnsi="Palatino Linotype" w:cs="Calibri"/>
                <w:color w:val="000000"/>
                <w:sz w:val="20"/>
                <w:szCs w:val="20"/>
              </w:rPr>
            </w:pPr>
            <w:r>
              <w:rPr>
                <w:rFonts w:ascii="Palatino Linotype" w:hAnsi="Palatino Linotype" w:cs="Calibri"/>
                <w:color w:val="000000"/>
                <w:sz w:val="20"/>
                <w:szCs w:val="20"/>
              </w:rPr>
              <w:t>0.1407</w:t>
            </w:r>
          </w:p>
        </w:tc>
        <w:tc>
          <w:tcPr>
            <w:tcW w:w="1300" w:type="dxa"/>
            <w:tcBorders>
              <w:top w:val="nil"/>
              <w:left w:val="nil"/>
              <w:bottom w:val="single" w:sz="8" w:space="0" w:color="auto"/>
              <w:right w:val="nil"/>
            </w:tcBorders>
            <w:shd w:val="clear" w:color="auto" w:fill="auto"/>
            <w:vAlign w:val="bottom"/>
            <w:hideMark/>
          </w:tcPr>
          <w:p w14:paraId="270D3915" w14:textId="77777777" w:rsidR="00C020CA" w:rsidRDefault="00C020CA">
            <w:pPr>
              <w:jc w:val="center"/>
              <w:rPr>
                <w:rFonts w:ascii="Palatino Linotype" w:hAnsi="Palatino Linotype" w:cs="Calibri"/>
                <w:color w:val="000000"/>
                <w:sz w:val="20"/>
                <w:szCs w:val="20"/>
              </w:rPr>
            </w:pPr>
            <w:r>
              <w:rPr>
                <w:rFonts w:ascii="Palatino Linotype" w:hAnsi="Palatino Linotype" w:cs="Calibri"/>
                <w:color w:val="000000"/>
                <w:sz w:val="20"/>
                <w:szCs w:val="20"/>
              </w:rPr>
              <w:t>-0.1682</w:t>
            </w:r>
          </w:p>
        </w:tc>
        <w:tc>
          <w:tcPr>
            <w:tcW w:w="1300" w:type="dxa"/>
            <w:tcBorders>
              <w:top w:val="nil"/>
              <w:left w:val="nil"/>
              <w:bottom w:val="single" w:sz="8" w:space="0" w:color="auto"/>
              <w:right w:val="nil"/>
            </w:tcBorders>
            <w:shd w:val="clear" w:color="auto" w:fill="auto"/>
            <w:vAlign w:val="bottom"/>
            <w:hideMark/>
          </w:tcPr>
          <w:p w14:paraId="4153ACAD" w14:textId="77777777" w:rsidR="00C020CA" w:rsidRDefault="00C020CA">
            <w:pPr>
              <w:jc w:val="center"/>
              <w:rPr>
                <w:rFonts w:ascii="Palatino Linotype" w:hAnsi="Palatino Linotype" w:cs="Calibri"/>
                <w:color w:val="000000"/>
                <w:sz w:val="20"/>
                <w:szCs w:val="20"/>
              </w:rPr>
            </w:pPr>
            <w:r>
              <w:rPr>
                <w:rFonts w:ascii="Palatino Linotype" w:hAnsi="Palatino Linotype" w:cs="Calibri"/>
                <w:color w:val="000000"/>
                <w:sz w:val="20"/>
                <w:szCs w:val="20"/>
              </w:rPr>
              <w:t>0.1548</w:t>
            </w:r>
          </w:p>
        </w:tc>
        <w:tc>
          <w:tcPr>
            <w:tcW w:w="1300" w:type="dxa"/>
            <w:tcBorders>
              <w:top w:val="nil"/>
              <w:left w:val="nil"/>
              <w:bottom w:val="single" w:sz="8" w:space="0" w:color="auto"/>
              <w:right w:val="nil"/>
            </w:tcBorders>
            <w:shd w:val="clear" w:color="auto" w:fill="auto"/>
            <w:vAlign w:val="bottom"/>
            <w:hideMark/>
          </w:tcPr>
          <w:p w14:paraId="42143EB7" w14:textId="77777777" w:rsidR="00C020CA" w:rsidRDefault="00C020CA">
            <w:pPr>
              <w:jc w:val="center"/>
              <w:rPr>
                <w:rFonts w:ascii="Palatino Linotype" w:hAnsi="Palatino Linotype" w:cs="Calibri"/>
                <w:color w:val="000000"/>
                <w:sz w:val="20"/>
                <w:szCs w:val="20"/>
              </w:rPr>
            </w:pPr>
            <w:r>
              <w:rPr>
                <w:rFonts w:ascii="Palatino Linotype" w:hAnsi="Palatino Linotype" w:cs="Calibri"/>
                <w:color w:val="000000"/>
                <w:sz w:val="20"/>
                <w:szCs w:val="20"/>
              </w:rPr>
              <w:t>-0.0220</w:t>
            </w:r>
          </w:p>
        </w:tc>
        <w:tc>
          <w:tcPr>
            <w:tcW w:w="1300" w:type="dxa"/>
            <w:tcBorders>
              <w:top w:val="nil"/>
              <w:left w:val="nil"/>
              <w:bottom w:val="single" w:sz="8" w:space="0" w:color="auto"/>
              <w:right w:val="nil"/>
            </w:tcBorders>
            <w:shd w:val="clear" w:color="auto" w:fill="auto"/>
            <w:vAlign w:val="bottom"/>
            <w:hideMark/>
          </w:tcPr>
          <w:p w14:paraId="1DB6D277" w14:textId="77777777" w:rsidR="00C020CA" w:rsidRDefault="00C020CA">
            <w:pPr>
              <w:jc w:val="center"/>
              <w:rPr>
                <w:rFonts w:ascii="Palatino Linotype" w:hAnsi="Palatino Linotype" w:cs="Calibri"/>
                <w:color w:val="000000"/>
                <w:sz w:val="20"/>
                <w:szCs w:val="20"/>
              </w:rPr>
            </w:pPr>
            <w:r>
              <w:rPr>
                <w:rFonts w:ascii="Palatino Linotype" w:hAnsi="Palatino Linotype" w:cs="Calibri"/>
                <w:color w:val="000000"/>
                <w:sz w:val="20"/>
                <w:szCs w:val="20"/>
              </w:rPr>
              <w:t>-0.0548</w:t>
            </w:r>
          </w:p>
        </w:tc>
      </w:tr>
    </w:tbl>
    <w:p w14:paraId="5DE9B860" w14:textId="77777777" w:rsidR="00B214BB" w:rsidRDefault="00B214BB" w:rsidP="003F7AAC">
      <w:pPr>
        <w:pStyle w:val="MDPI31text"/>
        <w:ind w:left="0" w:firstLine="0"/>
        <w:rPr>
          <w:color w:val="000000" w:themeColor="text1"/>
        </w:rPr>
      </w:pPr>
    </w:p>
    <w:p w14:paraId="395F4622" w14:textId="6DB24BFC" w:rsidR="00630C8E" w:rsidRDefault="00310C94" w:rsidP="00F3424F">
      <w:pPr>
        <w:pStyle w:val="MDPI31text"/>
        <w:rPr>
          <w:color w:val="000000" w:themeColor="text1"/>
        </w:rPr>
      </w:pPr>
      <w:r w:rsidRPr="00310C94">
        <w:rPr>
          <w:color w:val="000000" w:themeColor="text1"/>
        </w:rPr>
        <w:t>The measured data displays variances that are regularly present due to several reasons. This include</w:t>
      </w:r>
      <w:r w:rsidR="00B214BB">
        <w:rPr>
          <w:color w:val="000000" w:themeColor="text1"/>
        </w:rPr>
        <w:t>s</w:t>
      </w:r>
      <w:r w:rsidRPr="00310C94">
        <w:rPr>
          <w:color w:val="000000" w:themeColor="text1"/>
        </w:rPr>
        <w:t xml:space="preserve"> variations in the occupancy level within the room, adjustments made to the setpoint or fan settings of the air conditioning units (ACUs), and the duration of operation. The analysis did not consider the immediate impacts of these factors. The fitted model may not precisely represent the data due to systematic variability. However, Table 4 provides evidence that the model coefficients have physical significance, as indicated by the R-square values ranging from 0.9813 to 0.9998 for instructional rooms with different usage.</w:t>
      </w:r>
      <w:r w:rsidR="00587C91">
        <w:rPr>
          <w:color w:val="000000" w:themeColor="text1"/>
        </w:rPr>
        <w:t xml:space="preserve"> </w:t>
      </w:r>
    </w:p>
    <w:p w14:paraId="27F3FDDE" w14:textId="77777777" w:rsidR="000C2642" w:rsidRPr="007B6BCA" w:rsidRDefault="000C2642" w:rsidP="00F3424F">
      <w:pPr>
        <w:pStyle w:val="MDPI31text"/>
        <w:rPr>
          <w:color w:val="FF0000"/>
        </w:rPr>
      </w:pPr>
    </w:p>
    <w:p w14:paraId="02AC4286" w14:textId="3825EAB6" w:rsidR="00DD4F5D" w:rsidRDefault="0072043A" w:rsidP="0072043A">
      <w:pPr>
        <w:pStyle w:val="MDPI41tablecaption"/>
        <w:rPr>
          <w:color w:val="000000" w:themeColor="text1"/>
        </w:rPr>
      </w:pPr>
      <w:r w:rsidRPr="00B849BA">
        <w:rPr>
          <w:b/>
          <w:color w:val="000000" w:themeColor="text1"/>
        </w:rPr>
        <w:t xml:space="preserve">Table </w:t>
      </w:r>
      <w:r w:rsidR="007E1B4C">
        <w:rPr>
          <w:b/>
          <w:color w:val="000000" w:themeColor="text1"/>
        </w:rPr>
        <w:t>4</w:t>
      </w:r>
      <w:r w:rsidRPr="00B849BA">
        <w:rPr>
          <w:b/>
          <w:color w:val="000000" w:themeColor="text1"/>
        </w:rPr>
        <w:t xml:space="preserve">. </w:t>
      </w:r>
      <w:r w:rsidRPr="00B849BA">
        <w:rPr>
          <w:color w:val="000000" w:themeColor="text1"/>
        </w:rPr>
        <w:t>Pol</w:t>
      </w:r>
      <w:r w:rsidR="00E45795" w:rsidRPr="00B849BA">
        <w:rPr>
          <w:color w:val="000000" w:themeColor="text1"/>
        </w:rPr>
        <w:t xml:space="preserve">ynomial </w:t>
      </w:r>
      <w:r w:rsidR="00891E87">
        <w:rPr>
          <w:color w:val="000000" w:themeColor="text1"/>
        </w:rPr>
        <w:t xml:space="preserve">Fitting Performance </w:t>
      </w:r>
      <w:r w:rsidR="00045544">
        <w:rPr>
          <w:color w:val="000000" w:themeColor="text1"/>
        </w:rPr>
        <w:t>using Least Absolute Residuals</w:t>
      </w:r>
      <w:r w:rsidR="006F4CD3">
        <w:rPr>
          <w:color w:val="000000" w:themeColor="text1"/>
        </w:rPr>
        <w:t xml:space="preserve"> for Instructional Rooms</w:t>
      </w:r>
    </w:p>
    <w:tbl>
      <w:tblPr>
        <w:tblW w:w="9576" w:type="dxa"/>
        <w:jc w:val="right"/>
        <w:tblLook w:val="04A0" w:firstRow="1" w:lastRow="0" w:firstColumn="1" w:lastColumn="0" w:noHBand="0" w:noVBand="1"/>
      </w:tblPr>
      <w:tblGrid>
        <w:gridCol w:w="1392"/>
        <w:gridCol w:w="872"/>
        <w:gridCol w:w="1033"/>
        <w:gridCol w:w="863"/>
        <w:gridCol w:w="872"/>
        <w:gridCol w:w="1033"/>
        <w:gridCol w:w="803"/>
        <w:gridCol w:w="872"/>
        <w:gridCol w:w="1033"/>
        <w:gridCol w:w="803"/>
      </w:tblGrid>
      <w:tr w:rsidR="00D612DD" w14:paraId="37014A48" w14:textId="77777777" w:rsidTr="00163A34">
        <w:trPr>
          <w:trHeight w:val="320"/>
          <w:jc w:val="right"/>
        </w:trPr>
        <w:tc>
          <w:tcPr>
            <w:tcW w:w="1392" w:type="dxa"/>
            <w:vMerge w:val="restart"/>
            <w:tcBorders>
              <w:top w:val="single" w:sz="8" w:space="0" w:color="auto"/>
              <w:left w:val="nil"/>
              <w:bottom w:val="single" w:sz="4" w:space="0" w:color="000000"/>
              <w:right w:val="nil"/>
            </w:tcBorders>
            <w:shd w:val="clear" w:color="auto" w:fill="auto"/>
            <w:noWrap/>
            <w:vAlign w:val="center"/>
            <w:hideMark/>
          </w:tcPr>
          <w:p w14:paraId="25114B5D" w14:textId="77777777" w:rsidR="00D612DD" w:rsidRDefault="00D612DD">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Relationship</w:t>
            </w:r>
          </w:p>
        </w:tc>
        <w:tc>
          <w:tcPr>
            <w:tcW w:w="2768" w:type="dxa"/>
            <w:gridSpan w:val="3"/>
            <w:tcBorders>
              <w:top w:val="single" w:sz="8" w:space="0" w:color="auto"/>
              <w:left w:val="nil"/>
              <w:bottom w:val="single" w:sz="4" w:space="0" w:color="auto"/>
              <w:right w:val="nil"/>
            </w:tcBorders>
            <w:shd w:val="clear" w:color="auto" w:fill="auto"/>
            <w:noWrap/>
            <w:vAlign w:val="bottom"/>
            <w:hideMark/>
          </w:tcPr>
          <w:p w14:paraId="2384EC61" w14:textId="77777777" w:rsidR="00D612DD" w:rsidRDefault="00D612DD">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Classroom</w:t>
            </w:r>
          </w:p>
        </w:tc>
        <w:tc>
          <w:tcPr>
            <w:tcW w:w="2708" w:type="dxa"/>
            <w:gridSpan w:val="3"/>
            <w:tcBorders>
              <w:top w:val="single" w:sz="8" w:space="0" w:color="auto"/>
              <w:left w:val="nil"/>
              <w:bottom w:val="single" w:sz="4" w:space="0" w:color="auto"/>
              <w:right w:val="nil"/>
            </w:tcBorders>
            <w:shd w:val="clear" w:color="auto" w:fill="auto"/>
            <w:noWrap/>
            <w:vAlign w:val="bottom"/>
            <w:hideMark/>
          </w:tcPr>
          <w:p w14:paraId="3D6D048E" w14:textId="77777777" w:rsidR="00D612DD" w:rsidRDefault="00D612DD">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Computer Room</w:t>
            </w:r>
          </w:p>
        </w:tc>
        <w:tc>
          <w:tcPr>
            <w:tcW w:w="2708" w:type="dxa"/>
            <w:gridSpan w:val="3"/>
            <w:tcBorders>
              <w:top w:val="single" w:sz="8" w:space="0" w:color="auto"/>
              <w:left w:val="nil"/>
              <w:bottom w:val="single" w:sz="4" w:space="0" w:color="auto"/>
              <w:right w:val="nil"/>
            </w:tcBorders>
            <w:shd w:val="clear" w:color="auto" w:fill="auto"/>
            <w:noWrap/>
            <w:vAlign w:val="bottom"/>
            <w:hideMark/>
          </w:tcPr>
          <w:p w14:paraId="1A5481B9" w14:textId="77777777" w:rsidR="00D612DD" w:rsidRDefault="00D612DD">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Laboratory Room</w:t>
            </w:r>
          </w:p>
        </w:tc>
      </w:tr>
      <w:tr w:rsidR="00D612DD" w14:paraId="42BAFF96" w14:textId="77777777" w:rsidTr="00163A34">
        <w:trPr>
          <w:trHeight w:val="320"/>
          <w:jc w:val="right"/>
        </w:trPr>
        <w:tc>
          <w:tcPr>
            <w:tcW w:w="1392" w:type="dxa"/>
            <w:vMerge/>
            <w:tcBorders>
              <w:top w:val="single" w:sz="8" w:space="0" w:color="auto"/>
              <w:left w:val="nil"/>
              <w:bottom w:val="single" w:sz="4" w:space="0" w:color="000000"/>
              <w:right w:val="nil"/>
            </w:tcBorders>
            <w:vAlign w:val="center"/>
            <w:hideMark/>
          </w:tcPr>
          <w:p w14:paraId="478B8F36" w14:textId="77777777" w:rsidR="00D612DD" w:rsidRDefault="00D612DD">
            <w:pPr>
              <w:rPr>
                <w:rFonts w:ascii="Palatino Linotype" w:hAnsi="Palatino Linotype" w:cs="Calibri"/>
                <w:b/>
                <w:bCs/>
                <w:color w:val="000000"/>
                <w:sz w:val="20"/>
                <w:szCs w:val="20"/>
              </w:rPr>
            </w:pPr>
          </w:p>
        </w:tc>
        <w:tc>
          <w:tcPr>
            <w:tcW w:w="872" w:type="dxa"/>
            <w:tcBorders>
              <w:top w:val="nil"/>
              <w:left w:val="nil"/>
              <w:bottom w:val="single" w:sz="4" w:space="0" w:color="auto"/>
              <w:right w:val="nil"/>
            </w:tcBorders>
            <w:shd w:val="clear" w:color="auto" w:fill="auto"/>
            <w:noWrap/>
            <w:vAlign w:val="bottom"/>
            <w:hideMark/>
          </w:tcPr>
          <w:p w14:paraId="5001E967" w14:textId="77777777" w:rsidR="00D612DD" w:rsidRDefault="00D612DD">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Degree</w:t>
            </w:r>
          </w:p>
        </w:tc>
        <w:tc>
          <w:tcPr>
            <w:tcW w:w="1033" w:type="dxa"/>
            <w:tcBorders>
              <w:top w:val="nil"/>
              <w:left w:val="nil"/>
              <w:bottom w:val="single" w:sz="4" w:space="0" w:color="auto"/>
              <w:right w:val="nil"/>
            </w:tcBorders>
            <w:shd w:val="clear" w:color="auto" w:fill="auto"/>
            <w:noWrap/>
            <w:vAlign w:val="bottom"/>
            <w:hideMark/>
          </w:tcPr>
          <w:p w14:paraId="7463E5A3" w14:textId="77777777" w:rsidR="00D612DD" w:rsidRDefault="00D612DD">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R-square</w:t>
            </w:r>
          </w:p>
        </w:tc>
        <w:tc>
          <w:tcPr>
            <w:tcW w:w="863" w:type="dxa"/>
            <w:tcBorders>
              <w:top w:val="nil"/>
              <w:left w:val="nil"/>
              <w:bottom w:val="single" w:sz="4" w:space="0" w:color="auto"/>
              <w:right w:val="nil"/>
            </w:tcBorders>
            <w:shd w:val="clear" w:color="auto" w:fill="auto"/>
            <w:noWrap/>
            <w:vAlign w:val="bottom"/>
            <w:hideMark/>
          </w:tcPr>
          <w:p w14:paraId="376D9A86" w14:textId="5D031F9A" w:rsidR="00D612DD" w:rsidRPr="00D612DD" w:rsidRDefault="00D612DD">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RMSE</w:t>
            </w:r>
          </w:p>
        </w:tc>
        <w:tc>
          <w:tcPr>
            <w:tcW w:w="872" w:type="dxa"/>
            <w:tcBorders>
              <w:top w:val="nil"/>
              <w:left w:val="nil"/>
              <w:bottom w:val="single" w:sz="4" w:space="0" w:color="auto"/>
              <w:right w:val="nil"/>
            </w:tcBorders>
            <w:shd w:val="clear" w:color="auto" w:fill="auto"/>
            <w:noWrap/>
            <w:vAlign w:val="bottom"/>
            <w:hideMark/>
          </w:tcPr>
          <w:p w14:paraId="02CDC759" w14:textId="77777777" w:rsidR="00D612DD" w:rsidRDefault="00D612DD">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Degree</w:t>
            </w:r>
          </w:p>
        </w:tc>
        <w:tc>
          <w:tcPr>
            <w:tcW w:w="1033" w:type="dxa"/>
            <w:tcBorders>
              <w:top w:val="nil"/>
              <w:left w:val="nil"/>
              <w:bottom w:val="single" w:sz="4" w:space="0" w:color="auto"/>
              <w:right w:val="nil"/>
            </w:tcBorders>
            <w:shd w:val="clear" w:color="auto" w:fill="auto"/>
            <w:noWrap/>
            <w:vAlign w:val="bottom"/>
            <w:hideMark/>
          </w:tcPr>
          <w:p w14:paraId="2B654B71" w14:textId="77777777" w:rsidR="00D612DD" w:rsidRDefault="00D612DD">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R-square</w:t>
            </w:r>
          </w:p>
        </w:tc>
        <w:tc>
          <w:tcPr>
            <w:tcW w:w="803" w:type="dxa"/>
            <w:tcBorders>
              <w:top w:val="nil"/>
              <w:left w:val="nil"/>
              <w:bottom w:val="single" w:sz="4" w:space="0" w:color="auto"/>
              <w:right w:val="nil"/>
            </w:tcBorders>
            <w:shd w:val="clear" w:color="auto" w:fill="auto"/>
            <w:noWrap/>
            <w:vAlign w:val="bottom"/>
            <w:hideMark/>
          </w:tcPr>
          <w:p w14:paraId="680C0B09" w14:textId="77777777" w:rsidR="00D612DD" w:rsidRDefault="00D612DD">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RMSE</w:t>
            </w:r>
          </w:p>
        </w:tc>
        <w:tc>
          <w:tcPr>
            <w:tcW w:w="872" w:type="dxa"/>
            <w:tcBorders>
              <w:top w:val="nil"/>
              <w:left w:val="nil"/>
              <w:bottom w:val="single" w:sz="4" w:space="0" w:color="auto"/>
              <w:right w:val="nil"/>
            </w:tcBorders>
            <w:shd w:val="clear" w:color="auto" w:fill="auto"/>
            <w:noWrap/>
            <w:vAlign w:val="bottom"/>
            <w:hideMark/>
          </w:tcPr>
          <w:p w14:paraId="31105913" w14:textId="77777777" w:rsidR="00D612DD" w:rsidRDefault="00D612DD">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Degree</w:t>
            </w:r>
          </w:p>
        </w:tc>
        <w:tc>
          <w:tcPr>
            <w:tcW w:w="1033" w:type="dxa"/>
            <w:tcBorders>
              <w:top w:val="nil"/>
              <w:left w:val="nil"/>
              <w:bottom w:val="single" w:sz="4" w:space="0" w:color="auto"/>
              <w:right w:val="nil"/>
            </w:tcBorders>
            <w:shd w:val="clear" w:color="auto" w:fill="auto"/>
            <w:noWrap/>
            <w:vAlign w:val="bottom"/>
            <w:hideMark/>
          </w:tcPr>
          <w:p w14:paraId="5B35EA98" w14:textId="77777777" w:rsidR="00D612DD" w:rsidRDefault="00D612DD">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R-square</w:t>
            </w:r>
          </w:p>
        </w:tc>
        <w:tc>
          <w:tcPr>
            <w:tcW w:w="803" w:type="dxa"/>
            <w:tcBorders>
              <w:top w:val="nil"/>
              <w:left w:val="nil"/>
              <w:bottom w:val="single" w:sz="4" w:space="0" w:color="auto"/>
              <w:right w:val="nil"/>
            </w:tcBorders>
            <w:shd w:val="clear" w:color="auto" w:fill="auto"/>
            <w:noWrap/>
            <w:vAlign w:val="bottom"/>
            <w:hideMark/>
          </w:tcPr>
          <w:p w14:paraId="3E75A801" w14:textId="77777777" w:rsidR="00D612DD" w:rsidRDefault="00D612DD">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RMSE</w:t>
            </w:r>
          </w:p>
        </w:tc>
      </w:tr>
      <w:tr w:rsidR="00D612DD" w14:paraId="0A3B5762" w14:textId="77777777" w:rsidTr="00163A34">
        <w:trPr>
          <w:trHeight w:val="320"/>
          <w:jc w:val="right"/>
        </w:trPr>
        <w:tc>
          <w:tcPr>
            <w:tcW w:w="1392" w:type="dxa"/>
            <w:tcBorders>
              <w:top w:val="nil"/>
              <w:left w:val="nil"/>
              <w:bottom w:val="nil"/>
              <w:right w:val="nil"/>
            </w:tcBorders>
            <w:shd w:val="clear" w:color="auto" w:fill="auto"/>
            <w:noWrap/>
            <w:vAlign w:val="bottom"/>
            <w:hideMark/>
          </w:tcPr>
          <w:p w14:paraId="1AEBF370" w14:textId="16D00B5D" w:rsidR="00D612DD" w:rsidRDefault="00D612DD">
            <w:pPr>
              <w:jc w:val="center"/>
              <w:rPr>
                <w:rFonts w:ascii="Palatino Linotype" w:hAnsi="Palatino Linotype" w:cs="Calibri"/>
                <w:color w:val="000000"/>
                <w:sz w:val="20"/>
                <w:szCs w:val="20"/>
              </w:rPr>
            </w:pPr>
            <w:r>
              <w:rPr>
                <w:rFonts w:ascii="Palatino Linotype" w:hAnsi="Palatino Linotype" w:cs="Calibri"/>
                <w:color w:val="000000"/>
                <w:sz w:val="20"/>
                <w:szCs w:val="20"/>
              </w:rPr>
              <w:t xml:space="preserve">P vs </w:t>
            </w:r>
            <w:r w:rsidR="009C47F2">
              <w:rPr>
                <w:rFonts w:ascii="Palatino Linotype" w:hAnsi="Palatino Linotype" w:cs="Calibri"/>
                <w:color w:val="000000"/>
                <w:sz w:val="20"/>
                <w:szCs w:val="20"/>
              </w:rPr>
              <w:t>T</w:t>
            </w:r>
          </w:p>
        </w:tc>
        <w:tc>
          <w:tcPr>
            <w:tcW w:w="872" w:type="dxa"/>
            <w:tcBorders>
              <w:top w:val="nil"/>
              <w:left w:val="nil"/>
              <w:bottom w:val="nil"/>
              <w:right w:val="nil"/>
            </w:tcBorders>
            <w:shd w:val="clear" w:color="auto" w:fill="auto"/>
            <w:noWrap/>
            <w:vAlign w:val="bottom"/>
            <w:hideMark/>
          </w:tcPr>
          <w:p w14:paraId="68E6D046" w14:textId="77777777" w:rsidR="00D612DD" w:rsidRDefault="00D612DD">
            <w:pPr>
              <w:jc w:val="center"/>
              <w:rPr>
                <w:rFonts w:ascii="Palatino Linotype" w:hAnsi="Palatino Linotype" w:cs="Calibri"/>
                <w:color w:val="000000"/>
                <w:sz w:val="20"/>
                <w:szCs w:val="20"/>
              </w:rPr>
            </w:pPr>
            <w:r>
              <w:rPr>
                <w:rFonts w:ascii="Palatino Linotype" w:hAnsi="Palatino Linotype" w:cs="Calibri"/>
                <w:color w:val="000000"/>
                <w:sz w:val="20"/>
                <w:szCs w:val="20"/>
              </w:rPr>
              <w:t>1</w:t>
            </w:r>
          </w:p>
        </w:tc>
        <w:tc>
          <w:tcPr>
            <w:tcW w:w="1033" w:type="dxa"/>
            <w:tcBorders>
              <w:top w:val="nil"/>
              <w:left w:val="nil"/>
              <w:bottom w:val="nil"/>
              <w:right w:val="nil"/>
            </w:tcBorders>
            <w:shd w:val="clear" w:color="auto" w:fill="auto"/>
            <w:noWrap/>
            <w:vAlign w:val="bottom"/>
            <w:hideMark/>
          </w:tcPr>
          <w:p w14:paraId="79D0FD4B" w14:textId="77777777" w:rsidR="00D612DD" w:rsidRDefault="00D612DD">
            <w:pPr>
              <w:jc w:val="center"/>
              <w:rPr>
                <w:rFonts w:ascii="Palatino Linotype" w:hAnsi="Palatino Linotype" w:cs="Calibri"/>
                <w:color w:val="000000"/>
                <w:sz w:val="20"/>
                <w:szCs w:val="20"/>
              </w:rPr>
            </w:pPr>
            <w:r>
              <w:rPr>
                <w:rFonts w:ascii="Palatino Linotype" w:hAnsi="Palatino Linotype" w:cs="Calibri"/>
                <w:color w:val="000000"/>
                <w:sz w:val="20"/>
                <w:szCs w:val="20"/>
              </w:rPr>
              <w:t>0.9983</w:t>
            </w:r>
          </w:p>
        </w:tc>
        <w:tc>
          <w:tcPr>
            <w:tcW w:w="863" w:type="dxa"/>
            <w:tcBorders>
              <w:top w:val="nil"/>
              <w:left w:val="nil"/>
              <w:bottom w:val="nil"/>
              <w:right w:val="nil"/>
            </w:tcBorders>
            <w:shd w:val="clear" w:color="auto" w:fill="auto"/>
            <w:noWrap/>
            <w:vAlign w:val="bottom"/>
            <w:hideMark/>
          </w:tcPr>
          <w:p w14:paraId="61922DB7" w14:textId="77777777" w:rsidR="00D612DD" w:rsidRDefault="00D612DD">
            <w:pPr>
              <w:jc w:val="center"/>
              <w:rPr>
                <w:rFonts w:ascii="Palatino Linotype" w:hAnsi="Palatino Linotype" w:cs="Calibri"/>
                <w:color w:val="000000"/>
                <w:sz w:val="20"/>
                <w:szCs w:val="20"/>
              </w:rPr>
            </w:pPr>
            <w:r>
              <w:rPr>
                <w:rFonts w:ascii="Palatino Linotype" w:hAnsi="Palatino Linotype" w:cs="Calibri"/>
                <w:color w:val="000000"/>
                <w:sz w:val="20"/>
                <w:szCs w:val="20"/>
              </w:rPr>
              <w:t>0.0028</w:t>
            </w:r>
          </w:p>
        </w:tc>
        <w:tc>
          <w:tcPr>
            <w:tcW w:w="872" w:type="dxa"/>
            <w:tcBorders>
              <w:top w:val="nil"/>
              <w:left w:val="nil"/>
              <w:bottom w:val="nil"/>
              <w:right w:val="nil"/>
            </w:tcBorders>
            <w:shd w:val="clear" w:color="auto" w:fill="auto"/>
            <w:noWrap/>
            <w:vAlign w:val="bottom"/>
            <w:hideMark/>
          </w:tcPr>
          <w:p w14:paraId="3FF0AEE8" w14:textId="77777777" w:rsidR="00D612DD" w:rsidRDefault="00D612DD">
            <w:pPr>
              <w:jc w:val="center"/>
              <w:rPr>
                <w:rFonts w:ascii="Palatino Linotype" w:hAnsi="Palatino Linotype" w:cs="Calibri"/>
                <w:color w:val="000000"/>
                <w:sz w:val="20"/>
                <w:szCs w:val="20"/>
              </w:rPr>
            </w:pPr>
            <w:r>
              <w:rPr>
                <w:rFonts w:ascii="Palatino Linotype" w:hAnsi="Palatino Linotype" w:cs="Calibri"/>
                <w:color w:val="000000"/>
                <w:sz w:val="20"/>
                <w:szCs w:val="20"/>
              </w:rPr>
              <w:t>1</w:t>
            </w:r>
          </w:p>
        </w:tc>
        <w:tc>
          <w:tcPr>
            <w:tcW w:w="1033" w:type="dxa"/>
            <w:tcBorders>
              <w:top w:val="nil"/>
              <w:left w:val="nil"/>
              <w:bottom w:val="nil"/>
              <w:right w:val="nil"/>
            </w:tcBorders>
            <w:shd w:val="clear" w:color="auto" w:fill="auto"/>
            <w:noWrap/>
            <w:vAlign w:val="bottom"/>
            <w:hideMark/>
          </w:tcPr>
          <w:p w14:paraId="0F72C390" w14:textId="77777777" w:rsidR="00D612DD" w:rsidRDefault="00D612DD">
            <w:pPr>
              <w:jc w:val="center"/>
              <w:rPr>
                <w:rFonts w:ascii="Palatino Linotype" w:hAnsi="Palatino Linotype" w:cs="Calibri"/>
                <w:color w:val="000000"/>
                <w:sz w:val="20"/>
                <w:szCs w:val="20"/>
              </w:rPr>
            </w:pPr>
            <w:r>
              <w:rPr>
                <w:rFonts w:ascii="Palatino Linotype" w:hAnsi="Palatino Linotype" w:cs="Calibri"/>
                <w:color w:val="000000"/>
                <w:sz w:val="20"/>
                <w:szCs w:val="20"/>
              </w:rPr>
              <w:t>0.9998</w:t>
            </w:r>
          </w:p>
        </w:tc>
        <w:tc>
          <w:tcPr>
            <w:tcW w:w="803" w:type="dxa"/>
            <w:tcBorders>
              <w:top w:val="nil"/>
              <w:left w:val="nil"/>
              <w:bottom w:val="nil"/>
              <w:right w:val="nil"/>
            </w:tcBorders>
            <w:shd w:val="clear" w:color="auto" w:fill="auto"/>
            <w:noWrap/>
            <w:vAlign w:val="bottom"/>
            <w:hideMark/>
          </w:tcPr>
          <w:p w14:paraId="40C53784" w14:textId="77777777" w:rsidR="00D612DD" w:rsidRDefault="00D612DD">
            <w:pPr>
              <w:jc w:val="center"/>
              <w:rPr>
                <w:rFonts w:ascii="Palatino Linotype" w:hAnsi="Palatino Linotype" w:cs="Calibri"/>
                <w:color w:val="000000"/>
                <w:sz w:val="20"/>
                <w:szCs w:val="20"/>
              </w:rPr>
            </w:pPr>
            <w:r>
              <w:rPr>
                <w:rFonts w:ascii="Palatino Linotype" w:hAnsi="Palatino Linotype" w:cs="Calibri"/>
                <w:color w:val="000000"/>
                <w:sz w:val="20"/>
                <w:szCs w:val="20"/>
              </w:rPr>
              <w:t>0.0009</w:t>
            </w:r>
          </w:p>
        </w:tc>
        <w:tc>
          <w:tcPr>
            <w:tcW w:w="872" w:type="dxa"/>
            <w:tcBorders>
              <w:top w:val="nil"/>
              <w:left w:val="nil"/>
              <w:bottom w:val="nil"/>
              <w:right w:val="nil"/>
            </w:tcBorders>
            <w:shd w:val="clear" w:color="auto" w:fill="auto"/>
            <w:noWrap/>
            <w:vAlign w:val="bottom"/>
            <w:hideMark/>
          </w:tcPr>
          <w:p w14:paraId="68EF9260" w14:textId="77777777" w:rsidR="00D612DD" w:rsidRDefault="00D612DD">
            <w:pPr>
              <w:jc w:val="center"/>
              <w:rPr>
                <w:rFonts w:ascii="Palatino Linotype" w:hAnsi="Palatino Linotype" w:cs="Calibri"/>
                <w:color w:val="000000"/>
                <w:sz w:val="20"/>
                <w:szCs w:val="20"/>
              </w:rPr>
            </w:pPr>
            <w:r>
              <w:rPr>
                <w:rFonts w:ascii="Palatino Linotype" w:hAnsi="Palatino Linotype" w:cs="Calibri"/>
                <w:color w:val="000000"/>
                <w:sz w:val="20"/>
                <w:szCs w:val="20"/>
              </w:rPr>
              <w:t>3</w:t>
            </w:r>
          </w:p>
        </w:tc>
        <w:tc>
          <w:tcPr>
            <w:tcW w:w="1033" w:type="dxa"/>
            <w:tcBorders>
              <w:top w:val="nil"/>
              <w:left w:val="nil"/>
              <w:bottom w:val="nil"/>
              <w:right w:val="nil"/>
            </w:tcBorders>
            <w:shd w:val="clear" w:color="auto" w:fill="auto"/>
            <w:noWrap/>
            <w:vAlign w:val="bottom"/>
            <w:hideMark/>
          </w:tcPr>
          <w:p w14:paraId="49CF5B65" w14:textId="77777777" w:rsidR="00D612DD" w:rsidRDefault="00D612DD">
            <w:pPr>
              <w:jc w:val="center"/>
              <w:rPr>
                <w:rFonts w:ascii="Palatino Linotype" w:hAnsi="Palatino Linotype" w:cs="Calibri"/>
                <w:color w:val="000000"/>
                <w:sz w:val="20"/>
                <w:szCs w:val="20"/>
              </w:rPr>
            </w:pPr>
            <w:r>
              <w:rPr>
                <w:rFonts w:ascii="Palatino Linotype" w:hAnsi="Palatino Linotype" w:cs="Calibri"/>
                <w:color w:val="000000"/>
                <w:sz w:val="20"/>
                <w:szCs w:val="20"/>
              </w:rPr>
              <w:t>0.9866</w:t>
            </w:r>
          </w:p>
        </w:tc>
        <w:tc>
          <w:tcPr>
            <w:tcW w:w="803" w:type="dxa"/>
            <w:tcBorders>
              <w:top w:val="nil"/>
              <w:left w:val="nil"/>
              <w:bottom w:val="nil"/>
              <w:right w:val="nil"/>
            </w:tcBorders>
            <w:shd w:val="clear" w:color="auto" w:fill="auto"/>
            <w:noWrap/>
            <w:vAlign w:val="bottom"/>
            <w:hideMark/>
          </w:tcPr>
          <w:p w14:paraId="32F20876" w14:textId="2E388352" w:rsidR="00D612DD" w:rsidRDefault="00D612DD">
            <w:pPr>
              <w:jc w:val="center"/>
              <w:rPr>
                <w:rFonts w:ascii="Palatino Linotype" w:hAnsi="Palatino Linotype" w:cs="Calibri"/>
                <w:color w:val="000000"/>
                <w:sz w:val="20"/>
                <w:szCs w:val="20"/>
              </w:rPr>
            </w:pPr>
            <w:r>
              <w:rPr>
                <w:rFonts w:ascii="Palatino Linotype" w:hAnsi="Palatino Linotype" w:cs="Calibri"/>
                <w:color w:val="000000"/>
                <w:sz w:val="20"/>
                <w:szCs w:val="20"/>
              </w:rPr>
              <w:t>0.007</w:t>
            </w:r>
            <w:r w:rsidR="00C208D8">
              <w:rPr>
                <w:rFonts w:ascii="Palatino Linotype" w:hAnsi="Palatino Linotype" w:cs="Calibri"/>
                <w:color w:val="000000"/>
                <w:sz w:val="20"/>
                <w:szCs w:val="20"/>
              </w:rPr>
              <w:t>0</w:t>
            </w:r>
          </w:p>
        </w:tc>
      </w:tr>
      <w:tr w:rsidR="00D612DD" w14:paraId="06CBFF4E" w14:textId="77777777" w:rsidTr="00163A34">
        <w:trPr>
          <w:trHeight w:val="320"/>
          <w:jc w:val="right"/>
        </w:trPr>
        <w:tc>
          <w:tcPr>
            <w:tcW w:w="1392" w:type="dxa"/>
            <w:tcBorders>
              <w:top w:val="nil"/>
              <w:left w:val="nil"/>
              <w:bottom w:val="nil"/>
              <w:right w:val="nil"/>
            </w:tcBorders>
            <w:shd w:val="clear" w:color="auto" w:fill="auto"/>
            <w:noWrap/>
            <w:vAlign w:val="bottom"/>
            <w:hideMark/>
          </w:tcPr>
          <w:p w14:paraId="21940D24" w14:textId="6E2EE682" w:rsidR="00D612DD" w:rsidRDefault="00D612DD">
            <w:pPr>
              <w:jc w:val="center"/>
              <w:rPr>
                <w:rFonts w:ascii="Palatino Linotype" w:hAnsi="Palatino Linotype" w:cs="Calibri"/>
                <w:color w:val="000000"/>
                <w:sz w:val="20"/>
                <w:szCs w:val="20"/>
              </w:rPr>
            </w:pPr>
            <w:r>
              <w:rPr>
                <w:rFonts w:ascii="Palatino Linotype" w:hAnsi="Palatino Linotype" w:cs="Calibri"/>
                <w:color w:val="000000"/>
                <w:sz w:val="20"/>
                <w:szCs w:val="20"/>
              </w:rPr>
              <w:t>P vs H</w:t>
            </w:r>
          </w:p>
        </w:tc>
        <w:tc>
          <w:tcPr>
            <w:tcW w:w="872" w:type="dxa"/>
            <w:tcBorders>
              <w:top w:val="nil"/>
              <w:left w:val="nil"/>
              <w:bottom w:val="nil"/>
              <w:right w:val="nil"/>
            </w:tcBorders>
            <w:shd w:val="clear" w:color="auto" w:fill="auto"/>
            <w:noWrap/>
            <w:vAlign w:val="bottom"/>
            <w:hideMark/>
          </w:tcPr>
          <w:p w14:paraId="47C8DCF1" w14:textId="77777777" w:rsidR="00D612DD" w:rsidRDefault="00D612DD">
            <w:pPr>
              <w:jc w:val="center"/>
              <w:rPr>
                <w:rFonts w:ascii="Palatino Linotype" w:hAnsi="Palatino Linotype" w:cs="Calibri"/>
                <w:color w:val="000000"/>
                <w:sz w:val="20"/>
                <w:szCs w:val="20"/>
              </w:rPr>
            </w:pPr>
            <w:r>
              <w:rPr>
                <w:rFonts w:ascii="Palatino Linotype" w:hAnsi="Palatino Linotype" w:cs="Calibri"/>
                <w:color w:val="000000"/>
                <w:sz w:val="20"/>
                <w:szCs w:val="20"/>
              </w:rPr>
              <w:t>4</w:t>
            </w:r>
          </w:p>
        </w:tc>
        <w:tc>
          <w:tcPr>
            <w:tcW w:w="1033" w:type="dxa"/>
            <w:tcBorders>
              <w:top w:val="nil"/>
              <w:left w:val="nil"/>
              <w:bottom w:val="nil"/>
              <w:right w:val="nil"/>
            </w:tcBorders>
            <w:shd w:val="clear" w:color="auto" w:fill="auto"/>
            <w:noWrap/>
            <w:vAlign w:val="bottom"/>
            <w:hideMark/>
          </w:tcPr>
          <w:p w14:paraId="7FD0F299" w14:textId="2EA155D7" w:rsidR="00D612DD" w:rsidRDefault="00D612DD">
            <w:pPr>
              <w:jc w:val="center"/>
              <w:rPr>
                <w:rFonts w:ascii="Palatino Linotype" w:hAnsi="Palatino Linotype" w:cs="Calibri"/>
                <w:color w:val="000000"/>
                <w:sz w:val="20"/>
                <w:szCs w:val="20"/>
              </w:rPr>
            </w:pPr>
            <w:r>
              <w:rPr>
                <w:rFonts w:ascii="Palatino Linotype" w:hAnsi="Palatino Linotype" w:cs="Calibri"/>
                <w:color w:val="000000"/>
                <w:sz w:val="20"/>
                <w:szCs w:val="20"/>
              </w:rPr>
              <w:t>0.98</w:t>
            </w:r>
            <w:r w:rsidR="00682B96">
              <w:rPr>
                <w:rFonts w:ascii="Palatino Linotype" w:hAnsi="Palatino Linotype" w:cs="Calibri"/>
                <w:color w:val="000000"/>
                <w:sz w:val="20"/>
                <w:szCs w:val="20"/>
              </w:rPr>
              <w:t>81</w:t>
            </w:r>
          </w:p>
        </w:tc>
        <w:tc>
          <w:tcPr>
            <w:tcW w:w="863" w:type="dxa"/>
            <w:tcBorders>
              <w:top w:val="nil"/>
              <w:left w:val="nil"/>
              <w:bottom w:val="nil"/>
              <w:right w:val="nil"/>
            </w:tcBorders>
            <w:shd w:val="clear" w:color="auto" w:fill="auto"/>
            <w:noWrap/>
            <w:vAlign w:val="bottom"/>
            <w:hideMark/>
          </w:tcPr>
          <w:p w14:paraId="0DF7CAC0" w14:textId="521FADBE" w:rsidR="00D612DD" w:rsidRDefault="00D612DD">
            <w:pPr>
              <w:jc w:val="center"/>
              <w:rPr>
                <w:rFonts w:ascii="Palatino Linotype" w:hAnsi="Palatino Linotype" w:cs="Calibri"/>
                <w:color w:val="000000"/>
                <w:sz w:val="20"/>
                <w:szCs w:val="20"/>
              </w:rPr>
            </w:pPr>
            <w:r>
              <w:rPr>
                <w:rFonts w:ascii="Palatino Linotype" w:hAnsi="Palatino Linotype" w:cs="Calibri"/>
                <w:color w:val="000000"/>
                <w:sz w:val="20"/>
                <w:szCs w:val="20"/>
              </w:rPr>
              <w:t>0.007</w:t>
            </w:r>
            <w:r w:rsidR="00682B96">
              <w:rPr>
                <w:rFonts w:ascii="Palatino Linotype" w:hAnsi="Palatino Linotype" w:cs="Calibri"/>
                <w:color w:val="000000"/>
                <w:sz w:val="20"/>
                <w:szCs w:val="20"/>
              </w:rPr>
              <w:t>4</w:t>
            </w:r>
          </w:p>
        </w:tc>
        <w:tc>
          <w:tcPr>
            <w:tcW w:w="872" w:type="dxa"/>
            <w:tcBorders>
              <w:top w:val="nil"/>
              <w:left w:val="nil"/>
              <w:bottom w:val="nil"/>
              <w:right w:val="nil"/>
            </w:tcBorders>
            <w:shd w:val="clear" w:color="auto" w:fill="auto"/>
            <w:noWrap/>
            <w:vAlign w:val="bottom"/>
            <w:hideMark/>
          </w:tcPr>
          <w:p w14:paraId="7629E244" w14:textId="77777777" w:rsidR="00D612DD" w:rsidRDefault="00D612DD">
            <w:pPr>
              <w:jc w:val="center"/>
              <w:rPr>
                <w:rFonts w:ascii="Palatino Linotype" w:hAnsi="Palatino Linotype" w:cs="Calibri"/>
                <w:color w:val="000000"/>
                <w:sz w:val="20"/>
                <w:szCs w:val="20"/>
              </w:rPr>
            </w:pPr>
            <w:r>
              <w:rPr>
                <w:rFonts w:ascii="Palatino Linotype" w:hAnsi="Palatino Linotype" w:cs="Calibri"/>
                <w:color w:val="000000"/>
                <w:sz w:val="20"/>
                <w:szCs w:val="20"/>
              </w:rPr>
              <w:t>3</w:t>
            </w:r>
          </w:p>
        </w:tc>
        <w:tc>
          <w:tcPr>
            <w:tcW w:w="1033" w:type="dxa"/>
            <w:tcBorders>
              <w:top w:val="nil"/>
              <w:left w:val="nil"/>
              <w:bottom w:val="nil"/>
              <w:right w:val="nil"/>
            </w:tcBorders>
            <w:shd w:val="clear" w:color="auto" w:fill="auto"/>
            <w:noWrap/>
            <w:vAlign w:val="bottom"/>
            <w:hideMark/>
          </w:tcPr>
          <w:p w14:paraId="3FDA4596" w14:textId="26BC01EF" w:rsidR="00D612DD" w:rsidRDefault="00D612DD">
            <w:pPr>
              <w:jc w:val="center"/>
              <w:rPr>
                <w:rFonts w:ascii="Palatino Linotype" w:hAnsi="Palatino Linotype" w:cs="Calibri"/>
                <w:color w:val="000000"/>
                <w:sz w:val="20"/>
                <w:szCs w:val="20"/>
              </w:rPr>
            </w:pPr>
            <w:r>
              <w:rPr>
                <w:rFonts w:ascii="Palatino Linotype" w:hAnsi="Palatino Linotype" w:cs="Calibri"/>
                <w:color w:val="000000"/>
                <w:sz w:val="20"/>
                <w:szCs w:val="20"/>
              </w:rPr>
              <w:t>0.999</w:t>
            </w:r>
            <w:r w:rsidR="002A3C86">
              <w:rPr>
                <w:rFonts w:ascii="Palatino Linotype" w:hAnsi="Palatino Linotype" w:cs="Calibri"/>
                <w:color w:val="000000"/>
                <w:sz w:val="20"/>
                <w:szCs w:val="20"/>
              </w:rPr>
              <w:t>1</w:t>
            </w:r>
          </w:p>
        </w:tc>
        <w:tc>
          <w:tcPr>
            <w:tcW w:w="803" w:type="dxa"/>
            <w:tcBorders>
              <w:top w:val="nil"/>
              <w:left w:val="nil"/>
              <w:bottom w:val="nil"/>
              <w:right w:val="nil"/>
            </w:tcBorders>
            <w:shd w:val="clear" w:color="auto" w:fill="auto"/>
            <w:noWrap/>
            <w:vAlign w:val="bottom"/>
            <w:hideMark/>
          </w:tcPr>
          <w:p w14:paraId="33AC6123" w14:textId="5B3DB2D3" w:rsidR="00D612DD" w:rsidRDefault="00D612DD">
            <w:pPr>
              <w:jc w:val="center"/>
              <w:rPr>
                <w:rFonts w:ascii="Palatino Linotype" w:hAnsi="Palatino Linotype" w:cs="Calibri"/>
                <w:color w:val="000000"/>
                <w:sz w:val="20"/>
                <w:szCs w:val="20"/>
              </w:rPr>
            </w:pPr>
            <w:r>
              <w:rPr>
                <w:rFonts w:ascii="Palatino Linotype" w:hAnsi="Palatino Linotype" w:cs="Calibri"/>
                <w:color w:val="000000"/>
                <w:sz w:val="20"/>
                <w:szCs w:val="20"/>
              </w:rPr>
              <w:t>0.001</w:t>
            </w:r>
            <w:r w:rsidR="002A3C86">
              <w:rPr>
                <w:rFonts w:ascii="Palatino Linotype" w:hAnsi="Palatino Linotype" w:cs="Calibri"/>
                <w:color w:val="000000"/>
                <w:sz w:val="20"/>
                <w:szCs w:val="20"/>
              </w:rPr>
              <w:t>8</w:t>
            </w:r>
          </w:p>
        </w:tc>
        <w:tc>
          <w:tcPr>
            <w:tcW w:w="872" w:type="dxa"/>
            <w:tcBorders>
              <w:top w:val="nil"/>
              <w:left w:val="nil"/>
              <w:bottom w:val="nil"/>
              <w:right w:val="nil"/>
            </w:tcBorders>
            <w:shd w:val="clear" w:color="auto" w:fill="auto"/>
            <w:noWrap/>
            <w:vAlign w:val="bottom"/>
            <w:hideMark/>
          </w:tcPr>
          <w:p w14:paraId="771746CA" w14:textId="77777777" w:rsidR="00D612DD" w:rsidRDefault="00D612DD">
            <w:pPr>
              <w:jc w:val="center"/>
              <w:rPr>
                <w:rFonts w:ascii="Palatino Linotype" w:hAnsi="Palatino Linotype" w:cs="Calibri"/>
                <w:color w:val="000000"/>
                <w:sz w:val="20"/>
                <w:szCs w:val="20"/>
              </w:rPr>
            </w:pPr>
            <w:r>
              <w:rPr>
                <w:rFonts w:ascii="Palatino Linotype" w:hAnsi="Palatino Linotype" w:cs="Calibri"/>
                <w:color w:val="000000"/>
                <w:sz w:val="20"/>
                <w:szCs w:val="20"/>
              </w:rPr>
              <w:t>3</w:t>
            </w:r>
          </w:p>
        </w:tc>
        <w:tc>
          <w:tcPr>
            <w:tcW w:w="1033" w:type="dxa"/>
            <w:tcBorders>
              <w:top w:val="nil"/>
              <w:left w:val="nil"/>
              <w:bottom w:val="nil"/>
              <w:right w:val="nil"/>
            </w:tcBorders>
            <w:shd w:val="clear" w:color="auto" w:fill="auto"/>
            <w:noWrap/>
            <w:vAlign w:val="bottom"/>
            <w:hideMark/>
          </w:tcPr>
          <w:p w14:paraId="5303B3BC" w14:textId="77777777" w:rsidR="00D612DD" w:rsidRDefault="00D612DD">
            <w:pPr>
              <w:jc w:val="center"/>
              <w:rPr>
                <w:rFonts w:ascii="Palatino Linotype" w:hAnsi="Palatino Linotype" w:cs="Calibri"/>
                <w:color w:val="000000"/>
                <w:sz w:val="20"/>
                <w:szCs w:val="20"/>
              </w:rPr>
            </w:pPr>
            <w:r>
              <w:rPr>
                <w:rFonts w:ascii="Palatino Linotype" w:hAnsi="Palatino Linotype" w:cs="Calibri"/>
                <w:color w:val="000000"/>
                <w:sz w:val="20"/>
                <w:szCs w:val="20"/>
              </w:rPr>
              <w:t>0.9813</w:t>
            </w:r>
          </w:p>
        </w:tc>
        <w:tc>
          <w:tcPr>
            <w:tcW w:w="803" w:type="dxa"/>
            <w:tcBorders>
              <w:top w:val="nil"/>
              <w:left w:val="nil"/>
              <w:bottom w:val="nil"/>
              <w:right w:val="nil"/>
            </w:tcBorders>
            <w:shd w:val="clear" w:color="auto" w:fill="auto"/>
            <w:noWrap/>
            <w:vAlign w:val="bottom"/>
            <w:hideMark/>
          </w:tcPr>
          <w:p w14:paraId="501312FB" w14:textId="77777777" w:rsidR="00D612DD" w:rsidRDefault="00D612DD">
            <w:pPr>
              <w:jc w:val="center"/>
              <w:rPr>
                <w:rFonts w:ascii="Palatino Linotype" w:hAnsi="Palatino Linotype" w:cs="Calibri"/>
                <w:color w:val="000000"/>
                <w:sz w:val="20"/>
                <w:szCs w:val="20"/>
              </w:rPr>
            </w:pPr>
            <w:r>
              <w:rPr>
                <w:rFonts w:ascii="Palatino Linotype" w:hAnsi="Palatino Linotype" w:cs="Calibri"/>
                <w:color w:val="000000"/>
                <w:sz w:val="20"/>
                <w:szCs w:val="20"/>
              </w:rPr>
              <w:t>0.0084</w:t>
            </w:r>
          </w:p>
        </w:tc>
      </w:tr>
      <w:tr w:rsidR="00163A34" w14:paraId="213DFCEC" w14:textId="77777777" w:rsidTr="00163A34">
        <w:trPr>
          <w:trHeight w:val="340"/>
          <w:jc w:val="right"/>
        </w:trPr>
        <w:tc>
          <w:tcPr>
            <w:tcW w:w="1392" w:type="dxa"/>
            <w:tcBorders>
              <w:top w:val="nil"/>
              <w:left w:val="nil"/>
              <w:bottom w:val="single" w:sz="8" w:space="0" w:color="auto"/>
              <w:right w:val="nil"/>
            </w:tcBorders>
            <w:shd w:val="clear" w:color="auto" w:fill="auto"/>
            <w:noWrap/>
            <w:vAlign w:val="bottom"/>
            <w:hideMark/>
          </w:tcPr>
          <w:p w14:paraId="5B0DF7D3" w14:textId="0350C8D5" w:rsidR="00163A34" w:rsidRDefault="00163A34" w:rsidP="00163A34">
            <w:pPr>
              <w:jc w:val="center"/>
              <w:rPr>
                <w:rFonts w:ascii="Palatino Linotype" w:hAnsi="Palatino Linotype" w:cs="Calibri"/>
                <w:color w:val="000000"/>
                <w:sz w:val="20"/>
                <w:szCs w:val="20"/>
              </w:rPr>
            </w:pPr>
            <w:r>
              <w:rPr>
                <w:rFonts w:ascii="Palatino Linotype" w:hAnsi="Palatino Linotype" w:cs="Calibri"/>
                <w:color w:val="000000"/>
                <w:sz w:val="20"/>
                <w:szCs w:val="20"/>
              </w:rPr>
              <w:t xml:space="preserve">P vs </w:t>
            </w:r>
            <w:r w:rsidR="009C47F2">
              <w:rPr>
                <w:rFonts w:ascii="Palatino Linotype" w:hAnsi="Palatino Linotype" w:cs="Calibri"/>
                <w:color w:val="000000"/>
                <w:sz w:val="20"/>
                <w:szCs w:val="20"/>
              </w:rPr>
              <w:t>G</w:t>
            </w:r>
          </w:p>
        </w:tc>
        <w:tc>
          <w:tcPr>
            <w:tcW w:w="872" w:type="dxa"/>
            <w:tcBorders>
              <w:top w:val="nil"/>
              <w:left w:val="nil"/>
              <w:bottom w:val="single" w:sz="8" w:space="0" w:color="auto"/>
              <w:right w:val="nil"/>
            </w:tcBorders>
            <w:shd w:val="clear" w:color="auto" w:fill="auto"/>
            <w:noWrap/>
            <w:vAlign w:val="bottom"/>
            <w:hideMark/>
          </w:tcPr>
          <w:p w14:paraId="41E9451A" w14:textId="30ACA3E0" w:rsidR="00163A34" w:rsidRDefault="00163A34" w:rsidP="00163A34">
            <w:pPr>
              <w:jc w:val="center"/>
              <w:rPr>
                <w:rFonts w:ascii="Palatino Linotype" w:hAnsi="Palatino Linotype" w:cs="Calibri"/>
                <w:color w:val="000000"/>
                <w:sz w:val="20"/>
                <w:szCs w:val="20"/>
              </w:rPr>
            </w:pPr>
            <w:r>
              <w:rPr>
                <w:rFonts w:ascii="Palatino Linotype" w:hAnsi="Palatino Linotype" w:cs="Calibri"/>
                <w:color w:val="000000"/>
                <w:sz w:val="20"/>
                <w:szCs w:val="20"/>
              </w:rPr>
              <w:t>1</w:t>
            </w:r>
          </w:p>
        </w:tc>
        <w:tc>
          <w:tcPr>
            <w:tcW w:w="1033" w:type="dxa"/>
            <w:tcBorders>
              <w:top w:val="nil"/>
              <w:left w:val="nil"/>
              <w:bottom w:val="single" w:sz="8" w:space="0" w:color="auto"/>
              <w:right w:val="nil"/>
            </w:tcBorders>
            <w:shd w:val="clear" w:color="auto" w:fill="auto"/>
            <w:noWrap/>
            <w:vAlign w:val="bottom"/>
            <w:hideMark/>
          </w:tcPr>
          <w:p w14:paraId="2D0CBC0E" w14:textId="279D0AD1" w:rsidR="00163A34" w:rsidRDefault="00163A34" w:rsidP="00163A34">
            <w:pPr>
              <w:jc w:val="center"/>
              <w:rPr>
                <w:rFonts w:ascii="Palatino Linotype" w:hAnsi="Palatino Linotype" w:cs="Calibri"/>
                <w:color w:val="000000"/>
                <w:sz w:val="20"/>
                <w:szCs w:val="20"/>
              </w:rPr>
            </w:pPr>
            <w:r>
              <w:rPr>
                <w:rFonts w:ascii="Palatino Linotype" w:hAnsi="Palatino Linotype" w:cs="Calibri"/>
                <w:color w:val="000000"/>
                <w:sz w:val="20"/>
                <w:szCs w:val="20"/>
              </w:rPr>
              <w:t>0.9870</w:t>
            </w:r>
          </w:p>
        </w:tc>
        <w:tc>
          <w:tcPr>
            <w:tcW w:w="863" w:type="dxa"/>
            <w:tcBorders>
              <w:top w:val="nil"/>
              <w:left w:val="nil"/>
              <w:bottom w:val="single" w:sz="8" w:space="0" w:color="auto"/>
              <w:right w:val="nil"/>
            </w:tcBorders>
            <w:shd w:val="clear" w:color="auto" w:fill="auto"/>
            <w:noWrap/>
            <w:vAlign w:val="bottom"/>
            <w:hideMark/>
          </w:tcPr>
          <w:p w14:paraId="5C97351C" w14:textId="09048CDA" w:rsidR="00163A34" w:rsidRDefault="00163A34" w:rsidP="00163A34">
            <w:pPr>
              <w:jc w:val="center"/>
              <w:rPr>
                <w:rFonts w:ascii="Palatino Linotype" w:hAnsi="Palatino Linotype" w:cs="Calibri"/>
                <w:color w:val="000000"/>
                <w:sz w:val="20"/>
                <w:szCs w:val="20"/>
              </w:rPr>
            </w:pPr>
            <w:r>
              <w:rPr>
                <w:rFonts w:ascii="Palatino Linotype" w:hAnsi="Palatino Linotype" w:cs="Calibri"/>
                <w:color w:val="000000"/>
                <w:sz w:val="20"/>
                <w:szCs w:val="20"/>
              </w:rPr>
              <w:t>0.0071</w:t>
            </w:r>
          </w:p>
        </w:tc>
        <w:tc>
          <w:tcPr>
            <w:tcW w:w="872" w:type="dxa"/>
            <w:tcBorders>
              <w:top w:val="nil"/>
              <w:left w:val="nil"/>
              <w:bottom w:val="single" w:sz="8" w:space="0" w:color="auto"/>
              <w:right w:val="nil"/>
            </w:tcBorders>
            <w:shd w:val="clear" w:color="auto" w:fill="auto"/>
            <w:noWrap/>
            <w:vAlign w:val="bottom"/>
            <w:hideMark/>
          </w:tcPr>
          <w:p w14:paraId="2FDD4CB6" w14:textId="1D272BC4" w:rsidR="00163A34" w:rsidRDefault="00163A34" w:rsidP="00163A34">
            <w:pPr>
              <w:jc w:val="center"/>
              <w:rPr>
                <w:rFonts w:ascii="Palatino Linotype" w:hAnsi="Palatino Linotype" w:cs="Calibri"/>
                <w:color w:val="000000"/>
                <w:sz w:val="20"/>
                <w:szCs w:val="20"/>
              </w:rPr>
            </w:pPr>
            <w:r>
              <w:rPr>
                <w:rFonts w:ascii="Palatino Linotype" w:hAnsi="Palatino Linotype" w:cs="Calibri"/>
                <w:color w:val="000000"/>
                <w:sz w:val="20"/>
                <w:szCs w:val="20"/>
              </w:rPr>
              <w:t>1</w:t>
            </w:r>
          </w:p>
        </w:tc>
        <w:tc>
          <w:tcPr>
            <w:tcW w:w="1033" w:type="dxa"/>
            <w:tcBorders>
              <w:top w:val="nil"/>
              <w:left w:val="nil"/>
              <w:bottom w:val="single" w:sz="8" w:space="0" w:color="auto"/>
              <w:right w:val="nil"/>
            </w:tcBorders>
            <w:shd w:val="clear" w:color="auto" w:fill="auto"/>
            <w:noWrap/>
            <w:vAlign w:val="bottom"/>
            <w:hideMark/>
          </w:tcPr>
          <w:p w14:paraId="57D4BE47" w14:textId="1FE2609D" w:rsidR="00163A34" w:rsidRDefault="00163A34" w:rsidP="00163A34">
            <w:pPr>
              <w:jc w:val="center"/>
              <w:rPr>
                <w:rFonts w:ascii="Palatino Linotype" w:hAnsi="Palatino Linotype" w:cs="Calibri"/>
                <w:color w:val="000000"/>
                <w:sz w:val="20"/>
                <w:szCs w:val="20"/>
              </w:rPr>
            </w:pPr>
            <w:r>
              <w:rPr>
                <w:rFonts w:ascii="Palatino Linotype" w:hAnsi="Palatino Linotype" w:cs="Calibri"/>
                <w:color w:val="000000"/>
                <w:sz w:val="20"/>
                <w:szCs w:val="20"/>
              </w:rPr>
              <w:t>0.9967</w:t>
            </w:r>
          </w:p>
        </w:tc>
        <w:tc>
          <w:tcPr>
            <w:tcW w:w="803" w:type="dxa"/>
            <w:tcBorders>
              <w:top w:val="nil"/>
              <w:left w:val="nil"/>
              <w:bottom w:val="single" w:sz="8" w:space="0" w:color="auto"/>
              <w:right w:val="nil"/>
            </w:tcBorders>
            <w:shd w:val="clear" w:color="auto" w:fill="auto"/>
            <w:noWrap/>
            <w:vAlign w:val="bottom"/>
            <w:hideMark/>
          </w:tcPr>
          <w:p w14:paraId="179493AB" w14:textId="21DC1842" w:rsidR="00163A34" w:rsidRDefault="00163A34" w:rsidP="00163A34">
            <w:pPr>
              <w:jc w:val="center"/>
              <w:rPr>
                <w:rFonts w:ascii="Palatino Linotype" w:hAnsi="Palatino Linotype" w:cs="Calibri"/>
                <w:color w:val="000000"/>
                <w:sz w:val="20"/>
                <w:szCs w:val="20"/>
              </w:rPr>
            </w:pPr>
            <w:r>
              <w:rPr>
                <w:rFonts w:ascii="Palatino Linotype" w:hAnsi="Palatino Linotype" w:cs="Calibri"/>
                <w:color w:val="000000"/>
                <w:sz w:val="20"/>
                <w:szCs w:val="20"/>
              </w:rPr>
              <w:t>0.0028</w:t>
            </w:r>
          </w:p>
        </w:tc>
        <w:tc>
          <w:tcPr>
            <w:tcW w:w="872" w:type="dxa"/>
            <w:tcBorders>
              <w:top w:val="nil"/>
              <w:left w:val="nil"/>
              <w:bottom w:val="single" w:sz="8" w:space="0" w:color="auto"/>
              <w:right w:val="nil"/>
            </w:tcBorders>
            <w:shd w:val="clear" w:color="auto" w:fill="auto"/>
            <w:noWrap/>
            <w:vAlign w:val="bottom"/>
            <w:hideMark/>
          </w:tcPr>
          <w:p w14:paraId="39F1D3D9" w14:textId="4AB0CAE1" w:rsidR="00163A34" w:rsidRDefault="00163A34" w:rsidP="00163A34">
            <w:pPr>
              <w:jc w:val="center"/>
              <w:rPr>
                <w:rFonts w:ascii="Palatino Linotype" w:hAnsi="Palatino Linotype" w:cs="Calibri"/>
                <w:color w:val="000000"/>
                <w:sz w:val="20"/>
                <w:szCs w:val="20"/>
              </w:rPr>
            </w:pPr>
            <w:r>
              <w:rPr>
                <w:rFonts w:ascii="Palatino Linotype" w:hAnsi="Palatino Linotype" w:cs="Calibri"/>
                <w:color w:val="000000"/>
                <w:sz w:val="20"/>
                <w:szCs w:val="20"/>
              </w:rPr>
              <w:t>1</w:t>
            </w:r>
          </w:p>
        </w:tc>
        <w:tc>
          <w:tcPr>
            <w:tcW w:w="1033" w:type="dxa"/>
            <w:tcBorders>
              <w:top w:val="nil"/>
              <w:left w:val="nil"/>
              <w:bottom w:val="single" w:sz="8" w:space="0" w:color="auto"/>
              <w:right w:val="nil"/>
            </w:tcBorders>
            <w:shd w:val="clear" w:color="auto" w:fill="auto"/>
            <w:noWrap/>
            <w:vAlign w:val="bottom"/>
            <w:hideMark/>
          </w:tcPr>
          <w:p w14:paraId="0D5905AD" w14:textId="13AB7C89" w:rsidR="00163A34" w:rsidRDefault="00163A34" w:rsidP="00163A34">
            <w:pPr>
              <w:jc w:val="center"/>
              <w:rPr>
                <w:rFonts w:ascii="Palatino Linotype" w:hAnsi="Palatino Linotype" w:cs="Calibri"/>
                <w:color w:val="000000"/>
                <w:sz w:val="20"/>
                <w:szCs w:val="20"/>
              </w:rPr>
            </w:pPr>
            <w:r>
              <w:rPr>
                <w:rFonts w:ascii="Palatino Linotype" w:hAnsi="Palatino Linotype" w:cs="Calibri"/>
                <w:color w:val="000000"/>
                <w:sz w:val="20"/>
                <w:szCs w:val="20"/>
              </w:rPr>
              <w:t>0.986</w:t>
            </w:r>
            <w:r w:rsidR="00295655">
              <w:rPr>
                <w:rFonts w:ascii="Palatino Linotype" w:hAnsi="Palatino Linotype" w:cs="Calibri"/>
                <w:color w:val="000000"/>
                <w:sz w:val="20"/>
                <w:szCs w:val="20"/>
              </w:rPr>
              <w:t>0</w:t>
            </w:r>
          </w:p>
        </w:tc>
        <w:tc>
          <w:tcPr>
            <w:tcW w:w="803" w:type="dxa"/>
            <w:tcBorders>
              <w:top w:val="nil"/>
              <w:left w:val="nil"/>
              <w:bottom w:val="single" w:sz="8" w:space="0" w:color="auto"/>
              <w:right w:val="nil"/>
            </w:tcBorders>
            <w:shd w:val="clear" w:color="auto" w:fill="auto"/>
            <w:noWrap/>
            <w:vAlign w:val="bottom"/>
            <w:hideMark/>
          </w:tcPr>
          <w:p w14:paraId="2B3B6928" w14:textId="1D9E2730" w:rsidR="00163A34" w:rsidRDefault="00163A34" w:rsidP="00163A34">
            <w:pPr>
              <w:jc w:val="center"/>
              <w:rPr>
                <w:rFonts w:ascii="Palatino Linotype" w:hAnsi="Palatino Linotype" w:cs="Calibri"/>
                <w:color w:val="000000"/>
                <w:sz w:val="20"/>
                <w:szCs w:val="20"/>
              </w:rPr>
            </w:pPr>
            <w:r>
              <w:rPr>
                <w:rFonts w:ascii="Palatino Linotype" w:hAnsi="Palatino Linotype" w:cs="Calibri"/>
                <w:color w:val="000000"/>
                <w:sz w:val="20"/>
                <w:szCs w:val="20"/>
              </w:rPr>
              <w:t>0.0074</w:t>
            </w:r>
          </w:p>
        </w:tc>
      </w:tr>
    </w:tbl>
    <w:p w14:paraId="1683FA06" w14:textId="77777777" w:rsidR="000C2642" w:rsidRDefault="000C2642" w:rsidP="00D662AC">
      <w:pPr>
        <w:pStyle w:val="MDPI31text"/>
        <w:ind w:left="0" w:firstLine="0"/>
        <w:rPr>
          <w:color w:val="000000" w:themeColor="text1"/>
        </w:rPr>
      </w:pPr>
    </w:p>
    <w:p w14:paraId="2F2B99B3" w14:textId="565F065D" w:rsidR="000D2571" w:rsidRPr="007B6BCA" w:rsidRDefault="00310C94" w:rsidP="000D2571">
      <w:pPr>
        <w:pStyle w:val="MDPI31text"/>
        <w:rPr>
          <w:color w:val="FF0000"/>
        </w:rPr>
      </w:pPr>
      <w:r w:rsidRPr="00310C94">
        <w:rPr>
          <w:color w:val="000000" w:themeColor="text1"/>
        </w:rPr>
        <w:lastRenderedPageBreak/>
        <w:t>The variance proportions for office spaces with a relatively fixed number of inhabitants were measured and ranged from 0.9899 to 0.9944, as shown in Table 5. These numbers indicate that the data fitting is satisfactory, as the uncertainties indicated by the Root Mean Square Error (RMSE) are within an acceptable range. The absence of robustness or the utilization of Least Absolute Residuals (LAR) in regression modeling resulted in an unsatisfactory level of uncertainty</w:t>
      </w:r>
      <w:r w:rsidR="00B214BB">
        <w:rPr>
          <w:color w:val="000000" w:themeColor="text1"/>
        </w:rPr>
        <w:t xml:space="preserve">, as </w:t>
      </w:r>
      <w:r w:rsidR="00E02FDF">
        <w:rPr>
          <w:color w:val="000000" w:themeColor="text1"/>
        </w:rPr>
        <w:t>provided in the Supplemental Data</w:t>
      </w:r>
      <w:r w:rsidR="00B214BB">
        <w:rPr>
          <w:color w:val="000000" w:themeColor="text1"/>
        </w:rPr>
        <w:t xml:space="preserve"> </w:t>
      </w:r>
      <w:r w:rsidR="00E02FDF">
        <w:rPr>
          <w:color w:val="000000" w:themeColor="text1"/>
        </w:rPr>
        <w:t>(</w:t>
      </w:r>
      <w:r w:rsidR="006B4CD0">
        <w:rPr>
          <w:color w:val="000000" w:themeColor="text1"/>
        </w:rPr>
        <w:t>Supplemental Tables S1 to S6)</w:t>
      </w:r>
      <w:r w:rsidR="00B214BB">
        <w:rPr>
          <w:color w:val="000000" w:themeColor="text1"/>
        </w:rPr>
        <w:t>.</w:t>
      </w:r>
    </w:p>
    <w:p w14:paraId="6957419C" w14:textId="15369347" w:rsidR="00E45795" w:rsidRDefault="00E45795" w:rsidP="00E45795">
      <w:pPr>
        <w:pStyle w:val="MDPI41tablecaption"/>
        <w:rPr>
          <w:color w:val="000000" w:themeColor="text1"/>
        </w:rPr>
      </w:pPr>
      <w:r w:rsidRPr="00B849BA">
        <w:rPr>
          <w:b/>
          <w:color w:val="000000" w:themeColor="text1"/>
        </w:rPr>
        <w:t xml:space="preserve">Table </w:t>
      </w:r>
      <w:r w:rsidR="007E1B4C">
        <w:rPr>
          <w:b/>
          <w:color w:val="000000" w:themeColor="text1"/>
        </w:rPr>
        <w:t>5</w:t>
      </w:r>
      <w:r w:rsidRPr="00B849BA">
        <w:rPr>
          <w:b/>
          <w:color w:val="000000" w:themeColor="text1"/>
        </w:rPr>
        <w:t xml:space="preserve">. </w:t>
      </w:r>
      <w:r w:rsidR="00891E87" w:rsidRPr="00B849BA">
        <w:rPr>
          <w:color w:val="000000" w:themeColor="text1"/>
        </w:rPr>
        <w:t xml:space="preserve">Polynomial </w:t>
      </w:r>
      <w:r w:rsidR="00891E87">
        <w:rPr>
          <w:color w:val="000000" w:themeColor="text1"/>
        </w:rPr>
        <w:t xml:space="preserve">Fitting Performance </w:t>
      </w:r>
      <w:r w:rsidR="00943ABE">
        <w:rPr>
          <w:color w:val="000000" w:themeColor="text1"/>
        </w:rPr>
        <w:t xml:space="preserve">using Least Absolute Residuals </w:t>
      </w:r>
      <w:r w:rsidRPr="00B849BA">
        <w:rPr>
          <w:color w:val="000000" w:themeColor="text1"/>
        </w:rPr>
        <w:t>for Office Spaces</w:t>
      </w:r>
    </w:p>
    <w:tbl>
      <w:tblPr>
        <w:tblW w:w="6868" w:type="dxa"/>
        <w:tblInd w:w="2552" w:type="dxa"/>
        <w:tblLook w:val="04A0" w:firstRow="1" w:lastRow="0" w:firstColumn="1" w:lastColumn="0" w:noHBand="0" w:noVBand="1"/>
      </w:tblPr>
      <w:tblGrid>
        <w:gridCol w:w="1392"/>
        <w:gridCol w:w="872"/>
        <w:gridCol w:w="1033"/>
        <w:gridCol w:w="863"/>
        <w:gridCol w:w="872"/>
        <w:gridCol w:w="1033"/>
        <w:gridCol w:w="803"/>
      </w:tblGrid>
      <w:tr w:rsidR="003C1769" w14:paraId="27D5842A" w14:textId="77777777" w:rsidTr="00136FCE">
        <w:trPr>
          <w:trHeight w:val="320"/>
        </w:trPr>
        <w:tc>
          <w:tcPr>
            <w:tcW w:w="1392" w:type="dxa"/>
            <w:vMerge w:val="restart"/>
            <w:tcBorders>
              <w:top w:val="single" w:sz="8" w:space="0" w:color="auto"/>
              <w:left w:val="nil"/>
              <w:bottom w:val="single" w:sz="4" w:space="0" w:color="000000"/>
              <w:right w:val="nil"/>
            </w:tcBorders>
            <w:shd w:val="clear" w:color="auto" w:fill="auto"/>
            <w:noWrap/>
            <w:vAlign w:val="center"/>
            <w:hideMark/>
          </w:tcPr>
          <w:p w14:paraId="5C8AE43A" w14:textId="77777777" w:rsidR="003C1769" w:rsidRDefault="003C1769">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Relationship</w:t>
            </w:r>
          </w:p>
        </w:tc>
        <w:tc>
          <w:tcPr>
            <w:tcW w:w="2768" w:type="dxa"/>
            <w:gridSpan w:val="3"/>
            <w:tcBorders>
              <w:top w:val="single" w:sz="8" w:space="0" w:color="auto"/>
              <w:left w:val="nil"/>
              <w:bottom w:val="single" w:sz="4" w:space="0" w:color="auto"/>
              <w:right w:val="nil"/>
            </w:tcBorders>
            <w:shd w:val="clear" w:color="auto" w:fill="auto"/>
            <w:noWrap/>
            <w:vAlign w:val="bottom"/>
            <w:hideMark/>
          </w:tcPr>
          <w:p w14:paraId="576268F3" w14:textId="77777777" w:rsidR="003C1769" w:rsidRDefault="003C1769">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Office Space (shared)</w:t>
            </w:r>
          </w:p>
        </w:tc>
        <w:tc>
          <w:tcPr>
            <w:tcW w:w="2708" w:type="dxa"/>
            <w:gridSpan w:val="3"/>
            <w:tcBorders>
              <w:top w:val="single" w:sz="8" w:space="0" w:color="auto"/>
              <w:left w:val="nil"/>
              <w:bottom w:val="single" w:sz="4" w:space="0" w:color="auto"/>
              <w:right w:val="nil"/>
            </w:tcBorders>
            <w:shd w:val="clear" w:color="auto" w:fill="auto"/>
            <w:noWrap/>
            <w:vAlign w:val="bottom"/>
            <w:hideMark/>
          </w:tcPr>
          <w:p w14:paraId="756110FC" w14:textId="77777777" w:rsidR="003C1769" w:rsidRDefault="003C1769">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Office space (solo)</w:t>
            </w:r>
          </w:p>
        </w:tc>
      </w:tr>
      <w:tr w:rsidR="003C1769" w14:paraId="746130F7" w14:textId="77777777" w:rsidTr="00136FCE">
        <w:trPr>
          <w:trHeight w:val="320"/>
        </w:trPr>
        <w:tc>
          <w:tcPr>
            <w:tcW w:w="1392" w:type="dxa"/>
            <w:vMerge/>
            <w:tcBorders>
              <w:top w:val="single" w:sz="8" w:space="0" w:color="auto"/>
              <w:left w:val="nil"/>
              <w:bottom w:val="single" w:sz="4" w:space="0" w:color="000000"/>
              <w:right w:val="nil"/>
            </w:tcBorders>
            <w:vAlign w:val="center"/>
            <w:hideMark/>
          </w:tcPr>
          <w:p w14:paraId="453C1966" w14:textId="77777777" w:rsidR="003C1769" w:rsidRDefault="003C1769">
            <w:pPr>
              <w:rPr>
                <w:rFonts w:ascii="Palatino Linotype" w:hAnsi="Palatino Linotype" w:cs="Calibri"/>
                <w:b/>
                <w:bCs/>
                <w:color w:val="000000"/>
                <w:sz w:val="20"/>
                <w:szCs w:val="20"/>
              </w:rPr>
            </w:pPr>
          </w:p>
        </w:tc>
        <w:tc>
          <w:tcPr>
            <w:tcW w:w="872" w:type="dxa"/>
            <w:tcBorders>
              <w:top w:val="nil"/>
              <w:left w:val="nil"/>
              <w:bottom w:val="single" w:sz="4" w:space="0" w:color="auto"/>
              <w:right w:val="nil"/>
            </w:tcBorders>
            <w:shd w:val="clear" w:color="auto" w:fill="auto"/>
            <w:noWrap/>
            <w:vAlign w:val="bottom"/>
            <w:hideMark/>
          </w:tcPr>
          <w:p w14:paraId="2DA7253D" w14:textId="77777777" w:rsidR="003C1769" w:rsidRDefault="003C1769">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Degree</w:t>
            </w:r>
          </w:p>
        </w:tc>
        <w:tc>
          <w:tcPr>
            <w:tcW w:w="1033" w:type="dxa"/>
            <w:tcBorders>
              <w:top w:val="nil"/>
              <w:left w:val="nil"/>
              <w:bottom w:val="single" w:sz="4" w:space="0" w:color="auto"/>
              <w:right w:val="nil"/>
            </w:tcBorders>
            <w:shd w:val="clear" w:color="auto" w:fill="auto"/>
            <w:noWrap/>
            <w:vAlign w:val="bottom"/>
            <w:hideMark/>
          </w:tcPr>
          <w:p w14:paraId="004C5E12" w14:textId="77777777" w:rsidR="003C1769" w:rsidRDefault="003C1769">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R-square</w:t>
            </w:r>
          </w:p>
        </w:tc>
        <w:tc>
          <w:tcPr>
            <w:tcW w:w="863" w:type="dxa"/>
            <w:tcBorders>
              <w:top w:val="nil"/>
              <w:left w:val="nil"/>
              <w:bottom w:val="single" w:sz="4" w:space="0" w:color="auto"/>
              <w:right w:val="nil"/>
            </w:tcBorders>
            <w:shd w:val="clear" w:color="auto" w:fill="auto"/>
            <w:noWrap/>
            <w:vAlign w:val="bottom"/>
            <w:hideMark/>
          </w:tcPr>
          <w:p w14:paraId="0CC181E7" w14:textId="52184464" w:rsidR="003C1769" w:rsidRPr="00136FCE" w:rsidRDefault="003C1769">
            <w:pPr>
              <w:jc w:val="center"/>
              <w:rPr>
                <w:rFonts w:ascii="Palatino Linotype" w:hAnsi="Palatino Linotype" w:cs="Calibri"/>
                <w:b/>
                <w:bCs/>
                <w:color w:val="000000"/>
                <w:sz w:val="20"/>
                <w:szCs w:val="20"/>
                <w:vertAlign w:val="superscript"/>
              </w:rPr>
            </w:pPr>
            <w:r>
              <w:rPr>
                <w:rFonts w:ascii="Palatino Linotype" w:hAnsi="Palatino Linotype" w:cs="Calibri"/>
                <w:b/>
                <w:bCs/>
                <w:color w:val="000000"/>
                <w:sz w:val="20"/>
                <w:szCs w:val="20"/>
              </w:rPr>
              <w:t>RMSE</w:t>
            </w:r>
          </w:p>
        </w:tc>
        <w:tc>
          <w:tcPr>
            <w:tcW w:w="872" w:type="dxa"/>
            <w:tcBorders>
              <w:top w:val="nil"/>
              <w:left w:val="nil"/>
              <w:bottom w:val="single" w:sz="4" w:space="0" w:color="auto"/>
              <w:right w:val="nil"/>
            </w:tcBorders>
            <w:shd w:val="clear" w:color="auto" w:fill="auto"/>
            <w:noWrap/>
            <w:vAlign w:val="bottom"/>
            <w:hideMark/>
          </w:tcPr>
          <w:p w14:paraId="76A13895" w14:textId="77777777" w:rsidR="003C1769" w:rsidRDefault="003C1769">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Degree</w:t>
            </w:r>
          </w:p>
        </w:tc>
        <w:tc>
          <w:tcPr>
            <w:tcW w:w="1033" w:type="dxa"/>
            <w:tcBorders>
              <w:top w:val="nil"/>
              <w:left w:val="nil"/>
              <w:bottom w:val="single" w:sz="4" w:space="0" w:color="auto"/>
              <w:right w:val="nil"/>
            </w:tcBorders>
            <w:shd w:val="clear" w:color="auto" w:fill="auto"/>
            <w:noWrap/>
            <w:vAlign w:val="bottom"/>
            <w:hideMark/>
          </w:tcPr>
          <w:p w14:paraId="2204A727" w14:textId="77777777" w:rsidR="003C1769" w:rsidRDefault="003C1769">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R-square</w:t>
            </w:r>
          </w:p>
        </w:tc>
        <w:tc>
          <w:tcPr>
            <w:tcW w:w="803" w:type="dxa"/>
            <w:tcBorders>
              <w:top w:val="nil"/>
              <w:left w:val="nil"/>
              <w:bottom w:val="single" w:sz="4" w:space="0" w:color="auto"/>
              <w:right w:val="nil"/>
            </w:tcBorders>
            <w:shd w:val="clear" w:color="auto" w:fill="auto"/>
            <w:noWrap/>
            <w:vAlign w:val="bottom"/>
            <w:hideMark/>
          </w:tcPr>
          <w:p w14:paraId="278D5777" w14:textId="77777777" w:rsidR="003C1769" w:rsidRDefault="003C1769">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RMSE</w:t>
            </w:r>
          </w:p>
        </w:tc>
      </w:tr>
      <w:tr w:rsidR="003C1769" w14:paraId="3D7F93A0" w14:textId="77777777" w:rsidTr="00136FCE">
        <w:trPr>
          <w:trHeight w:val="320"/>
        </w:trPr>
        <w:tc>
          <w:tcPr>
            <w:tcW w:w="1392" w:type="dxa"/>
            <w:tcBorders>
              <w:top w:val="nil"/>
              <w:left w:val="nil"/>
              <w:bottom w:val="nil"/>
              <w:right w:val="nil"/>
            </w:tcBorders>
            <w:shd w:val="clear" w:color="auto" w:fill="auto"/>
            <w:noWrap/>
            <w:vAlign w:val="bottom"/>
            <w:hideMark/>
          </w:tcPr>
          <w:p w14:paraId="4FA07189" w14:textId="77777777" w:rsidR="003C1769" w:rsidRDefault="003C1769">
            <w:pPr>
              <w:jc w:val="center"/>
              <w:rPr>
                <w:rFonts w:ascii="Palatino Linotype" w:hAnsi="Palatino Linotype" w:cs="Calibri"/>
                <w:color w:val="000000"/>
                <w:sz w:val="20"/>
                <w:szCs w:val="20"/>
              </w:rPr>
            </w:pPr>
            <w:r>
              <w:rPr>
                <w:rFonts w:ascii="Palatino Linotype" w:hAnsi="Palatino Linotype" w:cs="Calibri"/>
                <w:color w:val="000000"/>
                <w:sz w:val="20"/>
                <w:szCs w:val="20"/>
              </w:rPr>
              <w:t>P vs T</w:t>
            </w:r>
          </w:p>
        </w:tc>
        <w:tc>
          <w:tcPr>
            <w:tcW w:w="872" w:type="dxa"/>
            <w:tcBorders>
              <w:top w:val="nil"/>
              <w:left w:val="nil"/>
              <w:bottom w:val="nil"/>
              <w:right w:val="nil"/>
            </w:tcBorders>
            <w:shd w:val="clear" w:color="auto" w:fill="auto"/>
            <w:noWrap/>
            <w:vAlign w:val="bottom"/>
            <w:hideMark/>
          </w:tcPr>
          <w:p w14:paraId="59306DB5" w14:textId="77777777" w:rsidR="003C1769" w:rsidRDefault="003C1769">
            <w:pPr>
              <w:jc w:val="center"/>
              <w:rPr>
                <w:rFonts w:ascii="Palatino Linotype" w:hAnsi="Palatino Linotype" w:cs="Calibri"/>
                <w:color w:val="000000"/>
                <w:sz w:val="20"/>
                <w:szCs w:val="20"/>
              </w:rPr>
            </w:pPr>
            <w:r>
              <w:rPr>
                <w:rFonts w:ascii="Palatino Linotype" w:hAnsi="Palatino Linotype" w:cs="Calibri"/>
                <w:color w:val="000000"/>
                <w:sz w:val="20"/>
                <w:szCs w:val="20"/>
              </w:rPr>
              <w:t>2</w:t>
            </w:r>
          </w:p>
        </w:tc>
        <w:tc>
          <w:tcPr>
            <w:tcW w:w="1033" w:type="dxa"/>
            <w:tcBorders>
              <w:top w:val="nil"/>
              <w:left w:val="nil"/>
              <w:bottom w:val="nil"/>
              <w:right w:val="nil"/>
            </w:tcBorders>
            <w:shd w:val="clear" w:color="auto" w:fill="auto"/>
            <w:noWrap/>
            <w:vAlign w:val="bottom"/>
            <w:hideMark/>
          </w:tcPr>
          <w:p w14:paraId="31EDA9E6" w14:textId="77777777" w:rsidR="003C1769" w:rsidRDefault="003C1769">
            <w:pPr>
              <w:jc w:val="center"/>
              <w:rPr>
                <w:rFonts w:ascii="Palatino Linotype" w:hAnsi="Palatino Linotype" w:cs="Calibri"/>
                <w:color w:val="000000"/>
                <w:sz w:val="20"/>
                <w:szCs w:val="20"/>
              </w:rPr>
            </w:pPr>
            <w:r>
              <w:rPr>
                <w:rFonts w:ascii="Palatino Linotype" w:hAnsi="Palatino Linotype" w:cs="Calibri"/>
                <w:color w:val="000000"/>
                <w:sz w:val="20"/>
                <w:szCs w:val="20"/>
              </w:rPr>
              <w:t>0.9911</w:t>
            </w:r>
          </w:p>
        </w:tc>
        <w:tc>
          <w:tcPr>
            <w:tcW w:w="863" w:type="dxa"/>
            <w:tcBorders>
              <w:top w:val="nil"/>
              <w:left w:val="nil"/>
              <w:bottom w:val="nil"/>
              <w:right w:val="nil"/>
            </w:tcBorders>
            <w:shd w:val="clear" w:color="auto" w:fill="auto"/>
            <w:noWrap/>
            <w:vAlign w:val="bottom"/>
            <w:hideMark/>
          </w:tcPr>
          <w:p w14:paraId="059B9AAD" w14:textId="77777777" w:rsidR="003C1769" w:rsidRDefault="003C1769">
            <w:pPr>
              <w:jc w:val="center"/>
              <w:rPr>
                <w:rFonts w:ascii="Palatino Linotype" w:hAnsi="Palatino Linotype" w:cs="Calibri"/>
                <w:color w:val="000000"/>
                <w:sz w:val="20"/>
                <w:szCs w:val="20"/>
              </w:rPr>
            </w:pPr>
            <w:r>
              <w:rPr>
                <w:rFonts w:ascii="Palatino Linotype" w:hAnsi="Palatino Linotype" w:cs="Calibri"/>
                <w:color w:val="000000"/>
                <w:sz w:val="20"/>
                <w:szCs w:val="20"/>
              </w:rPr>
              <w:t>0.004</w:t>
            </w:r>
          </w:p>
        </w:tc>
        <w:tc>
          <w:tcPr>
            <w:tcW w:w="872" w:type="dxa"/>
            <w:tcBorders>
              <w:top w:val="nil"/>
              <w:left w:val="nil"/>
              <w:bottom w:val="nil"/>
              <w:right w:val="nil"/>
            </w:tcBorders>
            <w:shd w:val="clear" w:color="auto" w:fill="auto"/>
            <w:noWrap/>
            <w:vAlign w:val="bottom"/>
            <w:hideMark/>
          </w:tcPr>
          <w:p w14:paraId="3D898237" w14:textId="11A13D51" w:rsidR="003C1769" w:rsidRDefault="00280302">
            <w:pPr>
              <w:jc w:val="center"/>
              <w:rPr>
                <w:rFonts w:ascii="Palatino Linotype" w:hAnsi="Palatino Linotype" w:cs="Calibri"/>
                <w:color w:val="000000"/>
                <w:sz w:val="20"/>
                <w:szCs w:val="20"/>
              </w:rPr>
            </w:pPr>
            <w:r>
              <w:rPr>
                <w:rFonts w:ascii="Palatino Linotype" w:hAnsi="Palatino Linotype" w:cs="Calibri"/>
                <w:color w:val="000000"/>
                <w:sz w:val="20"/>
                <w:szCs w:val="20"/>
              </w:rPr>
              <w:t>2</w:t>
            </w:r>
          </w:p>
        </w:tc>
        <w:tc>
          <w:tcPr>
            <w:tcW w:w="1033" w:type="dxa"/>
            <w:tcBorders>
              <w:top w:val="nil"/>
              <w:left w:val="nil"/>
              <w:bottom w:val="nil"/>
              <w:right w:val="nil"/>
            </w:tcBorders>
            <w:shd w:val="clear" w:color="auto" w:fill="auto"/>
            <w:noWrap/>
            <w:vAlign w:val="bottom"/>
            <w:hideMark/>
          </w:tcPr>
          <w:p w14:paraId="5F5547A1" w14:textId="43A2BE7C" w:rsidR="003C1769" w:rsidRDefault="003C1769">
            <w:pPr>
              <w:jc w:val="center"/>
              <w:rPr>
                <w:rFonts w:ascii="Palatino Linotype" w:hAnsi="Palatino Linotype" w:cs="Calibri"/>
                <w:color w:val="000000"/>
                <w:sz w:val="20"/>
                <w:szCs w:val="20"/>
              </w:rPr>
            </w:pPr>
            <w:r>
              <w:rPr>
                <w:rFonts w:ascii="Palatino Linotype" w:hAnsi="Palatino Linotype" w:cs="Calibri"/>
                <w:color w:val="000000"/>
                <w:sz w:val="20"/>
                <w:szCs w:val="20"/>
              </w:rPr>
              <w:t>0.99</w:t>
            </w:r>
            <w:r w:rsidR="00280302">
              <w:rPr>
                <w:rFonts w:ascii="Palatino Linotype" w:hAnsi="Palatino Linotype" w:cs="Calibri"/>
                <w:color w:val="000000"/>
                <w:sz w:val="20"/>
                <w:szCs w:val="20"/>
              </w:rPr>
              <w:t>04</w:t>
            </w:r>
          </w:p>
        </w:tc>
        <w:tc>
          <w:tcPr>
            <w:tcW w:w="803" w:type="dxa"/>
            <w:tcBorders>
              <w:top w:val="nil"/>
              <w:left w:val="nil"/>
              <w:bottom w:val="nil"/>
              <w:right w:val="nil"/>
            </w:tcBorders>
            <w:shd w:val="clear" w:color="auto" w:fill="auto"/>
            <w:noWrap/>
            <w:vAlign w:val="bottom"/>
            <w:hideMark/>
          </w:tcPr>
          <w:p w14:paraId="65A9C88C" w14:textId="2E42EE2F" w:rsidR="003C1769" w:rsidRDefault="003C1769">
            <w:pPr>
              <w:jc w:val="center"/>
              <w:rPr>
                <w:rFonts w:ascii="Palatino Linotype" w:hAnsi="Palatino Linotype" w:cs="Calibri"/>
                <w:color w:val="000000"/>
                <w:sz w:val="20"/>
                <w:szCs w:val="20"/>
              </w:rPr>
            </w:pPr>
            <w:r>
              <w:rPr>
                <w:rFonts w:ascii="Palatino Linotype" w:hAnsi="Palatino Linotype" w:cs="Calibri"/>
                <w:color w:val="000000"/>
                <w:sz w:val="20"/>
                <w:szCs w:val="20"/>
              </w:rPr>
              <w:t>0.00</w:t>
            </w:r>
            <w:r w:rsidR="00280302">
              <w:rPr>
                <w:rFonts w:ascii="Palatino Linotype" w:hAnsi="Palatino Linotype" w:cs="Calibri"/>
                <w:color w:val="000000"/>
                <w:sz w:val="20"/>
                <w:szCs w:val="20"/>
              </w:rPr>
              <w:t>42</w:t>
            </w:r>
          </w:p>
        </w:tc>
      </w:tr>
      <w:tr w:rsidR="003C1769" w14:paraId="52B4E722" w14:textId="77777777" w:rsidTr="00136FCE">
        <w:trPr>
          <w:trHeight w:val="320"/>
        </w:trPr>
        <w:tc>
          <w:tcPr>
            <w:tcW w:w="1392" w:type="dxa"/>
            <w:tcBorders>
              <w:top w:val="nil"/>
              <w:left w:val="nil"/>
              <w:bottom w:val="nil"/>
              <w:right w:val="nil"/>
            </w:tcBorders>
            <w:shd w:val="clear" w:color="auto" w:fill="auto"/>
            <w:noWrap/>
            <w:vAlign w:val="bottom"/>
            <w:hideMark/>
          </w:tcPr>
          <w:p w14:paraId="624F4920" w14:textId="51F313FB" w:rsidR="003C1769" w:rsidRDefault="003C1769">
            <w:pPr>
              <w:jc w:val="center"/>
              <w:rPr>
                <w:rFonts w:ascii="Palatino Linotype" w:hAnsi="Palatino Linotype" w:cs="Calibri"/>
                <w:color w:val="000000"/>
                <w:sz w:val="20"/>
                <w:szCs w:val="20"/>
              </w:rPr>
            </w:pPr>
            <w:r>
              <w:rPr>
                <w:rFonts w:ascii="Palatino Linotype" w:hAnsi="Palatino Linotype" w:cs="Calibri"/>
                <w:color w:val="000000"/>
                <w:sz w:val="20"/>
                <w:szCs w:val="20"/>
              </w:rPr>
              <w:t>P vs H</w:t>
            </w:r>
          </w:p>
        </w:tc>
        <w:tc>
          <w:tcPr>
            <w:tcW w:w="872" w:type="dxa"/>
            <w:tcBorders>
              <w:top w:val="nil"/>
              <w:left w:val="nil"/>
              <w:bottom w:val="nil"/>
              <w:right w:val="nil"/>
            </w:tcBorders>
            <w:shd w:val="clear" w:color="auto" w:fill="auto"/>
            <w:noWrap/>
            <w:vAlign w:val="bottom"/>
            <w:hideMark/>
          </w:tcPr>
          <w:p w14:paraId="16B52EF6" w14:textId="77777777" w:rsidR="003C1769" w:rsidRDefault="003C1769">
            <w:pPr>
              <w:jc w:val="center"/>
              <w:rPr>
                <w:rFonts w:ascii="Palatino Linotype" w:hAnsi="Palatino Linotype" w:cs="Calibri"/>
                <w:color w:val="000000"/>
                <w:sz w:val="20"/>
                <w:szCs w:val="20"/>
              </w:rPr>
            </w:pPr>
            <w:r>
              <w:rPr>
                <w:rFonts w:ascii="Palatino Linotype" w:hAnsi="Palatino Linotype" w:cs="Calibri"/>
                <w:color w:val="000000"/>
                <w:sz w:val="20"/>
                <w:szCs w:val="20"/>
              </w:rPr>
              <w:t>3</w:t>
            </w:r>
          </w:p>
        </w:tc>
        <w:tc>
          <w:tcPr>
            <w:tcW w:w="1033" w:type="dxa"/>
            <w:tcBorders>
              <w:top w:val="nil"/>
              <w:left w:val="nil"/>
              <w:bottom w:val="nil"/>
              <w:right w:val="nil"/>
            </w:tcBorders>
            <w:shd w:val="clear" w:color="auto" w:fill="auto"/>
            <w:noWrap/>
            <w:vAlign w:val="bottom"/>
            <w:hideMark/>
          </w:tcPr>
          <w:p w14:paraId="3FD76125" w14:textId="77777777" w:rsidR="003C1769" w:rsidRDefault="003C1769">
            <w:pPr>
              <w:jc w:val="center"/>
              <w:rPr>
                <w:rFonts w:ascii="Palatino Linotype" w:hAnsi="Palatino Linotype" w:cs="Calibri"/>
                <w:color w:val="000000"/>
                <w:sz w:val="20"/>
                <w:szCs w:val="20"/>
              </w:rPr>
            </w:pPr>
            <w:r>
              <w:rPr>
                <w:rFonts w:ascii="Palatino Linotype" w:hAnsi="Palatino Linotype" w:cs="Calibri"/>
                <w:color w:val="000000"/>
                <w:sz w:val="20"/>
                <w:szCs w:val="20"/>
              </w:rPr>
              <w:t>0.9920</w:t>
            </w:r>
          </w:p>
        </w:tc>
        <w:tc>
          <w:tcPr>
            <w:tcW w:w="863" w:type="dxa"/>
            <w:tcBorders>
              <w:top w:val="nil"/>
              <w:left w:val="nil"/>
              <w:bottom w:val="nil"/>
              <w:right w:val="nil"/>
            </w:tcBorders>
            <w:shd w:val="clear" w:color="auto" w:fill="auto"/>
            <w:noWrap/>
            <w:vAlign w:val="bottom"/>
            <w:hideMark/>
          </w:tcPr>
          <w:p w14:paraId="44B690BF" w14:textId="77777777" w:rsidR="003C1769" w:rsidRDefault="003C1769">
            <w:pPr>
              <w:jc w:val="center"/>
              <w:rPr>
                <w:rFonts w:ascii="Palatino Linotype" w:hAnsi="Palatino Linotype" w:cs="Calibri"/>
                <w:color w:val="000000"/>
                <w:sz w:val="20"/>
                <w:szCs w:val="20"/>
              </w:rPr>
            </w:pPr>
            <w:r>
              <w:rPr>
                <w:rFonts w:ascii="Palatino Linotype" w:hAnsi="Palatino Linotype" w:cs="Calibri"/>
                <w:color w:val="000000"/>
                <w:sz w:val="20"/>
                <w:szCs w:val="20"/>
              </w:rPr>
              <w:t>0.0038</w:t>
            </w:r>
          </w:p>
        </w:tc>
        <w:tc>
          <w:tcPr>
            <w:tcW w:w="872" w:type="dxa"/>
            <w:tcBorders>
              <w:top w:val="nil"/>
              <w:left w:val="nil"/>
              <w:bottom w:val="nil"/>
              <w:right w:val="nil"/>
            </w:tcBorders>
            <w:shd w:val="clear" w:color="auto" w:fill="auto"/>
            <w:noWrap/>
            <w:vAlign w:val="bottom"/>
            <w:hideMark/>
          </w:tcPr>
          <w:p w14:paraId="2ADBD418" w14:textId="77777777" w:rsidR="003C1769" w:rsidRDefault="003C1769">
            <w:pPr>
              <w:jc w:val="center"/>
              <w:rPr>
                <w:rFonts w:ascii="Palatino Linotype" w:hAnsi="Palatino Linotype" w:cs="Calibri"/>
                <w:color w:val="000000"/>
                <w:sz w:val="20"/>
                <w:szCs w:val="20"/>
              </w:rPr>
            </w:pPr>
            <w:r>
              <w:rPr>
                <w:rFonts w:ascii="Palatino Linotype" w:hAnsi="Palatino Linotype" w:cs="Calibri"/>
                <w:color w:val="000000"/>
                <w:sz w:val="20"/>
                <w:szCs w:val="20"/>
              </w:rPr>
              <w:t>3</w:t>
            </w:r>
          </w:p>
        </w:tc>
        <w:tc>
          <w:tcPr>
            <w:tcW w:w="1033" w:type="dxa"/>
            <w:tcBorders>
              <w:top w:val="nil"/>
              <w:left w:val="nil"/>
              <w:bottom w:val="nil"/>
              <w:right w:val="nil"/>
            </w:tcBorders>
            <w:shd w:val="clear" w:color="auto" w:fill="auto"/>
            <w:noWrap/>
            <w:vAlign w:val="bottom"/>
            <w:hideMark/>
          </w:tcPr>
          <w:p w14:paraId="4E6454FD" w14:textId="77777777" w:rsidR="003C1769" w:rsidRDefault="003C1769">
            <w:pPr>
              <w:jc w:val="center"/>
              <w:rPr>
                <w:rFonts w:ascii="Palatino Linotype" w:hAnsi="Palatino Linotype" w:cs="Calibri"/>
                <w:color w:val="000000"/>
                <w:sz w:val="20"/>
                <w:szCs w:val="20"/>
              </w:rPr>
            </w:pPr>
            <w:r>
              <w:rPr>
                <w:rFonts w:ascii="Palatino Linotype" w:hAnsi="Palatino Linotype" w:cs="Calibri"/>
                <w:color w:val="000000"/>
                <w:sz w:val="20"/>
                <w:szCs w:val="20"/>
              </w:rPr>
              <w:t>0.9899</w:t>
            </w:r>
          </w:p>
        </w:tc>
        <w:tc>
          <w:tcPr>
            <w:tcW w:w="803" w:type="dxa"/>
            <w:tcBorders>
              <w:top w:val="nil"/>
              <w:left w:val="nil"/>
              <w:bottom w:val="nil"/>
              <w:right w:val="nil"/>
            </w:tcBorders>
            <w:shd w:val="clear" w:color="auto" w:fill="auto"/>
            <w:noWrap/>
            <w:vAlign w:val="bottom"/>
            <w:hideMark/>
          </w:tcPr>
          <w:p w14:paraId="7A1D578E" w14:textId="77777777" w:rsidR="003C1769" w:rsidRDefault="003C1769">
            <w:pPr>
              <w:jc w:val="center"/>
              <w:rPr>
                <w:rFonts w:ascii="Palatino Linotype" w:hAnsi="Palatino Linotype" w:cs="Calibri"/>
                <w:color w:val="000000"/>
                <w:sz w:val="20"/>
                <w:szCs w:val="20"/>
              </w:rPr>
            </w:pPr>
            <w:r>
              <w:rPr>
                <w:rFonts w:ascii="Palatino Linotype" w:hAnsi="Palatino Linotype" w:cs="Calibri"/>
                <w:color w:val="000000"/>
                <w:sz w:val="20"/>
                <w:szCs w:val="20"/>
              </w:rPr>
              <w:t>0.0043</w:t>
            </w:r>
          </w:p>
        </w:tc>
      </w:tr>
      <w:tr w:rsidR="00E84C2B" w14:paraId="259E4A1E" w14:textId="77777777" w:rsidTr="00136FCE">
        <w:trPr>
          <w:trHeight w:val="340"/>
        </w:trPr>
        <w:tc>
          <w:tcPr>
            <w:tcW w:w="1392" w:type="dxa"/>
            <w:tcBorders>
              <w:top w:val="nil"/>
              <w:left w:val="nil"/>
              <w:bottom w:val="single" w:sz="8" w:space="0" w:color="auto"/>
              <w:right w:val="nil"/>
            </w:tcBorders>
            <w:shd w:val="clear" w:color="auto" w:fill="auto"/>
            <w:noWrap/>
            <w:vAlign w:val="bottom"/>
            <w:hideMark/>
          </w:tcPr>
          <w:p w14:paraId="0113E9A2" w14:textId="515CCEB7" w:rsidR="00E84C2B" w:rsidRDefault="00E84C2B" w:rsidP="00E84C2B">
            <w:pPr>
              <w:jc w:val="center"/>
              <w:rPr>
                <w:rFonts w:ascii="Palatino Linotype" w:hAnsi="Palatino Linotype" w:cs="Calibri"/>
                <w:color w:val="000000"/>
                <w:sz w:val="20"/>
                <w:szCs w:val="20"/>
              </w:rPr>
            </w:pPr>
            <w:r>
              <w:rPr>
                <w:rFonts w:ascii="Palatino Linotype" w:hAnsi="Palatino Linotype" w:cs="Calibri"/>
                <w:color w:val="000000"/>
                <w:sz w:val="20"/>
                <w:szCs w:val="20"/>
              </w:rPr>
              <w:t xml:space="preserve">P vs </w:t>
            </w:r>
            <w:r w:rsidR="009C47F2">
              <w:rPr>
                <w:rFonts w:ascii="Palatino Linotype" w:hAnsi="Palatino Linotype" w:cs="Calibri"/>
                <w:color w:val="000000"/>
                <w:sz w:val="20"/>
                <w:szCs w:val="20"/>
              </w:rPr>
              <w:t>G</w:t>
            </w:r>
          </w:p>
        </w:tc>
        <w:tc>
          <w:tcPr>
            <w:tcW w:w="872" w:type="dxa"/>
            <w:tcBorders>
              <w:top w:val="nil"/>
              <w:left w:val="nil"/>
              <w:bottom w:val="single" w:sz="8" w:space="0" w:color="auto"/>
              <w:right w:val="nil"/>
            </w:tcBorders>
            <w:shd w:val="clear" w:color="auto" w:fill="auto"/>
            <w:noWrap/>
            <w:vAlign w:val="bottom"/>
            <w:hideMark/>
          </w:tcPr>
          <w:p w14:paraId="73F69D00" w14:textId="6D8EC8B4" w:rsidR="00E84C2B" w:rsidRDefault="00E84C2B" w:rsidP="00E84C2B">
            <w:pPr>
              <w:jc w:val="center"/>
              <w:rPr>
                <w:rFonts w:ascii="Palatino Linotype" w:hAnsi="Palatino Linotype" w:cs="Calibri"/>
                <w:color w:val="000000"/>
                <w:sz w:val="20"/>
                <w:szCs w:val="20"/>
              </w:rPr>
            </w:pPr>
            <w:r>
              <w:rPr>
                <w:rFonts w:ascii="Palatino Linotype" w:hAnsi="Palatino Linotype" w:cs="Calibri"/>
                <w:color w:val="000000"/>
                <w:sz w:val="20"/>
                <w:szCs w:val="20"/>
              </w:rPr>
              <w:t>1</w:t>
            </w:r>
          </w:p>
        </w:tc>
        <w:tc>
          <w:tcPr>
            <w:tcW w:w="1033" w:type="dxa"/>
            <w:tcBorders>
              <w:top w:val="nil"/>
              <w:left w:val="nil"/>
              <w:bottom w:val="single" w:sz="8" w:space="0" w:color="auto"/>
              <w:right w:val="nil"/>
            </w:tcBorders>
            <w:shd w:val="clear" w:color="auto" w:fill="auto"/>
            <w:noWrap/>
            <w:vAlign w:val="bottom"/>
            <w:hideMark/>
          </w:tcPr>
          <w:p w14:paraId="56F20F32" w14:textId="09AACC49" w:rsidR="00E84C2B" w:rsidRDefault="00E84C2B" w:rsidP="00E84C2B">
            <w:pPr>
              <w:jc w:val="center"/>
              <w:rPr>
                <w:rFonts w:ascii="Palatino Linotype" w:hAnsi="Palatino Linotype" w:cs="Calibri"/>
                <w:color w:val="000000"/>
                <w:sz w:val="20"/>
                <w:szCs w:val="20"/>
              </w:rPr>
            </w:pPr>
            <w:r>
              <w:rPr>
                <w:rFonts w:ascii="Palatino Linotype" w:hAnsi="Palatino Linotype" w:cs="Calibri"/>
                <w:color w:val="000000"/>
                <w:sz w:val="20"/>
                <w:szCs w:val="20"/>
              </w:rPr>
              <w:t>0.9957</w:t>
            </w:r>
          </w:p>
        </w:tc>
        <w:tc>
          <w:tcPr>
            <w:tcW w:w="863" w:type="dxa"/>
            <w:tcBorders>
              <w:top w:val="nil"/>
              <w:left w:val="nil"/>
              <w:bottom w:val="single" w:sz="8" w:space="0" w:color="auto"/>
              <w:right w:val="nil"/>
            </w:tcBorders>
            <w:shd w:val="clear" w:color="auto" w:fill="auto"/>
            <w:noWrap/>
            <w:vAlign w:val="bottom"/>
            <w:hideMark/>
          </w:tcPr>
          <w:p w14:paraId="1F3DE2AF" w14:textId="5A57F84C" w:rsidR="00E84C2B" w:rsidRDefault="00E84C2B" w:rsidP="00E84C2B">
            <w:pPr>
              <w:jc w:val="center"/>
              <w:rPr>
                <w:rFonts w:ascii="Palatino Linotype" w:hAnsi="Palatino Linotype" w:cs="Calibri"/>
                <w:color w:val="000000"/>
                <w:sz w:val="20"/>
                <w:szCs w:val="20"/>
              </w:rPr>
            </w:pPr>
            <w:r>
              <w:rPr>
                <w:rFonts w:ascii="Palatino Linotype" w:hAnsi="Palatino Linotype" w:cs="Calibri"/>
                <w:color w:val="000000"/>
                <w:sz w:val="20"/>
                <w:szCs w:val="20"/>
              </w:rPr>
              <w:t>0.0027</w:t>
            </w:r>
          </w:p>
        </w:tc>
        <w:tc>
          <w:tcPr>
            <w:tcW w:w="872" w:type="dxa"/>
            <w:tcBorders>
              <w:top w:val="nil"/>
              <w:left w:val="nil"/>
              <w:bottom w:val="single" w:sz="8" w:space="0" w:color="auto"/>
              <w:right w:val="nil"/>
            </w:tcBorders>
            <w:shd w:val="clear" w:color="auto" w:fill="auto"/>
            <w:noWrap/>
            <w:vAlign w:val="bottom"/>
            <w:hideMark/>
          </w:tcPr>
          <w:p w14:paraId="242E0E2C" w14:textId="76492141" w:rsidR="00E84C2B" w:rsidRDefault="00E84C2B" w:rsidP="00E84C2B">
            <w:pPr>
              <w:jc w:val="center"/>
              <w:rPr>
                <w:rFonts w:ascii="Palatino Linotype" w:hAnsi="Palatino Linotype" w:cs="Calibri"/>
                <w:color w:val="000000"/>
                <w:sz w:val="20"/>
                <w:szCs w:val="20"/>
              </w:rPr>
            </w:pPr>
            <w:r>
              <w:rPr>
                <w:rFonts w:ascii="Palatino Linotype" w:hAnsi="Palatino Linotype" w:cs="Calibri"/>
                <w:color w:val="000000"/>
                <w:sz w:val="20"/>
                <w:szCs w:val="20"/>
              </w:rPr>
              <w:t>1</w:t>
            </w:r>
          </w:p>
        </w:tc>
        <w:tc>
          <w:tcPr>
            <w:tcW w:w="1033" w:type="dxa"/>
            <w:tcBorders>
              <w:top w:val="nil"/>
              <w:left w:val="nil"/>
              <w:bottom w:val="single" w:sz="8" w:space="0" w:color="auto"/>
              <w:right w:val="nil"/>
            </w:tcBorders>
            <w:shd w:val="clear" w:color="auto" w:fill="auto"/>
            <w:noWrap/>
            <w:vAlign w:val="bottom"/>
            <w:hideMark/>
          </w:tcPr>
          <w:p w14:paraId="15E2631D" w14:textId="4E72B39A" w:rsidR="00E84C2B" w:rsidRDefault="00E84C2B" w:rsidP="00E84C2B">
            <w:pPr>
              <w:jc w:val="center"/>
              <w:rPr>
                <w:rFonts w:ascii="Palatino Linotype" w:hAnsi="Palatino Linotype" w:cs="Calibri"/>
                <w:color w:val="000000"/>
                <w:sz w:val="20"/>
                <w:szCs w:val="20"/>
              </w:rPr>
            </w:pPr>
            <w:r>
              <w:rPr>
                <w:rFonts w:ascii="Palatino Linotype" w:hAnsi="Palatino Linotype" w:cs="Calibri"/>
                <w:color w:val="000000"/>
                <w:sz w:val="20"/>
                <w:szCs w:val="20"/>
              </w:rPr>
              <w:t>0.9944</w:t>
            </w:r>
          </w:p>
        </w:tc>
        <w:tc>
          <w:tcPr>
            <w:tcW w:w="803" w:type="dxa"/>
            <w:tcBorders>
              <w:top w:val="nil"/>
              <w:left w:val="nil"/>
              <w:bottom w:val="single" w:sz="8" w:space="0" w:color="auto"/>
              <w:right w:val="nil"/>
            </w:tcBorders>
            <w:shd w:val="clear" w:color="auto" w:fill="auto"/>
            <w:noWrap/>
            <w:vAlign w:val="bottom"/>
            <w:hideMark/>
          </w:tcPr>
          <w:p w14:paraId="2900FAB2" w14:textId="223676B1" w:rsidR="00E84C2B" w:rsidRDefault="00E84C2B" w:rsidP="00E84C2B">
            <w:pPr>
              <w:jc w:val="center"/>
              <w:rPr>
                <w:rFonts w:ascii="Palatino Linotype" w:hAnsi="Palatino Linotype" w:cs="Calibri"/>
                <w:color w:val="000000"/>
                <w:sz w:val="20"/>
                <w:szCs w:val="20"/>
              </w:rPr>
            </w:pPr>
            <w:r>
              <w:rPr>
                <w:rFonts w:ascii="Palatino Linotype" w:hAnsi="Palatino Linotype" w:cs="Calibri"/>
                <w:color w:val="000000"/>
                <w:sz w:val="20"/>
                <w:szCs w:val="20"/>
              </w:rPr>
              <w:t>0.004</w:t>
            </w:r>
          </w:p>
        </w:tc>
      </w:tr>
    </w:tbl>
    <w:p w14:paraId="0CBEAB30" w14:textId="03384251" w:rsidR="00DD4F5D" w:rsidRPr="004A20A1" w:rsidRDefault="00DD4F5D" w:rsidP="00DC3671">
      <w:pPr>
        <w:pStyle w:val="MDPI22heading2"/>
        <w:spacing w:before="240"/>
        <w:rPr>
          <w:color w:val="000000" w:themeColor="text1"/>
        </w:rPr>
      </w:pPr>
      <w:r w:rsidRPr="004A20A1">
        <w:rPr>
          <w:color w:val="000000" w:themeColor="text1"/>
        </w:rPr>
        <w:t>3.</w:t>
      </w:r>
      <w:r w:rsidR="006E589B">
        <w:rPr>
          <w:color w:val="000000" w:themeColor="text1"/>
        </w:rPr>
        <w:t>2</w:t>
      </w:r>
      <w:r w:rsidRPr="004A20A1">
        <w:rPr>
          <w:color w:val="000000" w:themeColor="text1"/>
        </w:rPr>
        <w:t xml:space="preserve">. </w:t>
      </w:r>
      <w:r w:rsidR="00735EDF" w:rsidRPr="004A20A1">
        <w:rPr>
          <w:color w:val="000000" w:themeColor="text1"/>
        </w:rPr>
        <w:t xml:space="preserve">Neural </w:t>
      </w:r>
      <w:r w:rsidR="008803CF">
        <w:rPr>
          <w:color w:val="000000" w:themeColor="text1"/>
        </w:rPr>
        <w:t xml:space="preserve">Network </w:t>
      </w:r>
      <w:r w:rsidR="00735EDF" w:rsidRPr="004A20A1">
        <w:rPr>
          <w:color w:val="000000" w:themeColor="text1"/>
        </w:rPr>
        <w:t>Fitting</w:t>
      </w:r>
    </w:p>
    <w:p w14:paraId="50AC5FD0" w14:textId="0A3AC9BC" w:rsidR="001F3FFE" w:rsidRDefault="00310C94" w:rsidP="00E94E09">
      <w:pPr>
        <w:pStyle w:val="MDPI31text"/>
        <w:rPr>
          <w:color w:val="000000" w:themeColor="text1"/>
        </w:rPr>
      </w:pPr>
      <w:r w:rsidRPr="00310C94">
        <w:rPr>
          <w:color w:val="000000" w:themeColor="text1"/>
        </w:rPr>
        <w:t>The objective of training a neural network on a dataset is to accurately capture the underlying correlation between the</w:t>
      </w:r>
      <w:r w:rsidR="009C47F2">
        <w:rPr>
          <w:color w:val="000000" w:themeColor="text1"/>
        </w:rPr>
        <w:t xml:space="preserve"> </w:t>
      </w:r>
      <w:r w:rsidR="009C47F2" w:rsidRPr="00310C94">
        <w:rPr>
          <w:color w:val="000000" w:themeColor="text1"/>
        </w:rPr>
        <w:t>time series</w:t>
      </w:r>
      <w:r w:rsidRPr="00310C94">
        <w:rPr>
          <w:color w:val="000000" w:themeColor="text1"/>
        </w:rPr>
        <w:t xml:space="preserve"> input and </w:t>
      </w:r>
      <w:r w:rsidR="009C47F2" w:rsidRPr="00310C94">
        <w:rPr>
          <w:color w:val="000000" w:themeColor="text1"/>
        </w:rPr>
        <w:t xml:space="preserve">continuous-valued </w:t>
      </w:r>
      <w:r w:rsidRPr="00310C94">
        <w:rPr>
          <w:color w:val="000000" w:themeColor="text1"/>
        </w:rPr>
        <w:t xml:space="preserve">output variables. The training method for evaluating the neural fit </w:t>
      </w:r>
      <w:r w:rsidR="00E12096">
        <w:rPr>
          <w:color w:val="000000" w:themeColor="text1"/>
        </w:rPr>
        <w:t xml:space="preserve">using ten (10) layers </w:t>
      </w:r>
      <w:r w:rsidRPr="00310C94">
        <w:rPr>
          <w:color w:val="000000" w:themeColor="text1"/>
        </w:rPr>
        <w:t>yielded a moderate linear correlation, as evidenced by six (6) validation checks, between the anticipated power</w:t>
      </w:r>
      <w:r w:rsidR="00E12096">
        <w:rPr>
          <w:color w:val="000000" w:themeColor="text1"/>
        </w:rPr>
        <w:t xml:space="preserve"> (P)</w:t>
      </w:r>
      <w:r w:rsidRPr="00310C94">
        <w:rPr>
          <w:color w:val="000000" w:themeColor="text1"/>
        </w:rPr>
        <w:t xml:space="preserve"> and the actual dry bulb temperature </w:t>
      </w:r>
      <w:r w:rsidR="00E12096">
        <w:rPr>
          <w:color w:val="000000" w:themeColor="text1"/>
        </w:rPr>
        <w:t xml:space="preserve">(T) </w:t>
      </w:r>
      <w:r w:rsidRPr="00310C94">
        <w:rPr>
          <w:color w:val="000000" w:themeColor="text1"/>
        </w:rPr>
        <w:t>in classrooms and laboratory rooms.</w:t>
      </w:r>
      <w:r w:rsidR="009C47F2" w:rsidRPr="009C47F2">
        <w:rPr>
          <w:color w:val="000000" w:themeColor="text1"/>
        </w:rPr>
        <w:t xml:space="preserve"> </w:t>
      </w:r>
      <w:r w:rsidR="009C47F2" w:rsidRPr="00310C94">
        <w:rPr>
          <w:color w:val="000000" w:themeColor="text1"/>
        </w:rPr>
        <w:t>There is a higher correlation coefficient that indicates a strong linear association between these metrics in computer rooms and office areas.</w:t>
      </w:r>
      <w:r w:rsidR="009C47F2">
        <w:rPr>
          <w:color w:val="000000" w:themeColor="text1"/>
        </w:rPr>
        <w:t xml:space="preserve"> </w:t>
      </w:r>
      <w:r w:rsidR="00E12096" w:rsidRPr="00310C94">
        <w:rPr>
          <w:color w:val="000000" w:themeColor="text1"/>
        </w:rPr>
        <w:t>The model performance improved when power consumption was adjusted for indoor relative humidity</w:t>
      </w:r>
      <w:r w:rsidR="00E12096">
        <w:rPr>
          <w:color w:val="000000" w:themeColor="text1"/>
        </w:rPr>
        <w:t xml:space="preserve"> (H)</w:t>
      </w:r>
      <w:r w:rsidR="00E12096" w:rsidRPr="00310C94">
        <w:rPr>
          <w:color w:val="000000" w:themeColor="text1"/>
        </w:rPr>
        <w:t xml:space="preserve"> after a minimum of ten (10) iterations and six (6) validation checks. </w:t>
      </w:r>
      <w:r w:rsidR="00E12096">
        <w:rPr>
          <w:color w:val="000000" w:themeColor="text1"/>
        </w:rPr>
        <w:t>T</w:t>
      </w:r>
      <w:r w:rsidR="00E12096" w:rsidRPr="00310C94">
        <w:rPr>
          <w:color w:val="000000" w:themeColor="text1"/>
        </w:rPr>
        <w:t>he correlation coefficients experienced an increase, reaching a minimum value of 0.5426 on the training set and 0.5395 on the testing set.</w:t>
      </w:r>
      <w:r w:rsidR="00E12096">
        <w:rPr>
          <w:color w:val="000000" w:themeColor="text1"/>
        </w:rPr>
        <w:t xml:space="preserve"> </w:t>
      </w:r>
      <w:r w:rsidR="00E94E09">
        <w:rPr>
          <w:color w:val="000000" w:themeColor="text1"/>
        </w:rPr>
        <w:t>Summary of the neural network fit results is presented</w:t>
      </w:r>
      <w:r w:rsidR="00E94E09" w:rsidRPr="00310C94">
        <w:rPr>
          <w:color w:val="000000" w:themeColor="text1"/>
        </w:rPr>
        <w:t xml:space="preserve"> in Table 6.</w:t>
      </w:r>
    </w:p>
    <w:p w14:paraId="6C2E3C12" w14:textId="77777777" w:rsidR="00E94E09" w:rsidRDefault="00E94E09" w:rsidP="00E94E09">
      <w:pPr>
        <w:pStyle w:val="MDPI41tablecaption"/>
        <w:rPr>
          <w:color w:val="000000" w:themeColor="text1"/>
        </w:rPr>
      </w:pPr>
      <w:r w:rsidRPr="009C47F2">
        <w:rPr>
          <w:b/>
          <w:color w:val="000000" w:themeColor="text1"/>
        </w:rPr>
        <w:t>Table 6</w:t>
      </w:r>
      <w:r w:rsidRPr="009C47F2">
        <w:rPr>
          <w:color w:val="000000" w:themeColor="text1"/>
        </w:rPr>
        <w:t xml:space="preserve">. Neural Fit Test Performances of ACU Power </w:t>
      </w:r>
      <w:r>
        <w:rPr>
          <w:color w:val="000000" w:themeColor="text1"/>
        </w:rPr>
        <w:t>vs Indoor Thermal and Carbon Dioxide Levels</w:t>
      </w:r>
    </w:p>
    <w:tbl>
      <w:tblPr>
        <w:tblW w:w="8520" w:type="dxa"/>
        <w:jc w:val="right"/>
        <w:tblLook w:val="04A0" w:firstRow="1" w:lastRow="0" w:firstColumn="1" w:lastColumn="0" w:noHBand="0" w:noVBand="1"/>
      </w:tblPr>
      <w:tblGrid>
        <w:gridCol w:w="1461"/>
        <w:gridCol w:w="995"/>
        <w:gridCol w:w="1277"/>
        <w:gridCol w:w="1198"/>
        <w:gridCol w:w="1216"/>
        <w:gridCol w:w="1196"/>
        <w:gridCol w:w="1195"/>
      </w:tblGrid>
      <w:tr w:rsidR="00E94E09" w14:paraId="73A7F614" w14:textId="77777777" w:rsidTr="00D5449C">
        <w:trPr>
          <w:trHeight w:val="320"/>
          <w:jc w:val="right"/>
        </w:trPr>
        <w:tc>
          <w:tcPr>
            <w:tcW w:w="2456" w:type="dxa"/>
            <w:gridSpan w:val="2"/>
            <w:vMerge w:val="restart"/>
            <w:tcBorders>
              <w:top w:val="single" w:sz="8" w:space="0" w:color="auto"/>
              <w:left w:val="nil"/>
              <w:bottom w:val="single" w:sz="4" w:space="0" w:color="000000"/>
              <w:right w:val="nil"/>
            </w:tcBorders>
            <w:shd w:val="clear" w:color="auto" w:fill="auto"/>
            <w:noWrap/>
            <w:vAlign w:val="center"/>
            <w:hideMark/>
          </w:tcPr>
          <w:p w14:paraId="44C37440" w14:textId="77777777" w:rsidR="00E94E09" w:rsidRDefault="00E94E09" w:rsidP="00D5449C">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Model Parameters</w:t>
            </w:r>
          </w:p>
        </w:tc>
        <w:tc>
          <w:tcPr>
            <w:tcW w:w="1277" w:type="dxa"/>
            <w:vMerge w:val="restart"/>
            <w:tcBorders>
              <w:top w:val="single" w:sz="8" w:space="0" w:color="auto"/>
              <w:left w:val="nil"/>
              <w:bottom w:val="single" w:sz="4" w:space="0" w:color="000000"/>
              <w:right w:val="nil"/>
            </w:tcBorders>
            <w:shd w:val="clear" w:color="auto" w:fill="auto"/>
            <w:vAlign w:val="center"/>
            <w:hideMark/>
          </w:tcPr>
          <w:p w14:paraId="194FA2E1" w14:textId="77777777" w:rsidR="00E94E09" w:rsidRDefault="00E94E09" w:rsidP="00D5449C">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Classroom</w:t>
            </w:r>
          </w:p>
        </w:tc>
        <w:tc>
          <w:tcPr>
            <w:tcW w:w="1198" w:type="dxa"/>
            <w:vMerge w:val="restart"/>
            <w:tcBorders>
              <w:top w:val="single" w:sz="8" w:space="0" w:color="auto"/>
              <w:left w:val="nil"/>
              <w:bottom w:val="single" w:sz="4" w:space="0" w:color="000000"/>
              <w:right w:val="nil"/>
            </w:tcBorders>
            <w:shd w:val="clear" w:color="auto" w:fill="auto"/>
            <w:vAlign w:val="center"/>
            <w:hideMark/>
          </w:tcPr>
          <w:p w14:paraId="1F284D3C" w14:textId="77777777" w:rsidR="00E94E09" w:rsidRDefault="00E94E09" w:rsidP="00D5449C">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Computer Room</w:t>
            </w:r>
          </w:p>
        </w:tc>
        <w:tc>
          <w:tcPr>
            <w:tcW w:w="1198" w:type="dxa"/>
            <w:vMerge w:val="restart"/>
            <w:tcBorders>
              <w:top w:val="single" w:sz="8" w:space="0" w:color="auto"/>
              <w:left w:val="nil"/>
              <w:bottom w:val="single" w:sz="4" w:space="0" w:color="000000"/>
              <w:right w:val="nil"/>
            </w:tcBorders>
            <w:shd w:val="clear" w:color="auto" w:fill="auto"/>
            <w:vAlign w:val="center"/>
            <w:hideMark/>
          </w:tcPr>
          <w:p w14:paraId="6827B2D0" w14:textId="77777777" w:rsidR="00E94E09" w:rsidRDefault="00E94E09" w:rsidP="00D5449C">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Laboratory Room</w:t>
            </w:r>
          </w:p>
        </w:tc>
        <w:tc>
          <w:tcPr>
            <w:tcW w:w="1196" w:type="dxa"/>
            <w:tcBorders>
              <w:top w:val="single" w:sz="8" w:space="0" w:color="auto"/>
              <w:left w:val="nil"/>
              <w:bottom w:val="nil"/>
              <w:right w:val="nil"/>
            </w:tcBorders>
            <w:shd w:val="clear" w:color="auto" w:fill="auto"/>
            <w:vAlign w:val="center"/>
            <w:hideMark/>
          </w:tcPr>
          <w:p w14:paraId="5603C25B" w14:textId="77777777" w:rsidR="00E94E09" w:rsidRDefault="00E94E09" w:rsidP="00D5449C">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Office</w:t>
            </w:r>
          </w:p>
        </w:tc>
        <w:tc>
          <w:tcPr>
            <w:tcW w:w="1195" w:type="dxa"/>
            <w:tcBorders>
              <w:top w:val="single" w:sz="8" w:space="0" w:color="auto"/>
              <w:left w:val="nil"/>
              <w:bottom w:val="nil"/>
              <w:right w:val="nil"/>
            </w:tcBorders>
            <w:shd w:val="clear" w:color="auto" w:fill="auto"/>
            <w:vAlign w:val="center"/>
            <w:hideMark/>
          </w:tcPr>
          <w:p w14:paraId="6944135E" w14:textId="77777777" w:rsidR="00E94E09" w:rsidRDefault="00E94E09" w:rsidP="00D5449C">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Office</w:t>
            </w:r>
          </w:p>
        </w:tc>
      </w:tr>
      <w:tr w:rsidR="00E94E09" w14:paraId="1C5C793B" w14:textId="77777777" w:rsidTr="00D5449C">
        <w:trPr>
          <w:trHeight w:val="320"/>
          <w:jc w:val="right"/>
        </w:trPr>
        <w:tc>
          <w:tcPr>
            <w:tcW w:w="2456" w:type="dxa"/>
            <w:gridSpan w:val="2"/>
            <w:vMerge/>
            <w:tcBorders>
              <w:top w:val="single" w:sz="8" w:space="0" w:color="auto"/>
              <w:left w:val="nil"/>
              <w:bottom w:val="single" w:sz="4" w:space="0" w:color="000000"/>
              <w:right w:val="nil"/>
            </w:tcBorders>
            <w:vAlign w:val="center"/>
            <w:hideMark/>
          </w:tcPr>
          <w:p w14:paraId="0D9863EA" w14:textId="77777777" w:rsidR="00E94E09" w:rsidRDefault="00E94E09" w:rsidP="00D5449C">
            <w:pPr>
              <w:rPr>
                <w:rFonts w:ascii="Palatino Linotype" w:hAnsi="Palatino Linotype" w:cs="Calibri"/>
                <w:b/>
                <w:bCs/>
                <w:color w:val="000000"/>
                <w:sz w:val="20"/>
                <w:szCs w:val="20"/>
              </w:rPr>
            </w:pPr>
          </w:p>
        </w:tc>
        <w:tc>
          <w:tcPr>
            <w:tcW w:w="1277" w:type="dxa"/>
            <w:vMerge/>
            <w:tcBorders>
              <w:top w:val="single" w:sz="8" w:space="0" w:color="auto"/>
              <w:left w:val="nil"/>
              <w:bottom w:val="single" w:sz="4" w:space="0" w:color="000000"/>
              <w:right w:val="nil"/>
            </w:tcBorders>
            <w:vAlign w:val="center"/>
            <w:hideMark/>
          </w:tcPr>
          <w:p w14:paraId="2A3DCB38" w14:textId="77777777" w:rsidR="00E94E09" w:rsidRDefault="00E94E09" w:rsidP="00D5449C">
            <w:pPr>
              <w:rPr>
                <w:rFonts w:ascii="Palatino Linotype" w:hAnsi="Palatino Linotype" w:cs="Calibri"/>
                <w:b/>
                <w:bCs/>
                <w:color w:val="000000"/>
                <w:sz w:val="20"/>
                <w:szCs w:val="20"/>
              </w:rPr>
            </w:pPr>
          </w:p>
        </w:tc>
        <w:tc>
          <w:tcPr>
            <w:tcW w:w="1198" w:type="dxa"/>
            <w:vMerge/>
            <w:tcBorders>
              <w:top w:val="single" w:sz="8" w:space="0" w:color="auto"/>
              <w:left w:val="nil"/>
              <w:bottom w:val="single" w:sz="4" w:space="0" w:color="000000"/>
              <w:right w:val="nil"/>
            </w:tcBorders>
            <w:vAlign w:val="center"/>
            <w:hideMark/>
          </w:tcPr>
          <w:p w14:paraId="1FA9FA90" w14:textId="77777777" w:rsidR="00E94E09" w:rsidRDefault="00E94E09" w:rsidP="00D5449C">
            <w:pPr>
              <w:rPr>
                <w:rFonts w:ascii="Palatino Linotype" w:hAnsi="Palatino Linotype" w:cs="Calibri"/>
                <w:b/>
                <w:bCs/>
                <w:color w:val="000000"/>
                <w:sz w:val="20"/>
                <w:szCs w:val="20"/>
              </w:rPr>
            </w:pPr>
          </w:p>
        </w:tc>
        <w:tc>
          <w:tcPr>
            <w:tcW w:w="1198" w:type="dxa"/>
            <w:vMerge/>
            <w:tcBorders>
              <w:top w:val="single" w:sz="8" w:space="0" w:color="auto"/>
              <w:left w:val="nil"/>
              <w:bottom w:val="single" w:sz="4" w:space="0" w:color="000000"/>
              <w:right w:val="nil"/>
            </w:tcBorders>
            <w:vAlign w:val="center"/>
            <w:hideMark/>
          </w:tcPr>
          <w:p w14:paraId="56FE2A45" w14:textId="77777777" w:rsidR="00E94E09" w:rsidRDefault="00E94E09" w:rsidP="00D5449C">
            <w:pPr>
              <w:rPr>
                <w:rFonts w:ascii="Palatino Linotype" w:hAnsi="Palatino Linotype" w:cs="Calibri"/>
                <w:b/>
                <w:bCs/>
                <w:color w:val="000000"/>
                <w:sz w:val="20"/>
                <w:szCs w:val="20"/>
              </w:rPr>
            </w:pPr>
          </w:p>
        </w:tc>
        <w:tc>
          <w:tcPr>
            <w:tcW w:w="1196" w:type="dxa"/>
            <w:tcBorders>
              <w:top w:val="nil"/>
              <w:left w:val="nil"/>
              <w:bottom w:val="single" w:sz="4" w:space="0" w:color="auto"/>
              <w:right w:val="nil"/>
            </w:tcBorders>
            <w:shd w:val="clear" w:color="auto" w:fill="auto"/>
            <w:vAlign w:val="center"/>
            <w:hideMark/>
          </w:tcPr>
          <w:p w14:paraId="6FA88F9A" w14:textId="77777777" w:rsidR="00E94E09" w:rsidRDefault="00E94E09" w:rsidP="00D5449C">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(shared)</w:t>
            </w:r>
          </w:p>
        </w:tc>
        <w:tc>
          <w:tcPr>
            <w:tcW w:w="1195" w:type="dxa"/>
            <w:tcBorders>
              <w:top w:val="nil"/>
              <w:left w:val="nil"/>
              <w:bottom w:val="single" w:sz="4" w:space="0" w:color="auto"/>
              <w:right w:val="nil"/>
            </w:tcBorders>
            <w:shd w:val="clear" w:color="auto" w:fill="auto"/>
            <w:vAlign w:val="center"/>
            <w:hideMark/>
          </w:tcPr>
          <w:p w14:paraId="3099EE6C" w14:textId="77777777" w:rsidR="00E94E09" w:rsidRDefault="00E94E09" w:rsidP="00D5449C">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(solo)</w:t>
            </w:r>
          </w:p>
        </w:tc>
      </w:tr>
      <w:tr w:rsidR="00E94E09" w14:paraId="5DBBB324" w14:textId="77777777" w:rsidTr="00D5449C">
        <w:trPr>
          <w:trHeight w:val="320"/>
          <w:jc w:val="right"/>
        </w:trPr>
        <w:tc>
          <w:tcPr>
            <w:tcW w:w="1461" w:type="dxa"/>
            <w:vMerge w:val="restart"/>
            <w:tcBorders>
              <w:top w:val="nil"/>
              <w:left w:val="nil"/>
              <w:bottom w:val="single" w:sz="4" w:space="0" w:color="000000"/>
              <w:right w:val="nil"/>
            </w:tcBorders>
            <w:shd w:val="clear" w:color="auto" w:fill="auto"/>
            <w:noWrap/>
            <w:vAlign w:val="center"/>
            <w:hideMark/>
          </w:tcPr>
          <w:p w14:paraId="22A397AA"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P vs T</w:t>
            </w:r>
          </w:p>
        </w:tc>
        <w:tc>
          <w:tcPr>
            <w:tcW w:w="995" w:type="dxa"/>
            <w:tcBorders>
              <w:top w:val="nil"/>
              <w:left w:val="nil"/>
              <w:bottom w:val="single" w:sz="4" w:space="0" w:color="auto"/>
              <w:right w:val="nil"/>
            </w:tcBorders>
            <w:shd w:val="clear" w:color="auto" w:fill="auto"/>
            <w:noWrap/>
            <w:vAlign w:val="center"/>
            <w:hideMark/>
          </w:tcPr>
          <w:p w14:paraId="78FE1651"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Epoch</w:t>
            </w:r>
          </w:p>
        </w:tc>
        <w:tc>
          <w:tcPr>
            <w:tcW w:w="1277" w:type="dxa"/>
            <w:tcBorders>
              <w:top w:val="nil"/>
              <w:left w:val="nil"/>
              <w:bottom w:val="single" w:sz="4" w:space="0" w:color="auto"/>
              <w:right w:val="nil"/>
            </w:tcBorders>
            <w:shd w:val="clear" w:color="auto" w:fill="auto"/>
            <w:vAlign w:val="center"/>
            <w:hideMark/>
          </w:tcPr>
          <w:p w14:paraId="46AB1F28"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24</w:t>
            </w:r>
          </w:p>
        </w:tc>
        <w:tc>
          <w:tcPr>
            <w:tcW w:w="1198" w:type="dxa"/>
            <w:tcBorders>
              <w:top w:val="nil"/>
              <w:left w:val="nil"/>
              <w:bottom w:val="single" w:sz="4" w:space="0" w:color="auto"/>
              <w:right w:val="nil"/>
            </w:tcBorders>
            <w:shd w:val="clear" w:color="auto" w:fill="auto"/>
            <w:vAlign w:val="center"/>
            <w:hideMark/>
          </w:tcPr>
          <w:p w14:paraId="2DD7136E"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11</w:t>
            </w:r>
          </w:p>
        </w:tc>
        <w:tc>
          <w:tcPr>
            <w:tcW w:w="1198" w:type="dxa"/>
            <w:tcBorders>
              <w:top w:val="nil"/>
              <w:left w:val="nil"/>
              <w:bottom w:val="single" w:sz="4" w:space="0" w:color="auto"/>
              <w:right w:val="nil"/>
            </w:tcBorders>
            <w:shd w:val="clear" w:color="auto" w:fill="auto"/>
            <w:vAlign w:val="center"/>
            <w:hideMark/>
          </w:tcPr>
          <w:p w14:paraId="2F112AE5"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9</w:t>
            </w:r>
          </w:p>
        </w:tc>
        <w:tc>
          <w:tcPr>
            <w:tcW w:w="1196" w:type="dxa"/>
            <w:tcBorders>
              <w:top w:val="nil"/>
              <w:left w:val="nil"/>
              <w:bottom w:val="single" w:sz="4" w:space="0" w:color="auto"/>
              <w:right w:val="nil"/>
            </w:tcBorders>
            <w:shd w:val="clear" w:color="auto" w:fill="auto"/>
            <w:vAlign w:val="center"/>
            <w:hideMark/>
          </w:tcPr>
          <w:p w14:paraId="40A7550E"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12</w:t>
            </w:r>
          </w:p>
        </w:tc>
        <w:tc>
          <w:tcPr>
            <w:tcW w:w="1195" w:type="dxa"/>
            <w:tcBorders>
              <w:top w:val="nil"/>
              <w:left w:val="nil"/>
              <w:bottom w:val="single" w:sz="4" w:space="0" w:color="auto"/>
              <w:right w:val="nil"/>
            </w:tcBorders>
            <w:shd w:val="clear" w:color="auto" w:fill="auto"/>
            <w:vAlign w:val="center"/>
            <w:hideMark/>
          </w:tcPr>
          <w:p w14:paraId="6E76C6F6"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11</w:t>
            </w:r>
          </w:p>
        </w:tc>
      </w:tr>
      <w:tr w:rsidR="00E94E09" w14:paraId="0D6E0614" w14:textId="77777777" w:rsidTr="00D5449C">
        <w:trPr>
          <w:trHeight w:val="320"/>
          <w:jc w:val="right"/>
        </w:trPr>
        <w:tc>
          <w:tcPr>
            <w:tcW w:w="1461" w:type="dxa"/>
            <w:vMerge/>
            <w:tcBorders>
              <w:top w:val="nil"/>
              <w:left w:val="nil"/>
              <w:bottom w:val="single" w:sz="4" w:space="0" w:color="000000"/>
              <w:right w:val="nil"/>
            </w:tcBorders>
            <w:vAlign w:val="center"/>
            <w:hideMark/>
          </w:tcPr>
          <w:p w14:paraId="04D45BF3" w14:textId="77777777" w:rsidR="00E94E09" w:rsidRDefault="00E94E09" w:rsidP="00D5449C">
            <w:pPr>
              <w:rPr>
                <w:rFonts w:ascii="Palatino Linotype" w:hAnsi="Palatino Linotype" w:cs="Calibri"/>
                <w:color w:val="000000"/>
                <w:sz w:val="20"/>
                <w:szCs w:val="20"/>
              </w:rPr>
            </w:pPr>
          </w:p>
        </w:tc>
        <w:tc>
          <w:tcPr>
            <w:tcW w:w="995" w:type="dxa"/>
            <w:tcBorders>
              <w:top w:val="nil"/>
              <w:left w:val="nil"/>
              <w:bottom w:val="nil"/>
              <w:right w:val="nil"/>
            </w:tcBorders>
            <w:shd w:val="clear" w:color="auto" w:fill="auto"/>
            <w:noWrap/>
            <w:vAlign w:val="center"/>
            <w:hideMark/>
          </w:tcPr>
          <w:p w14:paraId="61D83405"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MSE</w:t>
            </w:r>
          </w:p>
        </w:tc>
        <w:tc>
          <w:tcPr>
            <w:tcW w:w="1277" w:type="dxa"/>
            <w:tcBorders>
              <w:top w:val="nil"/>
              <w:left w:val="nil"/>
              <w:bottom w:val="nil"/>
              <w:right w:val="nil"/>
            </w:tcBorders>
            <w:shd w:val="clear" w:color="auto" w:fill="auto"/>
            <w:vAlign w:val="center"/>
            <w:hideMark/>
          </w:tcPr>
          <w:p w14:paraId="3E508D3E"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0.0042</w:t>
            </w:r>
          </w:p>
        </w:tc>
        <w:tc>
          <w:tcPr>
            <w:tcW w:w="1198" w:type="dxa"/>
            <w:tcBorders>
              <w:top w:val="nil"/>
              <w:left w:val="nil"/>
              <w:bottom w:val="nil"/>
              <w:right w:val="nil"/>
            </w:tcBorders>
            <w:shd w:val="clear" w:color="auto" w:fill="auto"/>
            <w:vAlign w:val="center"/>
            <w:hideMark/>
          </w:tcPr>
          <w:p w14:paraId="33474CCE"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0.0017</w:t>
            </w:r>
          </w:p>
        </w:tc>
        <w:tc>
          <w:tcPr>
            <w:tcW w:w="1198" w:type="dxa"/>
            <w:tcBorders>
              <w:top w:val="nil"/>
              <w:left w:val="nil"/>
              <w:bottom w:val="nil"/>
              <w:right w:val="nil"/>
            </w:tcBorders>
            <w:shd w:val="clear" w:color="auto" w:fill="auto"/>
            <w:vAlign w:val="center"/>
            <w:hideMark/>
          </w:tcPr>
          <w:p w14:paraId="515A470A"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0.003</w:t>
            </w:r>
          </w:p>
        </w:tc>
        <w:tc>
          <w:tcPr>
            <w:tcW w:w="1196" w:type="dxa"/>
            <w:tcBorders>
              <w:top w:val="nil"/>
              <w:left w:val="nil"/>
              <w:bottom w:val="nil"/>
              <w:right w:val="nil"/>
            </w:tcBorders>
            <w:shd w:val="clear" w:color="auto" w:fill="auto"/>
            <w:vAlign w:val="center"/>
            <w:hideMark/>
          </w:tcPr>
          <w:p w14:paraId="0F641A0F"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0.0011</w:t>
            </w:r>
          </w:p>
        </w:tc>
        <w:tc>
          <w:tcPr>
            <w:tcW w:w="1195" w:type="dxa"/>
            <w:tcBorders>
              <w:top w:val="nil"/>
              <w:left w:val="nil"/>
              <w:bottom w:val="nil"/>
              <w:right w:val="nil"/>
            </w:tcBorders>
            <w:shd w:val="clear" w:color="auto" w:fill="auto"/>
            <w:vAlign w:val="center"/>
            <w:hideMark/>
          </w:tcPr>
          <w:p w14:paraId="0E48799C"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0.0011</w:t>
            </w:r>
          </w:p>
        </w:tc>
      </w:tr>
      <w:tr w:rsidR="00E94E09" w14:paraId="194BC79D" w14:textId="77777777" w:rsidTr="00D5449C">
        <w:trPr>
          <w:trHeight w:val="320"/>
          <w:jc w:val="right"/>
        </w:trPr>
        <w:tc>
          <w:tcPr>
            <w:tcW w:w="1461" w:type="dxa"/>
            <w:vMerge/>
            <w:tcBorders>
              <w:top w:val="nil"/>
              <w:left w:val="nil"/>
              <w:bottom w:val="single" w:sz="4" w:space="0" w:color="000000"/>
              <w:right w:val="nil"/>
            </w:tcBorders>
            <w:vAlign w:val="center"/>
            <w:hideMark/>
          </w:tcPr>
          <w:p w14:paraId="50EBEDC7" w14:textId="77777777" w:rsidR="00E94E09" w:rsidRDefault="00E94E09" w:rsidP="00D5449C">
            <w:pPr>
              <w:rPr>
                <w:rFonts w:ascii="Palatino Linotype" w:hAnsi="Palatino Linotype" w:cs="Calibri"/>
                <w:color w:val="000000"/>
                <w:sz w:val="20"/>
                <w:szCs w:val="20"/>
              </w:rPr>
            </w:pPr>
          </w:p>
        </w:tc>
        <w:tc>
          <w:tcPr>
            <w:tcW w:w="995" w:type="dxa"/>
            <w:tcBorders>
              <w:top w:val="nil"/>
              <w:left w:val="nil"/>
              <w:bottom w:val="single" w:sz="4" w:space="0" w:color="auto"/>
              <w:right w:val="nil"/>
            </w:tcBorders>
            <w:shd w:val="clear" w:color="auto" w:fill="auto"/>
            <w:noWrap/>
            <w:vAlign w:val="bottom"/>
            <w:hideMark/>
          </w:tcPr>
          <w:p w14:paraId="060DD432"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R</w:t>
            </w:r>
          </w:p>
        </w:tc>
        <w:tc>
          <w:tcPr>
            <w:tcW w:w="1277" w:type="dxa"/>
            <w:tcBorders>
              <w:top w:val="nil"/>
              <w:left w:val="nil"/>
              <w:bottom w:val="single" w:sz="4" w:space="0" w:color="auto"/>
              <w:right w:val="nil"/>
            </w:tcBorders>
            <w:shd w:val="clear" w:color="auto" w:fill="auto"/>
            <w:noWrap/>
            <w:vAlign w:val="bottom"/>
            <w:hideMark/>
          </w:tcPr>
          <w:p w14:paraId="5B924107"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0.3037</w:t>
            </w:r>
          </w:p>
        </w:tc>
        <w:tc>
          <w:tcPr>
            <w:tcW w:w="1198" w:type="dxa"/>
            <w:tcBorders>
              <w:top w:val="nil"/>
              <w:left w:val="nil"/>
              <w:bottom w:val="single" w:sz="4" w:space="0" w:color="auto"/>
              <w:right w:val="nil"/>
            </w:tcBorders>
            <w:shd w:val="clear" w:color="auto" w:fill="auto"/>
            <w:noWrap/>
            <w:vAlign w:val="bottom"/>
            <w:hideMark/>
          </w:tcPr>
          <w:p w14:paraId="14D59298"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0.7502</w:t>
            </w:r>
          </w:p>
        </w:tc>
        <w:tc>
          <w:tcPr>
            <w:tcW w:w="1198" w:type="dxa"/>
            <w:tcBorders>
              <w:top w:val="nil"/>
              <w:left w:val="nil"/>
              <w:bottom w:val="single" w:sz="4" w:space="0" w:color="auto"/>
              <w:right w:val="nil"/>
            </w:tcBorders>
            <w:shd w:val="clear" w:color="auto" w:fill="auto"/>
            <w:noWrap/>
            <w:vAlign w:val="bottom"/>
            <w:hideMark/>
          </w:tcPr>
          <w:p w14:paraId="60659E05"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0.384</w:t>
            </w:r>
          </w:p>
        </w:tc>
        <w:tc>
          <w:tcPr>
            <w:tcW w:w="1196" w:type="dxa"/>
            <w:tcBorders>
              <w:top w:val="nil"/>
              <w:left w:val="nil"/>
              <w:bottom w:val="single" w:sz="4" w:space="0" w:color="auto"/>
              <w:right w:val="nil"/>
            </w:tcBorders>
            <w:shd w:val="clear" w:color="auto" w:fill="auto"/>
            <w:noWrap/>
            <w:vAlign w:val="bottom"/>
            <w:hideMark/>
          </w:tcPr>
          <w:p w14:paraId="356C06A0"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0.5751</w:t>
            </w:r>
          </w:p>
        </w:tc>
        <w:tc>
          <w:tcPr>
            <w:tcW w:w="1195" w:type="dxa"/>
            <w:tcBorders>
              <w:top w:val="nil"/>
              <w:left w:val="nil"/>
              <w:bottom w:val="single" w:sz="4" w:space="0" w:color="auto"/>
              <w:right w:val="nil"/>
            </w:tcBorders>
            <w:shd w:val="clear" w:color="auto" w:fill="auto"/>
            <w:noWrap/>
            <w:vAlign w:val="bottom"/>
            <w:hideMark/>
          </w:tcPr>
          <w:p w14:paraId="0C46F5AE"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0.654</w:t>
            </w:r>
          </w:p>
        </w:tc>
      </w:tr>
      <w:tr w:rsidR="00E94E09" w14:paraId="6B02F450" w14:textId="77777777" w:rsidTr="00D5449C">
        <w:trPr>
          <w:trHeight w:val="320"/>
          <w:jc w:val="right"/>
        </w:trPr>
        <w:tc>
          <w:tcPr>
            <w:tcW w:w="1461" w:type="dxa"/>
            <w:vMerge w:val="restart"/>
            <w:tcBorders>
              <w:top w:val="nil"/>
              <w:left w:val="nil"/>
              <w:bottom w:val="single" w:sz="4" w:space="0" w:color="000000"/>
              <w:right w:val="nil"/>
            </w:tcBorders>
            <w:shd w:val="clear" w:color="auto" w:fill="auto"/>
            <w:noWrap/>
            <w:vAlign w:val="center"/>
            <w:hideMark/>
          </w:tcPr>
          <w:p w14:paraId="0B359CBE"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P vs H</w:t>
            </w:r>
          </w:p>
        </w:tc>
        <w:tc>
          <w:tcPr>
            <w:tcW w:w="995" w:type="dxa"/>
            <w:tcBorders>
              <w:top w:val="nil"/>
              <w:left w:val="nil"/>
              <w:bottom w:val="single" w:sz="4" w:space="0" w:color="auto"/>
              <w:right w:val="nil"/>
            </w:tcBorders>
            <w:shd w:val="clear" w:color="auto" w:fill="auto"/>
            <w:noWrap/>
            <w:vAlign w:val="center"/>
            <w:hideMark/>
          </w:tcPr>
          <w:p w14:paraId="22CADC2C"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Epoch</w:t>
            </w:r>
          </w:p>
        </w:tc>
        <w:tc>
          <w:tcPr>
            <w:tcW w:w="1277" w:type="dxa"/>
            <w:tcBorders>
              <w:top w:val="nil"/>
              <w:left w:val="nil"/>
              <w:bottom w:val="single" w:sz="4" w:space="0" w:color="auto"/>
              <w:right w:val="nil"/>
            </w:tcBorders>
            <w:shd w:val="clear" w:color="auto" w:fill="auto"/>
            <w:vAlign w:val="bottom"/>
            <w:hideMark/>
          </w:tcPr>
          <w:p w14:paraId="5B6D51D5"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11</w:t>
            </w:r>
          </w:p>
        </w:tc>
        <w:tc>
          <w:tcPr>
            <w:tcW w:w="1198" w:type="dxa"/>
            <w:tcBorders>
              <w:top w:val="nil"/>
              <w:left w:val="nil"/>
              <w:bottom w:val="single" w:sz="4" w:space="0" w:color="auto"/>
              <w:right w:val="nil"/>
            </w:tcBorders>
            <w:shd w:val="clear" w:color="auto" w:fill="auto"/>
            <w:vAlign w:val="bottom"/>
            <w:hideMark/>
          </w:tcPr>
          <w:p w14:paraId="0BE94E05"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10</w:t>
            </w:r>
          </w:p>
        </w:tc>
        <w:tc>
          <w:tcPr>
            <w:tcW w:w="1198" w:type="dxa"/>
            <w:tcBorders>
              <w:top w:val="nil"/>
              <w:left w:val="nil"/>
              <w:bottom w:val="single" w:sz="4" w:space="0" w:color="auto"/>
              <w:right w:val="nil"/>
            </w:tcBorders>
            <w:shd w:val="clear" w:color="auto" w:fill="auto"/>
            <w:vAlign w:val="bottom"/>
            <w:hideMark/>
          </w:tcPr>
          <w:p w14:paraId="1062D00A"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15</w:t>
            </w:r>
          </w:p>
        </w:tc>
        <w:tc>
          <w:tcPr>
            <w:tcW w:w="1196" w:type="dxa"/>
            <w:tcBorders>
              <w:top w:val="nil"/>
              <w:left w:val="nil"/>
              <w:bottom w:val="single" w:sz="4" w:space="0" w:color="auto"/>
              <w:right w:val="nil"/>
            </w:tcBorders>
            <w:shd w:val="clear" w:color="auto" w:fill="auto"/>
            <w:vAlign w:val="bottom"/>
            <w:hideMark/>
          </w:tcPr>
          <w:p w14:paraId="39D3C848"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13</w:t>
            </w:r>
          </w:p>
        </w:tc>
        <w:tc>
          <w:tcPr>
            <w:tcW w:w="1195" w:type="dxa"/>
            <w:tcBorders>
              <w:top w:val="nil"/>
              <w:left w:val="nil"/>
              <w:bottom w:val="single" w:sz="4" w:space="0" w:color="auto"/>
              <w:right w:val="nil"/>
            </w:tcBorders>
            <w:shd w:val="clear" w:color="auto" w:fill="auto"/>
            <w:vAlign w:val="bottom"/>
            <w:hideMark/>
          </w:tcPr>
          <w:p w14:paraId="0CB731EC"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11</w:t>
            </w:r>
          </w:p>
        </w:tc>
      </w:tr>
      <w:tr w:rsidR="00E94E09" w14:paraId="47A3E5CE" w14:textId="77777777" w:rsidTr="00D5449C">
        <w:trPr>
          <w:trHeight w:val="320"/>
          <w:jc w:val="right"/>
        </w:trPr>
        <w:tc>
          <w:tcPr>
            <w:tcW w:w="1461" w:type="dxa"/>
            <w:vMerge/>
            <w:tcBorders>
              <w:top w:val="nil"/>
              <w:left w:val="nil"/>
              <w:bottom w:val="single" w:sz="4" w:space="0" w:color="000000"/>
              <w:right w:val="nil"/>
            </w:tcBorders>
            <w:vAlign w:val="center"/>
            <w:hideMark/>
          </w:tcPr>
          <w:p w14:paraId="6B638923" w14:textId="77777777" w:rsidR="00E94E09" w:rsidRDefault="00E94E09" w:rsidP="00D5449C">
            <w:pPr>
              <w:rPr>
                <w:rFonts w:ascii="Palatino Linotype" w:hAnsi="Palatino Linotype" w:cs="Calibri"/>
                <w:color w:val="000000"/>
                <w:sz w:val="20"/>
                <w:szCs w:val="20"/>
              </w:rPr>
            </w:pPr>
          </w:p>
        </w:tc>
        <w:tc>
          <w:tcPr>
            <w:tcW w:w="995" w:type="dxa"/>
            <w:tcBorders>
              <w:top w:val="nil"/>
              <w:left w:val="nil"/>
              <w:bottom w:val="nil"/>
              <w:right w:val="nil"/>
            </w:tcBorders>
            <w:shd w:val="clear" w:color="auto" w:fill="auto"/>
            <w:noWrap/>
            <w:vAlign w:val="bottom"/>
            <w:hideMark/>
          </w:tcPr>
          <w:p w14:paraId="6490E917"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MSE</w:t>
            </w:r>
          </w:p>
        </w:tc>
        <w:tc>
          <w:tcPr>
            <w:tcW w:w="1277" w:type="dxa"/>
            <w:tcBorders>
              <w:top w:val="nil"/>
              <w:left w:val="nil"/>
              <w:bottom w:val="nil"/>
              <w:right w:val="nil"/>
            </w:tcBorders>
            <w:shd w:val="clear" w:color="auto" w:fill="auto"/>
            <w:vAlign w:val="bottom"/>
            <w:hideMark/>
          </w:tcPr>
          <w:p w14:paraId="264B0E6B"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0.0028</w:t>
            </w:r>
          </w:p>
        </w:tc>
        <w:tc>
          <w:tcPr>
            <w:tcW w:w="1198" w:type="dxa"/>
            <w:tcBorders>
              <w:top w:val="nil"/>
              <w:left w:val="nil"/>
              <w:bottom w:val="nil"/>
              <w:right w:val="nil"/>
            </w:tcBorders>
            <w:shd w:val="clear" w:color="auto" w:fill="auto"/>
            <w:vAlign w:val="bottom"/>
            <w:hideMark/>
          </w:tcPr>
          <w:p w14:paraId="2874EA67"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0.0015</w:t>
            </w:r>
          </w:p>
        </w:tc>
        <w:tc>
          <w:tcPr>
            <w:tcW w:w="1198" w:type="dxa"/>
            <w:tcBorders>
              <w:top w:val="nil"/>
              <w:left w:val="nil"/>
              <w:bottom w:val="nil"/>
              <w:right w:val="nil"/>
            </w:tcBorders>
            <w:shd w:val="clear" w:color="auto" w:fill="auto"/>
            <w:vAlign w:val="bottom"/>
            <w:hideMark/>
          </w:tcPr>
          <w:p w14:paraId="2851287E"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0.0027</w:t>
            </w:r>
          </w:p>
        </w:tc>
        <w:tc>
          <w:tcPr>
            <w:tcW w:w="1196" w:type="dxa"/>
            <w:tcBorders>
              <w:top w:val="nil"/>
              <w:left w:val="nil"/>
              <w:bottom w:val="nil"/>
              <w:right w:val="nil"/>
            </w:tcBorders>
            <w:shd w:val="clear" w:color="auto" w:fill="auto"/>
            <w:vAlign w:val="bottom"/>
            <w:hideMark/>
          </w:tcPr>
          <w:p w14:paraId="4C8B30A8"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0.0011</w:t>
            </w:r>
          </w:p>
        </w:tc>
        <w:tc>
          <w:tcPr>
            <w:tcW w:w="1195" w:type="dxa"/>
            <w:tcBorders>
              <w:top w:val="nil"/>
              <w:left w:val="nil"/>
              <w:bottom w:val="nil"/>
              <w:right w:val="nil"/>
            </w:tcBorders>
            <w:shd w:val="clear" w:color="auto" w:fill="auto"/>
            <w:vAlign w:val="bottom"/>
            <w:hideMark/>
          </w:tcPr>
          <w:p w14:paraId="12D6706E"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0.0013</w:t>
            </w:r>
          </w:p>
        </w:tc>
      </w:tr>
      <w:tr w:rsidR="00E94E09" w14:paraId="156916AE" w14:textId="77777777" w:rsidTr="00D5449C">
        <w:trPr>
          <w:trHeight w:val="320"/>
          <w:jc w:val="right"/>
        </w:trPr>
        <w:tc>
          <w:tcPr>
            <w:tcW w:w="1461" w:type="dxa"/>
            <w:vMerge/>
            <w:tcBorders>
              <w:top w:val="nil"/>
              <w:left w:val="nil"/>
              <w:bottom w:val="single" w:sz="4" w:space="0" w:color="000000"/>
              <w:right w:val="nil"/>
            </w:tcBorders>
            <w:vAlign w:val="center"/>
            <w:hideMark/>
          </w:tcPr>
          <w:p w14:paraId="75B3F25D" w14:textId="77777777" w:rsidR="00E94E09" w:rsidRDefault="00E94E09" w:rsidP="00D5449C">
            <w:pPr>
              <w:rPr>
                <w:rFonts w:ascii="Palatino Linotype" w:hAnsi="Palatino Linotype" w:cs="Calibri"/>
                <w:color w:val="000000"/>
                <w:sz w:val="20"/>
                <w:szCs w:val="20"/>
              </w:rPr>
            </w:pPr>
          </w:p>
        </w:tc>
        <w:tc>
          <w:tcPr>
            <w:tcW w:w="995" w:type="dxa"/>
            <w:tcBorders>
              <w:top w:val="nil"/>
              <w:left w:val="nil"/>
              <w:bottom w:val="single" w:sz="4" w:space="0" w:color="auto"/>
              <w:right w:val="nil"/>
            </w:tcBorders>
            <w:shd w:val="clear" w:color="auto" w:fill="auto"/>
            <w:noWrap/>
            <w:vAlign w:val="bottom"/>
            <w:hideMark/>
          </w:tcPr>
          <w:p w14:paraId="1365D485"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R</w:t>
            </w:r>
          </w:p>
        </w:tc>
        <w:tc>
          <w:tcPr>
            <w:tcW w:w="1277" w:type="dxa"/>
            <w:tcBorders>
              <w:top w:val="nil"/>
              <w:left w:val="nil"/>
              <w:bottom w:val="single" w:sz="4" w:space="0" w:color="auto"/>
              <w:right w:val="nil"/>
            </w:tcBorders>
            <w:shd w:val="clear" w:color="auto" w:fill="auto"/>
            <w:vAlign w:val="bottom"/>
            <w:hideMark/>
          </w:tcPr>
          <w:p w14:paraId="4496BA06"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0.6299</w:t>
            </w:r>
          </w:p>
        </w:tc>
        <w:tc>
          <w:tcPr>
            <w:tcW w:w="1198" w:type="dxa"/>
            <w:tcBorders>
              <w:top w:val="nil"/>
              <w:left w:val="nil"/>
              <w:bottom w:val="single" w:sz="4" w:space="0" w:color="auto"/>
              <w:right w:val="nil"/>
            </w:tcBorders>
            <w:shd w:val="clear" w:color="auto" w:fill="auto"/>
            <w:vAlign w:val="bottom"/>
            <w:hideMark/>
          </w:tcPr>
          <w:p w14:paraId="656B4B7F"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0.7595</w:t>
            </w:r>
          </w:p>
        </w:tc>
        <w:tc>
          <w:tcPr>
            <w:tcW w:w="1198" w:type="dxa"/>
            <w:tcBorders>
              <w:top w:val="nil"/>
              <w:left w:val="nil"/>
              <w:bottom w:val="single" w:sz="4" w:space="0" w:color="auto"/>
              <w:right w:val="nil"/>
            </w:tcBorders>
            <w:shd w:val="clear" w:color="auto" w:fill="auto"/>
            <w:vAlign w:val="bottom"/>
            <w:hideMark/>
          </w:tcPr>
          <w:p w14:paraId="603C46BD"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0.5395</w:t>
            </w:r>
          </w:p>
        </w:tc>
        <w:tc>
          <w:tcPr>
            <w:tcW w:w="1196" w:type="dxa"/>
            <w:tcBorders>
              <w:top w:val="nil"/>
              <w:left w:val="nil"/>
              <w:bottom w:val="single" w:sz="4" w:space="0" w:color="auto"/>
              <w:right w:val="nil"/>
            </w:tcBorders>
            <w:shd w:val="clear" w:color="auto" w:fill="auto"/>
            <w:vAlign w:val="bottom"/>
            <w:hideMark/>
          </w:tcPr>
          <w:p w14:paraId="0372A751"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0.6108</w:t>
            </w:r>
          </w:p>
        </w:tc>
        <w:tc>
          <w:tcPr>
            <w:tcW w:w="1195" w:type="dxa"/>
            <w:tcBorders>
              <w:top w:val="nil"/>
              <w:left w:val="nil"/>
              <w:bottom w:val="single" w:sz="4" w:space="0" w:color="auto"/>
              <w:right w:val="nil"/>
            </w:tcBorders>
            <w:shd w:val="clear" w:color="auto" w:fill="auto"/>
            <w:vAlign w:val="bottom"/>
            <w:hideMark/>
          </w:tcPr>
          <w:p w14:paraId="60897C0E"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0.5480</w:t>
            </w:r>
          </w:p>
        </w:tc>
      </w:tr>
      <w:tr w:rsidR="00E94E09" w14:paraId="7A989D62" w14:textId="77777777" w:rsidTr="00D5449C">
        <w:trPr>
          <w:trHeight w:val="320"/>
          <w:jc w:val="right"/>
        </w:trPr>
        <w:tc>
          <w:tcPr>
            <w:tcW w:w="1461" w:type="dxa"/>
            <w:vMerge w:val="restart"/>
            <w:tcBorders>
              <w:top w:val="nil"/>
              <w:left w:val="nil"/>
              <w:bottom w:val="single" w:sz="8" w:space="0" w:color="000000"/>
              <w:right w:val="nil"/>
            </w:tcBorders>
            <w:shd w:val="clear" w:color="auto" w:fill="auto"/>
            <w:noWrap/>
            <w:vAlign w:val="center"/>
            <w:hideMark/>
          </w:tcPr>
          <w:p w14:paraId="7B97D2C5"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P vs CO</w:t>
            </w:r>
            <w:r w:rsidRPr="00E12096">
              <w:rPr>
                <w:rFonts w:ascii="Palatino Linotype" w:hAnsi="Palatino Linotype" w:cs="Calibri"/>
                <w:color w:val="000000"/>
                <w:sz w:val="20"/>
                <w:szCs w:val="20"/>
                <w:vertAlign w:val="subscript"/>
              </w:rPr>
              <w:t>2</w:t>
            </w:r>
          </w:p>
        </w:tc>
        <w:tc>
          <w:tcPr>
            <w:tcW w:w="995" w:type="dxa"/>
            <w:tcBorders>
              <w:top w:val="nil"/>
              <w:left w:val="nil"/>
              <w:bottom w:val="single" w:sz="4" w:space="0" w:color="auto"/>
              <w:right w:val="nil"/>
            </w:tcBorders>
            <w:shd w:val="clear" w:color="auto" w:fill="auto"/>
            <w:noWrap/>
            <w:vAlign w:val="center"/>
            <w:hideMark/>
          </w:tcPr>
          <w:p w14:paraId="0A7DCD4D"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Epoch</w:t>
            </w:r>
          </w:p>
        </w:tc>
        <w:tc>
          <w:tcPr>
            <w:tcW w:w="1277" w:type="dxa"/>
            <w:tcBorders>
              <w:top w:val="nil"/>
              <w:left w:val="nil"/>
              <w:bottom w:val="single" w:sz="4" w:space="0" w:color="auto"/>
              <w:right w:val="nil"/>
            </w:tcBorders>
            <w:shd w:val="clear" w:color="auto" w:fill="auto"/>
            <w:vAlign w:val="center"/>
            <w:hideMark/>
          </w:tcPr>
          <w:p w14:paraId="1739AE82"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12</w:t>
            </w:r>
          </w:p>
        </w:tc>
        <w:tc>
          <w:tcPr>
            <w:tcW w:w="1198" w:type="dxa"/>
            <w:tcBorders>
              <w:top w:val="nil"/>
              <w:left w:val="nil"/>
              <w:bottom w:val="single" w:sz="4" w:space="0" w:color="auto"/>
              <w:right w:val="nil"/>
            </w:tcBorders>
            <w:shd w:val="clear" w:color="auto" w:fill="auto"/>
            <w:vAlign w:val="center"/>
            <w:hideMark/>
          </w:tcPr>
          <w:p w14:paraId="1AE87929"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8</w:t>
            </w:r>
          </w:p>
        </w:tc>
        <w:tc>
          <w:tcPr>
            <w:tcW w:w="1198" w:type="dxa"/>
            <w:tcBorders>
              <w:top w:val="nil"/>
              <w:left w:val="nil"/>
              <w:bottom w:val="single" w:sz="4" w:space="0" w:color="auto"/>
              <w:right w:val="nil"/>
            </w:tcBorders>
            <w:shd w:val="clear" w:color="auto" w:fill="auto"/>
            <w:vAlign w:val="center"/>
            <w:hideMark/>
          </w:tcPr>
          <w:p w14:paraId="637CDBC1"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12</w:t>
            </w:r>
          </w:p>
        </w:tc>
        <w:tc>
          <w:tcPr>
            <w:tcW w:w="1196" w:type="dxa"/>
            <w:tcBorders>
              <w:top w:val="nil"/>
              <w:left w:val="nil"/>
              <w:bottom w:val="single" w:sz="4" w:space="0" w:color="auto"/>
              <w:right w:val="nil"/>
            </w:tcBorders>
            <w:shd w:val="clear" w:color="auto" w:fill="auto"/>
            <w:vAlign w:val="center"/>
            <w:hideMark/>
          </w:tcPr>
          <w:p w14:paraId="48076E5A"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78</w:t>
            </w:r>
          </w:p>
        </w:tc>
        <w:tc>
          <w:tcPr>
            <w:tcW w:w="1195" w:type="dxa"/>
            <w:tcBorders>
              <w:top w:val="nil"/>
              <w:left w:val="nil"/>
              <w:bottom w:val="single" w:sz="4" w:space="0" w:color="auto"/>
              <w:right w:val="nil"/>
            </w:tcBorders>
            <w:shd w:val="clear" w:color="auto" w:fill="auto"/>
            <w:vAlign w:val="center"/>
            <w:hideMark/>
          </w:tcPr>
          <w:p w14:paraId="60215A78"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41</w:t>
            </w:r>
          </w:p>
        </w:tc>
      </w:tr>
      <w:tr w:rsidR="00E94E09" w14:paraId="2188AC5B" w14:textId="77777777" w:rsidTr="00D5449C">
        <w:trPr>
          <w:trHeight w:val="320"/>
          <w:jc w:val="right"/>
        </w:trPr>
        <w:tc>
          <w:tcPr>
            <w:tcW w:w="1461" w:type="dxa"/>
            <w:vMerge/>
            <w:tcBorders>
              <w:top w:val="nil"/>
              <w:left w:val="nil"/>
              <w:bottom w:val="single" w:sz="8" w:space="0" w:color="000000"/>
              <w:right w:val="nil"/>
            </w:tcBorders>
            <w:vAlign w:val="center"/>
            <w:hideMark/>
          </w:tcPr>
          <w:p w14:paraId="4BDAB91A" w14:textId="77777777" w:rsidR="00E94E09" w:rsidRDefault="00E94E09" w:rsidP="00D5449C">
            <w:pPr>
              <w:rPr>
                <w:rFonts w:ascii="Palatino Linotype" w:hAnsi="Palatino Linotype" w:cs="Calibri"/>
                <w:color w:val="000000"/>
                <w:sz w:val="20"/>
                <w:szCs w:val="20"/>
              </w:rPr>
            </w:pPr>
          </w:p>
        </w:tc>
        <w:tc>
          <w:tcPr>
            <w:tcW w:w="995" w:type="dxa"/>
            <w:tcBorders>
              <w:top w:val="nil"/>
              <w:left w:val="nil"/>
              <w:bottom w:val="nil"/>
              <w:right w:val="nil"/>
            </w:tcBorders>
            <w:shd w:val="clear" w:color="auto" w:fill="auto"/>
            <w:noWrap/>
            <w:vAlign w:val="center"/>
            <w:hideMark/>
          </w:tcPr>
          <w:p w14:paraId="20FC0811"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MSE</w:t>
            </w:r>
          </w:p>
        </w:tc>
        <w:tc>
          <w:tcPr>
            <w:tcW w:w="1277" w:type="dxa"/>
            <w:tcBorders>
              <w:top w:val="nil"/>
              <w:left w:val="nil"/>
              <w:bottom w:val="nil"/>
              <w:right w:val="nil"/>
            </w:tcBorders>
            <w:shd w:val="clear" w:color="auto" w:fill="auto"/>
            <w:vAlign w:val="center"/>
            <w:hideMark/>
          </w:tcPr>
          <w:p w14:paraId="7FCE440C"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0.0037</w:t>
            </w:r>
          </w:p>
        </w:tc>
        <w:tc>
          <w:tcPr>
            <w:tcW w:w="1198" w:type="dxa"/>
            <w:tcBorders>
              <w:top w:val="nil"/>
              <w:left w:val="nil"/>
              <w:bottom w:val="nil"/>
              <w:right w:val="nil"/>
            </w:tcBorders>
            <w:shd w:val="clear" w:color="auto" w:fill="auto"/>
            <w:vAlign w:val="center"/>
            <w:hideMark/>
          </w:tcPr>
          <w:p w14:paraId="27157254"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0.0011</w:t>
            </w:r>
          </w:p>
        </w:tc>
        <w:tc>
          <w:tcPr>
            <w:tcW w:w="1198" w:type="dxa"/>
            <w:tcBorders>
              <w:top w:val="nil"/>
              <w:left w:val="nil"/>
              <w:bottom w:val="nil"/>
              <w:right w:val="nil"/>
            </w:tcBorders>
            <w:shd w:val="clear" w:color="auto" w:fill="auto"/>
            <w:vAlign w:val="center"/>
            <w:hideMark/>
          </w:tcPr>
          <w:p w14:paraId="7CCFBEA1"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0.001</w:t>
            </w:r>
          </w:p>
        </w:tc>
        <w:tc>
          <w:tcPr>
            <w:tcW w:w="1196" w:type="dxa"/>
            <w:tcBorders>
              <w:top w:val="nil"/>
              <w:left w:val="nil"/>
              <w:bottom w:val="nil"/>
              <w:right w:val="nil"/>
            </w:tcBorders>
            <w:shd w:val="clear" w:color="auto" w:fill="auto"/>
            <w:vAlign w:val="center"/>
            <w:hideMark/>
          </w:tcPr>
          <w:p w14:paraId="48D11695"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0.0018</w:t>
            </w:r>
          </w:p>
        </w:tc>
        <w:tc>
          <w:tcPr>
            <w:tcW w:w="1195" w:type="dxa"/>
            <w:tcBorders>
              <w:top w:val="nil"/>
              <w:left w:val="nil"/>
              <w:bottom w:val="nil"/>
              <w:right w:val="nil"/>
            </w:tcBorders>
            <w:shd w:val="clear" w:color="auto" w:fill="auto"/>
            <w:vAlign w:val="center"/>
            <w:hideMark/>
          </w:tcPr>
          <w:p w14:paraId="185C21C8"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0.0018</w:t>
            </w:r>
          </w:p>
        </w:tc>
      </w:tr>
      <w:tr w:rsidR="00E94E09" w14:paraId="5CBF437B" w14:textId="77777777" w:rsidTr="00D5449C">
        <w:trPr>
          <w:trHeight w:val="340"/>
          <w:jc w:val="right"/>
        </w:trPr>
        <w:tc>
          <w:tcPr>
            <w:tcW w:w="1461" w:type="dxa"/>
            <w:vMerge/>
            <w:tcBorders>
              <w:top w:val="nil"/>
              <w:left w:val="nil"/>
              <w:bottom w:val="single" w:sz="8" w:space="0" w:color="000000"/>
              <w:right w:val="nil"/>
            </w:tcBorders>
            <w:vAlign w:val="center"/>
            <w:hideMark/>
          </w:tcPr>
          <w:p w14:paraId="1348E977" w14:textId="77777777" w:rsidR="00E94E09" w:rsidRDefault="00E94E09" w:rsidP="00D5449C">
            <w:pPr>
              <w:rPr>
                <w:rFonts w:ascii="Palatino Linotype" w:hAnsi="Palatino Linotype" w:cs="Calibri"/>
                <w:color w:val="000000"/>
                <w:sz w:val="20"/>
                <w:szCs w:val="20"/>
              </w:rPr>
            </w:pPr>
          </w:p>
        </w:tc>
        <w:tc>
          <w:tcPr>
            <w:tcW w:w="995" w:type="dxa"/>
            <w:tcBorders>
              <w:top w:val="nil"/>
              <w:left w:val="nil"/>
              <w:bottom w:val="single" w:sz="8" w:space="0" w:color="auto"/>
              <w:right w:val="nil"/>
            </w:tcBorders>
            <w:shd w:val="clear" w:color="auto" w:fill="auto"/>
            <w:noWrap/>
            <w:vAlign w:val="center"/>
            <w:hideMark/>
          </w:tcPr>
          <w:p w14:paraId="6F313BDD"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R</w:t>
            </w:r>
          </w:p>
        </w:tc>
        <w:tc>
          <w:tcPr>
            <w:tcW w:w="1277" w:type="dxa"/>
            <w:tcBorders>
              <w:top w:val="nil"/>
              <w:left w:val="nil"/>
              <w:bottom w:val="single" w:sz="8" w:space="0" w:color="auto"/>
              <w:right w:val="nil"/>
            </w:tcBorders>
            <w:shd w:val="clear" w:color="auto" w:fill="auto"/>
            <w:vAlign w:val="center"/>
            <w:hideMark/>
          </w:tcPr>
          <w:p w14:paraId="4ED291FC"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0.2552</w:t>
            </w:r>
          </w:p>
        </w:tc>
        <w:tc>
          <w:tcPr>
            <w:tcW w:w="1198" w:type="dxa"/>
            <w:tcBorders>
              <w:top w:val="nil"/>
              <w:left w:val="nil"/>
              <w:bottom w:val="single" w:sz="8" w:space="0" w:color="auto"/>
              <w:right w:val="nil"/>
            </w:tcBorders>
            <w:shd w:val="clear" w:color="auto" w:fill="auto"/>
            <w:vAlign w:val="center"/>
            <w:hideMark/>
          </w:tcPr>
          <w:p w14:paraId="7F373E65"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0.837</w:t>
            </w:r>
          </w:p>
        </w:tc>
        <w:tc>
          <w:tcPr>
            <w:tcW w:w="1198" w:type="dxa"/>
            <w:tcBorders>
              <w:top w:val="nil"/>
              <w:left w:val="nil"/>
              <w:bottom w:val="single" w:sz="8" w:space="0" w:color="auto"/>
              <w:right w:val="nil"/>
            </w:tcBorders>
            <w:shd w:val="clear" w:color="auto" w:fill="auto"/>
            <w:vAlign w:val="center"/>
            <w:hideMark/>
          </w:tcPr>
          <w:p w14:paraId="05619E55"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0.4603</w:t>
            </w:r>
          </w:p>
        </w:tc>
        <w:tc>
          <w:tcPr>
            <w:tcW w:w="1196" w:type="dxa"/>
            <w:tcBorders>
              <w:top w:val="nil"/>
              <w:left w:val="nil"/>
              <w:bottom w:val="single" w:sz="8" w:space="0" w:color="auto"/>
              <w:right w:val="nil"/>
            </w:tcBorders>
            <w:shd w:val="clear" w:color="auto" w:fill="auto"/>
            <w:vAlign w:val="center"/>
            <w:hideMark/>
          </w:tcPr>
          <w:p w14:paraId="0D03DD1A"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0.196</w:t>
            </w:r>
          </w:p>
        </w:tc>
        <w:tc>
          <w:tcPr>
            <w:tcW w:w="1195" w:type="dxa"/>
            <w:tcBorders>
              <w:top w:val="nil"/>
              <w:left w:val="nil"/>
              <w:bottom w:val="single" w:sz="8" w:space="0" w:color="auto"/>
              <w:right w:val="nil"/>
            </w:tcBorders>
            <w:shd w:val="clear" w:color="auto" w:fill="auto"/>
            <w:vAlign w:val="center"/>
            <w:hideMark/>
          </w:tcPr>
          <w:p w14:paraId="6845E717" w14:textId="77777777" w:rsidR="00E94E09" w:rsidRDefault="00E94E09" w:rsidP="00D5449C">
            <w:pPr>
              <w:jc w:val="center"/>
              <w:rPr>
                <w:rFonts w:ascii="Palatino Linotype" w:hAnsi="Palatino Linotype" w:cs="Calibri"/>
                <w:color w:val="000000"/>
                <w:sz w:val="20"/>
                <w:szCs w:val="20"/>
              </w:rPr>
            </w:pPr>
            <w:r>
              <w:rPr>
                <w:rFonts w:ascii="Palatino Linotype" w:hAnsi="Palatino Linotype" w:cs="Calibri"/>
                <w:color w:val="000000"/>
                <w:sz w:val="20"/>
                <w:szCs w:val="20"/>
              </w:rPr>
              <w:t>0.0462</w:t>
            </w:r>
          </w:p>
        </w:tc>
      </w:tr>
    </w:tbl>
    <w:p w14:paraId="6CC60859" w14:textId="77777777" w:rsidR="001F3FFE" w:rsidRDefault="001F3FFE" w:rsidP="00E12096">
      <w:pPr>
        <w:pStyle w:val="MDPI31text"/>
        <w:rPr>
          <w:color w:val="000000" w:themeColor="text1"/>
        </w:rPr>
      </w:pPr>
    </w:p>
    <w:p w14:paraId="371F9EF7" w14:textId="77777777" w:rsidR="00E94E09" w:rsidRDefault="00E12096" w:rsidP="00E94E09">
      <w:pPr>
        <w:pStyle w:val="MDPI31text"/>
        <w:rPr>
          <w:color w:val="000000" w:themeColor="text1"/>
        </w:rPr>
      </w:pPr>
      <w:r w:rsidRPr="00E12096">
        <w:rPr>
          <w:color w:val="000000" w:themeColor="text1"/>
        </w:rPr>
        <w:t>The activation of ACUs in offices has a modest impact on the levels of CO</w:t>
      </w:r>
      <w:r w:rsidRPr="00E12096">
        <w:rPr>
          <w:color w:val="000000" w:themeColor="text1"/>
          <w:vertAlign w:val="subscript"/>
        </w:rPr>
        <w:t>2</w:t>
      </w:r>
      <w:r w:rsidRPr="00E12096">
        <w:rPr>
          <w:color w:val="000000" w:themeColor="text1"/>
        </w:rPr>
        <w:t>, as indicated by the weak linear connection (R) observed during training and testing (0.0462 to 0.2151)</w:t>
      </w:r>
      <w:r>
        <w:rPr>
          <w:color w:val="000000" w:themeColor="text1"/>
        </w:rPr>
        <w:t>.</w:t>
      </w:r>
      <w:r w:rsidRPr="00E12096">
        <w:t xml:space="preserve"> </w:t>
      </w:r>
      <w:r w:rsidRPr="00E12096">
        <w:rPr>
          <w:color w:val="000000" w:themeColor="text1"/>
        </w:rPr>
        <w:t xml:space="preserve">This </w:t>
      </w:r>
      <w:r>
        <w:rPr>
          <w:color w:val="000000" w:themeColor="text1"/>
        </w:rPr>
        <w:t xml:space="preserve">is </w:t>
      </w:r>
      <w:r w:rsidRPr="00E12096">
        <w:rPr>
          <w:color w:val="000000" w:themeColor="text1"/>
        </w:rPr>
        <w:t>ascribed to a finite number of individuals and a restricted range of human activities within the room</w:t>
      </w:r>
      <w:r>
        <w:rPr>
          <w:color w:val="000000" w:themeColor="text1"/>
        </w:rPr>
        <w:t xml:space="preserve">, and </w:t>
      </w:r>
      <w:r w:rsidRPr="00E12096">
        <w:rPr>
          <w:color w:val="000000" w:themeColor="text1"/>
        </w:rPr>
        <w:t xml:space="preserve">demonstrated in the context of educational spaces, such as </w:t>
      </w:r>
      <w:r w:rsidRPr="00E12096">
        <w:rPr>
          <w:color w:val="000000" w:themeColor="text1"/>
        </w:rPr>
        <w:lastRenderedPageBreak/>
        <w:t>laboratory and computer rooms. The CO</w:t>
      </w:r>
      <w:r w:rsidRPr="00E12096">
        <w:rPr>
          <w:color w:val="000000" w:themeColor="text1"/>
          <w:vertAlign w:val="subscript"/>
        </w:rPr>
        <w:t>2</w:t>
      </w:r>
      <w:r w:rsidRPr="00E12096">
        <w:rPr>
          <w:color w:val="000000" w:themeColor="text1"/>
        </w:rPr>
        <w:t xml:space="preserve"> levels at a training and testing correlation coefficients ranging from 0.4603 to 0.8370 have been significantly influenced by the presence of electrical appliances, varying occupancy rate, and human activities. The model performances were achieved after eight and ten iterations, respectively, during six validation checks.</w:t>
      </w:r>
      <w:r>
        <w:rPr>
          <w:color w:val="000000" w:themeColor="text1"/>
        </w:rPr>
        <w:t xml:space="preserve"> </w:t>
      </w:r>
      <w:r w:rsidR="00E94E09">
        <w:rPr>
          <w:color w:val="000000" w:themeColor="text1"/>
        </w:rPr>
        <w:t>Details of the model’s hyperparameter, training, and validation performances are provided in the Supplemental Data (Supplemental Tables S7 to S9).</w:t>
      </w:r>
    </w:p>
    <w:p w14:paraId="5E956EBB" w14:textId="532245AB" w:rsidR="00E94E09" w:rsidRDefault="00E94E09" w:rsidP="00E12096">
      <w:pPr>
        <w:pStyle w:val="MDPI31text"/>
        <w:rPr>
          <w:color w:val="000000" w:themeColor="text1"/>
        </w:rPr>
      </w:pPr>
    </w:p>
    <w:p w14:paraId="29E09849" w14:textId="53F4C769" w:rsidR="00DD4F5D" w:rsidRPr="00325902" w:rsidRDefault="00DD4F5D" w:rsidP="00DD4F5D">
      <w:pPr>
        <w:pStyle w:val="MDPI21heading1"/>
      </w:pPr>
      <w:r w:rsidRPr="00325902">
        <w:t>4. Discussion</w:t>
      </w:r>
    </w:p>
    <w:p w14:paraId="21D56603" w14:textId="6186D1DE" w:rsidR="0027272C" w:rsidRDefault="00310C94" w:rsidP="0027272C">
      <w:pPr>
        <w:pStyle w:val="MDPI31text"/>
        <w:rPr>
          <w:color w:val="000000" w:themeColor="text1"/>
        </w:rPr>
      </w:pPr>
      <w:r w:rsidRPr="00310C94">
        <w:rPr>
          <w:color w:val="000000" w:themeColor="text1"/>
        </w:rPr>
        <w:t>The positioning of the sensors, both in terms of their distance from the ACU and the ceiling, influenced the regression analysis values for each parameter in each room. The generated model was based on the optimal test metrics obtained from both the curve fitting and neural network fitting procedure</w:t>
      </w:r>
      <w:r w:rsidR="00E12096">
        <w:rPr>
          <w:color w:val="000000" w:themeColor="text1"/>
        </w:rPr>
        <w:t xml:space="preserve"> after</w:t>
      </w:r>
      <w:r w:rsidRPr="00310C94">
        <w:rPr>
          <w:color w:val="000000" w:themeColor="text1"/>
        </w:rPr>
        <w:t xml:space="preserve"> numerous adjustments made to the parameters, datasets, and conditions. These adjustments were made </w:t>
      </w:r>
      <w:r w:rsidR="0064563E" w:rsidRPr="00310C94">
        <w:rPr>
          <w:color w:val="000000" w:themeColor="text1"/>
        </w:rPr>
        <w:t>to</w:t>
      </w:r>
      <w:r w:rsidRPr="00310C94">
        <w:rPr>
          <w:color w:val="000000" w:themeColor="text1"/>
        </w:rPr>
        <w:t xml:space="preserve"> obtain the most accurate model for describing the relationship between cooling unit power consumption and indoor temperature, humidity, and CO</w:t>
      </w:r>
      <w:r w:rsidRPr="003610E4">
        <w:rPr>
          <w:color w:val="000000" w:themeColor="text1"/>
          <w:vertAlign w:val="subscript"/>
        </w:rPr>
        <w:t>2</w:t>
      </w:r>
      <w:r w:rsidRPr="00310C94">
        <w:rPr>
          <w:color w:val="000000" w:themeColor="text1"/>
        </w:rPr>
        <w:t xml:space="preserve"> levels. The monitoring devices that yielded the most accurate model fit for dry bulb temperature were the ones placed near the entrance door, at </w:t>
      </w:r>
      <w:r w:rsidR="0064563E" w:rsidRPr="00310C94">
        <w:rPr>
          <w:color w:val="000000" w:themeColor="text1"/>
        </w:rPr>
        <w:t>3m</w:t>
      </w:r>
      <w:r w:rsidRPr="00310C94">
        <w:rPr>
          <w:color w:val="000000" w:themeColor="text1"/>
        </w:rPr>
        <w:t xml:space="preserve">, and farther away from the ACU vent, at </w:t>
      </w:r>
      <w:r w:rsidR="0064563E" w:rsidRPr="00310C94">
        <w:rPr>
          <w:color w:val="000000" w:themeColor="text1"/>
        </w:rPr>
        <w:t>5m</w:t>
      </w:r>
      <w:r w:rsidRPr="00310C94">
        <w:rPr>
          <w:color w:val="000000" w:themeColor="text1"/>
        </w:rPr>
        <w:t>. The monitoring sensors positioned near the cooling vent yielded more accurate results for humidity compared to those installed further away from the vent. The CO</w:t>
      </w:r>
      <w:r w:rsidRPr="003610E4">
        <w:rPr>
          <w:color w:val="000000" w:themeColor="text1"/>
          <w:vertAlign w:val="subscript"/>
        </w:rPr>
        <w:t>2</w:t>
      </w:r>
      <w:r w:rsidRPr="00310C94">
        <w:rPr>
          <w:color w:val="000000" w:themeColor="text1"/>
        </w:rPr>
        <w:t xml:space="preserve"> levels measured near the door exhibited considerable variations, leading to the development of a model that accurately depicts the changes in CO</w:t>
      </w:r>
      <w:r w:rsidRPr="003A6228">
        <w:rPr>
          <w:color w:val="000000" w:themeColor="text1"/>
          <w:vertAlign w:val="subscript"/>
        </w:rPr>
        <w:t>2</w:t>
      </w:r>
      <w:r w:rsidRPr="00310C94">
        <w:rPr>
          <w:color w:val="000000" w:themeColor="text1"/>
        </w:rPr>
        <w:t xml:space="preserve"> levels as the room cools down. The monitoring boxes are installed at </w:t>
      </w:r>
      <w:r w:rsidR="0064563E" w:rsidRPr="00310C94">
        <w:rPr>
          <w:color w:val="000000" w:themeColor="text1"/>
        </w:rPr>
        <w:t>50cm</w:t>
      </w:r>
      <w:r w:rsidRPr="00310C94">
        <w:rPr>
          <w:color w:val="000000" w:themeColor="text1"/>
        </w:rPr>
        <w:t xml:space="preserve"> below the ceiling. Adopting a more empirical method to determine the effects of sensor placements can enhance the accuracy of the model and provide valuable insights into the characteristics of data outliers.</w:t>
      </w:r>
      <w:r w:rsidR="004033E5">
        <w:rPr>
          <w:color w:val="000000" w:themeColor="text1"/>
        </w:rPr>
        <w:t xml:space="preserve"> </w:t>
      </w:r>
      <w:r w:rsidR="009F06B8">
        <w:rPr>
          <w:color w:val="000000" w:themeColor="text1"/>
        </w:rPr>
        <w:t xml:space="preserve">In the paper of </w:t>
      </w:r>
      <w:r w:rsidR="00E67C20">
        <w:rPr>
          <w:color w:val="000000" w:themeColor="text1"/>
        </w:rPr>
        <w:fldChar w:fldCharType="begin"/>
      </w:r>
      <w:r w:rsidR="00E67C20">
        <w:rPr>
          <w:color w:val="000000" w:themeColor="text1"/>
        </w:rPr>
        <w:instrText xml:space="preserve"> ADDIN ZOTERO_ITEM CSL_CITATION {"citationID":"onlvA3sv","properties":{"formattedCitation":"[29]","plainCitation":"[29]","noteIndex":0},"citationItems":[{"id":442,"uris":["http://zotero.org/users/13681048/items/FGMXNDDZ"],"itemData":{"id":442,"type":"article-journal","abstract":"Evaluating the thermal environment and thermal comfort in an air-conditioned room is an essential for estimating the performance of air-conditioning systems. However, multiple component structures and control-related parameters often lead to a long test cycle and large number of tests, significantly affecting the testing efficiency and speed. To address these problems, in this study, a data-mining method was proposed to predict and evaluate the thermal environment of an air-conditioned room. Owing to the limited amount of experimental data, the sample data were expanded by the simulation data of a collaborative platform between the air-conditioning system and air-conditioned room. Data-mining models, including the support vector regression (SVR), backpropagation (BP), and multiple linear regression (MLR) models, were developed and achieved good accuracy in evaluating the thermal environment by considering air-conditioning systems with various structures and control parameters. In the multiple-input single-output evaluation method, the prediction accuracy of the SVR model was higher than those of the BP and MLR models with respect to the vertical air temperature difference, temperature uniformity, temperature drop rate, and draft rate, while the result was the opposite in terms of the predicted mean vote indices. In the multiple-input multiple-output evaluation method, there was a decline in prediction accuracy and an increase in efficiency prediction compared with multiple-input single-output evaluation.","container-title":"International Journal of Air-Conditioning and Refrigeration","DOI":"10.1007/s44189-023-00020-0","ISSN":"2010-1333","issue":"1","journalAbbreviation":"Int. J. Air-Cond. Ref.","language":"en","page":"4","source":"Springer Link","title":"Evaluation of thermal comfort in air-conditioned rooms based on structure/control-related parameters and data-mining method","volume":"31","author":[{"family":"Zhao","given":"Shunan"},{"family":"He","given":"Lin"},{"family":"Wu","given":"Xin"},{"family":"Xu","given":"Guowen"},{"family":"Xie","given":"Junlong"},{"family":"Cai","given":"Shanshan"}],"issued":{"date-parts":[["2023",2,8]]}}}],"schema":"https://github.com/citation-style-language/schema/raw/master/csl-citation.json"} </w:instrText>
      </w:r>
      <w:r w:rsidR="00E67C20">
        <w:rPr>
          <w:color w:val="000000" w:themeColor="text1"/>
        </w:rPr>
        <w:fldChar w:fldCharType="separate"/>
      </w:r>
      <w:r w:rsidR="00E67C20">
        <w:rPr>
          <w:noProof/>
          <w:color w:val="000000" w:themeColor="text1"/>
        </w:rPr>
        <w:t>[29]</w:t>
      </w:r>
      <w:r w:rsidR="00E67C20">
        <w:rPr>
          <w:color w:val="000000" w:themeColor="text1"/>
        </w:rPr>
        <w:fldChar w:fldCharType="end"/>
      </w:r>
      <w:r w:rsidR="00E67C20">
        <w:rPr>
          <w:color w:val="000000" w:themeColor="text1"/>
        </w:rPr>
        <w:t xml:space="preserve">, </w:t>
      </w:r>
      <w:r w:rsidR="00EF66F7">
        <w:rPr>
          <w:color w:val="000000" w:themeColor="text1"/>
        </w:rPr>
        <w:t>the test setup</w:t>
      </w:r>
      <w:r w:rsidR="008952E9">
        <w:rPr>
          <w:color w:val="000000" w:themeColor="text1"/>
        </w:rPr>
        <w:t xml:space="preserve"> includes </w:t>
      </w:r>
      <w:r w:rsidR="00F17730">
        <w:rPr>
          <w:color w:val="000000" w:themeColor="text1"/>
        </w:rPr>
        <w:t>147 testing points</w:t>
      </w:r>
      <w:r w:rsidR="00545155">
        <w:rPr>
          <w:color w:val="000000" w:themeColor="text1"/>
        </w:rPr>
        <w:t xml:space="preserve"> </w:t>
      </w:r>
      <w:r w:rsidR="005B4265">
        <w:rPr>
          <w:color w:val="000000" w:themeColor="text1"/>
        </w:rPr>
        <w:t xml:space="preserve">for the temperature </w:t>
      </w:r>
      <w:r w:rsidR="00545155">
        <w:rPr>
          <w:color w:val="000000" w:themeColor="text1"/>
        </w:rPr>
        <w:t>to calculate the thermal comfort level of the room</w:t>
      </w:r>
      <w:r w:rsidR="001D638A">
        <w:rPr>
          <w:color w:val="000000" w:themeColor="text1"/>
        </w:rPr>
        <w:t>.</w:t>
      </w:r>
    </w:p>
    <w:p w14:paraId="59608552" w14:textId="1F20789D" w:rsidR="00BB02FE" w:rsidRDefault="00310C94" w:rsidP="000F2CDC">
      <w:pPr>
        <w:pStyle w:val="MDPI31text"/>
        <w:ind w:firstLine="510"/>
        <w:rPr>
          <w:color w:val="000000" w:themeColor="text1"/>
        </w:rPr>
      </w:pPr>
      <w:r w:rsidRPr="00310C94">
        <w:rPr>
          <w:color w:val="000000" w:themeColor="text1"/>
        </w:rPr>
        <w:t>Excluding the controllable parameters that influence data quality, the derived models were utilized to calculate the steady-state power consumption of each room under stable conditions (namely, dry bulb temperature, relative humidity, and CO</w:t>
      </w:r>
      <w:r w:rsidRPr="003610E4">
        <w:rPr>
          <w:color w:val="000000" w:themeColor="text1"/>
          <w:vertAlign w:val="subscript"/>
        </w:rPr>
        <w:t>2</w:t>
      </w:r>
      <w:r w:rsidRPr="00310C94">
        <w:rPr>
          <w:color w:val="000000" w:themeColor="text1"/>
        </w:rPr>
        <w:t xml:space="preserve"> levels). </w:t>
      </w:r>
      <w:r w:rsidR="003F7AAC">
        <w:rPr>
          <w:color w:val="000000" w:themeColor="text1"/>
        </w:rPr>
        <w:t>This employs</w:t>
      </w:r>
      <w:r w:rsidR="00E12096" w:rsidRPr="00310C94">
        <w:rPr>
          <w:color w:val="000000" w:themeColor="text1"/>
        </w:rPr>
        <w:t xml:space="preserve"> </w:t>
      </w:r>
      <w:r w:rsidR="003F7AAC">
        <w:rPr>
          <w:color w:val="000000" w:themeColor="text1"/>
        </w:rPr>
        <w:t xml:space="preserve">calculation of </w:t>
      </w:r>
      <w:r w:rsidR="00E12096" w:rsidRPr="00310C94">
        <w:rPr>
          <w:color w:val="000000" w:themeColor="text1"/>
        </w:rPr>
        <w:t>the average and standard deviation of predictor values (temperature, humidity, and CO</w:t>
      </w:r>
      <w:r w:rsidR="00E12096" w:rsidRPr="003610E4">
        <w:rPr>
          <w:color w:val="000000" w:themeColor="text1"/>
          <w:vertAlign w:val="subscript"/>
        </w:rPr>
        <w:t>2</w:t>
      </w:r>
      <w:r w:rsidR="00E12096" w:rsidRPr="00310C94">
        <w:rPr>
          <w:color w:val="000000" w:themeColor="text1"/>
        </w:rPr>
        <w:t xml:space="preserve"> levels) and power data over a moving time window using statistical analysis. The </w:t>
      </w:r>
      <w:r w:rsidR="00AA176F">
        <w:rPr>
          <w:color w:val="000000" w:themeColor="text1"/>
        </w:rPr>
        <w:t>MATLAB</w:t>
      </w:r>
      <w:r w:rsidR="00E12096" w:rsidRPr="00310C94">
        <w:rPr>
          <w:color w:val="000000" w:themeColor="text1"/>
        </w:rPr>
        <w:t xml:space="preserve"> script systematically processes data points to calculate the average predictor values throughout a window size. Each window checks if the power data standard deviation, normalized by its mean, is below the stability threshold</w:t>
      </w:r>
      <w:r w:rsidR="00B5596F">
        <w:rPr>
          <w:color w:val="000000" w:themeColor="text1"/>
        </w:rPr>
        <w:t>, as described in Equation 7</w:t>
      </w:r>
      <w:r w:rsidR="00BB24C5">
        <w:rPr>
          <w:color w:val="000000" w:themeColor="text1"/>
        </w:rPr>
        <w:t xml:space="preserve"> and Equation 8</w:t>
      </w:r>
      <w:r w:rsidR="00B5596F">
        <w:rPr>
          <w:color w:val="000000" w:themeColor="text1"/>
        </w:rPr>
        <w:t xml:space="preserve">. </w:t>
      </w:r>
      <w:r w:rsidR="00BB02FE" w:rsidRPr="00310C94">
        <w:rPr>
          <w:color w:val="000000" w:themeColor="text1"/>
        </w:rPr>
        <w:t>When the</w:t>
      </w:r>
      <w:r w:rsidR="00BB02FE">
        <w:rPr>
          <w:color w:val="000000" w:themeColor="text1"/>
        </w:rPr>
        <w:t xml:space="preserve">se ratio of </w:t>
      </w:r>
      <w:r w:rsidR="00BB02FE" w:rsidRPr="00310C94">
        <w:rPr>
          <w:color w:val="000000" w:themeColor="text1"/>
        </w:rPr>
        <w:t>standard deviation</w:t>
      </w:r>
      <w:r w:rsidR="00BB02FE">
        <w:rPr>
          <w:color w:val="000000" w:themeColor="text1"/>
        </w:rPr>
        <w:t xml:space="preserve"> and mean</w:t>
      </w:r>
      <w:r w:rsidR="00BB02FE" w:rsidRPr="00310C94">
        <w:rPr>
          <w:color w:val="000000" w:themeColor="text1"/>
        </w:rPr>
        <w:t xml:space="preserve"> is below the stabilization threshold, </w:t>
      </w:r>
      <w:r w:rsidR="00BB02FE">
        <w:rPr>
          <w:color w:val="000000" w:themeColor="text1"/>
        </w:rPr>
        <w:t xml:space="preserve">stabilization values of </w:t>
      </w:r>
      <w:r w:rsidR="00BB02FE" w:rsidRPr="00310C94">
        <w:rPr>
          <w:color w:val="000000" w:themeColor="text1"/>
        </w:rPr>
        <w:t>power and temperature</w:t>
      </w:r>
      <w:r w:rsidR="00BB02FE">
        <w:rPr>
          <w:color w:val="000000" w:themeColor="text1"/>
        </w:rPr>
        <w:t xml:space="preserve"> (or humidity)</w:t>
      </w:r>
      <w:r w:rsidR="00BB02FE" w:rsidRPr="00310C94">
        <w:rPr>
          <w:color w:val="000000" w:themeColor="text1"/>
        </w:rPr>
        <w:t xml:space="preserve"> </w:t>
      </w:r>
      <w:r w:rsidR="00BB02FE">
        <w:rPr>
          <w:color w:val="000000" w:themeColor="text1"/>
        </w:rPr>
        <w:t>are met, as defined in Equation 9</w:t>
      </w:r>
      <w:r w:rsidR="00BF1376">
        <w:rPr>
          <w:color w:val="000000" w:themeColor="text1"/>
        </w:rPr>
        <w:t xml:space="preserve"> and Equation 10, respectively.</w:t>
      </w:r>
    </w:p>
    <w:p w14:paraId="77767C02" w14:textId="66E78A94" w:rsidR="00B5596F" w:rsidRDefault="00B5596F" w:rsidP="003F7AAC">
      <w:pPr>
        <w:pStyle w:val="MDPI31text"/>
        <w:rPr>
          <w:color w:val="000000" w:themeColor="text1"/>
        </w:rPr>
      </w:pPr>
    </w:p>
    <w:tbl>
      <w:tblPr>
        <w:tblW w:w="8416" w:type="dxa"/>
        <w:tblInd w:w="2613" w:type="dxa"/>
        <w:tblCellMar>
          <w:left w:w="0" w:type="dxa"/>
          <w:right w:w="0" w:type="dxa"/>
        </w:tblCellMar>
        <w:tblLook w:val="04A0" w:firstRow="1" w:lastRow="0" w:firstColumn="1" w:lastColumn="0" w:noHBand="0" w:noVBand="1"/>
      </w:tblPr>
      <w:tblGrid>
        <w:gridCol w:w="7542"/>
        <w:gridCol w:w="437"/>
        <w:gridCol w:w="437"/>
      </w:tblGrid>
      <w:tr w:rsidR="00B5596F" w:rsidRPr="00AA2CDC" w14:paraId="1473EB7C" w14:textId="77777777" w:rsidTr="00A75000">
        <w:trPr>
          <w:gridAfter w:val="1"/>
          <w:wAfter w:w="437" w:type="dxa"/>
          <w:trHeight w:val="143"/>
        </w:trPr>
        <w:tc>
          <w:tcPr>
            <w:tcW w:w="7542" w:type="dxa"/>
          </w:tcPr>
          <w:p w14:paraId="44F21D63" w14:textId="396F0C19" w:rsidR="00B5596F" w:rsidRDefault="00000000" w:rsidP="007B45CC">
            <w:pPr>
              <w:pStyle w:val="MDPI39equation"/>
              <w:ind w:left="0"/>
              <w:rPr>
                <w:color w:val="000000" w:themeColor="text1"/>
              </w:rPr>
            </w:pPr>
            <m:oMathPara>
              <m:oMath>
                <m:f>
                  <m:fPr>
                    <m:ctrlPr>
                      <w:rPr>
                        <w:rFonts w:ascii="Cambria Math" w:hAnsi="Cambria Math"/>
                        <w:color w:val="000000" w:themeColor="text1"/>
                      </w:rPr>
                    </m:ctrlPr>
                  </m:fPr>
                  <m:num>
                    <m:sSub>
                      <m:sSubPr>
                        <m:ctrlPr>
                          <w:rPr>
                            <w:rFonts w:ascii="Cambria Math" w:hAnsi="Cambria Math"/>
                            <w:i/>
                            <w:color w:val="000000" w:themeColor="text1"/>
                          </w:rPr>
                        </m:ctrlPr>
                      </m:sSubPr>
                      <m:e>
                        <m:r>
                          <w:rPr>
                            <w:rFonts w:ascii="Cambria Math" w:hAnsi="Cambria Math"/>
                            <w:color w:val="000000" w:themeColor="text1"/>
                          </w:rPr>
                          <m:t>σ</m:t>
                        </m:r>
                      </m:e>
                      <m:sub>
                        <m:r>
                          <w:rPr>
                            <w:rFonts w:ascii="Cambria Math" w:hAnsi="Cambria Math"/>
                            <w:color w:val="000000" w:themeColor="text1"/>
                          </w:rPr>
                          <m:t>P</m:t>
                        </m:r>
                      </m:sub>
                    </m:sSub>
                    <m:ctrlPr>
                      <w:rPr>
                        <w:rFonts w:ascii="Cambria Math" w:hAnsi="Cambria Math"/>
                        <w:i/>
                        <w:color w:val="000000" w:themeColor="text1"/>
                      </w:rPr>
                    </m:ctrlPr>
                  </m:num>
                  <m:den>
                    <m:sSub>
                      <m:sSubPr>
                        <m:ctrlPr>
                          <w:rPr>
                            <w:rFonts w:ascii="Cambria Math" w:hAnsi="Cambria Math"/>
                            <w:i/>
                            <w:color w:val="000000" w:themeColor="text1"/>
                          </w:rPr>
                        </m:ctrlPr>
                      </m:sSubPr>
                      <m:e>
                        <m:r>
                          <w:rPr>
                            <w:rFonts w:ascii="Cambria Math" w:hAnsi="Cambria Math"/>
                            <w:color w:val="000000" w:themeColor="text1"/>
                          </w:rPr>
                          <m:t>μ</m:t>
                        </m:r>
                        <m:ctrlPr>
                          <w:rPr>
                            <w:rFonts w:ascii="Cambria Math" w:hAnsi="Cambria Math"/>
                            <w:color w:val="000000" w:themeColor="text1"/>
                          </w:rPr>
                        </m:ctrlPr>
                      </m:e>
                      <m:sub>
                        <m:r>
                          <w:rPr>
                            <w:rFonts w:ascii="Cambria Math" w:hAnsi="Cambria Math"/>
                            <w:color w:val="000000" w:themeColor="text1"/>
                          </w:rPr>
                          <m:t>P</m:t>
                        </m:r>
                      </m:sub>
                    </m:sSub>
                  </m:den>
                </m:f>
                <m:r>
                  <w:rPr>
                    <w:rFonts w:ascii="Cambria Math" w:hAnsi="Cambria Math"/>
                    <w:color w:val="000000" w:themeColor="text1"/>
                  </w:rPr>
                  <m:t>&lt;τ</m:t>
                </m:r>
              </m:oMath>
            </m:oMathPara>
          </w:p>
        </w:tc>
        <w:tc>
          <w:tcPr>
            <w:tcW w:w="437" w:type="dxa"/>
            <w:vAlign w:val="center"/>
          </w:tcPr>
          <w:p w14:paraId="175E3715" w14:textId="77777777" w:rsidR="00B5596F" w:rsidRPr="00AA2CDC" w:rsidRDefault="00B5596F" w:rsidP="007B45CC">
            <w:pPr>
              <w:pStyle w:val="MDPI3aequationnumber"/>
              <w:spacing w:line="260" w:lineRule="atLeast"/>
              <w:rPr>
                <w:color w:val="000000" w:themeColor="text1"/>
              </w:rPr>
            </w:pPr>
            <w:r w:rsidRPr="00AA2CDC">
              <w:rPr>
                <w:color w:val="000000" w:themeColor="text1"/>
              </w:rPr>
              <w:t>(</w:t>
            </w:r>
            <w:r>
              <w:rPr>
                <w:color w:val="000000" w:themeColor="text1"/>
              </w:rPr>
              <w:t>7</w:t>
            </w:r>
            <w:r w:rsidRPr="00AA2CDC">
              <w:rPr>
                <w:color w:val="000000" w:themeColor="text1"/>
              </w:rPr>
              <w:t>)</w:t>
            </w:r>
          </w:p>
        </w:tc>
      </w:tr>
      <w:tr w:rsidR="00DD3624" w:rsidRPr="00AA2CDC" w14:paraId="0A53001C" w14:textId="77777777" w:rsidTr="00A75000">
        <w:trPr>
          <w:gridAfter w:val="1"/>
          <w:wAfter w:w="437" w:type="dxa"/>
          <w:trHeight w:val="143"/>
        </w:trPr>
        <w:tc>
          <w:tcPr>
            <w:tcW w:w="7542" w:type="dxa"/>
          </w:tcPr>
          <w:p w14:paraId="5D982E02" w14:textId="5BF8C7DA" w:rsidR="00DD3624" w:rsidRDefault="00000000" w:rsidP="007B45CC">
            <w:pPr>
              <w:pStyle w:val="MDPI39equation"/>
              <w:ind w:left="0"/>
              <w:rPr>
                <w:color w:val="000000" w:themeColor="text1"/>
              </w:rPr>
            </w:pPr>
            <m:oMathPara>
              <m:oMath>
                <m:f>
                  <m:fPr>
                    <m:ctrlPr>
                      <w:rPr>
                        <w:rFonts w:ascii="Cambria Math" w:hAnsi="Cambria Math"/>
                        <w:color w:val="000000" w:themeColor="text1"/>
                      </w:rPr>
                    </m:ctrlPr>
                  </m:fPr>
                  <m:num>
                    <m:sSub>
                      <m:sSubPr>
                        <m:ctrlPr>
                          <w:rPr>
                            <w:rFonts w:ascii="Cambria Math" w:hAnsi="Cambria Math"/>
                            <w:i/>
                            <w:color w:val="000000" w:themeColor="text1"/>
                          </w:rPr>
                        </m:ctrlPr>
                      </m:sSubPr>
                      <m:e>
                        <m:r>
                          <m:rPr>
                            <m:sty m:val="p"/>
                          </m:rPr>
                          <w:rPr>
                            <w:rFonts w:ascii="Cambria Math" w:hAnsi="Cambria Math"/>
                            <w:color w:val="000000" w:themeColor="text1"/>
                          </w:rPr>
                          <m:t>σ</m:t>
                        </m:r>
                        <m:ctrlPr>
                          <w:rPr>
                            <w:rFonts w:ascii="Cambria Math" w:hAnsi="Cambria Math"/>
                            <w:color w:val="000000" w:themeColor="text1"/>
                          </w:rPr>
                        </m:ctrlPr>
                      </m:e>
                      <m:sub>
                        <m:r>
                          <w:rPr>
                            <w:rFonts w:ascii="Cambria Math" w:hAnsi="Cambria Math"/>
                            <w:color w:val="000000" w:themeColor="text1"/>
                          </w:rPr>
                          <m:t>H,T</m:t>
                        </m:r>
                      </m:sub>
                    </m:sSub>
                  </m:num>
                  <m:den>
                    <m:sSub>
                      <m:sSubPr>
                        <m:ctrlPr>
                          <w:rPr>
                            <w:rFonts w:ascii="Cambria Math" w:hAnsi="Cambria Math"/>
                            <w:i/>
                            <w:color w:val="000000" w:themeColor="text1"/>
                          </w:rPr>
                        </m:ctrlPr>
                      </m:sSubPr>
                      <m:e>
                        <m:r>
                          <m:rPr>
                            <m:sty m:val="p"/>
                          </m:rPr>
                          <w:rPr>
                            <w:rFonts w:ascii="Cambria Math" w:hAnsi="Cambria Math"/>
                            <w:color w:val="000000" w:themeColor="text1"/>
                          </w:rPr>
                          <m:t>μ</m:t>
                        </m:r>
                        <m:ctrlPr>
                          <w:rPr>
                            <w:rFonts w:ascii="Cambria Math" w:hAnsi="Cambria Math"/>
                            <w:color w:val="000000" w:themeColor="text1"/>
                          </w:rPr>
                        </m:ctrlPr>
                      </m:e>
                      <m:sub>
                        <m:r>
                          <w:rPr>
                            <w:rFonts w:ascii="Cambria Math" w:hAnsi="Cambria Math"/>
                            <w:color w:val="000000" w:themeColor="text1"/>
                          </w:rPr>
                          <m:t>H,T</m:t>
                        </m:r>
                      </m:sub>
                    </m:sSub>
                  </m:den>
                </m:f>
                <m:r>
                  <w:rPr>
                    <w:rFonts w:ascii="Cambria Math" w:hAnsi="Cambria Math"/>
                    <w:color w:val="000000" w:themeColor="text1"/>
                  </w:rPr>
                  <m:t>&lt; τ</m:t>
                </m:r>
              </m:oMath>
            </m:oMathPara>
          </w:p>
        </w:tc>
        <w:tc>
          <w:tcPr>
            <w:tcW w:w="437" w:type="dxa"/>
            <w:vAlign w:val="center"/>
          </w:tcPr>
          <w:p w14:paraId="3229D812" w14:textId="13AA3F07" w:rsidR="00DD3624" w:rsidRPr="00AA2CDC" w:rsidRDefault="00DD3624" w:rsidP="007B45CC">
            <w:pPr>
              <w:pStyle w:val="MDPI3aequationnumber"/>
              <w:spacing w:line="260" w:lineRule="atLeast"/>
              <w:rPr>
                <w:color w:val="000000" w:themeColor="text1"/>
              </w:rPr>
            </w:pPr>
            <w:r w:rsidRPr="00AA2CDC">
              <w:rPr>
                <w:color w:val="000000" w:themeColor="text1"/>
              </w:rPr>
              <w:t>(</w:t>
            </w:r>
            <w:r>
              <w:rPr>
                <w:color w:val="000000" w:themeColor="text1"/>
              </w:rPr>
              <w:t>8</w:t>
            </w:r>
            <w:r w:rsidRPr="00AA2CDC">
              <w:rPr>
                <w:color w:val="000000" w:themeColor="text1"/>
              </w:rPr>
              <w:t>)</w:t>
            </w:r>
          </w:p>
        </w:tc>
      </w:tr>
      <w:tr w:rsidR="00621A35" w:rsidRPr="00621A35" w14:paraId="33BF2D79" w14:textId="77777777" w:rsidTr="00A75000">
        <w:trPr>
          <w:gridAfter w:val="1"/>
          <w:wAfter w:w="437" w:type="dxa"/>
          <w:trHeight w:val="143"/>
        </w:trPr>
        <w:tc>
          <w:tcPr>
            <w:tcW w:w="7542" w:type="dxa"/>
          </w:tcPr>
          <w:p w14:paraId="0C6EEE60" w14:textId="07733EB8" w:rsidR="00621A35" w:rsidRPr="00621A35" w:rsidRDefault="00000000" w:rsidP="007B45CC">
            <w:pPr>
              <w:pStyle w:val="MDPI39equation"/>
              <w:ind w:left="0"/>
              <w:rPr>
                <w:rFonts w:ascii="Cambria Math" w:hAnsi="Cambria Math"/>
                <w:color w:val="000000" w:themeColor="text1"/>
                <w:oMath/>
              </w:rPr>
            </w:pPr>
            <m:oMathPara>
              <m:oMath>
                <m:sSub>
                  <m:sSubPr>
                    <m:ctrlPr>
                      <w:rPr>
                        <w:rFonts w:ascii="Cambria Math" w:hAnsi="Cambria Math"/>
                        <w:color w:val="000000" w:themeColor="text1"/>
                      </w:rPr>
                    </m:ctrlPr>
                  </m:sSubPr>
                  <m:e>
                    <m:r>
                      <w:rPr>
                        <w:rFonts w:ascii="Cambria Math" w:hAnsi="Cambria Math"/>
                        <w:color w:val="000000" w:themeColor="text1"/>
                      </w:rPr>
                      <m:t>S</m:t>
                    </m:r>
                  </m:e>
                  <m:sub>
                    <m:r>
                      <w:rPr>
                        <w:rFonts w:ascii="Cambria Math" w:hAnsi="Cambria Math"/>
                        <w:color w:val="000000" w:themeColor="text1"/>
                      </w:rPr>
                      <m:t>P</m:t>
                    </m:r>
                  </m:sub>
                </m:sSub>
                <m:r>
                  <m:rPr>
                    <m:sty m:val="p"/>
                  </m:rPr>
                  <w:rPr>
                    <w:rFonts w:ascii="Cambria Math" w:hAnsi="Cambria Math"/>
                    <w:color w:val="000000" w:themeColor="text1"/>
                  </w:rPr>
                  <m:t xml:space="preserve"> = </m:t>
                </m:r>
                <m:f>
                  <m:fPr>
                    <m:ctrlPr>
                      <w:rPr>
                        <w:rFonts w:ascii="Cambria Math" w:hAnsi="Cambria Math"/>
                        <w:color w:val="000000" w:themeColor="text1"/>
                      </w:rPr>
                    </m:ctrlPr>
                  </m:fPr>
                  <m:num>
                    <m:r>
                      <m:rPr>
                        <m:sty m:val="p"/>
                      </m:rPr>
                      <w:rPr>
                        <w:rFonts w:ascii="Cambria Math" w:hAnsi="Cambria Math"/>
                        <w:color w:val="000000" w:themeColor="text1"/>
                      </w:rPr>
                      <m:t>1</m:t>
                    </m:r>
                  </m:num>
                  <m:den>
                    <m:r>
                      <w:rPr>
                        <w:rFonts w:ascii="Cambria Math" w:hAnsi="Cambria Math"/>
                        <w:color w:val="000000" w:themeColor="text1"/>
                      </w:rPr>
                      <m:t>i</m:t>
                    </m:r>
                    <m:r>
                      <m:rPr>
                        <m:sty m:val="p"/>
                      </m:rPr>
                      <w:rPr>
                        <w:rFonts w:ascii="Cambria Math" w:hAnsi="Cambria Math"/>
                        <w:color w:val="000000" w:themeColor="text1"/>
                      </w:rPr>
                      <m:t>-</m:t>
                    </m:r>
                    <m:func>
                      <m:funcPr>
                        <m:ctrlPr>
                          <w:rPr>
                            <w:rFonts w:ascii="Cambria Math" w:hAnsi="Cambria Math"/>
                            <w:color w:val="000000" w:themeColor="text1"/>
                          </w:rPr>
                        </m:ctrlPr>
                      </m:funcPr>
                      <m:fName>
                        <m:r>
                          <m:rPr>
                            <m:sty m:val="p"/>
                          </m:rPr>
                          <w:rPr>
                            <w:rFonts w:ascii="Cambria Math" w:hAnsi="Cambria Math"/>
                            <w:color w:val="000000" w:themeColor="text1"/>
                          </w:rPr>
                          <m:t>max</m:t>
                        </m:r>
                      </m:fName>
                      <m:e>
                        <m:d>
                          <m:dPr>
                            <m:ctrlPr>
                              <w:rPr>
                                <w:rFonts w:ascii="Cambria Math" w:hAnsi="Cambria Math"/>
                                <w:color w:val="000000" w:themeColor="text1"/>
                              </w:rPr>
                            </m:ctrlPr>
                          </m:dPr>
                          <m:e>
                            <m:r>
                              <m:rPr>
                                <m:sty m:val="p"/>
                              </m:rPr>
                              <w:rPr>
                                <w:rFonts w:ascii="Cambria Math" w:hAnsi="Cambria Math"/>
                                <w:color w:val="000000" w:themeColor="text1"/>
                              </w:rPr>
                              <m:t>1,</m:t>
                            </m:r>
                            <m:r>
                              <w:rPr>
                                <w:rFonts w:ascii="Cambria Math" w:hAnsi="Cambria Math"/>
                                <w:color w:val="000000" w:themeColor="text1"/>
                              </w:rPr>
                              <m:t>i</m:t>
                            </m:r>
                            <m:r>
                              <m:rPr>
                                <m:sty m:val="p"/>
                              </m:rPr>
                              <w:rPr>
                                <w:rFonts w:ascii="Cambria Math" w:hAnsi="Cambria Math"/>
                                <w:color w:val="000000" w:themeColor="text1"/>
                              </w:rPr>
                              <m:t>-</m:t>
                            </m:r>
                            <m:r>
                              <w:rPr>
                                <w:rFonts w:ascii="Cambria Math" w:hAnsi="Cambria Math"/>
                                <w:color w:val="000000" w:themeColor="text1"/>
                              </w:rPr>
                              <m:t>W</m:t>
                            </m:r>
                            <m:r>
                              <m:rPr>
                                <m:sty m:val="p"/>
                              </m:rPr>
                              <w:rPr>
                                <w:rFonts w:ascii="Cambria Math" w:hAnsi="Cambria Math"/>
                                <w:color w:val="000000" w:themeColor="text1"/>
                              </w:rPr>
                              <m:t>+1</m:t>
                            </m:r>
                          </m:e>
                        </m:d>
                        <m:r>
                          <m:rPr>
                            <m:sty m:val="p"/>
                          </m:rPr>
                          <w:rPr>
                            <w:rFonts w:ascii="Cambria Math" w:hAnsi="Cambria Math"/>
                            <w:color w:val="000000" w:themeColor="text1"/>
                          </w:rPr>
                          <m:t>+1</m:t>
                        </m:r>
                      </m:e>
                    </m:func>
                  </m:den>
                </m:f>
                <m:nary>
                  <m:naryPr>
                    <m:chr m:val="∑"/>
                    <m:ctrlPr>
                      <w:rPr>
                        <w:rFonts w:ascii="Cambria Math" w:hAnsi="Cambria Math"/>
                        <w:color w:val="000000" w:themeColor="text1"/>
                      </w:rPr>
                    </m:ctrlPr>
                  </m:naryPr>
                  <m:sub>
                    <m:r>
                      <w:rPr>
                        <w:rFonts w:ascii="Cambria Math" w:hAnsi="Cambria Math"/>
                        <w:color w:val="000000" w:themeColor="text1"/>
                      </w:rPr>
                      <m:t>j</m:t>
                    </m:r>
                    <m:r>
                      <m:rPr>
                        <m:sty m:val="p"/>
                      </m:rPr>
                      <w:rPr>
                        <w:rFonts w:ascii="Cambria Math" w:hAnsi="Cambria Math"/>
                        <w:color w:val="000000" w:themeColor="text1"/>
                      </w:rPr>
                      <m:t>=</m:t>
                    </m:r>
                    <m:d>
                      <m:dPr>
                        <m:ctrlPr>
                          <w:rPr>
                            <w:rFonts w:ascii="Cambria Math" w:hAnsi="Cambria Math"/>
                            <w:color w:val="000000" w:themeColor="text1"/>
                          </w:rPr>
                        </m:ctrlPr>
                      </m:dPr>
                      <m:e>
                        <m:r>
                          <m:rPr>
                            <m:sty m:val="p"/>
                          </m:rPr>
                          <w:rPr>
                            <w:rFonts w:ascii="Cambria Math" w:hAnsi="Cambria Math"/>
                            <w:color w:val="000000" w:themeColor="text1"/>
                          </w:rPr>
                          <m:t>1,i-</m:t>
                        </m:r>
                        <m:r>
                          <w:rPr>
                            <w:rFonts w:ascii="Cambria Math" w:hAnsi="Cambria Math"/>
                            <w:color w:val="000000" w:themeColor="text1"/>
                          </w:rPr>
                          <m:t>W</m:t>
                        </m:r>
                        <m:r>
                          <m:rPr>
                            <m:sty m:val="p"/>
                          </m:rPr>
                          <w:rPr>
                            <w:rFonts w:ascii="Cambria Math" w:hAnsi="Cambria Math"/>
                            <w:color w:val="000000" w:themeColor="text1"/>
                          </w:rPr>
                          <m:t>+1</m:t>
                        </m:r>
                      </m:e>
                    </m:d>
                  </m:sub>
                  <m:sup>
                    <m:r>
                      <w:rPr>
                        <w:rFonts w:ascii="Cambria Math" w:hAnsi="Cambria Math"/>
                        <w:color w:val="000000" w:themeColor="text1"/>
                      </w:rPr>
                      <m:t>i</m:t>
                    </m:r>
                  </m:sup>
                  <m:e>
                    <m:r>
                      <w:rPr>
                        <w:rFonts w:ascii="Cambria Math" w:hAnsi="Cambria Math"/>
                        <w:color w:val="000000" w:themeColor="text1"/>
                      </w:rPr>
                      <m:t>P</m:t>
                    </m:r>
                    <m:d>
                      <m:dPr>
                        <m:ctrlPr>
                          <w:rPr>
                            <w:rFonts w:ascii="Cambria Math" w:hAnsi="Cambria Math"/>
                            <w:color w:val="000000" w:themeColor="text1"/>
                          </w:rPr>
                        </m:ctrlPr>
                      </m:dPr>
                      <m:e>
                        <m:r>
                          <w:rPr>
                            <w:rFonts w:ascii="Cambria Math" w:hAnsi="Cambria Math"/>
                            <w:color w:val="000000" w:themeColor="text1"/>
                          </w:rPr>
                          <m:t>j</m:t>
                        </m:r>
                      </m:e>
                    </m:d>
                  </m:e>
                </m:nary>
                <m:r>
                  <m:rPr>
                    <m:sty m:val="p"/>
                  </m:rPr>
                  <w:rPr>
                    <w:rFonts w:ascii="Cambria Math" w:hAnsi="Cambria Math"/>
                    <w:color w:val="000000" w:themeColor="text1"/>
                  </w:rPr>
                  <m:t xml:space="preserve">  </m:t>
                </m:r>
                <m:d>
                  <m:dPr>
                    <m:begChr m:val="{"/>
                    <m:endChr m:val=""/>
                    <m:ctrlPr>
                      <w:rPr>
                        <w:rFonts w:ascii="Cambria Math" w:hAnsi="Cambria Math"/>
                        <w:i/>
                        <w:color w:val="000000" w:themeColor="text1"/>
                      </w:rPr>
                    </m:ctrlPr>
                  </m:dPr>
                  <m:e>
                    <m:eqArr>
                      <m:eqArrPr>
                        <m:ctrlPr>
                          <w:rPr>
                            <w:rFonts w:ascii="Cambria Math" w:hAnsi="Cambria Math"/>
                            <w:i/>
                            <w:color w:val="000000" w:themeColor="text1"/>
                          </w:rPr>
                        </m:ctrlPr>
                      </m:eqArrPr>
                      <m:e>
                        <m:f>
                          <m:fPr>
                            <m:ctrlPr>
                              <w:rPr>
                                <w:rFonts w:ascii="Cambria Math" w:hAnsi="Cambria Math"/>
                                <w:color w:val="000000" w:themeColor="text1"/>
                              </w:rPr>
                            </m:ctrlPr>
                          </m:fPr>
                          <m:num>
                            <m:sSub>
                              <m:sSubPr>
                                <m:ctrlPr>
                                  <w:rPr>
                                    <w:rFonts w:ascii="Cambria Math" w:hAnsi="Cambria Math"/>
                                    <w:i/>
                                    <w:color w:val="000000" w:themeColor="text1"/>
                                  </w:rPr>
                                </m:ctrlPr>
                              </m:sSubPr>
                              <m:e>
                                <m:r>
                                  <w:rPr>
                                    <w:rFonts w:ascii="Cambria Math" w:hAnsi="Cambria Math"/>
                                    <w:color w:val="000000" w:themeColor="text1"/>
                                  </w:rPr>
                                  <m:t>σ</m:t>
                                </m:r>
                              </m:e>
                              <m:sub>
                                <m:r>
                                  <w:rPr>
                                    <w:rFonts w:ascii="Cambria Math" w:hAnsi="Cambria Math"/>
                                    <w:color w:val="000000" w:themeColor="text1"/>
                                  </w:rPr>
                                  <m:t>P</m:t>
                                </m:r>
                              </m:sub>
                            </m:sSub>
                          </m:num>
                          <m:den>
                            <m:sSub>
                              <m:sSubPr>
                                <m:ctrlPr>
                                  <w:rPr>
                                    <w:rFonts w:ascii="Cambria Math" w:hAnsi="Cambria Math"/>
                                    <w:i/>
                                    <w:color w:val="000000" w:themeColor="text1"/>
                                  </w:rPr>
                                </m:ctrlPr>
                              </m:sSubPr>
                              <m:e>
                                <m:r>
                                  <w:rPr>
                                    <w:rFonts w:ascii="Cambria Math" w:hAnsi="Cambria Math"/>
                                    <w:color w:val="000000" w:themeColor="text1"/>
                                  </w:rPr>
                                  <m:t>μ</m:t>
                                </m:r>
                              </m:e>
                              <m:sub>
                                <m:r>
                                  <w:rPr>
                                    <w:rFonts w:ascii="Cambria Math" w:hAnsi="Cambria Math"/>
                                    <w:color w:val="000000" w:themeColor="text1"/>
                                  </w:rPr>
                                  <m:t>P</m:t>
                                </m:r>
                              </m:sub>
                            </m:sSub>
                          </m:den>
                        </m:f>
                        <m:r>
                          <w:rPr>
                            <w:rFonts w:ascii="Cambria Math" w:hAnsi="Cambria Math"/>
                            <w:color w:val="000000" w:themeColor="text1"/>
                          </w:rPr>
                          <m:t xml:space="preserve">&lt;τ,  </m:t>
                        </m:r>
                        <m:sSub>
                          <m:sSubPr>
                            <m:ctrlPr>
                              <w:rPr>
                                <w:rFonts w:ascii="Cambria Math" w:hAnsi="Cambria Math"/>
                                <w:i/>
                                <w:color w:val="000000" w:themeColor="text1"/>
                              </w:rPr>
                            </m:ctrlPr>
                          </m:sSubPr>
                          <m:e>
                            <m:r>
                              <w:rPr>
                                <w:rFonts w:ascii="Cambria Math" w:hAnsi="Cambria Math"/>
                                <w:color w:val="000000" w:themeColor="text1"/>
                              </w:rPr>
                              <m:t>W</m:t>
                            </m:r>
                          </m:e>
                          <m:sub>
                            <m:r>
                              <w:rPr>
                                <w:rFonts w:ascii="Cambria Math" w:hAnsi="Cambria Math"/>
                                <w:color w:val="000000" w:themeColor="text1"/>
                              </w:rPr>
                              <m:t>P</m:t>
                            </m:r>
                          </m:sub>
                        </m:sSub>
                        <m:r>
                          <m:rPr>
                            <m:sty m:val="p"/>
                          </m:rPr>
                          <w:rPr>
                            <w:rFonts w:ascii="Cambria Math" w:hAnsi="Cambria Math" w:cs="Courier New"/>
                            <w:color w:val="444746"/>
                            <w:sz w:val="21"/>
                            <w:szCs w:val="21"/>
                            <w:shd w:val="clear" w:color="auto" w:fill="F0F4F9"/>
                          </w:rPr>
                          <m:t xml:space="preserve"> </m:t>
                        </m:r>
                        <m:r>
                          <m:rPr>
                            <m:sty m:val="p"/>
                          </m:rPr>
                          <w:rPr>
                            <w:rFonts w:ascii="Cambria Math" w:hAnsi="Cambria Math" w:cs="Cambria Math"/>
                            <w:color w:val="444746"/>
                            <w:sz w:val="21"/>
                            <w:szCs w:val="21"/>
                            <w:shd w:val="clear" w:color="auto" w:fill="F0F4F9"/>
                          </w:rPr>
                          <m:t>⊆</m:t>
                        </m:r>
                        <m:r>
                          <m:rPr>
                            <m:sty m:val="p"/>
                          </m:rPr>
                          <w:rPr>
                            <w:rFonts w:ascii="Cambria Math" w:hAnsi="Cambria Math" w:cs="Courier New"/>
                            <w:color w:val="444746"/>
                            <w:sz w:val="21"/>
                            <w:szCs w:val="21"/>
                            <w:shd w:val="clear" w:color="auto" w:fill="F0F4F9"/>
                          </w:rPr>
                          <m:t xml:space="preserve"> P</m:t>
                        </m:r>
                        <m:r>
                          <w:rPr>
                            <w:rFonts w:ascii="Cambria Math" w:hAnsi="Cambria Math"/>
                            <w:color w:val="000000" w:themeColor="text1"/>
                          </w:rPr>
                          <m:t xml:space="preserve">  </m:t>
                        </m:r>
                      </m:e>
                      <m:e>
                        <m:f>
                          <m:fPr>
                            <m:ctrlPr>
                              <w:rPr>
                                <w:rFonts w:ascii="Cambria Math" w:hAnsi="Cambria Math"/>
                                <w:color w:val="000000" w:themeColor="text1"/>
                              </w:rPr>
                            </m:ctrlPr>
                          </m:fPr>
                          <m:num>
                            <m:sSub>
                              <m:sSubPr>
                                <m:ctrlPr>
                                  <w:rPr>
                                    <w:rFonts w:ascii="Cambria Math" w:hAnsi="Cambria Math"/>
                                    <w:i/>
                                    <w:color w:val="000000" w:themeColor="text1"/>
                                  </w:rPr>
                                </m:ctrlPr>
                              </m:sSubPr>
                              <m:e>
                                <m:r>
                                  <w:rPr>
                                    <w:rFonts w:ascii="Cambria Math" w:hAnsi="Cambria Math"/>
                                    <w:color w:val="000000" w:themeColor="text1"/>
                                  </w:rPr>
                                  <m:t>σ</m:t>
                                </m:r>
                              </m:e>
                              <m:sub>
                                <m:r>
                                  <w:rPr>
                                    <w:rFonts w:ascii="Cambria Math" w:hAnsi="Cambria Math"/>
                                    <w:color w:val="000000" w:themeColor="text1"/>
                                  </w:rPr>
                                  <m:t>H,T</m:t>
                                </m:r>
                              </m:sub>
                            </m:sSub>
                          </m:num>
                          <m:den>
                            <m:sSub>
                              <m:sSubPr>
                                <m:ctrlPr>
                                  <w:rPr>
                                    <w:rFonts w:ascii="Cambria Math" w:hAnsi="Cambria Math"/>
                                    <w:i/>
                                    <w:color w:val="000000" w:themeColor="text1"/>
                                  </w:rPr>
                                </m:ctrlPr>
                              </m:sSubPr>
                              <m:e>
                                <m:r>
                                  <w:rPr>
                                    <w:rFonts w:ascii="Cambria Math" w:hAnsi="Cambria Math"/>
                                    <w:color w:val="000000" w:themeColor="text1"/>
                                  </w:rPr>
                                  <m:t>μ</m:t>
                                </m:r>
                              </m:e>
                              <m:sub>
                                <m:r>
                                  <w:rPr>
                                    <w:rFonts w:ascii="Cambria Math" w:hAnsi="Cambria Math"/>
                                    <w:color w:val="000000" w:themeColor="text1"/>
                                  </w:rPr>
                                  <m:t>H,T</m:t>
                                </m:r>
                              </m:sub>
                            </m:sSub>
                          </m:den>
                        </m:f>
                        <m:r>
                          <w:rPr>
                            <w:rFonts w:ascii="Cambria Math" w:hAnsi="Cambria Math"/>
                            <w:color w:val="000000" w:themeColor="text1"/>
                          </w:rPr>
                          <m:t xml:space="preserve">&lt;τ,  </m:t>
                        </m:r>
                        <m:sSub>
                          <m:sSubPr>
                            <m:ctrlPr>
                              <w:rPr>
                                <w:rFonts w:ascii="Cambria Math" w:hAnsi="Cambria Math"/>
                                <w:i/>
                                <w:color w:val="000000" w:themeColor="text1"/>
                              </w:rPr>
                            </m:ctrlPr>
                          </m:sSubPr>
                          <m:e>
                            <m:r>
                              <w:rPr>
                                <w:rFonts w:ascii="Cambria Math" w:hAnsi="Cambria Math"/>
                                <w:color w:val="000000" w:themeColor="text1"/>
                              </w:rPr>
                              <m:t>W</m:t>
                            </m:r>
                          </m:e>
                          <m:sub>
                            <m:r>
                              <w:rPr>
                                <w:rFonts w:ascii="Cambria Math" w:hAnsi="Cambria Math"/>
                                <w:color w:val="000000" w:themeColor="text1"/>
                              </w:rPr>
                              <m:t>H,T</m:t>
                            </m:r>
                          </m:sub>
                        </m:sSub>
                        <m:r>
                          <m:rPr>
                            <m:sty m:val="p"/>
                          </m:rPr>
                          <w:rPr>
                            <w:rFonts w:ascii="Cambria Math" w:hAnsi="Cambria Math" w:cs="Courier New"/>
                            <w:color w:val="444746"/>
                            <w:sz w:val="21"/>
                            <w:szCs w:val="21"/>
                            <w:shd w:val="clear" w:color="auto" w:fill="F0F4F9"/>
                          </w:rPr>
                          <m:t xml:space="preserve"> </m:t>
                        </m:r>
                        <m:r>
                          <m:rPr>
                            <m:sty m:val="p"/>
                          </m:rPr>
                          <w:rPr>
                            <w:rFonts w:ascii="Cambria Math" w:hAnsi="Cambria Math" w:cs="Cambria Math"/>
                            <w:color w:val="444746"/>
                            <w:sz w:val="21"/>
                            <w:szCs w:val="21"/>
                            <w:shd w:val="clear" w:color="auto" w:fill="F0F4F9"/>
                          </w:rPr>
                          <m:t>⊆</m:t>
                        </m:r>
                        <m:r>
                          <m:rPr>
                            <m:sty m:val="p"/>
                          </m:rPr>
                          <w:rPr>
                            <w:rFonts w:ascii="Cambria Math" w:hAnsi="Cambria Math" w:cs="Courier New"/>
                            <w:color w:val="444746"/>
                            <w:sz w:val="21"/>
                            <w:szCs w:val="21"/>
                            <w:shd w:val="clear" w:color="auto" w:fill="F0F4F9"/>
                          </w:rPr>
                          <m:t xml:space="preserve"> H,T</m:t>
                        </m:r>
                        <m:r>
                          <w:rPr>
                            <w:rFonts w:ascii="Cambria Math" w:hAnsi="Cambria Math"/>
                            <w:color w:val="000000" w:themeColor="text1"/>
                          </w:rPr>
                          <m:t xml:space="preserve">  </m:t>
                        </m:r>
                      </m:e>
                    </m:eqArr>
                  </m:e>
                </m:d>
                <m:r>
                  <m:rPr>
                    <m:sty m:val="p"/>
                  </m:rPr>
                  <w:rPr>
                    <w:rFonts w:ascii="Cambria Math" w:hAnsi="Cambria Math"/>
                    <w:color w:val="000000" w:themeColor="text1"/>
                  </w:rPr>
                  <m:t xml:space="preserve"> </m:t>
                </m:r>
              </m:oMath>
            </m:oMathPara>
          </w:p>
        </w:tc>
        <w:tc>
          <w:tcPr>
            <w:tcW w:w="437" w:type="dxa"/>
            <w:vAlign w:val="center"/>
          </w:tcPr>
          <w:p w14:paraId="16BB8A8E" w14:textId="1A4477A7" w:rsidR="00621A35" w:rsidRPr="00621A35" w:rsidRDefault="00A75000" w:rsidP="007B45CC">
            <w:pPr>
              <w:pStyle w:val="MDPI3aequationnumber"/>
              <w:spacing w:line="260" w:lineRule="atLeast"/>
              <w:rPr>
                <w:rFonts w:ascii="Cambria Math" w:hAnsi="Cambria Math"/>
                <w:color w:val="000000" w:themeColor="text1"/>
              </w:rPr>
            </w:pPr>
            <w:r>
              <w:rPr>
                <w:rFonts w:ascii="Cambria Math" w:hAnsi="Cambria Math"/>
                <w:color w:val="000000" w:themeColor="text1"/>
              </w:rPr>
              <w:t xml:space="preserve">     (9)</w:t>
            </w:r>
          </w:p>
        </w:tc>
      </w:tr>
      <w:tr w:rsidR="00621A35" w:rsidRPr="00AA2CDC" w14:paraId="25A2A8DF" w14:textId="4607B560" w:rsidTr="00A75000">
        <w:trPr>
          <w:trHeight w:val="143"/>
        </w:trPr>
        <w:tc>
          <w:tcPr>
            <w:tcW w:w="7542" w:type="dxa"/>
          </w:tcPr>
          <w:p w14:paraId="5AF68FCF" w14:textId="54EEA832" w:rsidR="00621A35" w:rsidRPr="00A75000" w:rsidRDefault="00000000" w:rsidP="007B45CC">
            <w:pPr>
              <w:pStyle w:val="MDPI39equation"/>
              <w:ind w:left="0"/>
              <w:rPr>
                <w:rFonts w:ascii="Cambria Math" w:hAnsi="Cambria Math"/>
                <w:color w:val="000000" w:themeColor="text1"/>
              </w:rPr>
            </w:pPr>
            <m:oMathPara>
              <m:oMath>
                <m:sSub>
                  <m:sSubPr>
                    <m:ctrlPr>
                      <w:rPr>
                        <w:rFonts w:ascii="Cambria Math" w:hAnsi="Cambria Math"/>
                        <w:color w:val="000000" w:themeColor="text1"/>
                      </w:rPr>
                    </m:ctrlPr>
                  </m:sSubPr>
                  <m:e>
                    <m:r>
                      <w:rPr>
                        <w:rFonts w:ascii="Cambria Math" w:hAnsi="Cambria Math"/>
                        <w:color w:val="000000" w:themeColor="text1"/>
                      </w:rPr>
                      <m:t>S</m:t>
                    </m:r>
                  </m:e>
                  <m:sub>
                    <m:r>
                      <w:rPr>
                        <w:rFonts w:ascii="Cambria Math" w:hAnsi="Cambria Math"/>
                        <w:color w:val="000000" w:themeColor="text1"/>
                      </w:rPr>
                      <m:t>T</m:t>
                    </m:r>
                    <m:r>
                      <m:rPr>
                        <m:sty m:val="p"/>
                      </m:rPr>
                      <w:rPr>
                        <w:rFonts w:ascii="Cambria Math" w:hAnsi="Cambria Math"/>
                        <w:color w:val="000000" w:themeColor="text1"/>
                      </w:rPr>
                      <m:t>,</m:t>
                    </m:r>
                    <m:r>
                      <w:rPr>
                        <w:rFonts w:ascii="Cambria Math" w:hAnsi="Cambria Math"/>
                        <w:color w:val="000000" w:themeColor="text1"/>
                      </w:rPr>
                      <m:t>H</m:t>
                    </m:r>
                  </m:sub>
                </m:sSub>
                <m:r>
                  <m:rPr>
                    <m:sty m:val="p"/>
                  </m:rPr>
                  <w:rPr>
                    <w:rFonts w:ascii="Cambria Math" w:hAnsi="Cambria Math"/>
                    <w:color w:val="000000" w:themeColor="text1"/>
                  </w:rPr>
                  <m:t xml:space="preserve"> = </m:t>
                </m:r>
                <m:sSub>
                  <m:sSubPr>
                    <m:ctrlPr>
                      <w:rPr>
                        <w:rFonts w:ascii="Cambria Math" w:hAnsi="Cambria Math"/>
                        <w:color w:val="000000" w:themeColor="text1"/>
                      </w:rPr>
                    </m:ctrlPr>
                  </m:sSubPr>
                  <m:e>
                    <m:r>
                      <m:rPr>
                        <m:sty m:val="p"/>
                      </m:rPr>
                      <w:rPr>
                        <w:rFonts w:ascii="Cambria Math" w:hAnsi="Cambria Math"/>
                        <w:color w:val="000000" w:themeColor="text1"/>
                      </w:rPr>
                      <m:t>µ</m:t>
                    </m:r>
                  </m:e>
                  <m:sub>
                    <m:r>
                      <w:rPr>
                        <w:rFonts w:ascii="Cambria Math" w:hAnsi="Cambria Math"/>
                        <w:color w:val="000000" w:themeColor="text1"/>
                      </w:rPr>
                      <m:t>T</m:t>
                    </m:r>
                    <m:r>
                      <m:rPr>
                        <m:sty m:val="p"/>
                      </m:rPr>
                      <w:rPr>
                        <w:rFonts w:ascii="Cambria Math" w:hAnsi="Cambria Math"/>
                        <w:color w:val="000000" w:themeColor="text1"/>
                      </w:rPr>
                      <m:t>,</m:t>
                    </m:r>
                    <m:r>
                      <w:rPr>
                        <w:rFonts w:ascii="Cambria Math" w:hAnsi="Cambria Math"/>
                        <w:color w:val="000000" w:themeColor="text1"/>
                      </w:rPr>
                      <m:t>H</m:t>
                    </m:r>
                  </m:sub>
                </m:sSub>
              </m:oMath>
            </m:oMathPara>
          </w:p>
        </w:tc>
        <w:tc>
          <w:tcPr>
            <w:tcW w:w="437" w:type="dxa"/>
            <w:vAlign w:val="center"/>
          </w:tcPr>
          <w:p w14:paraId="3FF7EF43" w14:textId="5CA5F1DF" w:rsidR="00621A35" w:rsidRPr="00A75000" w:rsidRDefault="00621A35" w:rsidP="007B45CC">
            <w:pPr>
              <w:pStyle w:val="MDPI3aequationnumber"/>
              <w:spacing w:line="260" w:lineRule="atLeast"/>
              <w:rPr>
                <w:rFonts w:ascii="Cambria Math" w:hAnsi="Cambria Math"/>
                <w:color w:val="000000" w:themeColor="text1"/>
              </w:rPr>
            </w:pPr>
            <w:r w:rsidRPr="00A75000">
              <w:rPr>
                <w:rFonts w:ascii="Cambria Math" w:hAnsi="Cambria Math"/>
                <w:color w:val="000000" w:themeColor="text1"/>
              </w:rPr>
              <w:t>(1</w:t>
            </w:r>
            <w:r w:rsidR="00BF1376" w:rsidRPr="00A75000">
              <w:rPr>
                <w:rFonts w:ascii="Cambria Math" w:hAnsi="Cambria Math"/>
                <w:color w:val="000000" w:themeColor="text1"/>
              </w:rPr>
              <w:t>0</w:t>
            </w:r>
            <w:r w:rsidRPr="00A75000">
              <w:rPr>
                <w:rFonts w:ascii="Cambria Math" w:hAnsi="Cambria Math"/>
                <w:color w:val="000000" w:themeColor="text1"/>
              </w:rPr>
              <w:t>)</w:t>
            </w:r>
          </w:p>
        </w:tc>
        <w:tc>
          <w:tcPr>
            <w:tcW w:w="437" w:type="dxa"/>
          </w:tcPr>
          <w:p w14:paraId="30C60030" w14:textId="77777777" w:rsidR="00621A35" w:rsidRPr="00A75000" w:rsidRDefault="00621A35" w:rsidP="007B45CC">
            <w:pPr>
              <w:pStyle w:val="MDPI3aequationnumber"/>
              <w:spacing w:line="260" w:lineRule="atLeast"/>
              <w:rPr>
                <w:rFonts w:ascii="Cambria Math" w:hAnsi="Cambria Math"/>
                <w:color w:val="000000" w:themeColor="text1"/>
              </w:rPr>
            </w:pPr>
          </w:p>
        </w:tc>
      </w:tr>
    </w:tbl>
    <w:p w14:paraId="2FB71A5D" w14:textId="77777777" w:rsidR="001A75FC" w:rsidRDefault="001A75FC" w:rsidP="00985928">
      <w:pPr>
        <w:pStyle w:val="MDPI31text"/>
        <w:ind w:left="2550" w:firstLine="6"/>
        <w:rPr>
          <w:color w:val="000000" w:themeColor="text1"/>
        </w:rPr>
      </w:pPr>
    </w:p>
    <w:p w14:paraId="2DBBF8F0" w14:textId="62B75EA7" w:rsidR="00F701EC" w:rsidRDefault="00B5596F" w:rsidP="00985928">
      <w:pPr>
        <w:pStyle w:val="MDPI31text"/>
        <w:ind w:left="2550" w:firstLine="6"/>
        <w:rPr>
          <w:color w:val="000000" w:themeColor="text1"/>
        </w:rPr>
      </w:pPr>
      <w:r>
        <w:rPr>
          <w:color w:val="000000" w:themeColor="text1"/>
        </w:rPr>
        <w:t xml:space="preserve">where </w:t>
      </w:r>
      <m:oMath>
        <m:sSub>
          <m:sSubPr>
            <m:ctrlPr>
              <w:rPr>
                <w:rFonts w:ascii="Cambria Math" w:hAnsi="Cambria Math"/>
                <w:i/>
                <w:color w:val="000000" w:themeColor="text1"/>
              </w:rPr>
            </m:ctrlPr>
          </m:sSubPr>
          <m:e>
            <m:r>
              <w:rPr>
                <w:rFonts w:ascii="Cambria Math" w:hAnsi="Cambria Math"/>
                <w:color w:val="000000" w:themeColor="text1"/>
              </w:rPr>
              <m:t>σ</m:t>
            </m:r>
          </m:e>
          <m:sub>
            <m:r>
              <w:rPr>
                <w:rFonts w:ascii="Cambria Math" w:hAnsi="Cambria Math"/>
                <w:color w:val="000000" w:themeColor="text1"/>
              </w:rPr>
              <m:t>P</m:t>
            </m:r>
          </m:sub>
        </m:sSub>
      </m:oMath>
      <w:r>
        <w:rPr>
          <w:color w:val="000000" w:themeColor="text1"/>
        </w:rPr>
        <w:t xml:space="preserve"> = standard deviation of power data, </w:t>
      </w:r>
      <m:oMath>
        <m:sSub>
          <m:sSubPr>
            <m:ctrlPr>
              <w:rPr>
                <w:rFonts w:ascii="Cambria Math" w:hAnsi="Cambria Math"/>
                <w:i/>
                <w:color w:val="000000" w:themeColor="text1"/>
              </w:rPr>
            </m:ctrlPr>
          </m:sSubPr>
          <m:e>
            <m:r>
              <w:rPr>
                <w:rFonts w:ascii="Cambria Math" w:hAnsi="Cambria Math"/>
                <w:color w:val="000000" w:themeColor="text1"/>
              </w:rPr>
              <m:t>μ</m:t>
            </m:r>
          </m:e>
          <m:sub>
            <m:r>
              <w:rPr>
                <w:rFonts w:ascii="Cambria Math" w:hAnsi="Cambria Math"/>
                <w:color w:val="000000" w:themeColor="text1"/>
              </w:rPr>
              <m:t>P</m:t>
            </m:r>
          </m:sub>
        </m:sSub>
      </m:oMath>
      <w:r>
        <w:rPr>
          <w:color w:val="000000" w:themeColor="text1"/>
        </w:rPr>
        <w:t xml:space="preserve"> = mean of power data, </w:t>
      </w:r>
      <w:r w:rsidR="001A0EB8">
        <w:rPr>
          <w:color w:val="000000" w:themeColor="text1"/>
        </w:rPr>
        <w:t>,</w:t>
      </w:r>
      <w:r w:rsidR="005937C9" w:rsidRPr="005937C9">
        <w:rPr>
          <w:rFonts w:ascii="Cambria Math" w:hAnsi="Cambria Math"/>
          <w:i/>
          <w:color w:val="000000" w:themeColor="text1"/>
        </w:rPr>
        <w:t xml:space="preserve"> </w:t>
      </w:r>
      <m:oMath>
        <m:sSub>
          <m:sSubPr>
            <m:ctrlPr>
              <w:rPr>
                <w:rFonts w:ascii="Cambria Math" w:hAnsi="Cambria Math"/>
                <w:i/>
                <w:color w:val="000000" w:themeColor="text1"/>
              </w:rPr>
            </m:ctrlPr>
          </m:sSubPr>
          <m:e>
            <m:r>
              <w:rPr>
                <w:rFonts w:ascii="Cambria Math" w:hAnsi="Cambria Math"/>
                <w:color w:val="000000" w:themeColor="text1"/>
              </w:rPr>
              <m:t>σ</m:t>
            </m:r>
          </m:e>
          <m:sub>
            <m:r>
              <w:rPr>
                <w:rFonts w:ascii="Cambria Math" w:hAnsi="Cambria Math"/>
                <w:color w:val="000000" w:themeColor="text1"/>
              </w:rPr>
              <m:t>H,T</m:t>
            </m:r>
          </m:sub>
        </m:sSub>
      </m:oMath>
      <w:r w:rsidR="001A0EB8">
        <w:rPr>
          <w:color w:val="000000" w:themeColor="text1"/>
        </w:rPr>
        <w:t xml:space="preserve"> </w:t>
      </w:r>
      <w:r w:rsidR="005937C9">
        <w:rPr>
          <w:color w:val="000000" w:themeColor="text1"/>
        </w:rPr>
        <w:t xml:space="preserve">= standard deviation of humidity or temperature, </w:t>
      </w:r>
      <m:oMath>
        <m:sSub>
          <m:sSubPr>
            <m:ctrlPr>
              <w:rPr>
                <w:rFonts w:ascii="Cambria Math" w:hAnsi="Cambria Math"/>
                <w:i/>
                <w:color w:val="000000" w:themeColor="text1"/>
              </w:rPr>
            </m:ctrlPr>
          </m:sSubPr>
          <m:e>
            <m:r>
              <w:rPr>
                <w:rFonts w:ascii="Cambria Math" w:hAnsi="Cambria Math"/>
                <w:color w:val="000000" w:themeColor="text1"/>
              </w:rPr>
              <m:t>μ</m:t>
            </m:r>
          </m:e>
          <m:sub>
            <m:r>
              <w:rPr>
                <w:rFonts w:ascii="Cambria Math" w:hAnsi="Cambria Math"/>
                <w:color w:val="000000" w:themeColor="text1"/>
              </w:rPr>
              <m:t>H,T</m:t>
            </m:r>
          </m:sub>
        </m:sSub>
      </m:oMath>
      <w:r w:rsidR="005937C9">
        <w:rPr>
          <w:color w:val="000000" w:themeColor="text1"/>
        </w:rPr>
        <w:t xml:space="preserve"> </w:t>
      </w:r>
      <w:r w:rsidR="001A0EB8">
        <w:rPr>
          <w:color w:val="000000" w:themeColor="text1"/>
        </w:rPr>
        <w:t xml:space="preserve">=  mean of humidity or temperature, </w:t>
      </w:r>
      <m:oMath>
        <m:r>
          <w:rPr>
            <w:rFonts w:ascii="Cambria Math" w:hAnsi="Cambria Math"/>
            <w:color w:val="000000" w:themeColor="text1"/>
          </w:rPr>
          <m:t>τ</m:t>
        </m:r>
      </m:oMath>
      <w:r>
        <w:rPr>
          <w:color w:val="000000" w:themeColor="text1"/>
        </w:rPr>
        <w:t xml:space="preserve"> = </w:t>
      </w:r>
      <w:r>
        <w:rPr>
          <w:color w:val="000000" w:themeColor="text1"/>
        </w:rPr>
        <w:lastRenderedPageBreak/>
        <w:t>stabili</w:t>
      </w:r>
      <w:r w:rsidR="00985928">
        <w:rPr>
          <w:color w:val="000000" w:themeColor="text1"/>
        </w:rPr>
        <w:t>ty</w:t>
      </w:r>
      <w:r>
        <w:rPr>
          <w:color w:val="000000" w:themeColor="text1"/>
        </w:rPr>
        <w:t xml:space="preserve"> threshold</w:t>
      </w:r>
      <w:r w:rsidR="0028791A">
        <w:rPr>
          <w:color w:val="000000" w:themeColor="text1"/>
        </w:rPr>
        <w:t>, S</w:t>
      </w:r>
      <w:r w:rsidR="0028791A">
        <w:rPr>
          <w:color w:val="000000" w:themeColor="text1"/>
          <w:vertAlign w:val="subscript"/>
        </w:rPr>
        <w:t>P</w:t>
      </w:r>
      <w:r w:rsidR="0028791A">
        <w:rPr>
          <w:color w:val="000000" w:themeColor="text1"/>
        </w:rPr>
        <w:t xml:space="preserve"> = steady-state values of power, S</w:t>
      </w:r>
      <w:r w:rsidR="0028791A" w:rsidRPr="0020109A">
        <w:rPr>
          <w:color w:val="000000" w:themeColor="text1"/>
          <w:vertAlign w:val="subscript"/>
        </w:rPr>
        <w:t>T,H</w:t>
      </w:r>
      <w:r w:rsidR="0028791A">
        <w:rPr>
          <w:color w:val="000000" w:themeColor="text1"/>
        </w:rPr>
        <w:t xml:space="preserve"> = settling values of temperature or humidity</w:t>
      </w:r>
      <w:r w:rsidR="00452A4A">
        <w:rPr>
          <w:color w:val="000000" w:themeColor="text1"/>
        </w:rPr>
        <w:t xml:space="preserve">, </w:t>
      </w:r>
      <w:proofErr w:type="spellStart"/>
      <w:r w:rsidR="00452A4A">
        <w:rPr>
          <w:color w:val="000000" w:themeColor="text1"/>
        </w:rPr>
        <w:t>i</w:t>
      </w:r>
      <w:proofErr w:type="spellEnd"/>
      <w:r w:rsidR="00452A4A">
        <w:rPr>
          <w:color w:val="000000" w:themeColor="text1"/>
        </w:rPr>
        <w:t xml:space="preserve"> =</w:t>
      </w:r>
      <w:r w:rsidR="001E7DF1">
        <w:rPr>
          <w:color w:val="000000" w:themeColor="text1"/>
        </w:rPr>
        <w:t xml:space="preserve"> iteration index</w:t>
      </w:r>
      <w:r w:rsidR="00452A4A">
        <w:rPr>
          <w:color w:val="000000" w:themeColor="text1"/>
        </w:rPr>
        <w:t>, W = window size</w:t>
      </w:r>
      <w:r w:rsidR="00D10981">
        <w:rPr>
          <w:color w:val="000000" w:themeColor="text1"/>
        </w:rPr>
        <w:t>, P</w:t>
      </w:r>
      <w:r w:rsidR="0050187E">
        <w:rPr>
          <w:color w:val="000000" w:themeColor="text1"/>
        </w:rPr>
        <w:t xml:space="preserve"> = set of power readings, H, set of humidity readings, and T = set of temperature readings.</w:t>
      </w:r>
    </w:p>
    <w:p w14:paraId="495FDFC4" w14:textId="2B9D1E31" w:rsidR="004503CF" w:rsidRDefault="00E12096" w:rsidP="0052202C">
      <w:pPr>
        <w:pStyle w:val="MDPI31text"/>
        <w:ind w:left="2550" w:firstLine="6"/>
        <w:rPr>
          <w:color w:val="000000" w:themeColor="text1"/>
        </w:rPr>
      </w:pPr>
      <w:r w:rsidRPr="00310C94">
        <w:rPr>
          <w:color w:val="000000" w:themeColor="text1"/>
        </w:rPr>
        <w:t>The application calculates temperature data normalized standard deviation from the mean. After stabilizing within thresholds, the settling temperature</w:t>
      </w:r>
      <w:r w:rsidR="00134AF2">
        <w:rPr>
          <w:color w:val="000000" w:themeColor="text1"/>
        </w:rPr>
        <w:t xml:space="preserve"> (S</w:t>
      </w:r>
      <w:r w:rsidR="00134AF2" w:rsidRPr="00134AF2">
        <w:rPr>
          <w:color w:val="000000" w:themeColor="text1"/>
          <w:vertAlign w:val="subscript"/>
        </w:rPr>
        <w:t>T</w:t>
      </w:r>
      <w:r w:rsidR="00134AF2">
        <w:rPr>
          <w:color w:val="000000" w:themeColor="text1"/>
        </w:rPr>
        <w:t>)</w:t>
      </w:r>
      <w:r w:rsidRPr="00310C94">
        <w:rPr>
          <w:color w:val="000000" w:themeColor="text1"/>
        </w:rPr>
        <w:t xml:space="preserve"> and power</w:t>
      </w:r>
      <w:r w:rsidR="00134AF2">
        <w:rPr>
          <w:color w:val="000000" w:themeColor="text1"/>
        </w:rPr>
        <w:t xml:space="preserve"> (S</w:t>
      </w:r>
      <w:r w:rsidR="00134AF2" w:rsidRPr="00134AF2">
        <w:rPr>
          <w:color w:val="000000" w:themeColor="text1"/>
          <w:vertAlign w:val="subscript"/>
        </w:rPr>
        <w:t>P</w:t>
      </w:r>
      <w:r w:rsidR="00134AF2">
        <w:rPr>
          <w:color w:val="000000" w:themeColor="text1"/>
        </w:rPr>
        <w:t>)</w:t>
      </w:r>
      <w:r w:rsidRPr="00310C94">
        <w:rPr>
          <w:color w:val="000000" w:themeColor="text1"/>
        </w:rPr>
        <w:t xml:space="preserve"> are stored as the window's mean temperature and power</w:t>
      </w:r>
      <w:r w:rsidR="001509B4">
        <w:rPr>
          <w:color w:val="000000" w:themeColor="text1"/>
        </w:rPr>
        <w:t>.</w:t>
      </w:r>
      <w:r w:rsidR="0052202C">
        <w:rPr>
          <w:color w:val="000000" w:themeColor="text1"/>
        </w:rPr>
        <w:t xml:space="preserve"> </w:t>
      </w:r>
      <w:r w:rsidR="00CE6D4B" w:rsidRPr="00310C94">
        <w:rPr>
          <w:color w:val="000000" w:themeColor="text1"/>
        </w:rPr>
        <w:t xml:space="preserve">A percentage threshold is used to evaluate power stability. Consistent power ensures temperature stability. </w:t>
      </w:r>
      <w:r w:rsidRPr="00310C94">
        <w:rPr>
          <w:color w:val="000000" w:themeColor="text1"/>
        </w:rPr>
        <w:t>The loop ends at a stable place. Duration of operation time of ACU, number of occupants, and variety of physical activities effect data collection and stable point calculation.</w:t>
      </w:r>
      <w:r w:rsidR="00B17008">
        <w:rPr>
          <w:color w:val="000000" w:themeColor="text1"/>
        </w:rPr>
        <w:t xml:space="preserve"> </w:t>
      </w:r>
    </w:p>
    <w:p w14:paraId="45A192D6" w14:textId="4371C295" w:rsidR="0030499D" w:rsidRDefault="00310C94" w:rsidP="001A75FC">
      <w:pPr>
        <w:pStyle w:val="MDPI31text"/>
        <w:ind w:left="2550" w:firstLine="510"/>
        <w:rPr>
          <w:color w:val="000000" w:themeColor="text1"/>
        </w:rPr>
      </w:pPr>
      <w:r w:rsidRPr="00310C94">
        <w:rPr>
          <w:color w:val="000000" w:themeColor="text1"/>
        </w:rPr>
        <w:t>The parametric conditions specified in Equations 2</w:t>
      </w:r>
      <w:r w:rsidR="005D26F6">
        <w:rPr>
          <w:color w:val="000000" w:themeColor="text1"/>
        </w:rPr>
        <w:t xml:space="preserve"> to </w:t>
      </w:r>
      <w:r w:rsidRPr="00310C94">
        <w:rPr>
          <w:color w:val="000000" w:themeColor="text1"/>
        </w:rPr>
        <w:t xml:space="preserve">4 were still </w:t>
      </w:r>
      <w:r w:rsidR="0052202C">
        <w:rPr>
          <w:color w:val="000000" w:themeColor="text1"/>
        </w:rPr>
        <w:t>considered</w:t>
      </w:r>
      <w:r w:rsidRPr="00310C94">
        <w:rPr>
          <w:color w:val="000000" w:themeColor="text1"/>
        </w:rPr>
        <w:t xml:space="preserve">, with measurements taken only when the power reached a minimum of 10Wh. This is to guarantee that the steady state situation is </w:t>
      </w:r>
      <w:r w:rsidR="0064563E" w:rsidRPr="00310C94">
        <w:rPr>
          <w:color w:val="000000" w:themeColor="text1"/>
        </w:rPr>
        <w:t>considered</w:t>
      </w:r>
      <w:r w:rsidRPr="00310C94">
        <w:rPr>
          <w:color w:val="000000" w:themeColor="text1"/>
        </w:rPr>
        <w:t xml:space="preserve"> when the ACU condensing units are turned on</w:t>
      </w:r>
      <w:r w:rsidR="009E2672">
        <w:rPr>
          <w:color w:val="000000" w:themeColor="text1"/>
        </w:rPr>
        <w:t>.</w:t>
      </w:r>
      <w:r w:rsidR="00E110E5">
        <w:rPr>
          <w:color w:val="000000" w:themeColor="text1"/>
        </w:rPr>
        <w:t xml:space="preserve"> In addition to this, the presented </w:t>
      </w:r>
      <w:r w:rsidR="003F7AAC">
        <w:rPr>
          <w:color w:val="000000" w:themeColor="text1"/>
        </w:rPr>
        <w:t xml:space="preserve">resulting values on Table 7 are </w:t>
      </w:r>
      <w:r w:rsidR="00E110E5">
        <w:rPr>
          <w:color w:val="000000" w:themeColor="text1"/>
        </w:rPr>
        <w:t>product</w:t>
      </w:r>
      <w:r w:rsidR="003F7AAC">
        <w:rPr>
          <w:color w:val="000000" w:themeColor="text1"/>
        </w:rPr>
        <w:t xml:space="preserve">s </w:t>
      </w:r>
      <w:r w:rsidR="00E110E5">
        <w:rPr>
          <w:color w:val="000000" w:themeColor="text1"/>
        </w:rPr>
        <w:t xml:space="preserve">of simulation results and their corresponding bias factors. Bias factors are computed based on deviation between the real-time </w:t>
      </w:r>
      <w:r w:rsidR="0064563E">
        <w:rPr>
          <w:color w:val="000000" w:themeColor="text1"/>
        </w:rPr>
        <w:t>sensor’s</w:t>
      </w:r>
      <w:r w:rsidR="00E110E5">
        <w:rPr>
          <w:color w:val="000000" w:themeColor="text1"/>
        </w:rPr>
        <w:t xml:space="preserve"> measurement values and ACU </w:t>
      </w:r>
      <w:r w:rsidR="0064563E">
        <w:rPr>
          <w:color w:val="000000" w:themeColor="text1"/>
        </w:rPr>
        <w:t>setpoint and</w:t>
      </w:r>
      <w:r w:rsidR="00E110E5">
        <w:rPr>
          <w:color w:val="000000" w:themeColor="text1"/>
        </w:rPr>
        <w:t xml:space="preserve"> were compared to calibrated measuring test instruments.</w:t>
      </w:r>
    </w:p>
    <w:p w14:paraId="4DAB433D" w14:textId="5247A985" w:rsidR="00C51111" w:rsidRDefault="00C51111" w:rsidP="00E64A41">
      <w:pPr>
        <w:pStyle w:val="MDPI41tablecaption"/>
        <w:rPr>
          <w:color w:val="FF0000"/>
        </w:rPr>
      </w:pPr>
      <w:r w:rsidRPr="00B849BA">
        <w:rPr>
          <w:b/>
          <w:color w:val="000000" w:themeColor="text1"/>
        </w:rPr>
        <w:t xml:space="preserve">Table </w:t>
      </w:r>
      <w:r w:rsidR="00E12096">
        <w:rPr>
          <w:b/>
          <w:color w:val="000000" w:themeColor="text1"/>
        </w:rPr>
        <w:t>7</w:t>
      </w:r>
      <w:r w:rsidRPr="00B849BA">
        <w:rPr>
          <w:b/>
          <w:color w:val="000000" w:themeColor="text1"/>
        </w:rPr>
        <w:t xml:space="preserve">. </w:t>
      </w:r>
      <w:r>
        <w:rPr>
          <w:color w:val="000000" w:themeColor="text1"/>
        </w:rPr>
        <w:t xml:space="preserve">Steady state power conditions at Stable Thermal and </w:t>
      </w:r>
      <w:r w:rsidR="00637580">
        <w:rPr>
          <w:color w:val="000000" w:themeColor="text1"/>
        </w:rPr>
        <w:t>CO</w:t>
      </w:r>
      <w:r w:rsidR="00637580" w:rsidRPr="005647C7">
        <w:rPr>
          <w:color w:val="000000" w:themeColor="text1"/>
          <w:vertAlign w:val="subscript"/>
        </w:rPr>
        <w:t>2</w:t>
      </w:r>
      <w:r w:rsidR="00637580">
        <w:rPr>
          <w:color w:val="000000" w:themeColor="text1"/>
        </w:rPr>
        <w:t xml:space="preserve"> </w:t>
      </w:r>
      <w:r>
        <w:rPr>
          <w:color w:val="000000" w:themeColor="text1"/>
        </w:rPr>
        <w:t>Levels</w:t>
      </w:r>
    </w:p>
    <w:tbl>
      <w:tblPr>
        <w:tblW w:w="9540" w:type="dxa"/>
        <w:jc w:val="right"/>
        <w:tblLook w:val="04A0" w:firstRow="1" w:lastRow="0" w:firstColumn="1" w:lastColumn="0" w:noHBand="0" w:noVBand="1"/>
      </w:tblPr>
      <w:tblGrid>
        <w:gridCol w:w="3040"/>
        <w:gridCol w:w="1292"/>
        <w:gridCol w:w="1292"/>
        <w:gridCol w:w="1328"/>
        <w:gridCol w:w="1296"/>
        <w:gridCol w:w="1292"/>
      </w:tblGrid>
      <w:tr w:rsidR="00C51111" w14:paraId="54BAE1E6" w14:textId="77777777" w:rsidTr="004D5142">
        <w:trPr>
          <w:trHeight w:val="1200"/>
          <w:jc w:val="right"/>
        </w:trPr>
        <w:tc>
          <w:tcPr>
            <w:tcW w:w="3040" w:type="dxa"/>
            <w:tcBorders>
              <w:top w:val="single" w:sz="8" w:space="0" w:color="auto"/>
              <w:left w:val="nil"/>
              <w:bottom w:val="single" w:sz="4" w:space="0" w:color="auto"/>
              <w:right w:val="nil"/>
            </w:tcBorders>
            <w:shd w:val="clear" w:color="auto" w:fill="auto"/>
            <w:noWrap/>
            <w:vAlign w:val="center"/>
            <w:hideMark/>
          </w:tcPr>
          <w:p w14:paraId="47B86F3E" w14:textId="77777777" w:rsidR="00C51111" w:rsidRDefault="00C51111" w:rsidP="004D5142">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Room</w:t>
            </w:r>
          </w:p>
        </w:tc>
        <w:tc>
          <w:tcPr>
            <w:tcW w:w="1292" w:type="dxa"/>
            <w:tcBorders>
              <w:top w:val="single" w:sz="8" w:space="0" w:color="auto"/>
              <w:left w:val="nil"/>
              <w:bottom w:val="single" w:sz="4" w:space="0" w:color="auto"/>
              <w:right w:val="nil"/>
            </w:tcBorders>
            <w:shd w:val="clear" w:color="auto" w:fill="auto"/>
            <w:vAlign w:val="center"/>
            <w:hideMark/>
          </w:tcPr>
          <w:p w14:paraId="09907D23" w14:textId="12583B26" w:rsidR="00C51111" w:rsidRDefault="00C51111" w:rsidP="004D5142">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ACU Setpoint</w:t>
            </w:r>
            <w:r>
              <w:rPr>
                <w:rFonts w:ascii="Palatino Linotype" w:hAnsi="Palatino Linotype" w:cs="Calibri"/>
                <w:b/>
                <w:bCs/>
                <w:color w:val="000000"/>
                <w:sz w:val="20"/>
                <w:szCs w:val="20"/>
              </w:rPr>
              <w:br/>
              <w:t>(</w:t>
            </w:r>
            <w:r w:rsidR="002F72CF">
              <w:rPr>
                <w:rFonts w:ascii="Palatino Linotype" w:hAnsi="Palatino Linotype" w:cs="Calibri"/>
                <w:b/>
                <w:bCs/>
                <w:color w:val="000000"/>
                <w:sz w:val="20"/>
                <w:szCs w:val="20"/>
              </w:rPr>
              <w:sym w:font="Symbol" w:char="F0B0"/>
            </w:r>
            <w:r>
              <w:rPr>
                <w:rFonts w:ascii="Palatino Linotype" w:hAnsi="Palatino Linotype" w:cs="Calibri"/>
                <w:b/>
                <w:bCs/>
                <w:color w:val="000000"/>
                <w:sz w:val="20"/>
                <w:szCs w:val="20"/>
              </w:rPr>
              <w:t>C)</w:t>
            </w:r>
          </w:p>
        </w:tc>
        <w:tc>
          <w:tcPr>
            <w:tcW w:w="1292" w:type="dxa"/>
            <w:tcBorders>
              <w:top w:val="single" w:sz="8" w:space="0" w:color="auto"/>
              <w:left w:val="nil"/>
              <w:bottom w:val="single" w:sz="4" w:space="0" w:color="auto"/>
              <w:right w:val="nil"/>
            </w:tcBorders>
            <w:shd w:val="clear" w:color="auto" w:fill="auto"/>
            <w:vAlign w:val="center"/>
            <w:hideMark/>
          </w:tcPr>
          <w:p w14:paraId="071D5281" w14:textId="77777777" w:rsidR="00C51111" w:rsidRDefault="00C51111" w:rsidP="004D5142">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Average Power</w:t>
            </w:r>
            <w:r>
              <w:rPr>
                <w:rFonts w:ascii="Palatino Linotype" w:hAnsi="Palatino Linotype" w:cs="Calibri"/>
                <w:b/>
                <w:bCs/>
                <w:color w:val="000000"/>
                <w:sz w:val="20"/>
                <w:szCs w:val="20"/>
              </w:rPr>
              <w:br/>
              <w:t>(kWh)</w:t>
            </w:r>
          </w:p>
        </w:tc>
        <w:tc>
          <w:tcPr>
            <w:tcW w:w="1328" w:type="dxa"/>
            <w:tcBorders>
              <w:top w:val="single" w:sz="8" w:space="0" w:color="auto"/>
              <w:left w:val="nil"/>
              <w:bottom w:val="single" w:sz="4" w:space="0" w:color="auto"/>
              <w:right w:val="nil"/>
            </w:tcBorders>
            <w:shd w:val="clear" w:color="auto" w:fill="auto"/>
            <w:vAlign w:val="center"/>
            <w:hideMark/>
          </w:tcPr>
          <w:p w14:paraId="0AF2C77A" w14:textId="14AED255" w:rsidR="00C51111" w:rsidRDefault="00C51111" w:rsidP="004D5142">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Dry bulb temperature</w:t>
            </w:r>
            <w:r>
              <w:rPr>
                <w:rFonts w:ascii="Palatino Linotype" w:hAnsi="Palatino Linotype" w:cs="Calibri"/>
                <w:b/>
                <w:bCs/>
                <w:color w:val="000000"/>
                <w:sz w:val="20"/>
                <w:szCs w:val="20"/>
              </w:rPr>
              <w:br/>
              <w:t>(</w:t>
            </w:r>
            <w:r w:rsidR="002F72CF">
              <w:rPr>
                <w:rFonts w:ascii="Palatino Linotype" w:hAnsi="Palatino Linotype" w:cs="Calibri"/>
                <w:b/>
                <w:bCs/>
                <w:color w:val="000000"/>
                <w:sz w:val="20"/>
                <w:szCs w:val="20"/>
              </w:rPr>
              <w:sym w:font="Symbol" w:char="F0B0"/>
            </w:r>
            <w:r>
              <w:rPr>
                <w:rFonts w:ascii="Palatino Linotype" w:hAnsi="Palatino Linotype" w:cs="Calibri"/>
                <w:b/>
                <w:bCs/>
                <w:color w:val="000000"/>
                <w:sz w:val="20"/>
                <w:szCs w:val="20"/>
              </w:rPr>
              <w:t>C)</w:t>
            </w:r>
          </w:p>
        </w:tc>
        <w:tc>
          <w:tcPr>
            <w:tcW w:w="1296" w:type="dxa"/>
            <w:tcBorders>
              <w:top w:val="single" w:sz="8" w:space="0" w:color="auto"/>
              <w:left w:val="nil"/>
              <w:bottom w:val="single" w:sz="4" w:space="0" w:color="auto"/>
              <w:right w:val="nil"/>
            </w:tcBorders>
            <w:shd w:val="clear" w:color="auto" w:fill="auto"/>
            <w:vAlign w:val="center"/>
            <w:hideMark/>
          </w:tcPr>
          <w:p w14:paraId="1EDB5808" w14:textId="77777777" w:rsidR="00C51111" w:rsidRDefault="00C51111" w:rsidP="004D5142">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Relative Humidity</w:t>
            </w:r>
            <w:r>
              <w:rPr>
                <w:rFonts w:ascii="Palatino Linotype" w:hAnsi="Palatino Linotype" w:cs="Calibri"/>
                <w:b/>
                <w:bCs/>
                <w:color w:val="000000"/>
                <w:sz w:val="20"/>
                <w:szCs w:val="20"/>
              </w:rPr>
              <w:br/>
              <w:t>(%)</w:t>
            </w:r>
          </w:p>
        </w:tc>
        <w:tc>
          <w:tcPr>
            <w:tcW w:w="1292" w:type="dxa"/>
            <w:tcBorders>
              <w:top w:val="single" w:sz="8" w:space="0" w:color="auto"/>
              <w:left w:val="nil"/>
              <w:bottom w:val="single" w:sz="4" w:space="0" w:color="auto"/>
              <w:right w:val="nil"/>
            </w:tcBorders>
            <w:shd w:val="clear" w:color="auto" w:fill="auto"/>
            <w:vAlign w:val="center"/>
            <w:hideMark/>
          </w:tcPr>
          <w:p w14:paraId="5FCCF409" w14:textId="4BDEF9DD" w:rsidR="00C51111" w:rsidRDefault="00C37BBF" w:rsidP="004D5142">
            <w:pPr>
              <w:jc w:val="center"/>
              <w:rPr>
                <w:rFonts w:ascii="Palatino Linotype" w:hAnsi="Palatino Linotype" w:cs="Calibri"/>
                <w:b/>
                <w:bCs/>
                <w:color w:val="000000"/>
                <w:sz w:val="20"/>
                <w:szCs w:val="20"/>
              </w:rPr>
            </w:pPr>
            <w:r>
              <w:rPr>
                <w:rFonts w:ascii="Palatino Linotype" w:hAnsi="Palatino Linotype" w:cs="Calibri"/>
                <w:b/>
                <w:bCs/>
                <w:color w:val="000000"/>
                <w:sz w:val="20"/>
                <w:szCs w:val="20"/>
              </w:rPr>
              <w:t>CO</w:t>
            </w:r>
            <w:r w:rsidRPr="00C37BBF">
              <w:rPr>
                <w:rFonts w:ascii="Palatino Linotype" w:hAnsi="Palatino Linotype" w:cs="Calibri"/>
                <w:b/>
                <w:bCs/>
                <w:color w:val="000000"/>
                <w:sz w:val="20"/>
                <w:szCs w:val="20"/>
                <w:vertAlign w:val="subscript"/>
              </w:rPr>
              <w:t>2</w:t>
            </w:r>
            <w:r w:rsidR="00C51111">
              <w:rPr>
                <w:rFonts w:ascii="Palatino Linotype" w:hAnsi="Palatino Linotype" w:cs="Calibri"/>
                <w:b/>
                <w:bCs/>
                <w:color w:val="000000"/>
                <w:sz w:val="20"/>
                <w:szCs w:val="20"/>
              </w:rPr>
              <w:t xml:space="preserve"> Level</w:t>
            </w:r>
            <w:r w:rsidR="00C51111">
              <w:rPr>
                <w:rFonts w:ascii="Palatino Linotype" w:hAnsi="Palatino Linotype" w:cs="Calibri"/>
                <w:b/>
                <w:bCs/>
                <w:color w:val="000000"/>
                <w:sz w:val="20"/>
                <w:szCs w:val="20"/>
              </w:rPr>
              <w:br/>
              <w:t>(ppm)</w:t>
            </w:r>
          </w:p>
        </w:tc>
      </w:tr>
      <w:tr w:rsidR="00C51111" w14:paraId="26BD2586" w14:textId="77777777" w:rsidTr="004D5142">
        <w:trPr>
          <w:trHeight w:val="320"/>
          <w:jc w:val="right"/>
        </w:trPr>
        <w:tc>
          <w:tcPr>
            <w:tcW w:w="3040" w:type="dxa"/>
            <w:tcBorders>
              <w:top w:val="nil"/>
              <w:left w:val="nil"/>
              <w:bottom w:val="nil"/>
              <w:right w:val="nil"/>
            </w:tcBorders>
            <w:shd w:val="clear" w:color="auto" w:fill="auto"/>
            <w:vAlign w:val="center"/>
            <w:hideMark/>
          </w:tcPr>
          <w:p w14:paraId="20790C39" w14:textId="77777777" w:rsidR="00C51111" w:rsidRDefault="00C51111" w:rsidP="004D5142">
            <w:pPr>
              <w:jc w:val="center"/>
              <w:rPr>
                <w:rFonts w:ascii="Palatino Linotype" w:hAnsi="Palatino Linotype" w:cs="Calibri"/>
                <w:color w:val="000000"/>
                <w:sz w:val="20"/>
                <w:szCs w:val="20"/>
              </w:rPr>
            </w:pPr>
            <w:r>
              <w:rPr>
                <w:rFonts w:ascii="Palatino Linotype" w:hAnsi="Palatino Linotype" w:cs="Calibri"/>
                <w:color w:val="000000"/>
                <w:sz w:val="20"/>
                <w:szCs w:val="20"/>
              </w:rPr>
              <w:t>Classroom</w:t>
            </w:r>
          </w:p>
        </w:tc>
        <w:tc>
          <w:tcPr>
            <w:tcW w:w="1292" w:type="dxa"/>
            <w:tcBorders>
              <w:top w:val="nil"/>
              <w:left w:val="nil"/>
              <w:bottom w:val="nil"/>
              <w:right w:val="nil"/>
            </w:tcBorders>
            <w:shd w:val="clear" w:color="auto" w:fill="auto"/>
            <w:vAlign w:val="bottom"/>
            <w:hideMark/>
          </w:tcPr>
          <w:p w14:paraId="5ED6AE1D" w14:textId="77777777" w:rsidR="00C51111" w:rsidRDefault="00C51111" w:rsidP="004D5142">
            <w:pPr>
              <w:jc w:val="center"/>
              <w:rPr>
                <w:rFonts w:ascii="Palatino Linotype" w:hAnsi="Palatino Linotype" w:cs="Calibri"/>
                <w:color w:val="000000"/>
                <w:sz w:val="20"/>
                <w:szCs w:val="20"/>
              </w:rPr>
            </w:pPr>
            <w:r>
              <w:rPr>
                <w:rFonts w:ascii="Palatino Linotype" w:hAnsi="Palatino Linotype" w:cs="Calibri"/>
                <w:color w:val="000000"/>
                <w:sz w:val="20"/>
                <w:szCs w:val="20"/>
              </w:rPr>
              <w:t>23</w:t>
            </w:r>
          </w:p>
        </w:tc>
        <w:tc>
          <w:tcPr>
            <w:tcW w:w="1292" w:type="dxa"/>
            <w:tcBorders>
              <w:top w:val="nil"/>
              <w:left w:val="nil"/>
              <w:bottom w:val="nil"/>
              <w:right w:val="nil"/>
            </w:tcBorders>
            <w:shd w:val="clear" w:color="auto" w:fill="auto"/>
            <w:vAlign w:val="bottom"/>
            <w:hideMark/>
          </w:tcPr>
          <w:p w14:paraId="6CE26C58" w14:textId="77777777" w:rsidR="00C51111" w:rsidRDefault="00C51111" w:rsidP="004D5142">
            <w:pPr>
              <w:jc w:val="center"/>
              <w:rPr>
                <w:rFonts w:ascii="Palatino Linotype" w:hAnsi="Palatino Linotype" w:cs="Calibri"/>
                <w:color w:val="000000"/>
                <w:sz w:val="20"/>
                <w:szCs w:val="20"/>
              </w:rPr>
            </w:pPr>
            <w:r>
              <w:rPr>
                <w:rFonts w:ascii="Palatino Linotype" w:hAnsi="Palatino Linotype" w:cs="Calibri"/>
                <w:color w:val="000000"/>
                <w:sz w:val="20"/>
                <w:szCs w:val="20"/>
              </w:rPr>
              <w:t>1,745.40</w:t>
            </w:r>
          </w:p>
        </w:tc>
        <w:tc>
          <w:tcPr>
            <w:tcW w:w="1328" w:type="dxa"/>
            <w:tcBorders>
              <w:top w:val="nil"/>
              <w:left w:val="nil"/>
              <w:bottom w:val="nil"/>
              <w:right w:val="nil"/>
            </w:tcBorders>
            <w:shd w:val="clear" w:color="auto" w:fill="auto"/>
            <w:vAlign w:val="bottom"/>
            <w:hideMark/>
          </w:tcPr>
          <w:p w14:paraId="456355B1" w14:textId="77777777" w:rsidR="00C51111" w:rsidRDefault="00C51111" w:rsidP="004D5142">
            <w:pPr>
              <w:jc w:val="center"/>
              <w:rPr>
                <w:rFonts w:ascii="Palatino Linotype" w:hAnsi="Palatino Linotype" w:cs="Calibri"/>
                <w:color w:val="000000"/>
                <w:sz w:val="20"/>
                <w:szCs w:val="20"/>
              </w:rPr>
            </w:pPr>
            <w:r>
              <w:rPr>
                <w:rFonts w:ascii="Palatino Linotype" w:hAnsi="Palatino Linotype" w:cs="Calibri"/>
                <w:color w:val="000000"/>
                <w:sz w:val="20"/>
                <w:szCs w:val="20"/>
              </w:rPr>
              <w:t>25.39</w:t>
            </w:r>
          </w:p>
        </w:tc>
        <w:tc>
          <w:tcPr>
            <w:tcW w:w="1296" w:type="dxa"/>
            <w:tcBorders>
              <w:top w:val="nil"/>
              <w:left w:val="nil"/>
              <w:bottom w:val="nil"/>
              <w:right w:val="nil"/>
            </w:tcBorders>
            <w:shd w:val="clear" w:color="auto" w:fill="auto"/>
            <w:vAlign w:val="bottom"/>
            <w:hideMark/>
          </w:tcPr>
          <w:p w14:paraId="0EDB4C88" w14:textId="77777777" w:rsidR="00C51111" w:rsidRDefault="00C51111" w:rsidP="004D5142">
            <w:pPr>
              <w:jc w:val="center"/>
              <w:rPr>
                <w:rFonts w:ascii="Palatino Linotype" w:hAnsi="Palatino Linotype" w:cs="Calibri"/>
                <w:color w:val="000000"/>
                <w:sz w:val="20"/>
                <w:szCs w:val="20"/>
              </w:rPr>
            </w:pPr>
            <w:r>
              <w:rPr>
                <w:rFonts w:ascii="Palatino Linotype" w:hAnsi="Palatino Linotype" w:cs="Calibri"/>
                <w:color w:val="000000"/>
                <w:sz w:val="20"/>
                <w:szCs w:val="20"/>
              </w:rPr>
              <w:t>56.91</w:t>
            </w:r>
          </w:p>
        </w:tc>
        <w:tc>
          <w:tcPr>
            <w:tcW w:w="1292" w:type="dxa"/>
            <w:tcBorders>
              <w:top w:val="nil"/>
              <w:left w:val="nil"/>
              <w:bottom w:val="nil"/>
              <w:right w:val="nil"/>
            </w:tcBorders>
            <w:shd w:val="clear" w:color="auto" w:fill="auto"/>
            <w:vAlign w:val="bottom"/>
            <w:hideMark/>
          </w:tcPr>
          <w:p w14:paraId="0E13C019" w14:textId="77777777" w:rsidR="00C51111" w:rsidRDefault="00C51111" w:rsidP="004D5142">
            <w:pPr>
              <w:jc w:val="center"/>
              <w:rPr>
                <w:rFonts w:ascii="Palatino Linotype" w:hAnsi="Palatino Linotype" w:cs="Calibri"/>
                <w:color w:val="000000"/>
                <w:sz w:val="20"/>
                <w:szCs w:val="20"/>
              </w:rPr>
            </w:pPr>
            <w:r>
              <w:rPr>
                <w:rFonts w:ascii="Palatino Linotype" w:hAnsi="Palatino Linotype" w:cs="Calibri"/>
                <w:color w:val="000000"/>
                <w:sz w:val="20"/>
                <w:szCs w:val="20"/>
              </w:rPr>
              <w:t xml:space="preserve">1,335 </w:t>
            </w:r>
          </w:p>
        </w:tc>
      </w:tr>
      <w:tr w:rsidR="00C51111" w14:paraId="13E7EB85" w14:textId="77777777" w:rsidTr="004D5142">
        <w:trPr>
          <w:trHeight w:val="320"/>
          <w:jc w:val="right"/>
        </w:trPr>
        <w:tc>
          <w:tcPr>
            <w:tcW w:w="3040" w:type="dxa"/>
            <w:tcBorders>
              <w:top w:val="nil"/>
              <w:left w:val="nil"/>
              <w:bottom w:val="nil"/>
              <w:right w:val="nil"/>
            </w:tcBorders>
            <w:shd w:val="clear" w:color="auto" w:fill="auto"/>
            <w:vAlign w:val="center"/>
            <w:hideMark/>
          </w:tcPr>
          <w:p w14:paraId="41554020" w14:textId="77777777" w:rsidR="00C51111" w:rsidRDefault="00C51111" w:rsidP="004D5142">
            <w:pPr>
              <w:jc w:val="center"/>
              <w:rPr>
                <w:rFonts w:ascii="Palatino Linotype" w:hAnsi="Palatino Linotype" w:cs="Calibri"/>
                <w:color w:val="000000"/>
                <w:sz w:val="20"/>
                <w:szCs w:val="20"/>
              </w:rPr>
            </w:pPr>
            <w:r>
              <w:rPr>
                <w:rFonts w:ascii="Palatino Linotype" w:hAnsi="Palatino Linotype" w:cs="Calibri"/>
                <w:color w:val="000000"/>
                <w:sz w:val="20"/>
                <w:szCs w:val="20"/>
              </w:rPr>
              <w:t>Computer Room</w:t>
            </w:r>
          </w:p>
        </w:tc>
        <w:tc>
          <w:tcPr>
            <w:tcW w:w="1292" w:type="dxa"/>
            <w:tcBorders>
              <w:top w:val="nil"/>
              <w:left w:val="nil"/>
              <w:bottom w:val="nil"/>
              <w:right w:val="nil"/>
            </w:tcBorders>
            <w:shd w:val="clear" w:color="auto" w:fill="auto"/>
            <w:vAlign w:val="bottom"/>
            <w:hideMark/>
          </w:tcPr>
          <w:p w14:paraId="7E89D92C" w14:textId="77777777" w:rsidR="00C51111" w:rsidRDefault="00C51111" w:rsidP="004D5142">
            <w:pPr>
              <w:jc w:val="center"/>
              <w:rPr>
                <w:rFonts w:ascii="Palatino Linotype" w:hAnsi="Palatino Linotype" w:cs="Calibri"/>
                <w:color w:val="000000"/>
                <w:sz w:val="20"/>
                <w:szCs w:val="20"/>
              </w:rPr>
            </w:pPr>
            <w:r>
              <w:rPr>
                <w:rFonts w:ascii="Palatino Linotype" w:hAnsi="Palatino Linotype" w:cs="Calibri"/>
                <w:color w:val="000000"/>
                <w:sz w:val="20"/>
                <w:szCs w:val="20"/>
              </w:rPr>
              <w:t>23</w:t>
            </w:r>
          </w:p>
        </w:tc>
        <w:tc>
          <w:tcPr>
            <w:tcW w:w="1292" w:type="dxa"/>
            <w:tcBorders>
              <w:top w:val="nil"/>
              <w:left w:val="nil"/>
              <w:bottom w:val="nil"/>
              <w:right w:val="nil"/>
            </w:tcBorders>
            <w:shd w:val="clear" w:color="auto" w:fill="auto"/>
            <w:vAlign w:val="bottom"/>
            <w:hideMark/>
          </w:tcPr>
          <w:p w14:paraId="095D6D1E" w14:textId="77777777" w:rsidR="00C51111" w:rsidRDefault="00C51111" w:rsidP="004D5142">
            <w:pPr>
              <w:jc w:val="center"/>
              <w:rPr>
                <w:rFonts w:ascii="Palatino Linotype" w:hAnsi="Palatino Linotype" w:cs="Calibri"/>
                <w:color w:val="000000"/>
                <w:sz w:val="20"/>
                <w:szCs w:val="20"/>
              </w:rPr>
            </w:pPr>
            <w:r>
              <w:rPr>
                <w:rFonts w:ascii="Palatino Linotype" w:hAnsi="Palatino Linotype" w:cs="Calibri"/>
                <w:color w:val="000000"/>
                <w:sz w:val="20"/>
                <w:szCs w:val="20"/>
              </w:rPr>
              <w:t>1,720.80</w:t>
            </w:r>
          </w:p>
        </w:tc>
        <w:tc>
          <w:tcPr>
            <w:tcW w:w="1328" w:type="dxa"/>
            <w:tcBorders>
              <w:top w:val="nil"/>
              <w:left w:val="nil"/>
              <w:bottom w:val="nil"/>
              <w:right w:val="nil"/>
            </w:tcBorders>
            <w:shd w:val="clear" w:color="auto" w:fill="auto"/>
            <w:vAlign w:val="bottom"/>
            <w:hideMark/>
          </w:tcPr>
          <w:p w14:paraId="602FBC3D" w14:textId="77777777" w:rsidR="00C51111" w:rsidRDefault="00C51111" w:rsidP="004D5142">
            <w:pPr>
              <w:jc w:val="center"/>
              <w:rPr>
                <w:rFonts w:ascii="Palatino Linotype" w:hAnsi="Palatino Linotype" w:cs="Calibri"/>
                <w:color w:val="000000"/>
                <w:sz w:val="20"/>
                <w:szCs w:val="20"/>
              </w:rPr>
            </w:pPr>
            <w:r>
              <w:rPr>
                <w:rFonts w:ascii="Palatino Linotype" w:hAnsi="Palatino Linotype" w:cs="Calibri"/>
                <w:color w:val="000000"/>
                <w:sz w:val="20"/>
                <w:szCs w:val="20"/>
              </w:rPr>
              <w:t>24.17</w:t>
            </w:r>
          </w:p>
        </w:tc>
        <w:tc>
          <w:tcPr>
            <w:tcW w:w="1296" w:type="dxa"/>
            <w:tcBorders>
              <w:top w:val="nil"/>
              <w:left w:val="nil"/>
              <w:bottom w:val="nil"/>
              <w:right w:val="nil"/>
            </w:tcBorders>
            <w:shd w:val="clear" w:color="auto" w:fill="auto"/>
            <w:vAlign w:val="bottom"/>
            <w:hideMark/>
          </w:tcPr>
          <w:p w14:paraId="22554DAC" w14:textId="77777777" w:rsidR="00C51111" w:rsidRDefault="00C51111" w:rsidP="004D5142">
            <w:pPr>
              <w:jc w:val="center"/>
              <w:rPr>
                <w:rFonts w:ascii="Palatino Linotype" w:hAnsi="Palatino Linotype" w:cs="Calibri"/>
                <w:color w:val="000000"/>
                <w:sz w:val="20"/>
                <w:szCs w:val="20"/>
              </w:rPr>
            </w:pPr>
            <w:r>
              <w:rPr>
                <w:rFonts w:ascii="Palatino Linotype" w:hAnsi="Palatino Linotype" w:cs="Calibri"/>
                <w:color w:val="000000"/>
                <w:sz w:val="20"/>
                <w:szCs w:val="20"/>
              </w:rPr>
              <w:t>50.05</w:t>
            </w:r>
          </w:p>
        </w:tc>
        <w:tc>
          <w:tcPr>
            <w:tcW w:w="1292" w:type="dxa"/>
            <w:tcBorders>
              <w:top w:val="nil"/>
              <w:left w:val="nil"/>
              <w:bottom w:val="nil"/>
              <w:right w:val="nil"/>
            </w:tcBorders>
            <w:shd w:val="clear" w:color="auto" w:fill="auto"/>
            <w:vAlign w:val="bottom"/>
            <w:hideMark/>
          </w:tcPr>
          <w:p w14:paraId="3D918D56" w14:textId="77777777" w:rsidR="00C51111" w:rsidRDefault="00C51111" w:rsidP="004D5142">
            <w:pPr>
              <w:jc w:val="center"/>
              <w:rPr>
                <w:rFonts w:ascii="Palatino Linotype" w:hAnsi="Palatino Linotype" w:cs="Calibri"/>
                <w:color w:val="000000"/>
                <w:sz w:val="20"/>
                <w:szCs w:val="20"/>
              </w:rPr>
            </w:pPr>
            <w:r>
              <w:rPr>
                <w:rFonts w:ascii="Palatino Linotype" w:hAnsi="Palatino Linotype" w:cs="Calibri"/>
                <w:color w:val="000000"/>
                <w:sz w:val="20"/>
                <w:szCs w:val="20"/>
              </w:rPr>
              <w:t>400</w:t>
            </w:r>
          </w:p>
        </w:tc>
      </w:tr>
      <w:tr w:rsidR="00C51111" w14:paraId="12585411" w14:textId="77777777" w:rsidTr="004D5142">
        <w:trPr>
          <w:trHeight w:val="320"/>
          <w:jc w:val="right"/>
        </w:trPr>
        <w:tc>
          <w:tcPr>
            <w:tcW w:w="3040" w:type="dxa"/>
            <w:tcBorders>
              <w:top w:val="nil"/>
              <w:left w:val="nil"/>
              <w:bottom w:val="nil"/>
              <w:right w:val="nil"/>
            </w:tcBorders>
            <w:shd w:val="clear" w:color="auto" w:fill="auto"/>
            <w:vAlign w:val="center"/>
            <w:hideMark/>
          </w:tcPr>
          <w:p w14:paraId="43430789" w14:textId="77777777" w:rsidR="00C51111" w:rsidRDefault="00C51111" w:rsidP="004D5142">
            <w:pPr>
              <w:jc w:val="center"/>
              <w:rPr>
                <w:rFonts w:ascii="Palatino Linotype" w:hAnsi="Palatino Linotype" w:cs="Calibri"/>
                <w:color w:val="000000"/>
                <w:sz w:val="20"/>
                <w:szCs w:val="20"/>
              </w:rPr>
            </w:pPr>
            <w:r>
              <w:rPr>
                <w:rFonts w:ascii="Palatino Linotype" w:hAnsi="Palatino Linotype" w:cs="Calibri"/>
                <w:color w:val="000000"/>
                <w:sz w:val="20"/>
                <w:szCs w:val="20"/>
              </w:rPr>
              <w:t>Laboratory Room</w:t>
            </w:r>
          </w:p>
        </w:tc>
        <w:tc>
          <w:tcPr>
            <w:tcW w:w="1292" w:type="dxa"/>
            <w:tcBorders>
              <w:top w:val="nil"/>
              <w:left w:val="nil"/>
              <w:bottom w:val="nil"/>
              <w:right w:val="nil"/>
            </w:tcBorders>
            <w:shd w:val="clear" w:color="auto" w:fill="auto"/>
            <w:vAlign w:val="bottom"/>
            <w:hideMark/>
          </w:tcPr>
          <w:p w14:paraId="7D84F1C6" w14:textId="77777777" w:rsidR="00C51111" w:rsidRDefault="00C51111" w:rsidP="004D5142">
            <w:pPr>
              <w:jc w:val="center"/>
              <w:rPr>
                <w:rFonts w:ascii="Palatino Linotype" w:hAnsi="Palatino Linotype" w:cs="Calibri"/>
                <w:color w:val="000000"/>
                <w:sz w:val="20"/>
                <w:szCs w:val="20"/>
              </w:rPr>
            </w:pPr>
            <w:r>
              <w:rPr>
                <w:rFonts w:ascii="Palatino Linotype" w:hAnsi="Palatino Linotype" w:cs="Calibri"/>
                <w:color w:val="000000"/>
                <w:sz w:val="20"/>
                <w:szCs w:val="20"/>
              </w:rPr>
              <w:t>21</w:t>
            </w:r>
          </w:p>
        </w:tc>
        <w:tc>
          <w:tcPr>
            <w:tcW w:w="1292" w:type="dxa"/>
            <w:tcBorders>
              <w:top w:val="nil"/>
              <w:left w:val="nil"/>
              <w:bottom w:val="nil"/>
              <w:right w:val="nil"/>
            </w:tcBorders>
            <w:shd w:val="clear" w:color="auto" w:fill="auto"/>
            <w:vAlign w:val="bottom"/>
            <w:hideMark/>
          </w:tcPr>
          <w:p w14:paraId="703C456B" w14:textId="77777777" w:rsidR="00C51111" w:rsidRDefault="00C51111" w:rsidP="004D5142">
            <w:pPr>
              <w:jc w:val="center"/>
              <w:rPr>
                <w:rFonts w:ascii="Palatino Linotype" w:hAnsi="Palatino Linotype" w:cs="Calibri"/>
                <w:color w:val="000000"/>
                <w:sz w:val="20"/>
                <w:szCs w:val="20"/>
              </w:rPr>
            </w:pPr>
            <w:r>
              <w:rPr>
                <w:rFonts w:ascii="Palatino Linotype" w:hAnsi="Palatino Linotype" w:cs="Calibri"/>
                <w:color w:val="000000"/>
                <w:sz w:val="20"/>
                <w:szCs w:val="20"/>
              </w:rPr>
              <w:t>2,030.40</w:t>
            </w:r>
          </w:p>
        </w:tc>
        <w:tc>
          <w:tcPr>
            <w:tcW w:w="1328" w:type="dxa"/>
            <w:tcBorders>
              <w:top w:val="nil"/>
              <w:left w:val="nil"/>
              <w:bottom w:val="nil"/>
              <w:right w:val="nil"/>
            </w:tcBorders>
            <w:shd w:val="clear" w:color="auto" w:fill="auto"/>
            <w:vAlign w:val="bottom"/>
            <w:hideMark/>
          </w:tcPr>
          <w:p w14:paraId="534009E3" w14:textId="77777777" w:rsidR="00C51111" w:rsidRDefault="00C51111" w:rsidP="004D5142">
            <w:pPr>
              <w:jc w:val="center"/>
              <w:rPr>
                <w:rFonts w:ascii="Palatino Linotype" w:hAnsi="Palatino Linotype" w:cs="Calibri"/>
                <w:color w:val="000000"/>
                <w:sz w:val="20"/>
                <w:szCs w:val="20"/>
              </w:rPr>
            </w:pPr>
            <w:r>
              <w:rPr>
                <w:rFonts w:ascii="Palatino Linotype" w:hAnsi="Palatino Linotype" w:cs="Calibri"/>
                <w:color w:val="000000"/>
                <w:sz w:val="20"/>
                <w:szCs w:val="20"/>
              </w:rPr>
              <w:t>22.44</w:t>
            </w:r>
          </w:p>
        </w:tc>
        <w:tc>
          <w:tcPr>
            <w:tcW w:w="1296" w:type="dxa"/>
            <w:tcBorders>
              <w:top w:val="nil"/>
              <w:left w:val="nil"/>
              <w:bottom w:val="nil"/>
              <w:right w:val="nil"/>
            </w:tcBorders>
            <w:shd w:val="clear" w:color="auto" w:fill="auto"/>
            <w:vAlign w:val="bottom"/>
            <w:hideMark/>
          </w:tcPr>
          <w:p w14:paraId="5AC83895" w14:textId="77777777" w:rsidR="00C51111" w:rsidRDefault="00C51111" w:rsidP="004D5142">
            <w:pPr>
              <w:jc w:val="center"/>
              <w:rPr>
                <w:rFonts w:ascii="Palatino Linotype" w:hAnsi="Palatino Linotype" w:cs="Calibri"/>
                <w:color w:val="000000"/>
                <w:sz w:val="20"/>
                <w:szCs w:val="20"/>
              </w:rPr>
            </w:pPr>
            <w:r>
              <w:rPr>
                <w:rFonts w:ascii="Palatino Linotype" w:hAnsi="Palatino Linotype" w:cs="Calibri"/>
                <w:color w:val="000000"/>
                <w:sz w:val="20"/>
                <w:szCs w:val="20"/>
              </w:rPr>
              <w:t>37.87</w:t>
            </w:r>
          </w:p>
        </w:tc>
        <w:tc>
          <w:tcPr>
            <w:tcW w:w="1292" w:type="dxa"/>
            <w:tcBorders>
              <w:top w:val="nil"/>
              <w:left w:val="nil"/>
              <w:bottom w:val="nil"/>
              <w:right w:val="nil"/>
            </w:tcBorders>
            <w:shd w:val="clear" w:color="auto" w:fill="auto"/>
            <w:vAlign w:val="bottom"/>
            <w:hideMark/>
          </w:tcPr>
          <w:p w14:paraId="4E2F9447" w14:textId="77777777" w:rsidR="00C51111" w:rsidRDefault="00C51111" w:rsidP="004D5142">
            <w:pPr>
              <w:jc w:val="center"/>
              <w:rPr>
                <w:rFonts w:ascii="Palatino Linotype" w:hAnsi="Palatino Linotype" w:cs="Calibri"/>
                <w:color w:val="000000"/>
                <w:sz w:val="20"/>
                <w:szCs w:val="20"/>
              </w:rPr>
            </w:pPr>
            <w:r>
              <w:rPr>
                <w:rFonts w:ascii="Palatino Linotype" w:hAnsi="Palatino Linotype" w:cs="Calibri"/>
                <w:color w:val="000000"/>
                <w:sz w:val="20"/>
                <w:szCs w:val="20"/>
              </w:rPr>
              <w:t>1,562</w:t>
            </w:r>
          </w:p>
        </w:tc>
      </w:tr>
      <w:tr w:rsidR="00C51111" w14:paraId="7D37F4E3" w14:textId="77777777" w:rsidTr="004D5142">
        <w:trPr>
          <w:trHeight w:val="320"/>
          <w:jc w:val="right"/>
        </w:trPr>
        <w:tc>
          <w:tcPr>
            <w:tcW w:w="3040" w:type="dxa"/>
            <w:tcBorders>
              <w:top w:val="nil"/>
              <w:left w:val="nil"/>
              <w:bottom w:val="nil"/>
              <w:right w:val="nil"/>
            </w:tcBorders>
            <w:shd w:val="clear" w:color="auto" w:fill="auto"/>
            <w:vAlign w:val="center"/>
            <w:hideMark/>
          </w:tcPr>
          <w:p w14:paraId="619DD5B5" w14:textId="77777777" w:rsidR="00C51111" w:rsidRDefault="00C51111" w:rsidP="004D5142">
            <w:pPr>
              <w:jc w:val="center"/>
              <w:rPr>
                <w:rFonts w:ascii="Palatino Linotype" w:hAnsi="Palatino Linotype" w:cs="Calibri"/>
                <w:color w:val="000000"/>
                <w:sz w:val="20"/>
                <w:szCs w:val="20"/>
              </w:rPr>
            </w:pPr>
            <w:r>
              <w:rPr>
                <w:rFonts w:ascii="Palatino Linotype" w:hAnsi="Palatino Linotype" w:cs="Calibri"/>
                <w:color w:val="000000"/>
                <w:sz w:val="20"/>
                <w:szCs w:val="20"/>
              </w:rPr>
              <w:t>Office (shared)</w:t>
            </w:r>
          </w:p>
        </w:tc>
        <w:tc>
          <w:tcPr>
            <w:tcW w:w="1292" w:type="dxa"/>
            <w:tcBorders>
              <w:top w:val="nil"/>
              <w:left w:val="nil"/>
              <w:bottom w:val="nil"/>
              <w:right w:val="nil"/>
            </w:tcBorders>
            <w:shd w:val="clear" w:color="auto" w:fill="auto"/>
            <w:vAlign w:val="bottom"/>
            <w:hideMark/>
          </w:tcPr>
          <w:p w14:paraId="7F1C702B" w14:textId="77777777" w:rsidR="00C51111" w:rsidRDefault="00C51111" w:rsidP="004D5142">
            <w:pPr>
              <w:jc w:val="center"/>
              <w:rPr>
                <w:rFonts w:ascii="Palatino Linotype" w:hAnsi="Palatino Linotype" w:cs="Calibri"/>
                <w:color w:val="000000"/>
                <w:sz w:val="20"/>
                <w:szCs w:val="20"/>
              </w:rPr>
            </w:pPr>
            <w:r>
              <w:rPr>
                <w:rFonts w:ascii="Palatino Linotype" w:hAnsi="Palatino Linotype" w:cs="Calibri"/>
                <w:color w:val="000000"/>
                <w:sz w:val="20"/>
                <w:szCs w:val="20"/>
              </w:rPr>
              <w:t>25</w:t>
            </w:r>
          </w:p>
        </w:tc>
        <w:tc>
          <w:tcPr>
            <w:tcW w:w="1292" w:type="dxa"/>
            <w:tcBorders>
              <w:top w:val="nil"/>
              <w:left w:val="nil"/>
              <w:bottom w:val="nil"/>
              <w:right w:val="nil"/>
            </w:tcBorders>
            <w:shd w:val="clear" w:color="auto" w:fill="auto"/>
            <w:vAlign w:val="bottom"/>
            <w:hideMark/>
          </w:tcPr>
          <w:p w14:paraId="010825A6" w14:textId="77777777" w:rsidR="00C51111" w:rsidRDefault="00C51111" w:rsidP="004D5142">
            <w:pPr>
              <w:jc w:val="center"/>
              <w:rPr>
                <w:rFonts w:ascii="Palatino Linotype" w:hAnsi="Palatino Linotype" w:cs="Calibri"/>
                <w:color w:val="000000"/>
                <w:sz w:val="20"/>
                <w:szCs w:val="20"/>
              </w:rPr>
            </w:pPr>
            <w:r>
              <w:rPr>
                <w:rFonts w:ascii="Palatino Linotype" w:hAnsi="Palatino Linotype" w:cs="Calibri"/>
                <w:color w:val="000000"/>
                <w:sz w:val="20"/>
                <w:szCs w:val="20"/>
              </w:rPr>
              <w:t>1,030.80</w:t>
            </w:r>
          </w:p>
        </w:tc>
        <w:tc>
          <w:tcPr>
            <w:tcW w:w="1328" w:type="dxa"/>
            <w:tcBorders>
              <w:top w:val="nil"/>
              <w:left w:val="nil"/>
              <w:bottom w:val="nil"/>
              <w:right w:val="nil"/>
            </w:tcBorders>
            <w:shd w:val="clear" w:color="auto" w:fill="auto"/>
            <w:vAlign w:val="bottom"/>
            <w:hideMark/>
          </w:tcPr>
          <w:p w14:paraId="309906BB" w14:textId="6816E7EE" w:rsidR="00C51111" w:rsidRDefault="00C51111" w:rsidP="004D5142">
            <w:pPr>
              <w:jc w:val="center"/>
              <w:rPr>
                <w:rFonts w:ascii="Palatino Linotype" w:hAnsi="Palatino Linotype" w:cs="Calibri"/>
                <w:color w:val="000000"/>
                <w:sz w:val="20"/>
                <w:szCs w:val="20"/>
              </w:rPr>
            </w:pPr>
            <w:r>
              <w:rPr>
                <w:rFonts w:ascii="Palatino Linotype" w:hAnsi="Palatino Linotype" w:cs="Calibri"/>
                <w:color w:val="000000"/>
                <w:sz w:val="20"/>
                <w:szCs w:val="20"/>
              </w:rPr>
              <w:t>25.2</w:t>
            </w:r>
            <w:r w:rsidR="00E3753D">
              <w:rPr>
                <w:rFonts w:ascii="Palatino Linotype" w:hAnsi="Palatino Linotype" w:cs="Calibri"/>
                <w:color w:val="000000"/>
                <w:sz w:val="20"/>
                <w:szCs w:val="20"/>
              </w:rPr>
              <w:t>0</w:t>
            </w:r>
          </w:p>
        </w:tc>
        <w:tc>
          <w:tcPr>
            <w:tcW w:w="1296" w:type="dxa"/>
            <w:tcBorders>
              <w:top w:val="nil"/>
              <w:left w:val="nil"/>
              <w:bottom w:val="nil"/>
              <w:right w:val="nil"/>
            </w:tcBorders>
            <w:shd w:val="clear" w:color="auto" w:fill="auto"/>
            <w:vAlign w:val="bottom"/>
            <w:hideMark/>
          </w:tcPr>
          <w:p w14:paraId="79A3FAF7" w14:textId="77777777" w:rsidR="00C51111" w:rsidRDefault="00C51111" w:rsidP="004D5142">
            <w:pPr>
              <w:jc w:val="center"/>
              <w:rPr>
                <w:rFonts w:ascii="Palatino Linotype" w:hAnsi="Palatino Linotype" w:cs="Calibri"/>
                <w:color w:val="000000"/>
                <w:sz w:val="20"/>
                <w:szCs w:val="20"/>
              </w:rPr>
            </w:pPr>
            <w:r>
              <w:rPr>
                <w:rFonts w:ascii="Palatino Linotype" w:hAnsi="Palatino Linotype" w:cs="Calibri"/>
                <w:color w:val="000000"/>
                <w:sz w:val="20"/>
                <w:szCs w:val="20"/>
              </w:rPr>
              <w:t>34.96</w:t>
            </w:r>
          </w:p>
        </w:tc>
        <w:tc>
          <w:tcPr>
            <w:tcW w:w="1292" w:type="dxa"/>
            <w:tcBorders>
              <w:top w:val="nil"/>
              <w:left w:val="nil"/>
              <w:bottom w:val="nil"/>
              <w:right w:val="nil"/>
            </w:tcBorders>
            <w:shd w:val="clear" w:color="auto" w:fill="auto"/>
            <w:vAlign w:val="bottom"/>
            <w:hideMark/>
          </w:tcPr>
          <w:p w14:paraId="22DFC291" w14:textId="77777777" w:rsidR="00C51111" w:rsidRDefault="00C51111" w:rsidP="004D5142">
            <w:pPr>
              <w:jc w:val="center"/>
              <w:rPr>
                <w:rFonts w:ascii="Palatino Linotype" w:hAnsi="Palatino Linotype" w:cs="Calibri"/>
                <w:color w:val="000000"/>
                <w:sz w:val="20"/>
                <w:szCs w:val="20"/>
              </w:rPr>
            </w:pPr>
            <w:r>
              <w:rPr>
                <w:rFonts w:ascii="Palatino Linotype" w:hAnsi="Palatino Linotype" w:cs="Calibri"/>
                <w:color w:val="000000"/>
                <w:sz w:val="20"/>
                <w:szCs w:val="20"/>
              </w:rPr>
              <w:t>400</w:t>
            </w:r>
          </w:p>
        </w:tc>
      </w:tr>
      <w:tr w:rsidR="00C51111" w14:paraId="0B13220A" w14:textId="77777777" w:rsidTr="004D5142">
        <w:trPr>
          <w:trHeight w:val="340"/>
          <w:jc w:val="right"/>
        </w:trPr>
        <w:tc>
          <w:tcPr>
            <w:tcW w:w="3040" w:type="dxa"/>
            <w:tcBorders>
              <w:top w:val="nil"/>
              <w:left w:val="nil"/>
              <w:bottom w:val="single" w:sz="8" w:space="0" w:color="000000"/>
              <w:right w:val="nil"/>
            </w:tcBorders>
            <w:shd w:val="clear" w:color="auto" w:fill="auto"/>
            <w:vAlign w:val="center"/>
            <w:hideMark/>
          </w:tcPr>
          <w:p w14:paraId="66BA9BDA" w14:textId="77777777" w:rsidR="00C51111" w:rsidRDefault="00C51111" w:rsidP="004D5142">
            <w:pPr>
              <w:jc w:val="center"/>
              <w:rPr>
                <w:rFonts w:ascii="Palatino Linotype" w:hAnsi="Palatino Linotype" w:cs="Calibri"/>
                <w:color w:val="000000"/>
                <w:sz w:val="20"/>
                <w:szCs w:val="20"/>
              </w:rPr>
            </w:pPr>
            <w:r>
              <w:rPr>
                <w:rFonts w:ascii="Palatino Linotype" w:hAnsi="Palatino Linotype" w:cs="Calibri"/>
                <w:color w:val="000000"/>
                <w:sz w:val="20"/>
                <w:szCs w:val="20"/>
              </w:rPr>
              <w:t>Office (solo)</w:t>
            </w:r>
          </w:p>
        </w:tc>
        <w:tc>
          <w:tcPr>
            <w:tcW w:w="1292" w:type="dxa"/>
            <w:tcBorders>
              <w:top w:val="nil"/>
              <w:left w:val="nil"/>
              <w:bottom w:val="single" w:sz="8" w:space="0" w:color="auto"/>
              <w:right w:val="nil"/>
            </w:tcBorders>
            <w:shd w:val="clear" w:color="auto" w:fill="auto"/>
            <w:vAlign w:val="bottom"/>
            <w:hideMark/>
          </w:tcPr>
          <w:p w14:paraId="1FF9EFE9" w14:textId="77777777" w:rsidR="00C51111" w:rsidRDefault="00C51111" w:rsidP="004D5142">
            <w:pPr>
              <w:jc w:val="center"/>
              <w:rPr>
                <w:rFonts w:ascii="Palatino Linotype" w:hAnsi="Palatino Linotype" w:cs="Calibri"/>
                <w:color w:val="000000"/>
                <w:sz w:val="20"/>
                <w:szCs w:val="20"/>
              </w:rPr>
            </w:pPr>
            <w:r>
              <w:rPr>
                <w:rFonts w:ascii="Palatino Linotype" w:hAnsi="Palatino Linotype" w:cs="Calibri"/>
                <w:color w:val="000000"/>
                <w:sz w:val="20"/>
                <w:szCs w:val="20"/>
              </w:rPr>
              <w:t>25</w:t>
            </w:r>
          </w:p>
        </w:tc>
        <w:tc>
          <w:tcPr>
            <w:tcW w:w="1292" w:type="dxa"/>
            <w:tcBorders>
              <w:top w:val="nil"/>
              <w:left w:val="nil"/>
              <w:bottom w:val="single" w:sz="8" w:space="0" w:color="auto"/>
              <w:right w:val="nil"/>
            </w:tcBorders>
            <w:shd w:val="clear" w:color="auto" w:fill="auto"/>
            <w:vAlign w:val="bottom"/>
            <w:hideMark/>
          </w:tcPr>
          <w:p w14:paraId="52757ED5" w14:textId="77777777" w:rsidR="00C51111" w:rsidRDefault="00C51111" w:rsidP="004D5142">
            <w:pPr>
              <w:jc w:val="center"/>
              <w:rPr>
                <w:rFonts w:ascii="Palatino Linotype" w:hAnsi="Palatino Linotype" w:cs="Calibri"/>
                <w:color w:val="000000"/>
                <w:sz w:val="20"/>
                <w:szCs w:val="20"/>
              </w:rPr>
            </w:pPr>
            <w:r>
              <w:rPr>
                <w:rFonts w:ascii="Palatino Linotype" w:hAnsi="Palatino Linotype" w:cs="Calibri"/>
                <w:color w:val="000000"/>
                <w:sz w:val="20"/>
                <w:szCs w:val="20"/>
              </w:rPr>
              <w:t xml:space="preserve">1,030.80 </w:t>
            </w:r>
          </w:p>
        </w:tc>
        <w:tc>
          <w:tcPr>
            <w:tcW w:w="1328" w:type="dxa"/>
            <w:tcBorders>
              <w:top w:val="nil"/>
              <w:left w:val="nil"/>
              <w:bottom w:val="single" w:sz="8" w:space="0" w:color="auto"/>
              <w:right w:val="nil"/>
            </w:tcBorders>
            <w:shd w:val="clear" w:color="auto" w:fill="auto"/>
            <w:vAlign w:val="bottom"/>
            <w:hideMark/>
          </w:tcPr>
          <w:p w14:paraId="008F8C45" w14:textId="6FB98A67" w:rsidR="00C51111" w:rsidRDefault="00C51111" w:rsidP="004D5142">
            <w:pPr>
              <w:jc w:val="center"/>
              <w:rPr>
                <w:rFonts w:ascii="Palatino Linotype" w:hAnsi="Palatino Linotype" w:cs="Calibri"/>
                <w:color w:val="000000"/>
                <w:sz w:val="20"/>
                <w:szCs w:val="20"/>
              </w:rPr>
            </w:pPr>
            <w:r>
              <w:rPr>
                <w:rFonts w:ascii="Palatino Linotype" w:hAnsi="Palatino Linotype" w:cs="Calibri"/>
                <w:color w:val="000000"/>
                <w:sz w:val="20"/>
                <w:szCs w:val="20"/>
              </w:rPr>
              <w:t>25.39</w:t>
            </w:r>
          </w:p>
        </w:tc>
        <w:tc>
          <w:tcPr>
            <w:tcW w:w="1296" w:type="dxa"/>
            <w:tcBorders>
              <w:top w:val="nil"/>
              <w:left w:val="nil"/>
              <w:bottom w:val="single" w:sz="8" w:space="0" w:color="auto"/>
              <w:right w:val="nil"/>
            </w:tcBorders>
            <w:shd w:val="clear" w:color="auto" w:fill="auto"/>
            <w:vAlign w:val="bottom"/>
            <w:hideMark/>
          </w:tcPr>
          <w:p w14:paraId="1E04F335" w14:textId="47C3ED67" w:rsidR="00C51111" w:rsidRDefault="00C51111" w:rsidP="004D5142">
            <w:pPr>
              <w:jc w:val="center"/>
              <w:rPr>
                <w:rFonts w:ascii="Palatino Linotype" w:hAnsi="Palatino Linotype" w:cs="Calibri"/>
                <w:color w:val="000000"/>
                <w:sz w:val="20"/>
                <w:szCs w:val="20"/>
              </w:rPr>
            </w:pPr>
            <w:r>
              <w:rPr>
                <w:rFonts w:ascii="Palatino Linotype" w:hAnsi="Palatino Linotype" w:cs="Calibri"/>
                <w:color w:val="000000"/>
                <w:sz w:val="20"/>
                <w:szCs w:val="20"/>
              </w:rPr>
              <w:t>50.32</w:t>
            </w:r>
          </w:p>
        </w:tc>
        <w:tc>
          <w:tcPr>
            <w:tcW w:w="1292" w:type="dxa"/>
            <w:tcBorders>
              <w:top w:val="nil"/>
              <w:left w:val="nil"/>
              <w:bottom w:val="single" w:sz="8" w:space="0" w:color="auto"/>
              <w:right w:val="nil"/>
            </w:tcBorders>
            <w:shd w:val="clear" w:color="auto" w:fill="auto"/>
            <w:vAlign w:val="bottom"/>
            <w:hideMark/>
          </w:tcPr>
          <w:p w14:paraId="3EF2FE50" w14:textId="77777777" w:rsidR="00C51111" w:rsidRDefault="00C51111" w:rsidP="004D5142">
            <w:pPr>
              <w:jc w:val="center"/>
              <w:rPr>
                <w:rFonts w:ascii="Palatino Linotype" w:hAnsi="Palatino Linotype" w:cs="Calibri"/>
                <w:color w:val="000000"/>
                <w:sz w:val="20"/>
                <w:szCs w:val="20"/>
              </w:rPr>
            </w:pPr>
            <w:r>
              <w:rPr>
                <w:rFonts w:ascii="Palatino Linotype" w:hAnsi="Palatino Linotype" w:cs="Calibri"/>
                <w:color w:val="000000"/>
                <w:sz w:val="20"/>
                <w:szCs w:val="20"/>
              </w:rPr>
              <w:t>426</w:t>
            </w:r>
          </w:p>
        </w:tc>
      </w:tr>
    </w:tbl>
    <w:p w14:paraId="131AF634" w14:textId="77777777" w:rsidR="00C51111" w:rsidRDefault="00C51111" w:rsidP="00F3424F">
      <w:pPr>
        <w:pStyle w:val="MDPI31text"/>
        <w:rPr>
          <w:color w:val="FF0000"/>
        </w:rPr>
      </w:pPr>
    </w:p>
    <w:p w14:paraId="1FA1BA5E" w14:textId="3EB85EB9" w:rsidR="00F867EA" w:rsidRPr="00B60A36" w:rsidRDefault="00B60A36" w:rsidP="003F7AAC">
      <w:pPr>
        <w:pStyle w:val="MDPI31text"/>
        <w:ind w:firstLine="452"/>
      </w:pPr>
      <w:r w:rsidRPr="00B60A36">
        <w:rPr>
          <w:color w:val="000000" w:themeColor="text1"/>
        </w:rPr>
        <w:t>It is important to mention that the levels of CO</w:t>
      </w:r>
      <w:r w:rsidRPr="00B60A36">
        <w:rPr>
          <w:color w:val="000000" w:themeColor="text1"/>
          <w:vertAlign w:val="subscript"/>
        </w:rPr>
        <w:t>2</w:t>
      </w:r>
      <w:r w:rsidRPr="00B60A36">
        <w:rPr>
          <w:color w:val="000000" w:themeColor="text1"/>
        </w:rPr>
        <w:t xml:space="preserve"> in classroom and laboratory rooms exceed the typical levels found in indoor settings, indicating high levels of activity in these spaces</w:t>
      </w:r>
      <w:r w:rsidR="00C33547">
        <w:rPr>
          <w:color w:val="000000" w:themeColor="text1"/>
        </w:rPr>
        <w:t xml:space="preserve"> </w:t>
      </w:r>
      <w:r w:rsidR="00767D7B">
        <w:fldChar w:fldCharType="begin"/>
      </w:r>
      <w:r w:rsidR="00E67C20">
        <w:instrText xml:space="preserve"> ADDIN ZOTERO_ITEM CSL_CITATION {"citationID":"cUYfJEm6","properties":{"formattedCitation":"[30]","plainCitation":"[30]","noteIndex":0},"citationItems":[{"id":397,"uris":["http://zotero.org/users/13681048/items/8JQR7VCK"],"itemData":{"id":397,"type":"document","title":"TC-04.03-FAQ-35.pdf","URL":"https://www.ashrae.org/File%20Library/Technical%20Resources/Technical%20FAQs/TC-04.03-FAQ-35.pdf","accessed":{"date-parts":[["2024",3,9]]}}}],"schema":"https://github.com/citation-style-language/schema/raw/master/csl-citation.json"} </w:instrText>
      </w:r>
      <w:r w:rsidR="00767D7B">
        <w:fldChar w:fldCharType="separate"/>
      </w:r>
      <w:r w:rsidR="00E67C20">
        <w:t>[30]</w:t>
      </w:r>
      <w:r w:rsidR="00767D7B">
        <w:fldChar w:fldCharType="end"/>
      </w:r>
      <w:r w:rsidR="00C33547">
        <w:rPr>
          <w:color w:val="000000" w:themeColor="text1"/>
        </w:rPr>
        <w:t>.</w:t>
      </w:r>
      <w:r w:rsidR="00C53189">
        <w:rPr>
          <w:color w:val="000000" w:themeColor="text1"/>
        </w:rPr>
        <w:t xml:space="preserve"> </w:t>
      </w:r>
      <w:r w:rsidR="00C53189">
        <w:t xml:space="preserve">In the paper of </w:t>
      </w:r>
      <w:r w:rsidR="00767D7B">
        <w:fldChar w:fldCharType="begin"/>
      </w:r>
      <w:r w:rsidR="00E67C20">
        <w:instrText xml:space="preserve"> ADDIN ZOTERO_ITEM CSL_CITATION {"citationID":"z3sfJY2L","properties":{"formattedCitation":"[31]","plainCitation":"[31]","noteIndex":0},"citationItems":[{"id":14,"uris":["http://zotero.org/users/13681048/items/BFZK5YLT"],"itemData":{"id":14,"type":"book","event-place":"Copenhagen","ISBN":"978-92-890-0213-4","language":"en","number-of-pages":"454","publisher":"WHO","publisher-place":"Copenhagen","source":"K10plus ISBN","title":"WHO guidelines for indoor air quality: selected pollutants","title-short":"WHO guidelines for indoor air quality","author":[{"family":"Weltgesundheitsorganisation","given":""}],"contributor":[{"family":"Weltgesundheitsorganisation","given":""}],"issued":{"date-parts":[["2010"]]}}}],"schema":"https://github.com/citation-style-language/schema/raw/master/csl-citation.json"} </w:instrText>
      </w:r>
      <w:r w:rsidR="00767D7B">
        <w:fldChar w:fldCharType="separate"/>
      </w:r>
      <w:r w:rsidR="00E67C20">
        <w:t>[31]</w:t>
      </w:r>
      <w:r w:rsidR="00767D7B">
        <w:fldChar w:fldCharType="end"/>
      </w:r>
      <w:r w:rsidR="00C53189">
        <w:t>,</w:t>
      </w:r>
      <w:r w:rsidR="00C53189" w:rsidRPr="00C43633">
        <w:t xml:space="preserve"> </w:t>
      </w:r>
      <w:r>
        <w:t>a</w:t>
      </w:r>
      <w:r w:rsidRPr="00B60A36">
        <w:t xml:space="preserve"> presentation was given on the worldwide requirements </w:t>
      </w:r>
      <w:r w:rsidR="00DF13A7">
        <w:t xml:space="preserve">for </w:t>
      </w:r>
      <w:r w:rsidRPr="00B60A36">
        <w:t>sufficient indoor air quality</w:t>
      </w:r>
      <w:r w:rsidR="00DF13A7">
        <w:t xml:space="preserve">, while </w:t>
      </w:r>
      <w:r w:rsidR="00331A2C">
        <w:fldChar w:fldCharType="begin"/>
      </w:r>
      <w:r w:rsidR="00E67C20">
        <w:instrText xml:space="preserve"> ADDIN ZOTERO_ITEM CSL_CITATION {"citationID":"ugVkUFqm","properties":{"formattedCitation":"[32]","plainCitation":"[32]","noteIndex":0},"citationItems":[{"id":409,"uris":["http://zotero.org/users/13681048/items/4I5BZ3VU"],"itemData":{"id":409,"type":"webpage","title":"ASHRAE - iWrapper","URL":"https://ashrae.iwrapper.com/ASHRAE_PREVIEW_ONLY_STANDARDS/STD_55_2023","accessed":{"date-parts":[["2024",3,13]]}}}],"schema":"https://github.com/citation-style-language/schema/raw/master/csl-citation.json"} </w:instrText>
      </w:r>
      <w:r w:rsidR="00331A2C">
        <w:fldChar w:fldCharType="separate"/>
      </w:r>
      <w:r w:rsidR="00E67C20">
        <w:rPr>
          <w:noProof/>
        </w:rPr>
        <w:t>[32]</w:t>
      </w:r>
      <w:r w:rsidR="00331A2C">
        <w:fldChar w:fldCharType="end"/>
      </w:r>
      <w:r w:rsidR="00990206">
        <w:t xml:space="preserve"> </w:t>
      </w:r>
      <w:r w:rsidR="00331A2C">
        <w:t>defined conditions for i</w:t>
      </w:r>
      <w:r w:rsidR="00331A2C" w:rsidRPr="00B60A36">
        <w:t>ndoor thermal comfort</w:t>
      </w:r>
      <w:r w:rsidR="000A791A">
        <w:t>.</w:t>
      </w:r>
      <w:r w:rsidR="00C53189">
        <w:t xml:space="preserve"> </w:t>
      </w:r>
      <w:r w:rsidR="00C53189" w:rsidRPr="00C43633">
        <w:t xml:space="preserve">Thermal comfort is person’s satisfaction and mind acceptability of warmness or coldness affecting productivity, health, and </w:t>
      </w:r>
      <w:r w:rsidR="0064563E" w:rsidRPr="00C43633">
        <w:t>well-being</w:t>
      </w:r>
      <w:r w:rsidR="00C53189">
        <w:t xml:space="preserve"> </w:t>
      </w:r>
      <w:r w:rsidR="00767D7B">
        <w:fldChar w:fldCharType="begin"/>
      </w:r>
      <w:r w:rsidR="00E67C20">
        <w:instrText xml:space="preserve"> ADDIN ZOTERO_ITEM CSL_CITATION {"citationID":"CnqJtjYF","properties":{"formattedCitation":"[33]","plainCitation":"[33]","noteIndex":0},"citationItems":[{"id":123,"uris":["http://zotero.org/users/13681048/items/HDBJCVIG"],"itemData":{"id":123,"type":"chapter","abstract":"Thermal comfort is generally regarded as the desirable or positive condition of mind a person experiences in relation to how warm or cold a person feels. Thus, it is highly related to the environment which the person is located in. Despite the name, it not only affects comfort, but also productivity and even health and well-being, so satisfaction with the thermal environment is very important. Many researchers have concluded that the productivity of ofﬁce workers increases with an increase in satisfaction with the thermal environment, and severe cases of thermal discomfort are linked with sick building syndrome (SBS), with occupants suffering from symptoms such as itchy eyes and runny nose, as well as possible skin irritation. With this importance, maintaining a state of thermal comfort for occupants in buildings is one of the main goals for building designers, including architects as well as HVAC engineers. This article aims to provide the basic principles of thermal comfort and to address how this can be achieved with more sustainable manners, especially with the urgent challenges given by climate change, which results in a greater demand for cooling that has to be provided by passive means or renewable energy where possible.","container-title":"Reference Module in Earth Systems and Environmental Sciences","ISBN":"978-0-12-409548-9","language":"en","note":"DOI: 10.1016/B978-0-323-90386-8.00006-1","page":"B9780323903868000061","publisher":"Elsevier","source":"DOI.org (Crossref)","title":"Indoor Environmental Quality: Thermal Comfort","title-short":"Indoor Environmental Quality","URL":"https://linkinghub.elsevier.com/retrieve/pii/B9780323903868000061","author":[{"family":"Chow","given":"David H.C."}],"accessed":{"date-parts":[["2024",2,22]]},"issued":{"date-parts":[["2022"]]}}}],"schema":"https://github.com/citation-style-language/schema/raw/master/csl-citation.json"} </w:instrText>
      </w:r>
      <w:r w:rsidR="00767D7B">
        <w:fldChar w:fldCharType="separate"/>
      </w:r>
      <w:r w:rsidR="00E67C20">
        <w:t>[33]</w:t>
      </w:r>
      <w:r w:rsidR="00767D7B">
        <w:fldChar w:fldCharType="end"/>
      </w:r>
      <w:r w:rsidR="00C53189" w:rsidRPr="00C43633">
        <w:t>.</w:t>
      </w:r>
      <w:r w:rsidR="00C53189">
        <w:t xml:space="preserve"> </w:t>
      </w:r>
      <w:r w:rsidR="001C1D55">
        <w:t xml:space="preserve">A control system to achieve this </w:t>
      </w:r>
      <w:r w:rsidR="002F1B70">
        <w:t xml:space="preserve">for a laboratory was developed by </w:t>
      </w:r>
      <w:r w:rsidR="00430EAE">
        <w:fldChar w:fldCharType="begin"/>
      </w:r>
      <w:r w:rsidR="00E67C20">
        <w:instrText xml:space="preserve"> ADDIN ZOTERO_ITEM CSL_CITATION {"citationID":"T2LVOU9O","properties":{"formattedCitation":"[34]","plainCitation":"[34]","noteIndex":0},"citationItems":[{"id":411,"uris":["http://zotero.org/users/13681048/items/QDD5TK5T"],"itemData":{"id":411,"type":"article-journal","abstract":"A better management of the Heating, Ventilating and Air Conditioning (HVAC) systems and the integration of renewable energies are two ways to get a Net Zero Energy Buildings (NZEB). Thus, methods to predict the Electrical Load Demand (ELD) for the HVAC system are extremely important, to reach this goal. This paper describes the development and assessment of a fan-coil power demand predictive Artificial Neural Network (ANN) model for a characteristic laboratory inside a research centre located at Almería (Southeast of Spain). As the model is aimed to be used as part of advanced building energy control schemes, some specific requirements, as a trade off between accuracy and simplicity, have been considered. The main consideration for improving new thermal comfort control system is how to save energy without affect the users’ comfort. The performed experiments show a quick prediction with acceptable final results for a short-term prediction horizon using real data. Moreover, a detailed discussion of the obtained ANN model, which has been validated using real data saved from the research centre used as case-study, has been included.","container-title":"IFAC-PapersOnLine","DOI":"10.1016/j.ifacol.2018.06.231","journalAbbreviation":"IFAC-PapersOnLine","page":"26-31","source":"ResearchGate","title":"An Artificial Neural Network (ANN) model to predict the electric load profile for an HVAC system </w:instrText>
      </w:r>
      <w:r w:rsidR="00E67C20">
        <w:rPr>
          <w:rFonts w:ascii="Times New Roman" w:hAnsi="Times New Roman"/>
        </w:rPr>
        <w:instrText>⁎</w:instrText>
      </w:r>
      <w:r w:rsidR="00E67C20">
        <w:instrText xml:space="preserve">","volume":"51","author":[{"family":"Alamin","given":"Yaser"},{"family":"Álvarez","given":"J."},{"family":"Castilla","given":"María del Mar"},{"family":"Ruano","given":"Antonio"}],"issued":{"date-parts":[["2018",1,1]]}}}],"schema":"https://github.com/citation-style-language/schema/raw/master/csl-citation.json"} </w:instrText>
      </w:r>
      <w:r w:rsidR="00430EAE">
        <w:fldChar w:fldCharType="separate"/>
      </w:r>
      <w:r w:rsidR="00E67C20">
        <w:rPr>
          <w:noProof/>
        </w:rPr>
        <w:t>[34]</w:t>
      </w:r>
      <w:r w:rsidR="00430EAE">
        <w:fldChar w:fldCharType="end"/>
      </w:r>
      <w:r w:rsidR="00297B60">
        <w:t xml:space="preserve"> </w:t>
      </w:r>
      <w:r w:rsidR="00C163E7">
        <w:t xml:space="preserve">emphasizing on ANN-based </w:t>
      </w:r>
      <w:r w:rsidR="001C5C67">
        <w:t xml:space="preserve">demand </w:t>
      </w:r>
      <w:r w:rsidR="00C163E7">
        <w:t xml:space="preserve">prediction </w:t>
      </w:r>
      <w:r w:rsidR="001C5C67">
        <w:t xml:space="preserve">of fan-coil power. </w:t>
      </w:r>
      <w:r w:rsidR="00C53189">
        <w:t xml:space="preserve">Several papers </w:t>
      </w:r>
      <w:r w:rsidR="00767D7B">
        <w:fldChar w:fldCharType="begin"/>
      </w:r>
      <w:r w:rsidR="00E67C20">
        <w:instrText xml:space="preserve"> ADDIN ZOTERO_ITEM CSL_CITATION {"citationID":"wJCwXP3z","properties":{"formattedCitation":"[35,36]","plainCitation":"[35,36]","noteIndex":0},"citationItems":[{"id":96,"uris":["http://zotero.org/users/13681048/items/CGG3H47P"],"itemData":{"id":96,"type":"article-journal","abstract":"Comfort has become synonymous with the consumption of applied energy. As global concern about the environment increases (e.g. consumption of scarce and diminishing energy resources), it is timely to look into the relationship between comfort practices in the built environment engendered by comfort standards and building energy use, particularly in office buildings. This paper builds on the findings of the thermal comfort field study carried out in air conditioned office buildings in Makati City (Manila), Philippines to investigate the applicability of the universal values of comfort temperatures recommended by international comfort standards. It reports on how the comfort preferences and perception of the Filipino office workers bear on building energy use and consumption and the consequent societal implications.","language":"en","source":"Zotero","title":"Thermal Comfort Standards and Building Energy Use in Philippine Office Environments","author":[{"family":"Andamon","given":"Mary Myla"}]},"label":"page","suppress-author":true},{"id":97,"uris":["http://zotero.org/users/13681048/items/6G43I3HW"],"itemData":{"id":97,"type":"article-journal","abstract":"The Philippines has been following the ASHRAE standard in the area of thermal comfort however, other studies suggest that this standard is not fit for countries that have different climate from America. Thermal comfort, according to ASHRAE 55, is the state of mind that expresses satisfaction with the surrounding environment The aim of this study is to determine the thermal comfort of office employees and compare them with the ASHRAE standards. This study was conducted in three office buildings in the Philippines and a total of 64 respondents participated. The participants were given a survey that asked them how they feel about the thermal conditions at the moment and what would they like it to be. Thermal parameters were measured around the office simultaneously while the survey was happening. The data were tabulated and analyzed and the neutral and preferred temperatures were obtained for each building through a regression analysis. It was observed that the neutral temperatures for each building did not fit the ASHRAE standard of 25⁰ C. The preferred temperatures were also lower compared to the neutral temperatures which showed that the respondents do prefer and were satisfied with a cooler temperature even if they feel a neutral sensation. The study also showed that in terms of thermal acceptability, there is a lesser percentage dissatisfaction among the respondents. This means that at lower temperatures, most of the respondents feel satisfied and these temperatures are acceptable to them.","language":"en","source":"Zotero","title":"A Study on Thermal Comfort of Office Employees in the Philippines","author":[{"family":"Aniag","given":"Benjamin Antonio"},{"family":"Avenilla","given":"Andre"},{"family":"Collas","given":"Jasper Joseph"},{"family":"Regner","given":"Patrick Allen"},{"family":"Cruz","given":"Efren G Dela"}],"issued":{"date-parts":[["2017"]]}}}],"schema":"https://github.com/citation-style-language/schema/raw/master/csl-citation.json"} </w:instrText>
      </w:r>
      <w:r w:rsidR="00767D7B">
        <w:fldChar w:fldCharType="separate"/>
      </w:r>
      <w:r w:rsidR="00E67C20">
        <w:t>[35,36]</w:t>
      </w:r>
      <w:r w:rsidR="00767D7B">
        <w:fldChar w:fldCharType="end"/>
      </w:r>
      <w:r w:rsidR="00C53189">
        <w:t xml:space="preserve"> identified </w:t>
      </w:r>
      <w:r w:rsidR="00C53189" w:rsidRPr="007D0944">
        <w:t>thermal preference by the office occupants was ranging between 21.5°C to 24.5°</w:t>
      </w:r>
      <w:r w:rsidR="00C53189">
        <w:t>.</w:t>
      </w:r>
      <w:r w:rsidR="00B959D1">
        <w:t xml:space="preserve"> </w:t>
      </w:r>
    </w:p>
    <w:p w14:paraId="0AC19E6C" w14:textId="08D59869" w:rsidR="006F5A6C" w:rsidRDefault="00C33547" w:rsidP="00C33547">
      <w:pPr>
        <w:pStyle w:val="MDPI31text"/>
        <w:ind w:firstLine="0"/>
        <w:rPr>
          <w:color w:val="000000" w:themeColor="text1"/>
        </w:rPr>
      </w:pPr>
      <w:r>
        <w:rPr>
          <w:color w:val="000000" w:themeColor="text1"/>
        </w:rPr>
        <w:tab/>
      </w:r>
      <w:r w:rsidR="00B60A36" w:rsidRPr="00B60A36">
        <w:rPr>
          <w:color w:val="000000" w:themeColor="text1"/>
        </w:rPr>
        <w:t>Equation 7 describes how the power consumption, P(</w:t>
      </w:r>
      <w:proofErr w:type="gramStart"/>
      <w:r w:rsidR="00B60A36" w:rsidRPr="00B60A36">
        <w:rPr>
          <w:color w:val="000000" w:themeColor="text1"/>
        </w:rPr>
        <w:t>T,H</w:t>
      </w:r>
      <w:proofErr w:type="gramEnd"/>
      <w:r w:rsidR="00B60A36" w:rsidRPr="00B60A36">
        <w:rPr>
          <w:color w:val="000000" w:themeColor="text1"/>
        </w:rPr>
        <w:t xml:space="preserve">), of an ACU is influenced by the levels of dry bulb temperature, T, and relative humidity, H. The </w:t>
      </w:r>
      <w:r w:rsidR="00D76DB0">
        <w:rPr>
          <w:color w:val="000000" w:themeColor="text1"/>
        </w:rPr>
        <w:t xml:space="preserve">polynomial curve fit </w:t>
      </w:r>
      <w:r w:rsidR="00B60A36" w:rsidRPr="00B60A36">
        <w:rPr>
          <w:color w:val="000000" w:themeColor="text1"/>
        </w:rPr>
        <w:t>coefficient values (k</w:t>
      </w:r>
      <w:r w:rsidR="00B60A36" w:rsidRPr="00B60A36">
        <w:rPr>
          <w:color w:val="000000" w:themeColor="text1"/>
          <w:vertAlign w:val="subscript"/>
        </w:rPr>
        <w:t>1</w:t>
      </w:r>
      <w:r w:rsidR="00B60A36" w:rsidRPr="00B60A36">
        <w:rPr>
          <w:color w:val="000000" w:themeColor="text1"/>
        </w:rPr>
        <w:t xml:space="preserve"> to k</w:t>
      </w:r>
      <w:r w:rsidR="00B60A36" w:rsidRPr="00B60A36">
        <w:rPr>
          <w:color w:val="000000" w:themeColor="text1"/>
          <w:vertAlign w:val="subscript"/>
        </w:rPr>
        <w:t>5</w:t>
      </w:r>
      <w:r w:rsidR="00B60A36" w:rsidRPr="00B60A36">
        <w:rPr>
          <w:color w:val="000000" w:themeColor="text1"/>
        </w:rPr>
        <w:t>) differ for instructional rooms and office spaces.</w:t>
      </w:r>
    </w:p>
    <w:tbl>
      <w:tblPr>
        <w:tblW w:w="7979" w:type="dxa"/>
        <w:tblInd w:w="2613" w:type="dxa"/>
        <w:tblCellMar>
          <w:left w:w="0" w:type="dxa"/>
          <w:right w:w="0" w:type="dxa"/>
        </w:tblCellMar>
        <w:tblLook w:val="04A0" w:firstRow="1" w:lastRow="0" w:firstColumn="1" w:lastColumn="0" w:noHBand="0" w:noVBand="1"/>
      </w:tblPr>
      <w:tblGrid>
        <w:gridCol w:w="7542"/>
        <w:gridCol w:w="437"/>
      </w:tblGrid>
      <w:tr w:rsidR="006F5A6C" w:rsidRPr="00AA2CDC" w14:paraId="6D28249F" w14:textId="77777777" w:rsidTr="00C1236A">
        <w:trPr>
          <w:trHeight w:val="153"/>
        </w:trPr>
        <w:tc>
          <w:tcPr>
            <w:tcW w:w="7542" w:type="dxa"/>
          </w:tcPr>
          <w:p w14:paraId="40E759F2" w14:textId="77777777" w:rsidR="006F5A6C" w:rsidRDefault="006F5A6C" w:rsidP="00C1236A">
            <w:pPr>
              <w:pStyle w:val="MDPI39equation"/>
              <w:rPr>
                <w:color w:val="000000" w:themeColor="text1"/>
              </w:rPr>
            </w:pPr>
            <w:r>
              <w:rPr>
                <w:color w:val="000000" w:themeColor="text1"/>
              </w:rPr>
              <w:t>P(</w:t>
            </w:r>
            <w:proofErr w:type="gramStart"/>
            <w:r>
              <w:rPr>
                <w:color w:val="000000" w:themeColor="text1"/>
              </w:rPr>
              <w:t>T,H</w:t>
            </w:r>
            <w:proofErr w:type="gramEnd"/>
            <w:r>
              <w:rPr>
                <w:color w:val="000000" w:themeColor="text1"/>
              </w:rPr>
              <w:t>) = k</w:t>
            </w:r>
            <w:r w:rsidRPr="00DF52B1">
              <w:rPr>
                <w:color w:val="000000" w:themeColor="text1"/>
                <w:vertAlign w:val="subscript"/>
              </w:rPr>
              <w:t>1</w:t>
            </w:r>
            <w:r>
              <w:rPr>
                <w:color w:val="000000" w:themeColor="text1"/>
              </w:rPr>
              <w:t xml:space="preserve"> + k</w:t>
            </w:r>
            <w:r>
              <w:rPr>
                <w:color w:val="000000" w:themeColor="text1"/>
                <w:vertAlign w:val="subscript"/>
              </w:rPr>
              <w:t>2</w:t>
            </w:r>
            <w:r>
              <w:rPr>
                <w:color w:val="000000" w:themeColor="text1"/>
              </w:rPr>
              <w:t>T + k</w:t>
            </w:r>
            <w:r>
              <w:rPr>
                <w:color w:val="000000" w:themeColor="text1"/>
                <w:vertAlign w:val="subscript"/>
              </w:rPr>
              <w:t>3</w:t>
            </w:r>
            <w:r>
              <w:rPr>
                <w:color w:val="000000" w:themeColor="text1"/>
              </w:rPr>
              <w:t>H + k</w:t>
            </w:r>
            <w:r>
              <w:rPr>
                <w:color w:val="000000" w:themeColor="text1"/>
                <w:vertAlign w:val="subscript"/>
              </w:rPr>
              <w:t>4</w:t>
            </w:r>
            <w:r>
              <w:rPr>
                <w:color w:val="000000" w:themeColor="text1"/>
              </w:rPr>
              <w:t>HT + k</w:t>
            </w:r>
            <w:r>
              <w:rPr>
                <w:color w:val="000000" w:themeColor="text1"/>
                <w:vertAlign w:val="subscript"/>
              </w:rPr>
              <w:t>5</w:t>
            </w:r>
            <w:r>
              <w:rPr>
                <w:color w:val="000000" w:themeColor="text1"/>
              </w:rPr>
              <w:t>H</w:t>
            </w:r>
            <w:r>
              <w:rPr>
                <w:color w:val="000000" w:themeColor="text1"/>
                <w:vertAlign w:val="superscript"/>
              </w:rPr>
              <w:t>2</w:t>
            </w:r>
          </w:p>
        </w:tc>
        <w:tc>
          <w:tcPr>
            <w:tcW w:w="437" w:type="dxa"/>
            <w:vAlign w:val="center"/>
          </w:tcPr>
          <w:p w14:paraId="0672620C" w14:textId="77777777" w:rsidR="006F5A6C" w:rsidRPr="00AA2CDC" w:rsidRDefault="006F5A6C" w:rsidP="00C1236A">
            <w:pPr>
              <w:pStyle w:val="MDPI3aequationnumber"/>
              <w:spacing w:line="260" w:lineRule="atLeast"/>
              <w:rPr>
                <w:color w:val="000000" w:themeColor="text1"/>
              </w:rPr>
            </w:pPr>
            <w:r w:rsidRPr="00AA2CDC">
              <w:rPr>
                <w:color w:val="000000" w:themeColor="text1"/>
              </w:rPr>
              <w:t>(</w:t>
            </w:r>
            <w:r>
              <w:rPr>
                <w:color w:val="000000" w:themeColor="text1"/>
              </w:rPr>
              <w:t>7</w:t>
            </w:r>
            <w:r w:rsidRPr="00AA2CDC">
              <w:rPr>
                <w:color w:val="000000" w:themeColor="text1"/>
              </w:rPr>
              <w:t>)</w:t>
            </w:r>
          </w:p>
        </w:tc>
      </w:tr>
    </w:tbl>
    <w:p w14:paraId="313AB7C2" w14:textId="0BC451FE" w:rsidR="00D76DB0" w:rsidRPr="00D76DB0" w:rsidRDefault="00DC1965" w:rsidP="00D76DB0">
      <w:pPr>
        <w:pStyle w:val="MDPI31text"/>
        <w:ind w:left="2040" w:firstLine="510"/>
      </w:pPr>
      <w:r w:rsidRPr="00D76DB0">
        <w:t xml:space="preserve">For instructional </w:t>
      </w:r>
      <w:r w:rsidR="0064563E" w:rsidRPr="00D76DB0">
        <w:t>rooms:</w:t>
      </w:r>
      <w:r w:rsidRPr="00D76DB0">
        <w:t xml:space="preserve"> k</w:t>
      </w:r>
      <w:r w:rsidRPr="00492907">
        <w:rPr>
          <w:vertAlign w:val="subscript"/>
        </w:rPr>
        <w:t>1</w:t>
      </w:r>
      <w:r w:rsidRPr="00D76DB0">
        <w:t xml:space="preserve"> = 2.9919, k</w:t>
      </w:r>
      <w:r w:rsidRPr="00492907">
        <w:rPr>
          <w:vertAlign w:val="subscript"/>
        </w:rPr>
        <w:t>2</w:t>
      </w:r>
      <w:r w:rsidRPr="00D76DB0">
        <w:t xml:space="preserve"> = -0.0924, k</w:t>
      </w:r>
      <w:r w:rsidRPr="00492907">
        <w:rPr>
          <w:vertAlign w:val="subscript"/>
        </w:rPr>
        <w:t>3</w:t>
      </w:r>
      <w:r w:rsidRPr="00D76DB0">
        <w:t xml:space="preserve"> = -0.0512, k</w:t>
      </w:r>
      <w:r w:rsidRPr="00492907">
        <w:rPr>
          <w:vertAlign w:val="subscript"/>
        </w:rPr>
        <w:t>4</w:t>
      </w:r>
      <w:r w:rsidRPr="00D76DB0">
        <w:t xml:space="preserve"> = 0.0014, k</w:t>
      </w:r>
      <w:r w:rsidRPr="00492907">
        <w:rPr>
          <w:vertAlign w:val="subscript"/>
        </w:rPr>
        <w:t>5</w:t>
      </w:r>
      <w:r w:rsidRPr="00D76DB0">
        <w:t xml:space="preserve"> = 0.0010</w:t>
      </w:r>
      <w:r w:rsidR="00D76DB0">
        <w:t>.</w:t>
      </w:r>
    </w:p>
    <w:p w14:paraId="7B57F4A8" w14:textId="0C25A8E4" w:rsidR="00940079" w:rsidRPr="00D751B4" w:rsidRDefault="00DC1965" w:rsidP="00D751B4">
      <w:pPr>
        <w:pStyle w:val="MDPI31text"/>
        <w:ind w:left="2040" w:firstLine="510"/>
        <w:rPr>
          <w:color w:val="000000" w:themeColor="text1"/>
          <w:szCs w:val="20"/>
          <w:vertAlign w:val="superscript"/>
        </w:rPr>
      </w:pPr>
      <w:r w:rsidRPr="00D76DB0">
        <w:t xml:space="preserve">For office </w:t>
      </w:r>
      <w:r w:rsidR="0064563E" w:rsidRPr="00D76DB0">
        <w:t>spaces</w:t>
      </w:r>
      <w:r w:rsidR="0064563E" w:rsidRPr="00DC1965">
        <w:rPr>
          <w:bCs/>
          <w:color w:val="000000" w:themeColor="text1"/>
          <w:szCs w:val="20"/>
        </w:rPr>
        <w:t>:</w:t>
      </w:r>
      <w:r w:rsidRPr="00DC1965">
        <w:rPr>
          <w:bCs/>
          <w:color w:val="000000" w:themeColor="text1"/>
          <w:szCs w:val="20"/>
        </w:rPr>
        <w:t xml:space="preserve"> </w:t>
      </w:r>
      <w:r w:rsidRPr="00DC1965">
        <w:rPr>
          <w:color w:val="000000" w:themeColor="text1"/>
          <w:szCs w:val="20"/>
        </w:rPr>
        <w:t>k</w:t>
      </w:r>
      <w:r w:rsidRPr="00DC1965">
        <w:rPr>
          <w:color w:val="000000" w:themeColor="text1"/>
          <w:szCs w:val="20"/>
          <w:vertAlign w:val="subscript"/>
        </w:rPr>
        <w:t>1</w:t>
      </w:r>
      <w:r>
        <w:rPr>
          <w:color w:val="000000" w:themeColor="text1"/>
          <w:szCs w:val="20"/>
        </w:rPr>
        <w:t xml:space="preserve"> = 1.7940,</w:t>
      </w:r>
      <w:r w:rsidRPr="00DC1965">
        <w:rPr>
          <w:color w:val="000000" w:themeColor="text1"/>
          <w:szCs w:val="20"/>
        </w:rPr>
        <w:t xml:space="preserve"> k</w:t>
      </w:r>
      <w:r w:rsidRPr="00DC1965">
        <w:rPr>
          <w:color w:val="000000" w:themeColor="text1"/>
          <w:szCs w:val="20"/>
          <w:vertAlign w:val="subscript"/>
        </w:rPr>
        <w:t>2</w:t>
      </w:r>
      <w:r>
        <w:rPr>
          <w:color w:val="000000" w:themeColor="text1"/>
          <w:szCs w:val="20"/>
        </w:rPr>
        <w:t xml:space="preserve"> = -0.0</w:t>
      </w:r>
      <w:r w:rsidR="00D76DB0">
        <w:rPr>
          <w:color w:val="000000" w:themeColor="text1"/>
          <w:szCs w:val="20"/>
        </w:rPr>
        <w:t>442</w:t>
      </w:r>
      <w:r>
        <w:rPr>
          <w:color w:val="000000" w:themeColor="text1"/>
          <w:szCs w:val="20"/>
        </w:rPr>
        <w:t xml:space="preserve">, </w:t>
      </w:r>
      <w:r w:rsidRPr="00DC1965">
        <w:rPr>
          <w:color w:val="000000" w:themeColor="text1"/>
          <w:szCs w:val="20"/>
        </w:rPr>
        <w:t>k</w:t>
      </w:r>
      <w:r w:rsidRPr="00DC1965">
        <w:rPr>
          <w:color w:val="000000" w:themeColor="text1"/>
          <w:szCs w:val="20"/>
          <w:vertAlign w:val="subscript"/>
        </w:rPr>
        <w:t>3</w:t>
      </w:r>
      <w:r>
        <w:rPr>
          <w:color w:val="000000" w:themeColor="text1"/>
          <w:szCs w:val="20"/>
        </w:rPr>
        <w:t xml:space="preserve"> = -0.0</w:t>
      </w:r>
      <w:r w:rsidR="00D76DB0">
        <w:rPr>
          <w:color w:val="000000" w:themeColor="text1"/>
          <w:szCs w:val="20"/>
        </w:rPr>
        <w:t>463</w:t>
      </w:r>
      <w:r>
        <w:rPr>
          <w:color w:val="000000" w:themeColor="text1"/>
          <w:szCs w:val="20"/>
        </w:rPr>
        <w:t xml:space="preserve">, </w:t>
      </w:r>
      <w:r w:rsidRPr="00DC1965">
        <w:rPr>
          <w:color w:val="000000" w:themeColor="text1"/>
          <w:szCs w:val="20"/>
        </w:rPr>
        <w:t>k</w:t>
      </w:r>
      <w:r w:rsidRPr="00DC1965">
        <w:rPr>
          <w:color w:val="000000" w:themeColor="text1"/>
          <w:szCs w:val="20"/>
          <w:vertAlign w:val="subscript"/>
        </w:rPr>
        <w:t>4</w:t>
      </w:r>
      <w:r>
        <w:rPr>
          <w:color w:val="000000" w:themeColor="text1"/>
          <w:szCs w:val="20"/>
          <w:vertAlign w:val="subscript"/>
        </w:rPr>
        <w:t xml:space="preserve"> </w:t>
      </w:r>
      <w:r>
        <w:rPr>
          <w:color w:val="000000" w:themeColor="text1"/>
          <w:szCs w:val="20"/>
        </w:rPr>
        <w:t>= 0.00</w:t>
      </w:r>
      <w:r w:rsidR="00D76DB0">
        <w:rPr>
          <w:color w:val="000000" w:themeColor="text1"/>
          <w:szCs w:val="20"/>
        </w:rPr>
        <w:t>09</w:t>
      </w:r>
      <w:r>
        <w:rPr>
          <w:color w:val="000000" w:themeColor="text1"/>
          <w:szCs w:val="20"/>
        </w:rPr>
        <w:t xml:space="preserve">, </w:t>
      </w:r>
      <w:r w:rsidRPr="00DC1965">
        <w:rPr>
          <w:color w:val="000000" w:themeColor="text1"/>
          <w:szCs w:val="20"/>
        </w:rPr>
        <w:t>k</w:t>
      </w:r>
      <w:r w:rsidRPr="00DC1965">
        <w:rPr>
          <w:color w:val="000000" w:themeColor="text1"/>
          <w:szCs w:val="20"/>
          <w:vertAlign w:val="subscript"/>
        </w:rPr>
        <w:t>5</w:t>
      </w:r>
      <w:r>
        <w:rPr>
          <w:color w:val="000000" w:themeColor="text1"/>
          <w:szCs w:val="20"/>
        </w:rPr>
        <w:t xml:space="preserve"> = 0.00</w:t>
      </w:r>
      <w:r w:rsidR="00D76DB0">
        <w:rPr>
          <w:color w:val="000000" w:themeColor="text1"/>
          <w:szCs w:val="20"/>
        </w:rPr>
        <w:t>02.</w:t>
      </w:r>
    </w:p>
    <w:p w14:paraId="409292B3" w14:textId="3EB8EA21" w:rsidR="00D751B4" w:rsidRDefault="00D751B4" w:rsidP="00D751B4">
      <w:pPr>
        <w:pStyle w:val="MDPI31text"/>
        <w:rPr>
          <w:color w:val="000000" w:themeColor="text1"/>
        </w:rPr>
      </w:pPr>
      <w:r w:rsidRPr="00B60A36">
        <w:rPr>
          <w:color w:val="000000" w:themeColor="text1"/>
        </w:rPr>
        <w:t xml:space="preserve">The optimal polynomial fit was obtained by using a power of one (1) for dry bulb temperature and a power of two (2) for humidity while applying the Least Absolute Residuals (LAR) method. For the given predictor values, the R-square values vary from 0.9874 to 0.9982. The root mean square error (RMSE) is 0.0048 for office spaces and 0.0026 for instructional spaces. </w:t>
      </w:r>
      <w:r>
        <w:rPr>
          <w:color w:val="000000" w:themeColor="text1"/>
        </w:rPr>
        <w:t xml:space="preserve">These results are included in the Supplementary Tables S10 and S11. Overall, the model derived from polynomial regression analysis shows better result than that of derived from neural network fitting – contrary to the results of </w:t>
      </w:r>
      <w:r w:rsidR="00767D7B">
        <w:fldChar w:fldCharType="begin"/>
      </w:r>
      <w:r w:rsidR="00E67C20">
        <w:instrText xml:space="preserve"> ADDIN ZOTERO_ITEM CSL_CITATION {"citationID":"j8t0tAwf","properties":{"formattedCitation":"[37]","plainCitation":"[37]","noteIndex":0},"citationItems":[{"id":389,"uris":["http://zotero.org/users/13681048/items/PFW8B25V"],"itemData":{"id":389,"type":"article-journal","abstract":"Household power consumption helps the power supply department understand the power consumption of residents and whether there will be some abnormal power consumption phenomena. Taking the individual household electric power consumption dataset as an example, this paper establishes an extensible experimental analysis framework and analyzes the data in a visual way. In the experiment, the effects of linear regression model and neural network model on different characteristics are compared. The experiment shows that the effect of neural network model is better than linear regression model in the experimental dataset.","collection-title":"ICPE 2021 - The 2nd International Conference on Power Engineering","container-title":"Energy Reports","DOI":"10.1016/j.egyr.2022.02.270","ISSN":"2352-4847","journalAbbreviation":"Energy Reports","page":"705-709","source":"ScienceDirect","title":"Experimental and analysis on household electronic power consumption","volume":"8","author":[{"family":"Qin","given":"Jing"}],"issued":{"date-parts":[["2022",8,1]]}}}],"schema":"https://github.com/citation-style-language/schema/raw/master/csl-citation.json"} </w:instrText>
      </w:r>
      <w:r w:rsidR="00767D7B">
        <w:fldChar w:fldCharType="separate"/>
      </w:r>
      <w:r w:rsidR="00E67C20">
        <w:t>[37]</w:t>
      </w:r>
      <w:r w:rsidR="00767D7B">
        <w:fldChar w:fldCharType="end"/>
      </w:r>
      <w:r>
        <w:rPr>
          <w:color w:val="000000" w:themeColor="text1"/>
        </w:rPr>
        <w:t xml:space="preserve">, which is </w:t>
      </w:r>
      <w:r>
        <w:rPr>
          <w:color w:val="000000" w:themeColor="text1"/>
        </w:rPr>
        <w:lastRenderedPageBreak/>
        <w:t>limited to consumption submetering data in household</w:t>
      </w:r>
      <w:r w:rsidR="006E4CB7">
        <w:rPr>
          <w:color w:val="000000" w:themeColor="text1"/>
        </w:rPr>
        <w:t xml:space="preserve">, and </w:t>
      </w:r>
      <w:r w:rsidR="001C1E8B">
        <w:rPr>
          <w:color w:val="000000" w:themeColor="text1"/>
        </w:rPr>
        <w:fldChar w:fldCharType="begin"/>
      </w:r>
      <w:r w:rsidR="00E67C20">
        <w:rPr>
          <w:color w:val="000000" w:themeColor="text1"/>
        </w:rPr>
        <w:instrText xml:space="preserve"> ADDIN ZOTERO_ITEM CSL_CITATION {"citationID":"8cdqbsua","properties":{"formattedCitation":"[38]","plainCitation":"[38]","noteIndex":0},"citationItems":[{"id":437,"uris":["http://zotero.org/users/13681048/items/TR3ZUSGR"],"itemData":{"id":437,"type":"article-journal","abstract":"It has been shown by previous researchers that Artificial Neural Networks (ANNs) not only be used to predict energy more reliably than traditional simulation models and regression techniques but can also from the basis for a predictive controller of thermal systems such as HVAC equipment. This work is directed towards the identification of the important inputs (independent variables) to facilitate on-line prediction and thereby implement refrigeration and HVAC system diagnostics, process control, optimisation and energy management in retail food stores. This paper presents preliminary results on the prediction of electricity consumption with different independent input variables in a supermarket. The paper also compares the prediction performance of neural networks with the more traditional multiple regression techniques.","language":"en","source":"Zotero","title":"Application of Neural Networks for the Prediction of the Energy Consumption in a Supermarket","author":[{"family":"Datta","given":"D"},{"family":"Tassou","given":"S A"},{"family":"Marriott","given":"D"}]}}],"schema":"https://github.com/citation-style-language/schema/raw/master/csl-citation.json"} </w:instrText>
      </w:r>
      <w:r w:rsidR="001C1E8B">
        <w:rPr>
          <w:color w:val="000000" w:themeColor="text1"/>
        </w:rPr>
        <w:fldChar w:fldCharType="separate"/>
      </w:r>
      <w:r w:rsidR="00E67C20">
        <w:rPr>
          <w:noProof/>
          <w:color w:val="000000" w:themeColor="text1"/>
        </w:rPr>
        <w:t>[38]</w:t>
      </w:r>
      <w:r w:rsidR="001C1E8B">
        <w:rPr>
          <w:color w:val="000000" w:themeColor="text1"/>
        </w:rPr>
        <w:fldChar w:fldCharType="end"/>
      </w:r>
      <w:r w:rsidR="0033242B">
        <w:rPr>
          <w:color w:val="000000" w:themeColor="text1"/>
        </w:rPr>
        <w:t xml:space="preserve"> that yielded best results in ANN</w:t>
      </w:r>
      <w:r w:rsidR="002146CE">
        <w:rPr>
          <w:color w:val="000000" w:themeColor="text1"/>
        </w:rPr>
        <w:t xml:space="preserve"> than linear and polynomial regression from dataset of supermarket energy usage.</w:t>
      </w:r>
      <w:r w:rsidR="005E2CA7">
        <w:rPr>
          <w:color w:val="000000" w:themeColor="text1"/>
        </w:rPr>
        <w:t xml:space="preserve"> It’s notable that </w:t>
      </w:r>
      <w:r w:rsidR="005E2CA7">
        <w:rPr>
          <w:color w:val="000000" w:themeColor="text1"/>
        </w:rPr>
        <w:fldChar w:fldCharType="begin"/>
      </w:r>
      <w:r w:rsidR="00E67C20">
        <w:rPr>
          <w:color w:val="000000" w:themeColor="text1"/>
        </w:rPr>
        <w:instrText xml:space="preserve"> ADDIN ZOTERO_ITEM CSL_CITATION {"citationID":"T7J4pK5B","properties":{"formattedCitation":"[38]","plainCitation":"[38]","noteIndex":0},"citationItems":[{"id":437,"uris":["http://zotero.org/users/13681048/items/TR3ZUSGR"],"itemData":{"id":437,"type":"article-journal","abstract":"It has been shown by previous researchers that Artificial Neural Networks (ANNs) not only be used to predict energy more reliably than traditional simulation models and regression techniques but can also from the basis for a predictive controller of thermal systems such as HVAC equipment. This work is directed towards the identification of the important inputs (independent variables) to facilitate on-line prediction and thereby implement refrigeration and HVAC system diagnostics, process control, optimisation and energy management in retail food stores. This paper presents preliminary results on the prediction of electricity consumption with different independent input variables in a supermarket. The paper also compares the prediction performance of neural networks with the more traditional multiple regression techniques.","language":"en","source":"Zotero","title":"Application of Neural Networks for the Prediction of the Energy Consumption in a Supermarket","author":[{"family":"Datta","given":"D"},{"family":"Tassou","given":"S A"},{"family":"Marriott","given":"D"}]}}],"schema":"https://github.com/citation-style-language/schema/raw/master/csl-citation.json"} </w:instrText>
      </w:r>
      <w:r w:rsidR="005E2CA7">
        <w:rPr>
          <w:color w:val="000000" w:themeColor="text1"/>
        </w:rPr>
        <w:fldChar w:fldCharType="separate"/>
      </w:r>
      <w:r w:rsidR="00E67C20">
        <w:rPr>
          <w:noProof/>
          <w:color w:val="000000" w:themeColor="text1"/>
        </w:rPr>
        <w:t>[38]</w:t>
      </w:r>
      <w:r w:rsidR="005E2CA7">
        <w:rPr>
          <w:color w:val="000000" w:themeColor="text1"/>
        </w:rPr>
        <w:fldChar w:fldCharType="end"/>
      </w:r>
      <w:r w:rsidR="00CE4AB5">
        <w:rPr>
          <w:color w:val="000000" w:themeColor="text1"/>
        </w:rPr>
        <w:t xml:space="preserve"> emphasized on the time of the day and environmental conditions as primary </w:t>
      </w:r>
      <w:r w:rsidR="00547773">
        <w:rPr>
          <w:color w:val="000000" w:themeColor="text1"/>
        </w:rPr>
        <w:t>predictors of energy consumption.</w:t>
      </w:r>
      <w:r>
        <w:rPr>
          <w:color w:val="000000" w:themeColor="text1"/>
        </w:rPr>
        <w:t xml:space="preserve"> </w:t>
      </w:r>
      <w:r w:rsidR="00FC5395">
        <w:rPr>
          <w:color w:val="000000" w:themeColor="text1"/>
        </w:rPr>
        <w:t>The regression</w:t>
      </w:r>
      <w:r w:rsidR="0078244D">
        <w:rPr>
          <w:color w:val="000000" w:themeColor="text1"/>
        </w:rPr>
        <w:t xml:space="preserve">-based learning has exhibited faster processing in the </w:t>
      </w:r>
      <w:r w:rsidR="00AE29EE">
        <w:rPr>
          <w:color w:val="000000" w:themeColor="text1"/>
        </w:rPr>
        <w:t xml:space="preserve">energy consumption modeling patent of </w:t>
      </w:r>
      <w:r w:rsidR="00651F80">
        <w:rPr>
          <w:color w:val="000000" w:themeColor="text1"/>
        </w:rPr>
        <w:fldChar w:fldCharType="begin"/>
      </w:r>
      <w:r w:rsidR="00E67C20">
        <w:rPr>
          <w:color w:val="000000" w:themeColor="text1"/>
        </w:rPr>
        <w:instrText xml:space="preserve"> ADDIN ZOTERO_ITEM CSL_CITATION {"citationID":"nUsn1jR2","properties":{"formattedCitation":"[39]","plainCitation":"[39]","noteIndex":0},"citationItems":[{"id":434,"uris":["http://zotero.org/users/13681048/items/X2L4L8TP"],"itemData":{"id":434,"type":"webpage","title":"US20150248118A1 - Systems and methods for modeling energy consumption and creating demand response strategies using learning-based approaches - Google Patents","URL":"https://patents.google.com/patent/US20150248118A1/en","accessed":{"date-parts":[["2024",3,14]]}}}],"schema":"https://github.com/citation-style-language/schema/raw/master/csl-citation.json"} </w:instrText>
      </w:r>
      <w:r w:rsidR="00651F80">
        <w:rPr>
          <w:color w:val="000000" w:themeColor="text1"/>
        </w:rPr>
        <w:fldChar w:fldCharType="separate"/>
      </w:r>
      <w:r w:rsidR="00E67C20">
        <w:rPr>
          <w:noProof/>
          <w:color w:val="000000" w:themeColor="text1"/>
        </w:rPr>
        <w:t>[39]</w:t>
      </w:r>
      <w:r w:rsidR="00651F80">
        <w:rPr>
          <w:color w:val="000000" w:themeColor="text1"/>
        </w:rPr>
        <w:fldChar w:fldCharType="end"/>
      </w:r>
      <w:r w:rsidR="003B4399">
        <w:rPr>
          <w:color w:val="000000" w:themeColor="text1"/>
        </w:rPr>
        <w:t xml:space="preserve"> </w:t>
      </w:r>
      <w:r w:rsidR="00AE29EE">
        <w:rPr>
          <w:color w:val="000000" w:themeColor="text1"/>
        </w:rPr>
        <w:t xml:space="preserve">that employs demand response (DR) strategy. </w:t>
      </w:r>
      <w:r w:rsidR="00263665">
        <w:rPr>
          <w:color w:val="000000" w:themeColor="text1"/>
        </w:rPr>
        <w:t>T</w:t>
      </w:r>
      <w:r w:rsidRPr="00B60A36">
        <w:rPr>
          <w:color w:val="000000" w:themeColor="text1"/>
        </w:rPr>
        <w:t>he comparison of contour, fit, and residual plots for the polynomial surface fit of the ACU power consumption based on dry bulb temperature and humidity</w:t>
      </w:r>
      <w:r w:rsidR="00263665">
        <w:rPr>
          <w:color w:val="000000" w:themeColor="text1"/>
        </w:rPr>
        <w:t xml:space="preserve"> </w:t>
      </w:r>
      <w:r w:rsidR="00F418D9">
        <w:rPr>
          <w:color w:val="000000" w:themeColor="text1"/>
        </w:rPr>
        <w:t>are shown on Figure 4 for instructional room and Figure 5 for office spaces.</w:t>
      </w:r>
    </w:p>
    <w:p w14:paraId="353FE894" w14:textId="77777777" w:rsidR="00EF476D" w:rsidRDefault="00EF476D" w:rsidP="00D751B4">
      <w:pPr>
        <w:pStyle w:val="MDPI31text"/>
        <w:rPr>
          <w:color w:val="FF0000"/>
        </w:rPr>
      </w:pPr>
    </w:p>
    <w:p w14:paraId="1730A765" w14:textId="77777777" w:rsidR="00D751B4" w:rsidRDefault="00D751B4" w:rsidP="00F3424F">
      <w:pPr>
        <w:pStyle w:val="MDPI31text"/>
        <w:rPr>
          <w:color w:val="FF0000"/>
        </w:rPr>
      </w:pPr>
    </w:p>
    <w:p w14:paraId="41F73A6D" w14:textId="77777777" w:rsidR="006176E3" w:rsidRDefault="00D34467" w:rsidP="00902052">
      <w:pPr>
        <w:pStyle w:val="MDPI31text"/>
        <w:rPr>
          <w:noProof/>
          <w:color w:val="FF0000"/>
        </w:rPr>
      </w:pPr>
      <w:r w:rsidRPr="00D34467">
        <w:rPr>
          <w:noProof/>
          <w:color w:val="FF0000"/>
        </w:rPr>
        <w:drawing>
          <wp:inline distT="0" distB="0" distL="0" distR="0" wp14:anchorId="41901CB8" wp14:editId="66865152">
            <wp:extent cx="4019304" cy="3014663"/>
            <wp:effectExtent l="0" t="0" r="0" b="0"/>
            <wp:docPr id="15999361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936124" name=""/>
                    <pic:cNvPicPr/>
                  </pic:nvPicPr>
                  <pic:blipFill>
                    <a:blip r:embed="rId12"/>
                    <a:stretch>
                      <a:fillRect/>
                    </a:stretch>
                  </pic:blipFill>
                  <pic:spPr>
                    <a:xfrm>
                      <a:off x="0" y="0"/>
                      <a:ext cx="4150687" cy="3113206"/>
                    </a:xfrm>
                    <a:prstGeom prst="rect">
                      <a:avLst/>
                    </a:prstGeom>
                  </pic:spPr>
                </pic:pic>
              </a:graphicData>
            </a:graphic>
          </wp:inline>
        </w:drawing>
      </w:r>
      <w:r w:rsidR="00902052" w:rsidRPr="00902052">
        <w:rPr>
          <w:noProof/>
        </w:rPr>
        <w:t xml:space="preserve"> </w:t>
      </w:r>
    </w:p>
    <w:p w14:paraId="38F21BE5" w14:textId="5FA31EF2" w:rsidR="00B13209" w:rsidRPr="00907E22" w:rsidRDefault="00907E22" w:rsidP="00907E22">
      <w:pPr>
        <w:pStyle w:val="MDPI31text"/>
        <w:ind w:left="3033" w:firstLine="0"/>
        <w:jc w:val="center"/>
        <w:rPr>
          <w:bCs/>
        </w:rPr>
      </w:pPr>
      <w:r>
        <w:rPr>
          <w:bCs/>
        </w:rPr>
        <w:t>(a)</w:t>
      </w:r>
    </w:p>
    <w:p w14:paraId="01A079DA" w14:textId="77777777" w:rsidR="006176E3" w:rsidRDefault="006176E3" w:rsidP="00907E22">
      <w:pPr>
        <w:pStyle w:val="MDPI31text"/>
        <w:ind w:left="0" w:firstLine="0"/>
        <w:rPr>
          <w:noProof/>
          <w:color w:val="FF0000"/>
        </w:rPr>
      </w:pPr>
    </w:p>
    <w:p w14:paraId="1E5B5166" w14:textId="01A3BD44" w:rsidR="00902052" w:rsidRDefault="00902052" w:rsidP="00902052">
      <w:pPr>
        <w:pStyle w:val="MDPI31text"/>
        <w:rPr>
          <w:color w:val="FF0000"/>
        </w:rPr>
      </w:pPr>
      <w:r w:rsidRPr="00902052">
        <w:rPr>
          <w:noProof/>
          <w:color w:val="FF0000"/>
        </w:rPr>
        <w:drawing>
          <wp:inline distT="0" distB="0" distL="0" distR="0" wp14:anchorId="1CB93575" wp14:editId="2A0E918C">
            <wp:extent cx="4000237" cy="3000375"/>
            <wp:effectExtent l="0" t="0" r="635" b="0"/>
            <wp:docPr id="14027690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769032" name=""/>
                    <pic:cNvPicPr/>
                  </pic:nvPicPr>
                  <pic:blipFill>
                    <a:blip r:embed="rId13"/>
                    <a:stretch>
                      <a:fillRect/>
                    </a:stretch>
                  </pic:blipFill>
                  <pic:spPr>
                    <a:xfrm>
                      <a:off x="0" y="0"/>
                      <a:ext cx="4139810" cy="3105062"/>
                    </a:xfrm>
                    <a:prstGeom prst="rect">
                      <a:avLst/>
                    </a:prstGeom>
                  </pic:spPr>
                </pic:pic>
              </a:graphicData>
            </a:graphic>
          </wp:inline>
        </w:drawing>
      </w:r>
    </w:p>
    <w:p w14:paraId="7D31501C" w14:textId="52EBE336" w:rsidR="00907E22" w:rsidRPr="007B77D1" w:rsidRDefault="007B77D1" w:rsidP="007B77D1">
      <w:pPr>
        <w:pStyle w:val="MDPI31text"/>
        <w:jc w:val="center"/>
        <w:rPr>
          <w:color w:val="000000" w:themeColor="text1"/>
        </w:rPr>
      </w:pPr>
      <w:r w:rsidRPr="007B77D1">
        <w:rPr>
          <w:color w:val="000000" w:themeColor="text1"/>
        </w:rPr>
        <w:t>(b)</w:t>
      </w:r>
    </w:p>
    <w:p w14:paraId="6EDBBA23" w14:textId="77777777" w:rsidR="007B77D1" w:rsidRDefault="007B77D1" w:rsidP="00907E22">
      <w:pPr>
        <w:pStyle w:val="MDPI31text"/>
        <w:ind w:left="3033" w:firstLine="0"/>
        <w:rPr>
          <w:b/>
        </w:rPr>
      </w:pPr>
    </w:p>
    <w:p w14:paraId="6B378087" w14:textId="71554241" w:rsidR="00D34467" w:rsidRPr="00907E22" w:rsidRDefault="00DF52B1" w:rsidP="00907E22">
      <w:pPr>
        <w:pStyle w:val="MDPI31text"/>
        <w:ind w:left="3033" w:firstLine="0"/>
        <w:rPr>
          <w:bCs/>
        </w:rPr>
      </w:pPr>
      <w:r w:rsidRPr="00FA04F1">
        <w:rPr>
          <w:b/>
        </w:rPr>
        <w:t xml:space="preserve">Figure </w:t>
      </w:r>
      <w:r w:rsidR="00B13209">
        <w:rPr>
          <w:b/>
        </w:rPr>
        <w:t>5</w:t>
      </w:r>
      <w:r>
        <w:rPr>
          <w:b/>
        </w:rPr>
        <w:t>.</w:t>
      </w:r>
      <w:r w:rsidRPr="00FA04F1">
        <w:rPr>
          <w:b/>
        </w:rPr>
        <w:t xml:space="preserve"> </w:t>
      </w:r>
      <w:r w:rsidR="00902052">
        <w:rPr>
          <w:bCs/>
        </w:rPr>
        <w:t>Polynomial Surface Fit of Power</w:t>
      </w:r>
      <w:r w:rsidR="00706492">
        <w:rPr>
          <w:bCs/>
        </w:rPr>
        <w:t>, P(</w:t>
      </w:r>
      <w:proofErr w:type="gramStart"/>
      <w:r w:rsidR="00706492">
        <w:rPr>
          <w:bCs/>
        </w:rPr>
        <w:t>T,H</w:t>
      </w:r>
      <w:proofErr w:type="gramEnd"/>
      <w:r w:rsidR="00706492">
        <w:rPr>
          <w:bCs/>
        </w:rPr>
        <w:t>)</w:t>
      </w:r>
      <w:r w:rsidR="002E452B">
        <w:rPr>
          <w:bCs/>
        </w:rPr>
        <w:t xml:space="preserve"> </w:t>
      </w:r>
      <w:r w:rsidR="00902052">
        <w:rPr>
          <w:bCs/>
        </w:rPr>
        <w:t>vs Temperature</w:t>
      </w:r>
      <w:r w:rsidR="00706492">
        <w:rPr>
          <w:bCs/>
        </w:rPr>
        <w:t>,</w:t>
      </w:r>
      <w:r w:rsidR="00902052">
        <w:rPr>
          <w:bCs/>
        </w:rPr>
        <w:t xml:space="preserve"> and Humidity for </w:t>
      </w:r>
      <w:r w:rsidR="00907E22">
        <w:rPr>
          <w:bCs/>
        </w:rPr>
        <w:t xml:space="preserve">(a) Instructional Room, and (b) </w:t>
      </w:r>
      <w:r w:rsidR="00902052">
        <w:rPr>
          <w:bCs/>
        </w:rPr>
        <w:t xml:space="preserve">Office Space </w:t>
      </w:r>
    </w:p>
    <w:p w14:paraId="267E2C9A" w14:textId="77777777" w:rsidR="003F7AAC" w:rsidRDefault="003F7AAC" w:rsidP="003F7AAC">
      <w:pPr>
        <w:pStyle w:val="MDPI31text"/>
        <w:rPr>
          <w:color w:val="000000" w:themeColor="text1"/>
        </w:rPr>
      </w:pPr>
    </w:p>
    <w:p w14:paraId="13E8997E" w14:textId="77777777" w:rsidR="00DD4F5D" w:rsidRPr="00325902" w:rsidRDefault="00DD4F5D" w:rsidP="005F4578">
      <w:pPr>
        <w:pStyle w:val="MDPI21heading1"/>
      </w:pPr>
      <w:r>
        <w:lastRenderedPageBreak/>
        <w:t>5. Conclusions</w:t>
      </w:r>
    </w:p>
    <w:p w14:paraId="5F4D1809" w14:textId="6913F146" w:rsidR="00B41E17" w:rsidRDefault="00B41E17" w:rsidP="00D724AA">
      <w:pPr>
        <w:pStyle w:val="MDPI31text"/>
        <w:rPr>
          <w:rFonts w:eastAsiaTheme="minorEastAsia"/>
          <w:noProof/>
          <w:color w:val="auto"/>
        </w:rPr>
      </w:pPr>
      <w:r w:rsidRPr="00B41E17">
        <w:rPr>
          <w:rFonts w:eastAsiaTheme="minorEastAsia"/>
          <w:noProof/>
          <w:color w:val="auto"/>
        </w:rPr>
        <w:t>The learning-based methodology incorporated actual data and utilized regression techniques, such as curve and neural network fitting, to determine the influence of indoor heat conditions and carbon dioxide levels on ACU power usage. The extensive data obtained during continuous ACU operation for at least four (4) hours greatly decreased measurement error when reanalyzing the model fit. The study obtained an optimal polynomial regression by using a first-order polynomial for dry bulb temperature and a second-order polynomial for humidity, utilizing the Least Absolute Residuals (LAR) approach. The R-square values, which range from 0.9874 to 0.9982, suggest a high level of correlation</w:t>
      </w:r>
      <w:r w:rsidR="00E40740">
        <w:rPr>
          <w:rFonts w:eastAsiaTheme="minorEastAsia"/>
          <w:noProof/>
          <w:color w:val="auto"/>
        </w:rPr>
        <w:t xml:space="preserve"> of power with indoor dry bulb temperature</w:t>
      </w:r>
      <w:r w:rsidR="001A3D8B">
        <w:rPr>
          <w:rFonts w:eastAsiaTheme="minorEastAsia"/>
          <w:noProof/>
          <w:color w:val="auto"/>
        </w:rPr>
        <w:t xml:space="preserve"> and humidity</w:t>
      </w:r>
      <w:r w:rsidRPr="00B41E17">
        <w:rPr>
          <w:rFonts w:eastAsiaTheme="minorEastAsia"/>
          <w:noProof/>
          <w:color w:val="auto"/>
        </w:rPr>
        <w:t>. The root mean square error (RMSE) is 0.0048 for office spaces and 0.0026 for instructional spaces. The neural model, assessed with ten layers, showed a modest linear relationship between predicted power (P) and measured dry bulb temperature (T) in classrooms and laboratory rooms. The model's performance increased after accounting for indoor relative humidity (H) in power consumption adjustments, with correlation values of 0.5426 on the training set and 0.5395 on the testing set. Furthermore, the influence of air conditioning units (ACUs) on CO</w:t>
      </w:r>
      <w:r w:rsidRPr="005A348D">
        <w:rPr>
          <w:rFonts w:eastAsiaTheme="minorEastAsia"/>
          <w:noProof/>
          <w:color w:val="auto"/>
          <w:vertAlign w:val="subscript"/>
        </w:rPr>
        <w:t>2</w:t>
      </w:r>
      <w:r w:rsidRPr="00B41E17">
        <w:rPr>
          <w:rFonts w:eastAsiaTheme="minorEastAsia"/>
          <w:noProof/>
          <w:color w:val="auto"/>
        </w:rPr>
        <w:t xml:space="preserve"> levels was minimal, as it was mostly caused by the restricted human activity in educational areas.  The most effective sensor placements for accurately capturing the correlation between power consumption of the cooling unit and inside temperature are in close proximity to the entrance door (at a distance of 3 meters) and at a greater distance from the ACU vent (5 meters away). Humidity measurements obtained from sensors located in close proximity to cooling vents are highly precise. Significantly, carbon dioxide (CO</w:t>
      </w:r>
      <w:r w:rsidRPr="003A6228">
        <w:rPr>
          <w:rFonts w:eastAsiaTheme="minorEastAsia"/>
          <w:noProof/>
          <w:color w:val="auto"/>
          <w:vertAlign w:val="subscript"/>
        </w:rPr>
        <w:t>2</w:t>
      </w:r>
      <w:r w:rsidRPr="00B41E17">
        <w:rPr>
          <w:rFonts w:eastAsiaTheme="minorEastAsia"/>
          <w:noProof/>
          <w:color w:val="auto"/>
        </w:rPr>
        <w:t>) levels in the vicinity of the door display fluctuations, providing data for a model that accurately represents changes due to cooling.</w:t>
      </w:r>
      <w:r>
        <w:rPr>
          <w:rFonts w:eastAsiaTheme="minorEastAsia"/>
          <w:noProof/>
          <w:color w:val="auto"/>
        </w:rPr>
        <w:t xml:space="preserve"> </w:t>
      </w:r>
      <w:r w:rsidRPr="00B41E17">
        <w:rPr>
          <w:rFonts w:eastAsiaTheme="minorEastAsia"/>
          <w:noProof/>
          <w:color w:val="auto"/>
        </w:rPr>
        <w:t>In general, the polynomial regression model performs better than the neural network fitting strategy.</w:t>
      </w:r>
    </w:p>
    <w:p w14:paraId="33168B4F" w14:textId="29217A6A" w:rsidR="00B41E17" w:rsidRDefault="00F8119C" w:rsidP="00D724AA">
      <w:pPr>
        <w:pStyle w:val="MDPI31text"/>
        <w:rPr>
          <w:rFonts w:eastAsiaTheme="minorEastAsia"/>
          <w:noProof/>
          <w:color w:val="auto"/>
        </w:rPr>
      </w:pPr>
      <w:r w:rsidRPr="00F8119C">
        <w:rPr>
          <w:rFonts w:eastAsiaTheme="minorEastAsia"/>
          <w:noProof/>
          <w:color w:val="auto"/>
        </w:rPr>
        <w:t xml:space="preserve">The point at which the temperature and power levels have reached a stable state within specified boundaries can be determined throughout the iterative process of analyzing data. Variables such as the duration of ACU operation, the number of people present, and the level of physical activity have an influence on the collecting of data and the determination of stable points. Determining the steady state of a system is crucial in control systems and experimental circumstances. The models and stable ACU power conditions can be used to create decision rules for controlling indoor temperature and humidity through the automated operation of cooling systems. The results of this work will be used in future research to create an optimized energy consumption model for a building. This will be accomplished by identifying the most efficient temperature setting </w:t>
      </w:r>
      <w:r w:rsidR="00E8374A">
        <w:rPr>
          <w:rFonts w:eastAsiaTheme="minorEastAsia"/>
          <w:noProof/>
          <w:color w:val="auto"/>
        </w:rPr>
        <w:t xml:space="preserve">and </w:t>
      </w:r>
      <w:r w:rsidR="00C140E6">
        <w:rPr>
          <w:rFonts w:eastAsiaTheme="minorEastAsia"/>
          <w:noProof/>
          <w:color w:val="auto"/>
        </w:rPr>
        <w:t xml:space="preserve">propert timing to operate </w:t>
      </w:r>
      <w:r w:rsidRPr="00F8119C">
        <w:rPr>
          <w:rFonts w:eastAsiaTheme="minorEastAsia"/>
          <w:noProof/>
          <w:color w:val="auto"/>
        </w:rPr>
        <w:t>the air conditioning unit (ACU) by considering parameters such as the surrounding temperature, humidity, time of day, and activities performed during specified hours.</w:t>
      </w:r>
    </w:p>
    <w:p w14:paraId="4AB0E5AB" w14:textId="305AECDE" w:rsidR="00206A34" w:rsidRDefault="00F8119C" w:rsidP="00EC1C44">
      <w:pPr>
        <w:pStyle w:val="MDPI31text"/>
        <w:rPr>
          <w:rFonts w:eastAsiaTheme="minorEastAsia"/>
          <w:noProof/>
          <w:color w:val="auto"/>
        </w:rPr>
      </w:pPr>
      <w:r>
        <w:rPr>
          <w:rFonts w:eastAsiaTheme="minorEastAsia"/>
          <w:noProof/>
          <w:color w:val="auto"/>
        </w:rPr>
        <w:t xml:space="preserve"> </w:t>
      </w:r>
    </w:p>
    <w:p w14:paraId="4902449D" w14:textId="3B5BD523" w:rsidR="00B17008" w:rsidRDefault="00F8119C" w:rsidP="00EC1C44">
      <w:pPr>
        <w:pStyle w:val="MDPI31text"/>
        <w:rPr>
          <w:rFonts w:eastAsiaTheme="minorEastAsia"/>
          <w:noProof/>
          <w:color w:val="000000" w:themeColor="text1"/>
        </w:rPr>
      </w:pPr>
      <w:r>
        <w:rPr>
          <w:rFonts w:eastAsiaTheme="minorEastAsia"/>
          <w:noProof/>
          <w:color w:val="auto"/>
        </w:rPr>
        <w:t xml:space="preserve"> </w:t>
      </w:r>
    </w:p>
    <w:p w14:paraId="4B1D29FB" w14:textId="3252ACF0" w:rsidR="00F17F6C" w:rsidRPr="00F17F6C" w:rsidRDefault="00DD4F5D" w:rsidP="00F17F6C">
      <w:pPr>
        <w:pStyle w:val="MDPI62BackMatter"/>
        <w:spacing w:before="240"/>
        <w:rPr>
          <w:color w:val="FF0000"/>
        </w:rPr>
      </w:pPr>
      <w:r w:rsidRPr="00F17F6C">
        <w:rPr>
          <w:b/>
          <w:color w:val="000000" w:themeColor="text1"/>
        </w:rPr>
        <w:t>Supplementary Materials:</w:t>
      </w:r>
      <w:r w:rsidR="007A3E7E" w:rsidRPr="00F17F6C">
        <w:rPr>
          <w:b/>
          <w:color w:val="000000" w:themeColor="text1"/>
        </w:rPr>
        <w:t xml:space="preserve"> </w:t>
      </w:r>
      <w:r w:rsidR="00E13CAC" w:rsidRPr="00F17F6C">
        <w:rPr>
          <w:color w:val="000000" w:themeColor="text1"/>
        </w:rPr>
        <w:t>The following supporting information can be downloaded at:</w:t>
      </w:r>
      <w:r w:rsidR="00E13CAC" w:rsidRPr="00CC10F1">
        <w:rPr>
          <w:color w:val="FF0000"/>
        </w:rPr>
        <w:t xml:space="preserve"> </w:t>
      </w:r>
      <w:hyperlink r:id="rId14" w:history="1">
        <w:r w:rsidR="00F17F6C" w:rsidRPr="00972992">
          <w:rPr>
            <w:rStyle w:val="Hyperlink"/>
          </w:rPr>
          <w:t>https://bit.ly/PowerCosumptionModeling</w:t>
        </w:r>
      </w:hyperlink>
      <w:r w:rsidR="00F17F6C" w:rsidRPr="00F17F6C">
        <w:rPr>
          <w:color w:val="000000" w:themeColor="text1"/>
        </w:rPr>
        <w:t>,</w:t>
      </w:r>
      <w:r w:rsidR="00E13CAC" w:rsidRPr="00F17F6C">
        <w:rPr>
          <w:color w:val="000000" w:themeColor="text1"/>
        </w:rPr>
        <w:t xml:space="preserve"> Figure S1: </w:t>
      </w:r>
      <w:r w:rsidR="00DC0AB7" w:rsidRPr="00F17F6C">
        <w:rPr>
          <w:color w:val="000000" w:themeColor="text1"/>
        </w:rPr>
        <w:t>Framework for Power Consumption Analysis Based on Indoor Thermal Condition and Air Quality.</w:t>
      </w:r>
      <w:r w:rsidR="00E13CAC" w:rsidRPr="00F17F6C">
        <w:rPr>
          <w:color w:val="000000" w:themeColor="text1"/>
        </w:rPr>
        <w:t>;</w:t>
      </w:r>
      <w:r w:rsidR="00DC0AB7" w:rsidRPr="00F17F6C">
        <w:rPr>
          <w:color w:val="000000" w:themeColor="text1"/>
        </w:rPr>
        <w:t xml:space="preserve"> Figure S2 Interconnectivity of Data Monitoring Modules and Devices, and Server.; Figure S3: Placement of Indoor Thermal and Air Quality Sensors (Room Size : 76 m</w:t>
      </w:r>
      <w:r w:rsidR="00DC0AB7" w:rsidRPr="00B16872">
        <w:rPr>
          <w:color w:val="000000" w:themeColor="text1"/>
          <w:vertAlign w:val="superscript"/>
        </w:rPr>
        <w:t xml:space="preserve">2 </w:t>
      </w:r>
      <w:r w:rsidR="00DC0AB7" w:rsidRPr="00F17F6C">
        <w:rPr>
          <w:color w:val="000000" w:themeColor="text1"/>
        </w:rPr>
        <w:t>for laboratory room, 61m</w:t>
      </w:r>
      <w:r w:rsidR="00DC0AB7" w:rsidRPr="00B16872">
        <w:rPr>
          <w:color w:val="000000" w:themeColor="text1"/>
          <w:vertAlign w:val="superscript"/>
        </w:rPr>
        <w:t xml:space="preserve">2 </w:t>
      </w:r>
      <w:r w:rsidR="00DC0AB7" w:rsidRPr="00F17F6C">
        <w:rPr>
          <w:color w:val="000000" w:themeColor="text1"/>
        </w:rPr>
        <w:t>for classroom and shared office space, 15m</w:t>
      </w:r>
      <w:r w:rsidR="00DC0AB7" w:rsidRPr="00B16872">
        <w:rPr>
          <w:color w:val="000000" w:themeColor="text1"/>
          <w:vertAlign w:val="superscript"/>
        </w:rPr>
        <w:t>2</w:t>
      </w:r>
      <w:r w:rsidR="00DC0AB7" w:rsidRPr="00F17F6C">
        <w:rPr>
          <w:color w:val="000000" w:themeColor="text1"/>
        </w:rPr>
        <w:t xml:space="preserve"> for solo office space); Figure S4</w:t>
      </w:r>
      <w:r w:rsidR="00F17F6C" w:rsidRPr="00F17F6C">
        <w:rPr>
          <w:color w:val="000000" w:themeColor="text1"/>
        </w:rPr>
        <w:t>a</w:t>
      </w:r>
      <w:r w:rsidR="00DC0AB7" w:rsidRPr="00F17F6C">
        <w:rPr>
          <w:color w:val="000000" w:themeColor="text1"/>
        </w:rPr>
        <w:t>: Polynomial Surface Fit of Power, P(T,H)) vs Temperature, and Humidity for Instructional Room</w:t>
      </w:r>
      <w:r w:rsidR="00F17F6C" w:rsidRPr="00F17F6C">
        <w:rPr>
          <w:color w:val="000000" w:themeColor="text1"/>
        </w:rPr>
        <w:t>; Figure S4b: Polynomial Surface Fit of Power, P(T,H)) vs Temperature, and Humidity for</w:t>
      </w:r>
      <w:r w:rsidR="00DC0AB7" w:rsidRPr="00F17F6C">
        <w:rPr>
          <w:color w:val="000000" w:themeColor="text1"/>
        </w:rPr>
        <w:t xml:space="preserve"> Office Space;</w:t>
      </w:r>
      <w:r w:rsidR="00E13CAC" w:rsidRPr="00F17F6C">
        <w:rPr>
          <w:color w:val="000000" w:themeColor="text1"/>
        </w:rPr>
        <w:t xml:space="preserve"> Table S1: </w:t>
      </w:r>
      <w:r w:rsidR="00F17F6C" w:rsidRPr="00F17F6C">
        <w:rPr>
          <w:color w:val="000000" w:themeColor="text1"/>
        </w:rPr>
        <w:t>Polynomial Curve Fitting Performance for Instructional Rooms (ACU Power vs Dry Bulb Temperature);</w:t>
      </w:r>
      <w:r w:rsidR="00DC0AB7" w:rsidRPr="00F17F6C">
        <w:rPr>
          <w:color w:val="000000" w:themeColor="text1"/>
        </w:rPr>
        <w:t xml:space="preserve"> Table S</w:t>
      </w:r>
      <w:r w:rsidR="00F17F6C" w:rsidRPr="00F17F6C">
        <w:rPr>
          <w:color w:val="000000" w:themeColor="text1"/>
        </w:rPr>
        <w:t>2</w:t>
      </w:r>
      <w:r w:rsidR="00DC0AB7" w:rsidRPr="00F17F6C">
        <w:rPr>
          <w:color w:val="000000" w:themeColor="text1"/>
        </w:rPr>
        <w:t xml:space="preserve">: </w:t>
      </w:r>
      <w:r w:rsidR="00F17F6C" w:rsidRPr="00F17F6C">
        <w:rPr>
          <w:color w:val="000000" w:themeColor="text1"/>
        </w:rPr>
        <w:t>Polynomial Curve Fitting Performance for Office Spaces (ACU Power vs Dry Bulb Temperature); Table S3. Polynomial Curve Fitting Performance for Instructional Rooms (ACU Power vs Relative Humidity); Table S4. Polynomial Curve Fitting Performance for Office Spaces (ACU Power vs Relative Humidity); Table S5. Polynomial Curve Fitting Performance for Instructional Rooms (ACU Power vs CO</w:t>
      </w:r>
      <w:r w:rsidR="00F17F6C" w:rsidRPr="00224688">
        <w:rPr>
          <w:color w:val="000000" w:themeColor="text1"/>
          <w:vertAlign w:val="subscript"/>
        </w:rPr>
        <w:t>2</w:t>
      </w:r>
      <w:r w:rsidR="00F17F6C" w:rsidRPr="00F17F6C">
        <w:rPr>
          <w:color w:val="000000" w:themeColor="text1"/>
        </w:rPr>
        <w:t xml:space="preserve"> level); Table S6. Polynomial Curve Fitting Performance for Office Spaces (ACU Power vs CO</w:t>
      </w:r>
      <w:r w:rsidR="00F17F6C" w:rsidRPr="00224688">
        <w:rPr>
          <w:color w:val="000000" w:themeColor="text1"/>
          <w:vertAlign w:val="subscript"/>
        </w:rPr>
        <w:t>2</w:t>
      </w:r>
      <w:r w:rsidR="00F17F6C" w:rsidRPr="00F17F6C">
        <w:rPr>
          <w:color w:val="000000" w:themeColor="text1"/>
        </w:rPr>
        <w:t xml:space="preserve"> Level); Table S7. Neural </w:t>
      </w:r>
      <w:r w:rsidR="00F17F6C" w:rsidRPr="00F17F6C">
        <w:rPr>
          <w:color w:val="000000" w:themeColor="text1"/>
        </w:rPr>
        <w:lastRenderedPageBreak/>
        <w:t>Fit in ACU Power vs Dry bulb Temperature</w:t>
      </w:r>
      <w:r w:rsidR="00F17F6C" w:rsidRPr="00F17F6C">
        <w:rPr>
          <w:b/>
          <w:color w:val="000000" w:themeColor="text1"/>
        </w:rPr>
        <w:t xml:space="preserve">; </w:t>
      </w:r>
      <w:r w:rsidR="00F17F6C" w:rsidRPr="00F17F6C">
        <w:rPr>
          <w:color w:val="000000" w:themeColor="text1"/>
        </w:rPr>
        <w:t xml:space="preserve">Table S8. Neural Fit in ACU Power vs Relative Humidity; Table S9. Neural Fit in ACU Power vs Carbon Dioxide Level; Table S10. Coefficients of Polynomial Curve Fit for Power vs Temperature and Humidity; Table S11. Polynomial Curve of ACU Power using Least Absolute Residuals for Office Spaces. </w:t>
      </w:r>
    </w:p>
    <w:p w14:paraId="7CEF7DFA" w14:textId="546034AE" w:rsidR="00DD4F5D" w:rsidRPr="00CC10F1" w:rsidRDefault="00DD4F5D" w:rsidP="00F17F6C">
      <w:pPr>
        <w:pStyle w:val="MDPI62BackMatter"/>
        <w:spacing w:before="240"/>
        <w:rPr>
          <w:color w:val="FF0000"/>
        </w:rPr>
      </w:pPr>
      <w:r w:rsidRPr="002264C7">
        <w:rPr>
          <w:b/>
          <w:color w:val="000000" w:themeColor="text1"/>
        </w:rPr>
        <w:t>Author Contributions:</w:t>
      </w:r>
      <w:r w:rsidRPr="002264C7">
        <w:rPr>
          <w:color w:val="000000" w:themeColor="text1"/>
        </w:rPr>
        <w:t xml:space="preserve"> Conceptualization, </w:t>
      </w:r>
      <w:r w:rsidR="003D76E1" w:rsidRPr="002264C7">
        <w:rPr>
          <w:color w:val="000000" w:themeColor="text1"/>
        </w:rPr>
        <w:t>S.G.B</w:t>
      </w:r>
      <w:r w:rsidRPr="002264C7">
        <w:rPr>
          <w:color w:val="000000" w:themeColor="text1"/>
        </w:rPr>
        <w:t xml:space="preserve">.; methodology, </w:t>
      </w:r>
      <w:r w:rsidR="002264C7" w:rsidRPr="002264C7">
        <w:rPr>
          <w:color w:val="000000" w:themeColor="text1"/>
        </w:rPr>
        <w:t>S.G.B</w:t>
      </w:r>
      <w:r w:rsidRPr="002264C7">
        <w:rPr>
          <w:color w:val="000000" w:themeColor="text1"/>
        </w:rPr>
        <w:t>.</w:t>
      </w:r>
      <w:r w:rsidR="00A60B14">
        <w:rPr>
          <w:color w:val="000000" w:themeColor="text1"/>
        </w:rPr>
        <w:t xml:space="preserve"> an</w:t>
      </w:r>
      <w:r w:rsidR="00AC2FA5">
        <w:rPr>
          <w:color w:val="000000" w:themeColor="text1"/>
        </w:rPr>
        <w:t>d R.F.A</w:t>
      </w:r>
      <w:r w:rsidR="00A60B14">
        <w:rPr>
          <w:color w:val="000000" w:themeColor="text1"/>
        </w:rPr>
        <w:t>.</w:t>
      </w:r>
      <w:r w:rsidRPr="002264C7">
        <w:rPr>
          <w:color w:val="000000" w:themeColor="text1"/>
        </w:rPr>
        <w:t xml:space="preserve">; software, </w:t>
      </w:r>
      <w:r w:rsidR="002264C7" w:rsidRPr="002264C7">
        <w:rPr>
          <w:color w:val="000000" w:themeColor="text1"/>
        </w:rPr>
        <w:t>S.G.B</w:t>
      </w:r>
      <w:r w:rsidR="002264C7">
        <w:rPr>
          <w:color w:val="000000" w:themeColor="text1"/>
        </w:rPr>
        <w:t>.</w:t>
      </w:r>
      <w:r w:rsidR="002264C7" w:rsidRPr="002264C7">
        <w:rPr>
          <w:color w:val="000000" w:themeColor="text1"/>
        </w:rPr>
        <w:t>.</w:t>
      </w:r>
      <w:r w:rsidRPr="002264C7">
        <w:rPr>
          <w:color w:val="000000" w:themeColor="text1"/>
        </w:rPr>
        <w:t xml:space="preserve">; validation, </w:t>
      </w:r>
      <w:r w:rsidR="002264C7" w:rsidRPr="002264C7">
        <w:rPr>
          <w:color w:val="000000" w:themeColor="text1"/>
        </w:rPr>
        <w:t>S.G.B and A.D.A.</w:t>
      </w:r>
      <w:r w:rsidRPr="002264C7">
        <w:rPr>
          <w:color w:val="000000" w:themeColor="text1"/>
        </w:rPr>
        <w:t xml:space="preserve">; formal analysis, </w:t>
      </w:r>
      <w:r w:rsidR="002264C7" w:rsidRPr="002264C7">
        <w:rPr>
          <w:color w:val="000000" w:themeColor="text1"/>
        </w:rPr>
        <w:t>S.G.B</w:t>
      </w:r>
      <w:r w:rsidR="002264C7">
        <w:rPr>
          <w:color w:val="000000" w:themeColor="text1"/>
        </w:rPr>
        <w:t>.</w:t>
      </w:r>
      <w:r w:rsidR="00317730">
        <w:rPr>
          <w:color w:val="000000" w:themeColor="text1"/>
        </w:rPr>
        <w:t xml:space="preserve"> and R.G.</w:t>
      </w:r>
      <w:r w:rsidRPr="002264C7">
        <w:rPr>
          <w:color w:val="000000" w:themeColor="text1"/>
        </w:rPr>
        <w:t xml:space="preserve">; investigation, </w:t>
      </w:r>
      <w:r w:rsidR="002264C7" w:rsidRPr="002264C7">
        <w:rPr>
          <w:color w:val="000000" w:themeColor="text1"/>
        </w:rPr>
        <w:t>S.G.B</w:t>
      </w:r>
      <w:r w:rsidR="00407BE9">
        <w:rPr>
          <w:color w:val="000000" w:themeColor="text1"/>
        </w:rPr>
        <w:t>.,</w:t>
      </w:r>
      <w:r w:rsidR="002264C7" w:rsidRPr="002264C7">
        <w:rPr>
          <w:color w:val="000000" w:themeColor="text1"/>
        </w:rPr>
        <w:t xml:space="preserve"> A.D.A.</w:t>
      </w:r>
      <w:r w:rsidR="00407BE9">
        <w:rPr>
          <w:color w:val="000000" w:themeColor="text1"/>
        </w:rPr>
        <w:t xml:space="preserve"> and P.J.L.</w:t>
      </w:r>
      <w:r w:rsidRPr="002264C7">
        <w:rPr>
          <w:color w:val="000000" w:themeColor="text1"/>
        </w:rPr>
        <w:t xml:space="preserve">; resources, </w:t>
      </w:r>
      <w:r w:rsidR="002264C7" w:rsidRPr="002264C7">
        <w:rPr>
          <w:color w:val="000000" w:themeColor="text1"/>
        </w:rPr>
        <w:t>S.G.</w:t>
      </w:r>
      <w:r w:rsidR="00CE7366">
        <w:rPr>
          <w:color w:val="000000" w:themeColor="text1"/>
        </w:rPr>
        <w:t>B.</w:t>
      </w:r>
      <w:r w:rsidRPr="002264C7">
        <w:rPr>
          <w:color w:val="000000" w:themeColor="text1"/>
        </w:rPr>
        <w:t xml:space="preserve">; data curation, </w:t>
      </w:r>
      <w:r w:rsidR="002264C7" w:rsidRPr="002264C7">
        <w:rPr>
          <w:color w:val="000000" w:themeColor="text1"/>
        </w:rPr>
        <w:t>S.G.B</w:t>
      </w:r>
      <w:r w:rsidR="00381C1B">
        <w:rPr>
          <w:color w:val="000000" w:themeColor="text1"/>
        </w:rPr>
        <w:t xml:space="preserve"> and A.A.I.</w:t>
      </w:r>
      <w:r w:rsidRPr="002264C7">
        <w:rPr>
          <w:color w:val="000000" w:themeColor="text1"/>
        </w:rPr>
        <w:t xml:space="preserve">.; writing—original draft preparation, </w:t>
      </w:r>
      <w:r w:rsidR="002264C7" w:rsidRPr="002264C7">
        <w:rPr>
          <w:color w:val="000000" w:themeColor="text1"/>
        </w:rPr>
        <w:t>S.G.B</w:t>
      </w:r>
      <w:r w:rsidR="004F0ACE">
        <w:rPr>
          <w:color w:val="000000" w:themeColor="text1"/>
        </w:rPr>
        <w:t>. and A.D.A.</w:t>
      </w:r>
      <w:r w:rsidRPr="002264C7">
        <w:rPr>
          <w:color w:val="000000" w:themeColor="text1"/>
        </w:rPr>
        <w:t xml:space="preserve">; writing—review and editing, </w:t>
      </w:r>
      <w:r w:rsidR="003D76E1" w:rsidRPr="002264C7">
        <w:rPr>
          <w:color w:val="000000" w:themeColor="text1"/>
        </w:rPr>
        <w:t>R.F.A., A.A.I, A.U., M.M.R</w:t>
      </w:r>
      <w:r w:rsidR="002264C7" w:rsidRPr="002264C7">
        <w:rPr>
          <w:color w:val="000000" w:themeColor="text1"/>
        </w:rPr>
        <w:t xml:space="preserve">., </w:t>
      </w:r>
      <w:r w:rsidR="00605C8A">
        <w:rPr>
          <w:color w:val="000000" w:themeColor="text1"/>
        </w:rPr>
        <w:t>R.G.</w:t>
      </w:r>
      <w:r w:rsidR="00C97731">
        <w:rPr>
          <w:color w:val="000000" w:themeColor="text1"/>
        </w:rPr>
        <w:t xml:space="preserve"> </w:t>
      </w:r>
      <w:r w:rsidR="002264C7" w:rsidRPr="002264C7">
        <w:rPr>
          <w:color w:val="000000" w:themeColor="text1"/>
        </w:rPr>
        <w:t>and P.J.L.</w:t>
      </w:r>
      <w:r w:rsidRPr="002264C7">
        <w:rPr>
          <w:color w:val="000000" w:themeColor="text1"/>
        </w:rPr>
        <w:t xml:space="preserve">; visualization, </w:t>
      </w:r>
      <w:r w:rsidR="002264C7" w:rsidRPr="002264C7">
        <w:rPr>
          <w:color w:val="000000" w:themeColor="text1"/>
        </w:rPr>
        <w:t>S.G.B and A.D.A.</w:t>
      </w:r>
      <w:r w:rsidRPr="002264C7">
        <w:rPr>
          <w:color w:val="000000" w:themeColor="text1"/>
        </w:rPr>
        <w:t xml:space="preserve">; supervision, </w:t>
      </w:r>
      <w:r w:rsidR="002264C7" w:rsidRPr="002264C7">
        <w:rPr>
          <w:color w:val="000000" w:themeColor="text1"/>
        </w:rPr>
        <w:t>A.D.A</w:t>
      </w:r>
      <w:r w:rsidRPr="002264C7">
        <w:rPr>
          <w:color w:val="000000" w:themeColor="text1"/>
        </w:rPr>
        <w:t>.</w:t>
      </w:r>
      <w:r w:rsidR="00071225">
        <w:rPr>
          <w:color w:val="000000" w:themeColor="text1"/>
        </w:rPr>
        <w:t xml:space="preserve"> and </w:t>
      </w:r>
      <w:r w:rsidR="00407BE9">
        <w:rPr>
          <w:color w:val="000000" w:themeColor="text1"/>
        </w:rPr>
        <w:t>A.U.</w:t>
      </w:r>
      <w:r w:rsidRPr="002264C7">
        <w:rPr>
          <w:color w:val="000000" w:themeColor="text1"/>
        </w:rPr>
        <w:t xml:space="preserve">; project administration, </w:t>
      </w:r>
      <w:r w:rsidR="002264C7" w:rsidRPr="002264C7">
        <w:rPr>
          <w:color w:val="000000" w:themeColor="text1"/>
        </w:rPr>
        <w:t>A.D.A</w:t>
      </w:r>
      <w:r w:rsidRPr="002264C7">
        <w:rPr>
          <w:color w:val="000000" w:themeColor="text1"/>
        </w:rPr>
        <w:t xml:space="preserve">.; funding acquisition, </w:t>
      </w:r>
      <w:r w:rsidR="002264C7" w:rsidRPr="002264C7">
        <w:rPr>
          <w:color w:val="000000" w:themeColor="text1"/>
        </w:rPr>
        <w:t>A.U</w:t>
      </w:r>
      <w:r w:rsidR="002264C7">
        <w:rPr>
          <w:color w:val="000000" w:themeColor="text1"/>
        </w:rPr>
        <w:t>.</w:t>
      </w:r>
      <w:r w:rsidR="00407BE9">
        <w:rPr>
          <w:color w:val="000000" w:themeColor="text1"/>
        </w:rPr>
        <w:t xml:space="preserve"> and M.M.R.</w:t>
      </w:r>
      <w:r w:rsidR="002264C7" w:rsidRPr="002264C7">
        <w:rPr>
          <w:color w:val="000000" w:themeColor="text1"/>
        </w:rPr>
        <w:t>.</w:t>
      </w:r>
      <w:r w:rsidRPr="002264C7">
        <w:rPr>
          <w:color w:val="000000" w:themeColor="text1"/>
        </w:rPr>
        <w:t xml:space="preserve"> All authors have read and agreed to the published version of the manuscript.</w:t>
      </w:r>
      <w:r w:rsidR="003D76E1">
        <w:rPr>
          <w:color w:val="FF0000"/>
        </w:rPr>
        <w:t xml:space="preserve"> </w:t>
      </w:r>
    </w:p>
    <w:p w14:paraId="0AC0CB92" w14:textId="5BDBB08C" w:rsidR="00DD4F5D" w:rsidRPr="003D76E1" w:rsidRDefault="00DD4F5D" w:rsidP="00DD4F5D">
      <w:pPr>
        <w:pStyle w:val="MDPI62BackMatter"/>
        <w:rPr>
          <w:color w:val="000000" w:themeColor="text1"/>
        </w:rPr>
      </w:pPr>
      <w:r w:rsidRPr="003D76E1">
        <w:rPr>
          <w:b/>
          <w:color w:val="000000" w:themeColor="text1"/>
        </w:rPr>
        <w:t>Funding:</w:t>
      </w:r>
      <w:r w:rsidRPr="003D76E1">
        <w:rPr>
          <w:color w:val="000000" w:themeColor="text1"/>
        </w:rPr>
        <w:t xml:space="preserve"> This research </w:t>
      </w:r>
      <w:r w:rsidR="003D76E1">
        <w:rPr>
          <w:color w:val="000000" w:themeColor="text1"/>
        </w:rPr>
        <w:t>has received financial assistance from</w:t>
      </w:r>
      <w:r w:rsidRPr="003D76E1">
        <w:rPr>
          <w:color w:val="000000" w:themeColor="text1"/>
        </w:rPr>
        <w:t xml:space="preserve"> </w:t>
      </w:r>
      <w:r w:rsidR="00F81686" w:rsidRPr="003D76E1">
        <w:rPr>
          <w:color w:val="000000" w:themeColor="text1"/>
        </w:rPr>
        <w:t>De La Salle University Research and Grants Management Office (DLSU RGM</w:t>
      </w:r>
      <w:r w:rsidR="002D4FB3">
        <w:rPr>
          <w:color w:val="000000" w:themeColor="text1"/>
        </w:rPr>
        <w:t>O</w:t>
      </w:r>
      <w:r w:rsidR="00F81686" w:rsidRPr="003D76E1">
        <w:rPr>
          <w:color w:val="000000" w:themeColor="text1"/>
        </w:rPr>
        <w:t>)</w:t>
      </w:r>
      <w:r w:rsidR="003D76E1" w:rsidRPr="003D76E1">
        <w:rPr>
          <w:color w:val="000000" w:themeColor="text1"/>
        </w:rPr>
        <w:t xml:space="preserve"> on its pursuit for building energy optimization research agenda.</w:t>
      </w:r>
      <w:r w:rsidR="00F81686" w:rsidRPr="003D76E1">
        <w:rPr>
          <w:color w:val="000000" w:themeColor="text1"/>
        </w:rPr>
        <w:t xml:space="preserve"> </w:t>
      </w:r>
    </w:p>
    <w:p w14:paraId="214E5B4F" w14:textId="67D29307" w:rsidR="00D92CC8" w:rsidRPr="00CC10F1" w:rsidRDefault="00D92CC8" w:rsidP="00D92CC8">
      <w:pPr>
        <w:pStyle w:val="MDPI62BackMatter"/>
        <w:rPr>
          <w:color w:val="000000" w:themeColor="text1"/>
        </w:rPr>
      </w:pPr>
      <w:r w:rsidRPr="00F81686">
        <w:rPr>
          <w:b/>
          <w:color w:val="000000" w:themeColor="text1"/>
        </w:rPr>
        <w:t>Data Availability Statement:</w:t>
      </w:r>
      <w:r w:rsidRPr="00F81686">
        <w:rPr>
          <w:color w:val="000000" w:themeColor="text1"/>
        </w:rPr>
        <w:t xml:space="preserve"> </w:t>
      </w:r>
      <w:r w:rsidR="00CC10F1" w:rsidRPr="00F81686">
        <w:rPr>
          <w:color w:val="000000" w:themeColor="text1"/>
        </w:rPr>
        <w:t xml:space="preserve">Restrictions </w:t>
      </w:r>
      <w:r w:rsidR="00CC10F1" w:rsidRPr="00CC10F1">
        <w:rPr>
          <w:color w:val="000000" w:themeColor="text1"/>
        </w:rPr>
        <w:t xml:space="preserve">apply to the availability of these data. Data were obtained from </w:t>
      </w:r>
      <w:r w:rsidR="00CC10F1">
        <w:rPr>
          <w:color w:val="000000" w:themeColor="text1"/>
        </w:rPr>
        <w:t xml:space="preserve">Asia Pacific College’s Artificial Intelligence and Robotics Hub and Energy and Indoor Air Quality Monitoring </w:t>
      </w:r>
      <w:r w:rsidR="0064563E">
        <w:rPr>
          <w:color w:val="000000" w:themeColor="text1"/>
        </w:rPr>
        <w:t>System and</w:t>
      </w:r>
      <w:r w:rsidR="00CC10F1" w:rsidRPr="00CC10F1">
        <w:rPr>
          <w:color w:val="000000" w:themeColor="text1"/>
        </w:rPr>
        <w:t xml:space="preserve"> are available </w:t>
      </w:r>
      <w:r w:rsidR="00CC10F1">
        <w:rPr>
          <w:color w:val="000000" w:themeColor="text1"/>
        </w:rPr>
        <w:t>from</w:t>
      </w:r>
      <w:r w:rsidR="00CC10F1" w:rsidRPr="00CC10F1">
        <w:rPr>
          <w:color w:val="000000" w:themeColor="text1"/>
        </w:rPr>
        <w:t xml:space="preserve"> the </w:t>
      </w:r>
      <w:r w:rsidR="00F81686">
        <w:rPr>
          <w:color w:val="000000" w:themeColor="text1"/>
        </w:rPr>
        <w:t xml:space="preserve">corresponding </w:t>
      </w:r>
      <w:r w:rsidR="00CC10F1" w:rsidRPr="00CC10F1">
        <w:rPr>
          <w:color w:val="000000" w:themeColor="text1"/>
        </w:rPr>
        <w:t>author</w:t>
      </w:r>
      <w:r w:rsidR="00CC10F1">
        <w:rPr>
          <w:color w:val="000000" w:themeColor="text1"/>
        </w:rPr>
        <w:t xml:space="preserve"> </w:t>
      </w:r>
      <w:r w:rsidR="00CC10F1" w:rsidRPr="00CC10F1">
        <w:rPr>
          <w:color w:val="000000" w:themeColor="text1"/>
        </w:rPr>
        <w:t xml:space="preserve">with the permission of </w:t>
      </w:r>
      <w:r w:rsidR="00F81686">
        <w:rPr>
          <w:color w:val="000000" w:themeColor="text1"/>
        </w:rPr>
        <w:t>Asia Pacific College (</w:t>
      </w:r>
      <w:hyperlink r:id="rId15" w:history="1">
        <w:r w:rsidR="00F81686" w:rsidRPr="00972992">
          <w:rPr>
            <w:rStyle w:val="Hyperlink"/>
          </w:rPr>
          <w:t>www.apc.edu.ph</w:t>
        </w:r>
      </w:hyperlink>
      <w:r w:rsidR="00F81686">
        <w:rPr>
          <w:color w:val="000000" w:themeColor="text1"/>
        </w:rPr>
        <w:t>)</w:t>
      </w:r>
      <w:r w:rsidR="00CC10F1" w:rsidRPr="00CC10F1">
        <w:rPr>
          <w:color w:val="000000" w:themeColor="text1"/>
        </w:rPr>
        <w:t>.</w:t>
      </w:r>
    </w:p>
    <w:p w14:paraId="5611B32D" w14:textId="2C4FF5EB" w:rsidR="00DD4F5D" w:rsidRPr="00F81686" w:rsidRDefault="00DD4F5D" w:rsidP="00DD4F5D">
      <w:pPr>
        <w:pStyle w:val="MDPI62BackMatter"/>
        <w:rPr>
          <w:color w:val="000000" w:themeColor="text1"/>
        </w:rPr>
      </w:pPr>
      <w:r w:rsidRPr="00F81686">
        <w:rPr>
          <w:b/>
          <w:color w:val="000000" w:themeColor="text1"/>
        </w:rPr>
        <w:t>Acknowledgments:</w:t>
      </w:r>
      <w:r w:rsidRPr="00F81686">
        <w:rPr>
          <w:color w:val="000000" w:themeColor="text1"/>
        </w:rPr>
        <w:t xml:space="preserve"> </w:t>
      </w:r>
      <w:r w:rsidR="00F81686" w:rsidRPr="00F81686">
        <w:rPr>
          <w:color w:val="000000" w:themeColor="text1"/>
        </w:rPr>
        <w:t xml:space="preserve">The authors are grateful to the contribution to Asia Pacific College’s Building Maintenance Office headed by Engr. Marr </w:t>
      </w:r>
      <w:proofErr w:type="spellStart"/>
      <w:r w:rsidR="00F81686" w:rsidRPr="00F81686">
        <w:rPr>
          <w:color w:val="000000" w:themeColor="text1"/>
        </w:rPr>
        <w:t>Lauriel</w:t>
      </w:r>
      <w:proofErr w:type="spellEnd"/>
      <w:r w:rsidR="00F81686" w:rsidRPr="00F81686">
        <w:rPr>
          <w:color w:val="000000" w:themeColor="text1"/>
        </w:rPr>
        <w:t xml:space="preserve"> B. </w:t>
      </w:r>
      <w:proofErr w:type="spellStart"/>
      <w:r w:rsidR="00F81686" w:rsidRPr="00F81686">
        <w:rPr>
          <w:color w:val="000000" w:themeColor="text1"/>
        </w:rPr>
        <w:t>Bringas</w:t>
      </w:r>
      <w:proofErr w:type="spellEnd"/>
      <w:r w:rsidR="00F81686" w:rsidRPr="00F81686">
        <w:rPr>
          <w:color w:val="000000" w:themeColor="text1"/>
        </w:rPr>
        <w:t xml:space="preserve">, </w:t>
      </w:r>
      <w:r w:rsidR="00F81686">
        <w:rPr>
          <w:color w:val="000000" w:themeColor="text1"/>
        </w:rPr>
        <w:t xml:space="preserve">and </w:t>
      </w:r>
      <w:r w:rsidR="00F81686" w:rsidRPr="00F81686">
        <w:rPr>
          <w:color w:val="000000" w:themeColor="text1"/>
        </w:rPr>
        <w:t xml:space="preserve">Engr. Leonardo A. Samaniego Jr., Executive Director of the School of Engineering, for sharing the electrical layout drawings of the building, permission to install the energy monitoring devices to selected distribution </w:t>
      </w:r>
      <w:r w:rsidR="0064563E" w:rsidRPr="00F81686">
        <w:rPr>
          <w:color w:val="000000" w:themeColor="text1"/>
        </w:rPr>
        <w:t>panels and</w:t>
      </w:r>
      <w:r w:rsidR="00F81686" w:rsidRPr="00F81686">
        <w:rPr>
          <w:color w:val="000000" w:themeColor="text1"/>
        </w:rPr>
        <w:t xml:space="preserve"> allowing the researcher to conduct periodic random testing. Special thanks to Engr. Luigi Carlo M. de Jesus, Head of Engineering and Sciences Laboratory Office, and Engr. </w:t>
      </w:r>
      <w:proofErr w:type="spellStart"/>
      <w:r w:rsidR="00F81686" w:rsidRPr="00F81686">
        <w:rPr>
          <w:color w:val="000000" w:themeColor="text1"/>
        </w:rPr>
        <w:t>Ireneo</w:t>
      </w:r>
      <w:proofErr w:type="spellEnd"/>
      <w:r w:rsidR="00F81686" w:rsidRPr="00F81686">
        <w:rPr>
          <w:color w:val="000000" w:themeColor="text1"/>
        </w:rPr>
        <w:t xml:space="preserve"> P. Quinto, Registered Electrical Engineer, who helped in the technical aspects of the IoT devices and safe installation of the sensors.  </w:t>
      </w:r>
    </w:p>
    <w:p w14:paraId="2721E5CB" w14:textId="617AE375" w:rsidR="00DD4F5D" w:rsidRDefault="00DD4F5D" w:rsidP="003F7AAC">
      <w:pPr>
        <w:pStyle w:val="MDPI62BackMatter"/>
        <w:rPr>
          <w:color w:val="000000" w:themeColor="text1"/>
        </w:rPr>
      </w:pPr>
      <w:r w:rsidRPr="00F81686">
        <w:rPr>
          <w:b/>
          <w:color w:val="000000" w:themeColor="text1"/>
        </w:rPr>
        <w:t>Conflicts of Interest:</w:t>
      </w:r>
      <w:r w:rsidRPr="00F81686">
        <w:rPr>
          <w:color w:val="000000" w:themeColor="text1"/>
        </w:rPr>
        <w:t xml:space="preserve"> The </w:t>
      </w:r>
      <w:r w:rsidR="00AC596F" w:rsidRPr="00F81686">
        <w:rPr>
          <w:color w:val="000000" w:themeColor="text1"/>
        </w:rPr>
        <w:t xml:space="preserve">authors declare no conflicts of </w:t>
      </w:r>
      <w:r w:rsidRPr="00F81686">
        <w:rPr>
          <w:color w:val="000000" w:themeColor="text1"/>
        </w:rPr>
        <w:t>interest.</w:t>
      </w:r>
    </w:p>
    <w:p w14:paraId="441955AC" w14:textId="77777777" w:rsidR="00B17008" w:rsidRPr="003F7AAC" w:rsidRDefault="00B17008" w:rsidP="003F7AAC">
      <w:pPr>
        <w:pStyle w:val="MDPI62BackMatter"/>
        <w:rPr>
          <w:color w:val="000000" w:themeColor="text1"/>
        </w:rPr>
      </w:pPr>
    </w:p>
    <w:p w14:paraId="5A796666" w14:textId="77777777" w:rsidR="00DD4F5D" w:rsidRPr="00FA04F1" w:rsidRDefault="00DD4F5D" w:rsidP="00DC3671">
      <w:pPr>
        <w:pStyle w:val="MDPI21heading1"/>
        <w:ind w:left="0"/>
      </w:pPr>
      <w:r w:rsidRPr="00FA04F1">
        <w:t>References</w:t>
      </w:r>
    </w:p>
    <w:p w14:paraId="54B61932" w14:textId="77777777" w:rsidR="006B4CD0" w:rsidRDefault="006B4CD0" w:rsidP="002E452B">
      <w:pPr>
        <w:pStyle w:val="MDPI71References"/>
        <w:numPr>
          <w:ilvl w:val="0"/>
          <w:numId w:val="0"/>
        </w:numPr>
      </w:pPr>
    </w:p>
    <w:p w14:paraId="00C4B5E1" w14:textId="77777777" w:rsidR="000C2642" w:rsidRPr="00BE3350" w:rsidRDefault="00767D7B" w:rsidP="00BE3350">
      <w:pPr>
        <w:pStyle w:val="Bibliography"/>
        <w:keepLines/>
        <w:snapToGrid w:val="0"/>
        <w:spacing w:line="228" w:lineRule="auto"/>
        <w:ind w:left="425" w:hanging="425"/>
        <w:jc w:val="both"/>
        <w:rPr>
          <w:rFonts w:ascii="Palatino Linotype" w:hAnsi="Palatino Linotype"/>
          <w:sz w:val="18"/>
          <w:lang w:val="en-US"/>
        </w:rPr>
      </w:pPr>
      <w:r>
        <w:fldChar w:fldCharType="begin"/>
      </w:r>
      <w:r w:rsidR="000C2642">
        <w:instrText xml:space="preserve"> ADDIN ZOTERO_BIBL {"uncited":[],"omitted":[],"custom":[]} CSL_BIBLIOGRAPHY </w:instrText>
      </w:r>
      <w:r>
        <w:fldChar w:fldCharType="separate"/>
      </w:r>
      <w:r w:rsidR="000C2642" w:rsidRPr="00BE3350">
        <w:rPr>
          <w:rFonts w:ascii="Palatino Linotype" w:hAnsi="Palatino Linotype"/>
          <w:sz w:val="18"/>
          <w:lang w:val="en-US"/>
        </w:rPr>
        <w:t xml:space="preserve">1. </w:t>
      </w:r>
      <w:r w:rsidR="000C2642" w:rsidRPr="00BE3350">
        <w:rPr>
          <w:rFonts w:ascii="Palatino Linotype" w:hAnsi="Palatino Linotype"/>
          <w:sz w:val="18"/>
          <w:lang w:val="en-US"/>
        </w:rPr>
        <w:tab/>
        <w:t xml:space="preserve">Seyedzadeh, S.; Rahimian, F.P.; Glesk, I.; Roper, M. Machine Learning for Estimation of Building Energy Consumption and Performance: A Review. </w:t>
      </w:r>
      <w:r w:rsidR="000C2642" w:rsidRPr="00BE3350">
        <w:rPr>
          <w:rFonts w:ascii="Palatino Linotype" w:hAnsi="Palatino Linotype"/>
          <w:i/>
          <w:iCs/>
          <w:sz w:val="18"/>
          <w:lang w:val="en-US"/>
        </w:rPr>
        <w:t>Vis. Eng.</w:t>
      </w:r>
      <w:r w:rsidR="000C2642" w:rsidRPr="00BE3350">
        <w:rPr>
          <w:rFonts w:ascii="Palatino Linotype" w:hAnsi="Palatino Linotype"/>
          <w:sz w:val="18"/>
          <w:lang w:val="en-US"/>
        </w:rPr>
        <w:t xml:space="preserve"> </w:t>
      </w:r>
      <w:r w:rsidR="000C2642" w:rsidRPr="00BE3350">
        <w:rPr>
          <w:rFonts w:ascii="Palatino Linotype" w:hAnsi="Palatino Linotype"/>
          <w:b/>
          <w:bCs/>
          <w:sz w:val="18"/>
          <w:lang w:val="en-US"/>
        </w:rPr>
        <w:t>2018</w:t>
      </w:r>
      <w:r w:rsidR="000C2642" w:rsidRPr="00BE3350">
        <w:rPr>
          <w:rFonts w:ascii="Palatino Linotype" w:hAnsi="Palatino Linotype"/>
          <w:sz w:val="18"/>
          <w:lang w:val="en-US"/>
        </w:rPr>
        <w:t xml:space="preserve">, </w:t>
      </w:r>
      <w:r w:rsidR="000C2642" w:rsidRPr="00BE3350">
        <w:rPr>
          <w:rFonts w:ascii="Palatino Linotype" w:hAnsi="Palatino Linotype"/>
          <w:i/>
          <w:iCs/>
          <w:sz w:val="18"/>
          <w:lang w:val="en-US"/>
        </w:rPr>
        <w:t>6</w:t>
      </w:r>
      <w:r w:rsidR="000C2642" w:rsidRPr="00BE3350">
        <w:rPr>
          <w:rFonts w:ascii="Palatino Linotype" w:hAnsi="Palatino Linotype"/>
          <w:sz w:val="18"/>
          <w:lang w:val="en-US"/>
        </w:rPr>
        <w:t>, 5, doi:10.1186/s40327-018-0064-7.</w:t>
      </w:r>
    </w:p>
    <w:p w14:paraId="1582380E"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2. </w:t>
      </w:r>
      <w:r w:rsidRPr="00BE3350">
        <w:rPr>
          <w:rFonts w:ascii="Palatino Linotype" w:hAnsi="Palatino Linotype"/>
          <w:sz w:val="18"/>
          <w:lang w:val="en-US"/>
        </w:rPr>
        <w:tab/>
        <w:t>Gong, F.; Han, N.; Li, D.; Tian, S. Trend Analysis of Building Power Consumption Based on Prophet Algorithm. In Proceedings of the 2020 Asia Energy and Electrical Engineering Symposium (AEEES); IEEE: Chengdu, China, May 2020; pp. 1002–1006.</w:t>
      </w:r>
    </w:p>
    <w:p w14:paraId="3FAD3738"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3. </w:t>
      </w:r>
      <w:r w:rsidRPr="00BE3350">
        <w:rPr>
          <w:rFonts w:ascii="Palatino Linotype" w:hAnsi="Palatino Linotype"/>
          <w:sz w:val="18"/>
          <w:lang w:val="en-US"/>
        </w:rPr>
        <w:tab/>
        <w:t xml:space="preserve">Zou, R.; Yang, Q.; Xing, J.; Zhou, Q.; Xie, L.; Chen, W. Predicting the Electric Power Consumption of Office Buildings Based on Dynamic and Static Hybrid Data Analysis. </w:t>
      </w:r>
      <w:r w:rsidRPr="00BE3350">
        <w:rPr>
          <w:rFonts w:ascii="Palatino Linotype" w:hAnsi="Palatino Linotype"/>
          <w:i/>
          <w:iCs/>
          <w:sz w:val="18"/>
          <w:lang w:val="en-US"/>
        </w:rPr>
        <w:t>Energy</w:t>
      </w:r>
      <w:r w:rsidRPr="00BE3350">
        <w:rPr>
          <w:rFonts w:ascii="Palatino Linotype" w:hAnsi="Palatino Linotype"/>
          <w:sz w:val="18"/>
          <w:lang w:val="en-US"/>
        </w:rPr>
        <w:t xml:space="preserve"> </w:t>
      </w:r>
      <w:r w:rsidRPr="00BE3350">
        <w:rPr>
          <w:rFonts w:ascii="Palatino Linotype" w:hAnsi="Palatino Linotype"/>
          <w:b/>
          <w:bCs/>
          <w:sz w:val="18"/>
          <w:lang w:val="en-US"/>
        </w:rPr>
        <w:t>2024</w:t>
      </w:r>
      <w:r w:rsidRPr="00BE3350">
        <w:rPr>
          <w:rFonts w:ascii="Palatino Linotype" w:hAnsi="Palatino Linotype"/>
          <w:sz w:val="18"/>
          <w:lang w:val="en-US"/>
        </w:rPr>
        <w:t xml:space="preserve">, </w:t>
      </w:r>
      <w:r w:rsidRPr="00BE3350">
        <w:rPr>
          <w:rFonts w:ascii="Palatino Linotype" w:hAnsi="Palatino Linotype"/>
          <w:i/>
          <w:iCs/>
          <w:sz w:val="18"/>
          <w:lang w:val="en-US"/>
        </w:rPr>
        <w:t>290</w:t>
      </w:r>
      <w:r w:rsidRPr="00BE3350">
        <w:rPr>
          <w:rFonts w:ascii="Palatino Linotype" w:hAnsi="Palatino Linotype"/>
          <w:sz w:val="18"/>
          <w:lang w:val="en-US"/>
        </w:rPr>
        <w:t>, 130149, doi:10.1016/j.energy.2023.130149.</w:t>
      </w:r>
    </w:p>
    <w:p w14:paraId="732C4548"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4. </w:t>
      </w:r>
      <w:r w:rsidRPr="00BE3350">
        <w:rPr>
          <w:rFonts w:ascii="Palatino Linotype" w:hAnsi="Palatino Linotype"/>
          <w:sz w:val="18"/>
          <w:lang w:val="en-US"/>
        </w:rPr>
        <w:tab/>
        <w:t>Wang, X.; Li, H.; Yi, X.; Kong, J.; Wang, X. Analysis of User’s Power Consumption Behavior Based on K-Means. In Proceedings of the 2022 4th International Conference on Machine Learning, Big Data and Business Intelligence (MLBDBI); IEEE: Shanghai, China, October 2022; pp. 39–42.</w:t>
      </w:r>
    </w:p>
    <w:p w14:paraId="046ACCE7"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5. </w:t>
      </w:r>
      <w:r w:rsidRPr="00BE3350">
        <w:rPr>
          <w:rFonts w:ascii="Palatino Linotype" w:hAnsi="Palatino Linotype"/>
          <w:sz w:val="18"/>
          <w:lang w:val="en-US"/>
        </w:rPr>
        <w:tab/>
        <w:t>Hu, H.; Wang, Y.; Han, J.; Zhang, Y.; Yan, Q. Analysis of User Power Consumption Characteristics and Behavior Portrait Based on KS-RF Algorithm. In Proceedings of the 2021 IEEE/IAS Industrial and Commercial Power System Asia (I&amp;CPS Asia); IEEE: Chengdu, China, July 18 2021; pp. 1586–1590.</w:t>
      </w:r>
    </w:p>
    <w:p w14:paraId="1043630F"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6. </w:t>
      </w:r>
      <w:r w:rsidRPr="00BE3350">
        <w:rPr>
          <w:rFonts w:ascii="Palatino Linotype" w:hAnsi="Palatino Linotype"/>
          <w:sz w:val="18"/>
          <w:lang w:val="en-US"/>
        </w:rPr>
        <w:tab/>
        <w:t>Hajjaji, I.; Alami, H.E.; Alami, R.E.; Dahmouni, H. Energy Consumption Characterization in University Campus Microgrid Based on Power Data Analysis. In Proceedings of the 2022 9th International Conference on Future Internet of Things and Cloud (FiCloud); IEEE: Rome, Italy, August 2022; pp. 107–112.</w:t>
      </w:r>
    </w:p>
    <w:p w14:paraId="043BDF37"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7. </w:t>
      </w:r>
      <w:r w:rsidRPr="00BE3350">
        <w:rPr>
          <w:rFonts w:ascii="Palatino Linotype" w:hAnsi="Palatino Linotype"/>
          <w:sz w:val="18"/>
          <w:lang w:val="en-US"/>
        </w:rPr>
        <w:tab/>
        <w:t>Pavlov, I.; Zatsepina, V. Power Consumption Analysis with Independent Component Analysis. In Proceedings of the 2022 4th International Conference on Control Systems, Mathematical Modeling, Automation and Energy Efficiency (SUMMA); IEEE: Lipetsk, Russian Federation, November 9 2022; pp. 804–807.</w:t>
      </w:r>
    </w:p>
    <w:p w14:paraId="07EEED44"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8. </w:t>
      </w:r>
      <w:r w:rsidRPr="00BE3350">
        <w:rPr>
          <w:rFonts w:ascii="Palatino Linotype" w:hAnsi="Palatino Linotype"/>
          <w:sz w:val="18"/>
          <w:lang w:val="en-US"/>
        </w:rPr>
        <w:tab/>
        <w:t xml:space="preserve">Borowski, M.; Zwolińska, K. Prediction of Cooling Energy Consumption in Hotel Building Using Machine Learning Techniques. </w:t>
      </w:r>
      <w:r w:rsidRPr="00BE3350">
        <w:rPr>
          <w:rFonts w:ascii="Palatino Linotype" w:hAnsi="Palatino Linotype"/>
          <w:i/>
          <w:iCs/>
          <w:sz w:val="18"/>
          <w:lang w:val="en-US"/>
        </w:rPr>
        <w:t>Energies</w:t>
      </w:r>
      <w:r w:rsidRPr="00BE3350">
        <w:rPr>
          <w:rFonts w:ascii="Palatino Linotype" w:hAnsi="Palatino Linotype"/>
          <w:sz w:val="18"/>
          <w:lang w:val="en-US"/>
        </w:rPr>
        <w:t xml:space="preserve"> </w:t>
      </w:r>
      <w:r w:rsidRPr="00BE3350">
        <w:rPr>
          <w:rFonts w:ascii="Palatino Linotype" w:hAnsi="Palatino Linotype"/>
          <w:b/>
          <w:bCs/>
          <w:sz w:val="18"/>
          <w:lang w:val="en-US"/>
        </w:rPr>
        <w:t>2020</w:t>
      </w:r>
      <w:r w:rsidRPr="00BE3350">
        <w:rPr>
          <w:rFonts w:ascii="Palatino Linotype" w:hAnsi="Palatino Linotype"/>
          <w:sz w:val="18"/>
          <w:lang w:val="en-US"/>
        </w:rPr>
        <w:t xml:space="preserve">, </w:t>
      </w:r>
      <w:r w:rsidRPr="00BE3350">
        <w:rPr>
          <w:rFonts w:ascii="Palatino Linotype" w:hAnsi="Palatino Linotype"/>
          <w:i/>
          <w:iCs/>
          <w:sz w:val="18"/>
          <w:lang w:val="en-US"/>
        </w:rPr>
        <w:t>13</w:t>
      </w:r>
      <w:r w:rsidRPr="00BE3350">
        <w:rPr>
          <w:rFonts w:ascii="Palatino Linotype" w:hAnsi="Palatino Linotype"/>
          <w:sz w:val="18"/>
          <w:lang w:val="en-US"/>
        </w:rPr>
        <w:t>, 6226, doi:10.3390/en13236226.</w:t>
      </w:r>
    </w:p>
    <w:p w14:paraId="74110A97"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9. </w:t>
      </w:r>
      <w:r w:rsidRPr="00BE3350">
        <w:rPr>
          <w:rFonts w:ascii="Palatino Linotype" w:hAnsi="Palatino Linotype"/>
          <w:sz w:val="18"/>
          <w:lang w:val="en-US"/>
        </w:rPr>
        <w:tab/>
        <w:t xml:space="preserve">Zhuang, J.; Chen, Y.; Shi, X.; Wei, D. Building Cooling Load Prediction Based on Time Series Method and Neural Networks. </w:t>
      </w:r>
      <w:r w:rsidRPr="00BE3350">
        <w:rPr>
          <w:rFonts w:ascii="Palatino Linotype" w:hAnsi="Palatino Linotype"/>
          <w:i/>
          <w:iCs/>
          <w:sz w:val="18"/>
          <w:lang w:val="en-US"/>
        </w:rPr>
        <w:t>Int. J. Grid Distrib. Comput.</w:t>
      </w:r>
      <w:r w:rsidRPr="00BE3350">
        <w:rPr>
          <w:rFonts w:ascii="Palatino Linotype" w:hAnsi="Palatino Linotype"/>
          <w:sz w:val="18"/>
          <w:lang w:val="en-US"/>
        </w:rPr>
        <w:t xml:space="preserve"> </w:t>
      </w:r>
      <w:r w:rsidRPr="00BE3350">
        <w:rPr>
          <w:rFonts w:ascii="Palatino Linotype" w:hAnsi="Palatino Linotype"/>
          <w:b/>
          <w:bCs/>
          <w:sz w:val="18"/>
          <w:lang w:val="en-US"/>
        </w:rPr>
        <w:t>2015</w:t>
      </w:r>
      <w:r w:rsidRPr="00BE3350">
        <w:rPr>
          <w:rFonts w:ascii="Palatino Linotype" w:hAnsi="Palatino Linotype"/>
          <w:sz w:val="18"/>
          <w:lang w:val="en-US"/>
        </w:rPr>
        <w:t xml:space="preserve">, </w:t>
      </w:r>
      <w:r w:rsidRPr="00BE3350">
        <w:rPr>
          <w:rFonts w:ascii="Palatino Linotype" w:hAnsi="Palatino Linotype"/>
          <w:i/>
          <w:iCs/>
          <w:sz w:val="18"/>
          <w:lang w:val="en-US"/>
        </w:rPr>
        <w:t>8</w:t>
      </w:r>
      <w:r w:rsidRPr="00BE3350">
        <w:rPr>
          <w:rFonts w:ascii="Palatino Linotype" w:hAnsi="Palatino Linotype"/>
          <w:sz w:val="18"/>
          <w:lang w:val="en-US"/>
        </w:rPr>
        <w:t>, 105–114, doi:10.14257/ijgdc.2015.8.4.10.</w:t>
      </w:r>
    </w:p>
    <w:p w14:paraId="4CD0283C"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10. </w:t>
      </w:r>
      <w:r w:rsidRPr="00BE3350">
        <w:rPr>
          <w:rFonts w:ascii="Palatino Linotype" w:hAnsi="Palatino Linotype"/>
          <w:sz w:val="18"/>
          <w:lang w:val="en-US"/>
        </w:rPr>
        <w:tab/>
        <w:t xml:space="preserve">Chaowen, H.; Dong, W. Prediction on Hourly Cooling Load of Buildings Based on Neural Networks. </w:t>
      </w:r>
      <w:r w:rsidRPr="00BE3350">
        <w:rPr>
          <w:rFonts w:ascii="Palatino Linotype" w:hAnsi="Palatino Linotype"/>
          <w:i/>
          <w:iCs/>
          <w:sz w:val="18"/>
          <w:lang w:val="en-US"/>
        </w:rPr>
        <w:t>Int. J. Smart Home</w:t>
      </w:r>
      <w:r w:rsidRPr="00BE3350">
        <w:rPr>
          <w:rFonts w:ascii="Palatino Linotype" w:hAnsi="Palatino Linotype"/>
          <w:sz w:val="18"/>
          <w:lang w:val="en-US"/>
        </w:rPr>
        <w:t xml:space="preserve"> </w:t>
      </w:r>
      <w:r w:rsidRPr="00BE3350">
        <w:rPr>
          <w:rFonts w:ascii="Palatino Linotype" w:hAnsi="Palatino Linotype"/>
          <w:b/>
          <w:bCs/>
          <w:sz w:val="18"/>
          <w:lang w:val="en-US"/>
        </w:rPr>
        <w:t>2015</w:t>
      </w:r>
      <w:r w:rsidRPr="00BE3350">
        <w:rPr>
          <w:rFonts w:ascii="Palatino Linotype" w:hAnsi="Palatino Linotype"/>
          <w:sz w:val="18"/>
          <w:lang w:val="en-US"/>
        </w:rPr>
        <w:t xml:space="preserve">, </w:t>
      </w:r>
      <w:r w:rsidRPr="00BE3350">
        <w:rPr>
          <w:rFonts w:ascii="Palatino Linotype" w:hAnsi="Palatino Linotype"/>
          <w:i/>
          <w:iCs/>
          <w:sz w:val="18"/>
          <w:lang w:val="en-US"/>
        </w:rPr>
        <w:t>9</w:t>
      </w:r>
      <w:r w:rsidRPr="00BE3350">
        <w:rPr>
          <w:rFonts w:ascii="Palatino Linotype" w:hAnsi="Palatino Linotype"/>
          <w:sz w:val="18"/>
          <w:lang w:val="en-US"/>
        </w:rPr>
        <w:t>, 35–52, doi:10.14257/ijsh.2015.9.2.04.</w:t>
      </w:r>
    </w:p>
    <w:p w14:paraId="68A4567E"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lastRenderedPageBreak/>
        <w:t xml:space="preserve">11. </w:t>
      </w:r>
      <w:r w:rsidRPr="00BE3350">
        <w:rPr>
          <w:rFonts w:ascii="Palatino Linotype" w:hAnsi="Palatino Linotype"/>
          <w:sz w:val="18"/>
          <w:lang w:val="en-US"/>
        </w:rPr>
        <w:tab/>
        <w:t xml:space="preserve">Zhu, Q.; Liu, M.; Liu, H.; Zhu, Y.; Zhu, Q.; Liu, M.; Liu, H.; Zhu, Y. Application of Machine Learning and Its Improvement Technology in Modeling of Total Energy Consumption of Air Conditioning Water System. </w:t>
      </w:r>
      <w:r w:rsidRPr="00BE3350">
        <w:rPr>
          <w:rFonts w:ascii="Palatino Linotype" w:hAnsi="Palatino Linotype"/>
          <w:i/>
          <w:iCs/>
          <w:sz w:val="18"/>
          <w:lang w:val="en-US"/>
        </w:rPr>
        <w:t>Math. Biosci. Eng.</w:t>
      </w:r>
      <w:r w:rsidRPr="00BE3350">
        <w:rPr>
          <w:rFonts w:ascii="Palatino Linotype" w:hAnsi="Palatino Linotype"/>
          <w:sz w:val="18"/>
          <w:lang w:val="en-US"/>
        </w:rPr>
        <w:t xml:space="preserve"> </w:t>
      </w:r>
      <w:r w:rsidRPr="00BE3350">
        <w:rPr>
          <w:rFonts w:ascii="Palatino Linotype" w:hAnsi="Palatino Linotype"/>
          <w:b/>
          <w:bCs/>
          <w:sz w:val="18"/>
          <w:lang w:val="en-US"/>
        </w:rPr>
        <w:t>2022</w:t>
      </w:r>
      <w:r w:rsidRPr="00BE3350">
        <w:rPr>
          <w:rFonts w:ascii="Palatino Linotype" w:hAnsi="Palatino Linotype"/>
          <w:sz w:val="18"/>
          <w:lang w:val="en-US"/>
        </w:rPr>
        <w:t xml:space="preserve">, </w:t>
      </w:r>
      <w:r w:rsidRPr="00BE3350">
        <w:rPr>
          <w:rFonts w:ascii="Palatino Linotype" w:hAnsi="Palatino Linotype"/>
          <w:i/>
          <w:iCs/>
          <w:sz w:val="18"/>
          <w:lang w:val="en-US"/>
        </w:rPr>
        <w:t>19</w:t>
      </w:r>
      <w:r w:rsidRPr="00BE3350">
        <w:rPr>
          <w:rFonts w:ascii="Palatino Linotype" w:hAnsi="Palatino Linotype"/>
          <w:sz w:val="18"/>
          <w:lang w:val="en-US"/>
        </w:rPr>
        <w:t>, 4841–4855, doi:10.3934/mbe.2022226.</w:t>
      </w:r>
    </w:p>
    <w:p w14:paraId="039711AB"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12. </w:t>
      </w:r>
      <w:r w:rsidRPr="00BE3350">
        <w:rPr>
          <w:rFonts w:ascii="Palatino Linotype" w:hAnsi="Palatino Linotype"/>
          <w:sz w:val="18"/>
          <w:lang w:val="en-US"/>
        </w:rPr>
        <w:tab/>
        <w:t xml:space="preserve">Liu, R.; Wang, Z.; Chen, H.; Yang, J. Research on Energy Consumption Prediction Based on Machine Learning. </w:t>
      </w:r>
      <w:r w:rsidRPr="00BE3350">
        <w:rPr>
          <w:rFonts w:ascii="Palatino Linotype" w:hAnsi="Palatino Linotype"/>
          <w:i/>
          <w:iCs/>
          <w:sz w:val="18"/>
          <w:lang w:val="en-US"/>
        </w:rPr>
        <w:t>IOP Conf. Ser. Earth Environ. Sci.</w:t>
      </w:r>
      <w:r w:rsidRPr="00BE3350">
        <w:rPr>
          <w:rFonts w:ascii="Palatino Linotype" w:hAnsi="Palatino Linotype"/>
          <w:sz w:val="18"/>
          <w:lang w:val="en-US"/>
        </w:rPr>
        <w:t xml:space="preserve"> </w:t>
      </w:r>
      <w:r w:rsidRPr="00BE3350">
        <w:rPr>
          <w:rFonts w:ascii="Palatino Linotype" w:hAnsi="Palatino Linotype"/>
          <w:b/>
          <w:bCs/>
          <w:sz w:val="18"/>
          <w:lang w:val="en-US"/>
        </w:rPr>
        <w:t>2021</w:t>
      </w:r>
      <w:r w:rsidRPr="00BE3350">
        <w:rPr>
          <w:rFonts w:ascii="Palatino Linotype" w:hAnsi="Palatino Linotype"/>
          <w:sz w:val="18"/>
          <w:lang w:val="en-US"/>
        </w:rPr>
        <w:t xml:space="preserve">, </w:t>
      </w:r>
      <w:r w:rsidRPr="00BE3350">
        <w:rPr>
          <w:rFonts w:ascii="Palatino Linotype" w:hAnsi="Palatino Linotype"/>
          <w:i/>
          <w:iCs/>
          <w:sz w:val="18"/>
          <w:lang w:val="en-US"/>
        </w:rPr>
        <w:t>791</w:t>
      </w:r>
      <w:r w:rsidRPr="00BE3350">
        <w:rPr>
          <w:rFonts w:ascii="Palatino Linotype" w:hAnsi="Palatino Linotype"/>
          <w:sz w:val="18"/>
          <w:lang w:val="en-US"/>
        </w:rPr>
        <w:t>, 012100, doi:10.1088/1755-1315/791/1/012100.</w:t>
      </w:r>
    </w:p>
    <w:p w14:paraId="558D8431"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13. </w:t>
      </w:r>
      <w:r w:rsidRPr="00BE3350">
        <w:rPr>
          <w:rFonts w:ascii="Palatino Linotype" w:hAnsi="Palatino Linotype"/>
          <w:sz w:val="18"/>
          <w:lang w:val="en-US"/>
        </w:rPr>
        <w:tab/>
        <w:t xml:space="preserve">Çakır, M.; Akbulut, A.; Hatay Önen, Y. Analysis of the Use of Computational Intelligence Techniques for Air-Conditioning Systems: A Systematic Mapping Study. </w:t>
      </w:r>
      <w:r w:rsidRPr="00BE3350">
        <w:rPr>
          <w:rFonts w:ascii="Palatino Linotype" w:hAnsi="Palatino Linotype"/>
          <w:i/>
          <w:iCs/>
          <w:sz w:val="18"/>
          <w:lang w:val="en-US"/>
        </w:rPr>
        <w:t>Meas. Control</w:t>
      </w:r>
      <w:r w:rsidRPr="00BE3350">
        <w:rPr>
          <w:rFonts w:ascii="Palatino Linotype" w:hAnsi="Palatino Linotype"/>
          <w:sz w:val="18"/>
          <w:lang w:val="en-US"/>
        </w:rPr>
        <w:t xml:space="preserve"> </w:t>
      </w:r>
      <w:r w:rsidRPr="00BE3350">
        <w:rPr>
          <w:rFonts w:ascii="Palatino Linotype" w:hAnsi="Palatino Linotype"/>
          <w:b/>
          <w:bCs/>
          <w:sz w:val="18"/>
          <w:lang w:val="en-US"/>
        </w:rPr>
        <w:t>2019</w:t>
      </w:r>
      <w:r w:rsidRPr="00BE3350">
        <w:rPr>
          <w:rFonts w:ascii="Palatino Linotype" w:hAnsi="Palatino Linotype"/>
          <w:sz w:val="18"/>
          <w:lang w:val="en-US"/>
        </w:rPr>
        <w:t xml:space="preserve">, </w:t>
      </w:r>
      <w:r w:rsidRPr="00BE3350">
        <w:rPr>
          <w:rFonts w:ascii="Palatino Linotype" w:hAnsi="Palatino Linotype"/>
          <w:i/>
          <w:iCs/>
          <w:sz w:val="18"/>
          <w:lang w:val="en-US"/>
        </w:rPr>
        <w:t>52</w:t>
      </w:r>
      <w:r w:rsidRPr="00BE3350">
        <w:rPr>
          <w:rFonts w:ascii="Palatino Linotype" w:hAnsi="Palatino Linotype"/>
          <w:sz w:val="18"/>
          <w:lang w:val="en-US"/>
        </w:rPr>
        <w:t>, 1084–1094, doi:10.1177/0020294019858108.</w:t>
      </w:r>
    </w:p>
    <w:p w14:paraId="3115390C"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14. </w:t>
      </w:r>
      <w:r w:rsidRPr="00BE3350">
        <w:rPr>
          <w:rFonts w:ascii="Palatino Linotype" w:hAnsi="Palatino Linotype"/>
          <w:sz w:val="18"/>
          <w:lang w:val="en-US"/>
        </w:rPr>
        <w:tab/>
        <w:t>Guidelines For Energy Conserving Design of Buildings and Utility Systems | Department of Energy Philippines Available online: https://www.doe.gov.ph/guidelines-energy-conserving-design-buildings-and-utility-systems# (accessed on 2 March 2024).</w:t>
      </w:r>
    </w:p>
    <w:p w14:paraId="163A54C2"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15. </w:t>
      </w:r>
      <w:r w:rsidRPr="00BE3350">
        <w:rPr>
          <w:rFonts w:ascii="Palatino Linotype" w:hAnsi="Palatino Linotype"/>
          <w:sz w:val="18"/>
          <w:lang w:val="en-US"/>
        </w:rPr>
        <w:tab/>
        <w:t xml:space="preserve">Ylaya, V.J.V.; Malicay, L.G. Assessment of Energy Savings Potentials at University in Lanao Del Norte, Philippines. </w:t>
      </w:r>
      <w:r w:rsidRPr="00BE3350">
        <w:rPr>
          <w:rFonts w:ascii="Palatino Linotype" w:hAnsi="Palatino Linotype"/>
          <w:i/>
          <w:iCs/>
          <w:sz w:val="18"/>
          <w:lang w:val="en-US"/>
        </w:rPr>
        <w:t>7</w:t>
      </w:r>
      <w:r w:rsidRPr="00BE3350">
        <w:rPr>
          <w:rFonts w:ascii="Palatino Linotype" w:hAnsi="Palatino Linotype"/>
          <w:sz w:val="18"/>
          <w:lang w:val="en-US"/>
        </w:rPr>
        <w:t>.</w:t>
      </w:r>
    </w:p>
    <w:p w14:paraId="56D25052"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16. </w:t>
      </w:r>
      <w:r w:rsidRPr="00BE3350">
        <w:rPr>
          <w:rFonts w:ascii="Palatino Linotype" w:hAnsi="Palatino Linotype"/>
          <w:sz w:val="18"/>
          <w:lang w:val="en-US"/>
        </w:rPr>
        <w:tab/>
        <w:t>Lopez, N.S.; Gonzaga, J.; Lim, L.A.G. Energy Audit and Analysis of the Electricity Consumption of an Educational Building in the Philippines for Smart Consumption. In Proceedings of the 2017IEEE 9th International Conference on Humanoid, Nanotechnology, Information Technology, Communication and Control, Environment and Management (HNICEM); IEEE: Manila, Philippines, December 2017; pp. 1–4.</w:t>
      </w:r>
    </w:p>
    <w:p w14:paraId="5D603C51"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17. </w:t>
      </w:r>
      <w:r w:rsidRPr="00BE3350">
        <w:rPr>
          <w:rFonts w:ascii="Palatino Linotype" w:hAnsi="Palatino Linotype"/>
          <w:sz w:val="18"/>
          <w:lang w:val="en-US"/>
        </w:rPr>
        <w:tab/>
        <w:t xml:space="preserve">Metallidou, C.K.; Psannis, K.E.; Egyptiadou, E.A. Energy Efficiency in Smart Buildings: IoT Approaches. </w:t>
      </w:r>
      <w:r w:rsidRPr="00BE3350">
        <w:rPr>
          <w:rFonts w:ascii="Palatino Linotype" w:hAnsi="Palatino Linotype"/>
          <w:i/>
          <w:iCs/>
          <w:sz w:val="18"/>
          <w:lang w:val="en-US"/>
        </w:rPr>
        <w:t>IEEE Access</w:t>
      </w:r>
      <w:r w:rsidRPr="00BE3350">
        <w:rPr>
          <w:rFonts w:ascii="Palatino Linotype" w:hAnsi="Palatino Linotype"/>
          <w:sz w:val="18"/>
          <w:lang w:val="en-US"/>
        </w:rPr>
        <w:t xml:space="preserve"> </w:t>
      </w:r>
      <w:r w:rsidRPr="00BE3350">
        <w:rPr>
          <w:rFonts w:ascii="Palatino Linotype" w:hAnsi="Palatino Linotype"/>
          <w:b/>
          <w:bCs/>
          <w:sz w:val="18"/>
          <w:lang w:val="en-US"/>
        </w:rPr>
        <w:t>2020</w:t>
      </w:r>
      <w:r w:rsidRPr="00BE3350">
        <w:rPr>
          <w:rFonts w:ascii="Palatino Linotype" w:hAnsi="Palatino Linotype"/>
          <w:sz w:val="18"/>
          <w:lang w:val="en-US"/>
        </w:rPr>
        <w:t xml:space="preserve">, </w:t>
      </w:r>
      <w:r w:rsidRPr="00BE3350">
        <w:rPr>
          <w:rFonts w:ascii="Palatino Linotype" w:hAnsi="Palatino Linotype"/>
          <w:i/>
          <w:iCs/>
          <w:sz w:val="18"/>
          <w:lang w:val="en-US"/>
        </w:rPr>
        <w:t>8</w:t>
      </w:r>
      <w:r w:rsidRPr="00BE3350">
        <w:rPr>
          <w:rFonts w:ascii="Palatino Linotype" w:hAnsi="Palatino Linotype"/>
          <w:sz w:val="18"/>
          <w:lang w:val="en-US"/>
        </w:rPr>
        <w:t>, 63679–63699, doi:10.1109/ACCESS.2020.2984461.</w:t>
      </w:r>
    </w:p>
    <w:p w14:paraId="4FF6EA28"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18. </w:t>
      </w:r>
      <w:r w:rsidRPr="00BE3350">
        <w:rPr>
          <w:rFonts w:ascii="Palatino Linotype" w:hAnsi="Palatino Linotype"/>
          <w:sz w:val="18"/>
          <w:lang w:val="en-US"/>
        </w:rPr>
        <w:tab/>
        <w:t xml:space="preserve">Halhoul Merabet, G.; Essaaidi, M.; Ben Haddou, M.; Qolomany, B.; Qadir, J.; Anan, M.; Al-Fuqaha, A.; Abid, M.R.; Benhaddou, D. Intelligent Building Control Systems for Thermal Comfort and Energy-Efficiency: A Systematic Review of Artificial Intelligence-Assisted Techniques. </w:t>
      </w:r>
      <w:r w:rsidRPr="00BE3350">
        <w:rPr>
          <w:rFonts w:ascii="Palatino Linotype" w:hAnsi="Palatino Linotype"/>
          <w:i/>
          <w:iCs/>
          <w:sz w:val="18"/>
          <w:lang w:val="en-US"/>
        </w:rPr>
        <w:t>Renew. Sustain. Energy Rev.</w:t>
      </w:r>
      <w:r w:rsidRPr="00BE3350">
        <w:rPr>
          <w:rFonts w:ascii="Palatino Linotype" w:hAnsi="Palatino Linotype"/>
          <w:sz w:val="18"/>
          <w:lang w:val="en-US"/>
        </w:rPr>
        <w:t xml:space="preserve"> </w:t>
      </w:r>
      <w:r w:rsidRPr="00BE3350">
        <w:rPr>
          <w:rFonts w:ascii="Palatino Linotype" w:hAnsi="Palatino Linotype"/>
          <w:b/>
          <w:bCs/>
          <w:sz w:val="18"/>
          <w:lang w:val="en-US"/>
        </w:rPr>
        <w:t>2021</w:t>
      </w:r>
      <w:r w:rsidRPr="00BE3350">
        <w:rPr>
          <w:rFonts w:ascii="Palatino Linotype" w:hAnsi="Palatino Linotype"/>
          <w:sz w:val="18"/>
          <w:lang w:val="en-US"/>
        </w:rPr>
        <w:t xml:space="preserve">, </w:t>
      </w:r>
      <w:r w:rsidRPr="00BE3350">
        <w:rPr>
          <w:rFonts w:ascii="Palatino Linotype" w:hAnsi="Palatino Linotype"/>
          <w:i/>
          <w:iCs/>
          <w:sz w:val="18"/>
          <w:lang w:val="en-US"/>
        </w:rPr>
        <w:t>144</w:t>
      </w:r>
      <w:r w:rsidRPr="00BE3350">
        <w:rPr>
          <w:rFonts w:ascii="Palatino Linotype" w:hAnsi="Palatino Linotype"/>
          <w:sz w:val="18"/>
          <w:lang w:val="en-US"/>
        </w:rPr>
        <w:t>, 110969, doi:10.1016/j.rser.2021.110969.</w:t>
      </w:r>
    </w:p>
    <w:p w14:paraId="4E81EE9A"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19. </w:t>
      </w:r>
      <w:r w:rsidRPr="00BE3350">
        <w:rPr>
          <w:rFonts w:ascii="Palatino Linotype" w:hAnsi="Palatino Linotype"/>
          <w:sz w:val="18"/>
          <w:lang w:val="en-US"/>
        </w:rPr>
        <w:tab/>
        <w:t xml:space="preserve">Fan, C.; Ding, Y. Cooling Load Prediction and Optimal Operation of HVAC Systems Using a Multiple Nonlinear Regression Model. </w:t>
      </w:r>
      <w:r w:rsidRPr="00BE3350">
        <w:rPr>
          <w:rFonts w:ascii="Palatino Linotype" w:hAnsi="Palatino Linotype"/>
          <w:i/>
          <w:iCs/>
          <w:sz w:val="18"/>
          <w:lang w:val="en-US"/>
        </w:rPr>
        <w:t>Energy Build.</w:t>
      </w:r>
      <w:r w:rsidRPr="00BE3350">
        <w:rPr>
          <w:rFonts w:ascii="Palatino Linotype" w:hAnsi="Palatino Linotype"/>
          <w:sz w:val="18"/>
          <w:lang w:val="en-US"/>
        </w:rPr>
        <w:t xml:space="preserve"> </w:t>
      </w:r>
      <w:r w:rsidRPr="00BE3350">
        <w:rPr>
          <w:rFonts w:ascii="Palatino Linotype" w:hAnsi="Palatino Linotype"/>
          <w:b/>
          <w:bCs/>
          <w:sz w:val="18"/>
          <w:lang w:val="en-US"/>
        </w:rPr>
        <w:t>2019</w:t>
      </w:r>
      <w:r w:rsidRPr="00BE3350">
        <w:rPr>
          <w:rFonts w:ascii="Palatino Linotype" w:hAnsi="Palatino Linotype"/>
          <w:sz w:val="18"/>
          <w:lang w:val="en-US"/>
        </w:rPr>
        <w:t xml:space="preserve">, </w:t>
      </w:r>
      <w:r w:rsidRPr="00BE3350">
        <w:rPr>
          <w:rFonts w:ascii="Palatino Linotype" w:hAnsi="Palatino Linotype"/>
          <w:i/>
          <w:iCs/>
          <w:sz w:val="18"/>
          <w:lang w:val="en-US"/>
        </w:rPr>
        <w:t>197</w:t>
      </w:r>
      <w:r w:rsidRPr="00BE3350">
        <w:rPr>
          <w:rFonts w:ascii="Palatino Linotype" w:hAnsi="Palatino Linotype"/>
          <w:sz w:val="18"/>
          <w:lang w:val="en-US"/>
        </w:rPr>
        <w:t>, 7–17, doi:10.1016/j.enbuild.2019.05.043.</w:t>
      </w:r>
    </w:p>
    <w:p w14:paraId="69AB5D43"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20. </w:t>
      </w:r>
      <w:r w:rsidRPr="00BE3350">
        <w:rPr>
          <w:rFonts w:ascii="Palatino Linotype" w:hAnsi="Palatino Linotype"/>
          <w:sz w:val="18"/>
          <w:lang w:val="en-US"/>
        </w:rPr>
        <w:tab/>
        <w:t xml:space="preserve">Woods, J.; Bonnema, E. Regression-Based Approach to Modeling Emerging HVAC Technologies in EnergyPlus: A Case Study Using a Vuilleumier-Cycle Heat Pump. </w:t>
      </w:r>
      <w:r w:rsidRPr="00BE3350">
        <w:rPr>
          <w:rFonts w:ascii="Palatino Linotype" w:hAnsi="Palatino Linotype"/>
          <w:i/>
          <w:iCs/>
          <w:sz w:val="18"/>
          <w:lang w:val="en-US"/>
        </w:rPr>
        <w:t>Energy Build.</w:t>
      </w:r>
      <w:r w:rsidRPr="00BE3350">
        <w:rPr>
          <w:rFonts w:ascii="Palatino Linotype" w:hAnsi="Palatino Linotype"/>
          <w:sz w:val="18"/>
          <w:lang w:val="en-US"/>
        </w:rPr>
        <w:t xml:space="preserve"> </w:t>
      </w:r>
      <w:r w:rsidRPr="00BE3350">
        <w:rPr>
          <w:rFonts w:ascii="Palatino Linotype" w:hAnsi="Palatino Linotype"/>
          <w:b/>
          <w:bCs/>
          <w:sz w:val="18"/>
          <w:lang w:val="en-US"/>
        </w:rPr>
        <w:t>2019</w:t>
      </w:r>
      <w:r w:rsidRPr="00BE3350">
        <w:rPr>
          <w:rFonts w:ascii="Palatino Linotype" w:hAnsi="Palatino Linotype"/>
          <w:sz w:val="18"/>
          <w:lang w:val="en-US"/>
        </w:rPr>
        <w:t xml:space="preserve">, </w:t>
      </w:r>
      <w:r w:rsidRPr="00BE3350">
        <w:rPr>
          <w:rFonts w:ascii="Palatino Linotype" w:hAnsi="Palatino Linotype"/>
          <w:i/>
          <w:iCs/>
          <w:sz w:val="18"/>
          <w:lang w:val="en-US"/>
        </w:rPr>
        <w:t>186</w:t>
      </w:r>
      <w:r w:rsidRPr="00BE3350">
        <w:rPr>
          <w:rFonts w:ascii="Palatino Linotype" w:hAnsi="Palatino Linotype"/>
          <w:sz w:val="18"/>
          <w:lang w:val="en-US"/>
        </w:rPr>
        <w:t>, 195–207, doi:10.1016/j.enbuild.2019.01.008.</w:t>
      </w:r>
    </w:p>
    <w:p w14:paraId="6E25D2F1"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21. </w:t>
      </w:r>
      <w:r w:rsidRPr="00BE3350">
        <w:rPr>
          <w:rFonts w:ascii="Palatino Linotype" w:hAnsi="Palatino Linotype"/>
          <w:sz w:val="18"/>
          <w:lang w:val="en-US"/>
        </w:rPr>
        <w:tab/>
        <w:t>Study on Simplified Energy‐efficient Control Methods of HVAC Cooling Water System from the Global Online Optimization Perspective - Zhao - 2021 - Energy Science &amp; Engineering - Wiley Online Library Available online: https://onlinelibrary.wiley.com/doi/full/10.1002/ese3.861 (accessed on 14 March 2024).</w:t>
      </w:r>
    </w:p>
    <w:p w14:paraId="3C1A4E34"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22. </w:t>
      </w:r>
      <w:r w:rsidRPr="00BE3350">
        <w:rPr>
          <w:rFonts w:ascii="Palatino Linotype" w:hAnsi="Palatino Linotype"/>
          <w:sz w:val="18"/>
          <w:lang w:val="en-US"/>
        </w:rPr>
        <w:tab/>
        <w:t xml:space="preserve">Asvadi-Kermani, O.; Momeni, H.; Justo, A.; Guerrero, J.M.; Vasquez, J.C.; Rodriguez, J.; Khan, B. Energy Optimization of Air Handling Units Using Constrained Predictive Controllers Based on Dynamic Neural Networks. </w:t>
      </w:r>
      <w:r w:rsidRPr="00BE3350">
        <w:rPr>
          <w:rFonts w:ascii="Palatino Linotype" w:hAnsi="Palatino Linotype"/>
          <w:i/>
          <w:iCs/>
          <w:sz w:val="18"/>
          <w:lang w:val="en-US"/>
        </w:rPr>
        <w:t>IEEE Access</w:t>
      </w:r>
      <w:r w:rsidRPr="00BE3350">
        <w:rPr>
          <w:rFonts w:ascii="Palatino Linotype" w:hAnsi="Palatino Linotype"/>
          <w:sz w:val="18"/>
          <w:lang w:val="en-US"/>
        </w:rPr>
        <w:t xml:space="preserve"> </w:t>
      </w:r>
      <w:r w:rsidRPr="00BE3350">
        <w:rPr>
          <w:rFonts w:ascii="Palatino Linotype" w:hAnsi="Palatino Linotype"/>
          <w:b/>
          <w:bCs/>
          <w:sz w:val="18"/>
          <w:lang w:val="en-US"/>
        </w:rPr>
        <w:t>2022</w:t>
      </w:r>
      <w:r w:rsidRPr="00BE3350">
        <w:rPr>
          <w:rFonts w:ascii="Palatino Linotype" w:hAnsi="Palatino Linotype"/>
          <w:sz w:val="18"/>
          <w:lang w:val="en-US"/>
        </w:rPr>
        <w:t xml:space="preserve">, </w:t>
      </w:r>
      <w:r w:rsidRPr="00BE3350">
        <w:rPr>
          <w:rFonts w:ascii="Palatino Linotype" w:hAnsi="Palatino Linotype"/>
          <w:i/>
          <w:iCs/>
          <w:sz w:val="18"/>
          <w:lang w:val="en-US"/>
        </w:rPr>
        <w:t>10</w:t>
      </w:r>
      <w:r w:rsidRPr="00BE3350">
        <w:rPr>
          <w:rFonts w:ascii="Palatino Linotype" w:hAnsi="Palatino Linotype"/>
          <w:sz w:val="18"/>
          <w:lang w:val="en-US"/>
        </w:rPr>
        <w:t>, 56578–56590, doi:10.1109/ACCESS.2022.3177660.</w:t>
      </w:r>
    </w:p>
    <w:p w14:paraId="5836F4E2"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23. </w:t>
      </w:r>
      <w:r w:rsidRPr="00BE3350">
        <w:rPr>
          <w:rFonts w:ascii="Palatino Linotype" w:hAnsi="Palatino Linotype"/>
          <w:sz w:val="18"/>
          <w:lang w:val="en-US"/>
        </w:rPr>
        <w:tab/>
        <w:t xml:space="preserve">Jaffal, I.; Inard, C. A Metamodeling Method to Study the Nonlinearity of Building Thermal Behavior. </w:t>
      </w:r>
      <w:r w:rsidRPr="00BE3350">
        <w:rPr>
          <w:rFonts w:ascii="Palatino Linotype" w:hAnsi="Palatino Linotype"/>
          <w:i/>
          <w:iCs/>
          <w:sz w:val="18"/>
          <w:lang w:val="en-US"/>
        </w:rPr>
        <w:t>J. Build. Eng.</w:t>
      </w:r>
      <w:r w:rsidRPr="00BE3350">
        <w:rPr>
          <w:rFonts w:ascii="Palatino Linotype" w:hAnsi="Palatino Linotype"/>
          <w:sz w:val="18"/>
          <w:lang w:val="en-US"/>
        </w:rPr>
        <w:t xml:space="preserve"> </w:t>
      </w:r>
      <w:r w:rsidRPr="00BE3350">
        <w:rPr>
          <w:rFonts w:ascii="Palatino Linotype" w:hAnsi="Palatino Linotype"/>
          <w:b/>
          <w:bCs/>
          <w:sz w:val="18"/>
          <w:lang w:val="en-US"/>
        </w:rPr>
        <w:t>2020</w:t>
      </w:r>
      <w:r w:rsidRPr="00BE3350">
        <w:rPr>
          <w:rFonts w:ascii="Palatino Linotype" w:hAnsi="Palatino Linotype"/>
          <w:sz w:val="18"/>
          <w:lang w:val="en-US"/>
        </w:rPr>
        <w:t xml:space="preserve">, </w:t>
      </w:r>
      <w:r w:rsidRPr="00BE3350">
        <w:rPr>
          <w:rFonts w:ascii="Palatino Linotype" w:hAnsi="Palatino Linotype"/>
          <w:i/>
          <w:iCs/>
          <w:sz w:val="18"/>
          <w:lang w:val="en-US"/>
        </w:rPr>
        <w:t>28</w:t>
      </w:r>
      <w:r w:rsidRPr="00BE3350">
        <w:rPr>
          <w:rFonts w:ascii="Palatino Linotype" w:hAnsi="Palatino Linotype"/>
          <w:sz w:val="18"/>
          <w:lang w:val="en-US"/>
        </w:rPr>
        <w:t>, 101078, doi:10.1016/j.jobe.2019.101078.</w:t>
      </w:r>
    </w:p>
    <w:p w14:paraId="4F5D73B1"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24. </w:t>
      </w:r>
      <w:r w:rsidRPr="00BE3350">
        <w:rPr>
          <w:rFonts w:ascii="Palatino Linotype" w:hAnsi="Palatino Linotype"/>
          <w:sz w:val="18"/>
          <w:lang w:val="en-US"/>
        </w:rPr>
        <w:tab/>
        <w:t>Gyurov, V.; Duganov, M. Study on Power Consumption Modes and Power Quality According to IEEE1459 Standard in the Electric Power Supply Systems Of Public Buildings. In Proceedings of the 2023 18th Conference on Electrical Machines, Drives and Power Systems (ELMA); IEEE: Varna, Bulgaria, June 29 2023; pp. 1–5.</w:t>
      </w:r>
    </w:p>
    <w:p w14:paraId="4F2C353A"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25. </w:t>
      </w:r>
      <w:r w:rsidRPr="00BE3350">
        <w:rPr>
          <w:rFonts w:ascii="Palatino Linotype" w:hAnsi="Palatino Linotype"/>
          <w:sz w:val="18"/>
          <w:lang w:val="en-US"/>
        </w:rPr>
        <w:tab/>
        <w:t>Mega 2560 Rev3 | Arduino Documentation Available online: https://docs.arduino.cc/hardware/mega-2560/ (accessed on 3 March 2024).</w:t>
      </w:r>
    </w:p>
    <w:p w14:paraId="6E02C96F"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26. </w:t>
      </w:r>
      <w:r w:rsidRPr="00BE3350">
        <w:rPr>
          <w:rFonts w:ascii="Palatino Linotype" w:hAnsi="Palatino Linotype"/>
          <w:sz w:val="18"/>
          <w:lang w:val="en-US"/>
        </w:rPr>
        <w:tab/>
        <w:t>Weather in February 2024 in Makati, Philippines Available online: https://www.timeanddate.com/weather/philippines/makati/historic?month=2&amp;year=2024 (accessed on 5 March 2024).</w:t>
      </w:r>
    </w:p>
    <w:p w14:paraId="7BF69F95"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27. </w:t>
      </w:r>
      <w:r w:rsidRPr="00BE3350">
        <w:rPr>
          <w:rFonts w:ascii="Palatino Linotype" w:hAnsi="Palatino Linotype"/>
          <w:sz w:val="18"/>
          <w:lang w:val="en-US"/>
        </w:rPr>
        <w:tab/>
        <w:t>Parametric Fitting - MATLAB &amp; Simulink Available online: https://www.mathworks.com/help/curvefit/parametric-fitting.html?searchHighlight=parametric%20fitting&amp;s_tid=srchtitle_support_results_1_parametric%20fitting (accessed on 5 March 2024).</w:t>
      </w:r>
    </w:p>
    <w:p w14:paraId="3F550580"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28. </w:t>
      </w:r>
      <w:r w:rsidRPr="00BE3350">
        <w:rPr>
          <w:rFonts w:ascii="Palatino Linotype" w:hAnsi="Palatino Linotype"/>
          <w:sz w:val="18"/>
          <w:lang w:val="en-US"/>
        </w:rPr>
        <w:tab/>
        <w:t>Solve Fitting Problem Using Two-Layer Feed-Forward Networks - MATLAB Available online: https://www.mathworks.com/help/deeplearning/ref/neuralnetfitting-app.html (accessed on 5 March 2024).</w:t>
      </w:r>
    </w:p>
    <w:p w14:paraId="3BC0C868"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29. </w:t>
      </w:r>
      <w:r w:rsidRPr="00BE3350">
        <w:rPr>
          <w:rFonts w:ascii="Palatino Linotype" w:hAnsi="Palatino Linotype"/>
          <w:sz w:val="18"/>
          <w:lang w:val="en-US"/>
        </w:rPr>
        <w:tab/>
        <w:t xml:space="preserve">Zhao, S.; He, L.; Wu, X.; Xu, G.; Xie, J.; Cai, S. Evaluation of Thermal Comfort in Air-Conditioned Rooms Based on Structure/Control-Related Parameters and Data-Mining Method. </w:t>
      </w:r>
      <w:r w:rsidRPr="00BE3350">
        <w:rPr>
          <w:rFonts w:ascii="Palatino Linotype" w:hAnsi="Palatino Linotype"/>
          <w:i/>
          <w:iCs/>
          <w:sz w:val="18"/>
          <w:lang w:val="en-US"/>
        </w:rPr>
        <w:t>Int. J. Air-Cond. Refrig.</w:t>
      </w:r>
      <w:r w:rsidRPr="00BE3350">
        <w:rPr>
          <w:rFonts w:ascii="Palatino Linotype" w:hAnsi="Palatino Linotype"/>
          <w:sz w:val="18"/>
          <w:lang w:val="en-US"/>
        </w:rPr>
        <w:t xml:space="preserve"> </w:t>
      </w:r>
      <w:r w:rsidRPr="00BE3350">
        <w:rPr>
          <w:rFonts w:ascii="Palatino Linotype" w:hAnsi="Palatino Linotype"/>
          <w:b/>
          <w:bCs/>
          <w:sz w:val="18"/>
          <w:lang w:val="en-US"/>
        </w:rPr>
        <w:t>2023</w:t>
      </w:r>
      <w:r w:rsidRPr="00BE3350">
        <w:rPr>
          <w:rFonts w:ascii="Palatino Linotype" w:hAnsi="Palatino Linotype"/>
          <w:sz w:val="18"/>
          <w:lang w:val="en-US"/>
        </w:rPr>
        <w:t xml:space="preserve">, </w:t>
      </w:r>
      <w:r w:rsidRPr="00BE3350">
        <w:rPr>
          <w:rFonts w:ascii="Palatino Linotype" w:hAnsi="Palatino Linotype"/>
          <w:i/>
          <w:iCs/>
          <w:sz w:val="18"/>
          <w:lang w:val="en-US"/>
        </w:rPr>
        <w:t>31</w:t>
      </w:r>
      <w:r w:rsidRPr="00BE3350">
        <w:rPr>
          <w:rFonts w:ascii="Palatino Linotype" w:hAnsi="Palatino Linotype"/>
          <w:sz w:val="18"/>
          <w:lang w:val="en-US"/>
        </w:rPr>
        <w:t>, 4, doi:10.1007/s44189-023-00020-0.</w:t>
      </w:r>
    </w:p>
    <w:p w14:paraId="6DD50D81"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30. </w:t>
      </w:r>
      <w:r w:rsidRPr="00BE3350">
        <w:rPr>
          <w:rFonts w:ascii="Palatino Linotype" w:hAnsi="Palatino Linotype"/>
          <w:sz w:val="18"/>
          <w:lang w:val="en-US"/>
        </w:rPr>
        <w:tab/>
        <w:t>TC-04.03-FAQ-35.Pdf.</w:t>
      </w:r>
    </w:p>
    <w:p w14:paraId="2173F1E5"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31. </w:t>
      </w:r>
      <w:r w:rsidRPr="00BE3350">
        <w:rPr>
          <w:rFonts w:ascii="Palatino Linotype" w:hAnsi="Palatino Linotype"/>
          <w:sz w:val="18"/>
          <w:lang w:val="en-US"/>
        </w:rPr>
        <w:tab/>
        <w:t xml:space="preserve">Weltgesundheitsorganisation </w:t>
      </w:r>
      <w:r w:rsidRPr="00BE3350">
        <w:rPr>
          <w:rFonts w:ascii="Palatino Linotype" w:hAnsi="Palatino Linotype"/>
          <w:i/>
          <w:iCs/>
          <w:sz w:val="18"/>
          <w:lang w:val="en-US"/>
        </w:rPr>
        <w:t>WHO Guidelines for Indoor Air Quality: Selected Pollutants</w:t>
      </w:r>
      <w:r w:rsidRPr="00BE3350">
        <w:rPr>
          <w:rFonts w:ascii="Palatino Linotype" w:hAnsi="Palatino Linotype"/>
          <w:sz w:val="18"/>
          <w:lang w:val="en-US"/>
        </w:rPr>
        <w:t>; WHO: Copenhagen, 2010; ISBN 978-92-890-0213-4.</w:t>
      </w:r>
    </w:p>
    <w:p w14:paraId="7813A48C"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32. </w:t>
      </w:r>
      <w:r w:rsidRPr="00BE3350">
        <w:rPr>
          <w:rFonts w:ascii="Palatino Linotype" w:hAnsi="Palatino Linotype"/>
          <w:sz w:val="18"/>
          <w:lang w:val="en-US"/>
        </w:rPr>
        <w:tab/>
        <w:t>ASHRAE - iWrapper Available online: https://ashrae.iwrapper.com/ASHRAE_PREVIEW_ONLY_STANDARDS/STD_55_2023 (accessed on 13 March 2024).</w:t>
      </w:r>
    </w:p>
    <w:p w14:paraId="249C7E34"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33. </w:t>
      </w:r>
      <w:r w:rsidRPr="00BE3350">
        <w:rPr>
          <w:rFonts w:ascii="Palatino Linotype" w:hAnsi="Palatino Linotype"/>
          <w:sz w:val="18"/>
          <w:lang w:val="en-US"/>
        </w:rPr>
        <w:tab/>
        <w:t xml:space="preserve">Chow, D.H.C. Indoor Environmental Quality: Thermal Comfort. In </w:t>
      </w:r>
      <w:r w:rsidRPr="00BE3350">
        <w:rPr>
          <w:rFonts w:ascii="Palatino Linotype" w:hAnsi="Palatino Linotype"/>
          <w:i/>
          <w:iCs/>
          <w:sz w:val="18"/>
          <w:lang w:val="en-US"/>
        </w:rPr>
        <w:t>Reference Module in Earth Systems and Environmental Sciences</w:t>
      </w:r>
      <w:r w:rsidRPr="00BE3350">
        <w:rPr>
          <w:rFonts w:ascii="Palatino Linotype" w:hAnsi="Palatino Linotype"/>
          <w:sz w:val="18"/>
          <w:lang w:val="en-US"/>
        </w:rPr>
        <w:t>; Elsevier, 2022; p. B9780323903868000061 ISBN 978-0-12-409548-9.</w:t>
      </w:r>
    </w:p>
    <w:p w14:paraId="22A26796"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34. </w:t>
      </w:r>
      <w:r w:rsidRPr="00BE3350">
        <w:rPr>
          <w:rFonts w:ascii="Palatino Linotype" w:hAnsi="Palatino Linotype"/>
          <w:sz w:val="18"/>
          <w:lang w:val="en-US"/>
        </w:rPr>
        <w:tab/>
        <w:t xml:space="preserve">Alamin, Y.; Álvarez, J.; Castilla, M. del M.; Ruano, A. An Artificial Neural Network (ANN) Model to Predict the Electric Load Profile for an HVAC System </w:t>
      </w:r>
      <w:r w:rsidRPr="00BE3350">
        <w:rPr>
          <w:sz w:val="18"/>
          <w:lang w:val="en-US"/>
        </w:rPr>
        <w:t>⁎</w:t>
      </w:r>
      <w:r w:rsidRPr="00BE3350">
        <w:rPr>
          <w:rFonts w:ascii="Palatino Linotype" w:hAnsi="Palatino Linotype"/>
          <w:sz w:val="18"/>
          <w:lang w:val="en-US"/>
        </w:rPr>
        <w:t xml:space="preserve">. </w:t>
      </w:r>
      <w:r w:rsidRPr="00BE3350">
        <w:rPr>
          <w:rFonts w:ascii="Palatino Linotype" w:hAnsi="Palatino Linotype"/>
          <w:i/>
          <w:iCs/>
          <w:sz w:val="18"/>
          <w:lang w:val="en-US"/>
        </w:rPr>
        <w:t>IFAC-Pap.</w:t>
      </w:r>
      <w:r w:rsidRPr="00BE3350">
        <w:rPr>
          <w:rFonts w:ascii="Palatino Linotype" w:hAnsi="Palatino Linotype"/>
          <w:sz w:val="18"/>
          <w:lang w:val="en-US"/>
        </w:rPr>
        <w:t xml:space="preserve"> </w:t>
      </w:r>
      <w:r w:rsidRPr="00BE3350">
        <w:rPr>
          <w:rFonts w:ascii="Palatino Linotype" w:hAnsi="Palatino Linotype"/>
          <w:b/>
          <w:bCs/>
          <w:sz w:val="18"/>
          <w:lang w:val="en-US"/>
        </w:rPr>
        <w:t>2018</w:t>
      </w:r>
      <w:r w:rsidRPr="00BE3350">
        <w:rPr>
          <w:rFonts w:ascii="Palatino Linotype" w:hAnsi="Palatino Linotype"/>
          <w:sz w:val="18"/>
          <w:lang w:val="en-US"/>
        </w:rPr>
        <w:t xml:space="preserve">, </w:t>
      </w:r>
      <w:r w:rsidRPr="00BE3350">
        <w:rPr>
          <w:rFonts w:ascii="Palatino Linotype" w:hAnsi="Palatino Linotype"/>
          <w:i/>
          <w:iCs/>
          <w:sz w:val="18"/>
          <w:lang w:val="en-US"/>
        </w:rPr>
        <w:t>51</w:t>
      </w:r>
      <w:r w:rsidRPr="00BE3350">
        <w:rPr>
          <w:rFonts w:ascii="Palatino Linotype" w:hAnsi="Palatino Linotype"/>
          <w:sz w:val="18"/>
          <w:lang w:val="en-US"/>
        </w:rPr>
        <w:t>, 26–31, doi:10.1016/j.ifacol.2018.06.231.</w:t>
      </w:r>
    </w:p>
    <w:p w14:paraId="4B6C9F09"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35. </w:t>
      </w:r>
      <w:r w:rsidRPr="00BE3350">
        <w:rPr>
          <w:rFonts w:ascii="Palatino Linotype" w:hAnsi="Palatino Linotype"/>
          <w:sz w:val="18"/>
          <w:lang w:val="en-US"/>
        </w:rPr>
        <w:tab/>
        <w:t>Andamon, M.M. Thermal Comfort Standards and Building Energy Use in Philippine Office Environments.</w:t>
      </w:r>
    </w:p>
    <w:p w14:paraId="211E094B"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36. </w:t>
      </w:r>
      <w:r w:rsidRPr="00BE3350">
        <w:rPr>
          <w:rFonts w:ascii="Palatino Linotype" w:hAnsi="Palatino Linotype"/>
          <w:sz w:val="18"/>
          <w:lang w:val="en-US"/>
        </w:rPr>
        <w:tab/>
        <w:t xml:space="preserve">Aniag, B.A.; Avenilla, A.; Collas, J.J.; Regner, P.A.; Cruz, E.G.D. A Study on Thermal Comfort of Office Employees in the Philippines. </w:t>
      </w:r>
      <w:r w:rsidRPr="00BE3350">
        <w:rPr>
          <w:rFonts w:ascii="Palatino Linotype" w:hAnsi="Palatino Linotype"/>
          <w:b/>
          <w:bCs/>
          <w:sz w:val="18"/>
          <w:lang w:val="en-US"/>
        </w:rPr>
        <w:t>2017</w:t>
      </w:r>
      <w:r w:rsidRPr="00BE3350">
        <w:rPr>
          <w:rFonts w:ascii="Palatino Linotype" w:hAnsi="Palatino Linotype"/>
          <w:sz w:val="18"/>
          <w:lang w:val="en-US"/>
        </w:rPr>
        <w:t>.</w:t>
      </w:r>
    </w:p>
    <w:p w14:paraId="185740BD"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37. </w:t>
      </w:r>
      <w:r w:rsidRPr="00BE3350">
        <w:rPr>
          <w:rFonts w:ascii="Palatino Linotype" w:hAnsi="Palatino Linotype"/>
          <w:sz w:val="18"/>
          <w:lang w:val="en-US"/>
        </w:rPr>
        <w:tab/>
        <w:t xml:space="preserve">Qin, J. Experimental and Analysis on Household Electronic Power Consumption. </w:t>
      </w:r>
      <w:r w:rsidRPr="00BE3350">
        <w:rPr>
          <w:rFonts w:ascii="Palatino Linotype" w:hAnsi="Palatino Linotype"/>
          <w:i/>
          <w:iCs/>
          <w:sz w:val="18"/>
          <w:lang w:val="en-US"/>
        </w:rPr>
        <w:t>Energy Rep.</w:t>
      </w:r>
      <w:r w:rsidRPr="00BE3350">
        <w:rPr>
          <w:rFonts w:ascii="Palatino Linotype" w:hAnsi="Palatino Linotype"/>
          <w:sz w:val="18"/>
          <w:lang w:val="en-US"/>
        </w:rPr>
        <w:t xml:space="preserve"> </w:t>
      </w:r>
      <w:r w:rsidRPr="00BE3350">
        <w:rPr>
          <w:rFonts w:ascii="Palatino Linotype" w:hAnsi="Palatino Linotype"/>
          <w:b/>
          <w:bCs/>
          <w:sz w:val="18"/>
          <w:lang w:val="en-US"/>
        </w:rPr>
        <w:t>2022</w:t>
      </w:r>
      <w:r w:rsidRPr="00BE3350">
        <w:rPr>
          <w:rFonts w:ascii="Palatino Linotype" w:hAnsi="Palatino Linotype"/>
          <w:sz w:val="18"/>
          <w:lang w:val="en-US"/>
        </w:rPr>
        <w:t xml:space="preserve">, </w:t>
      </w:r>
      <w:r w:rsidRPr="00BE3350">
        <w:rPr>
          <w:rFonts w:ascii="Palatino Linotype" w:hAnsi="Palatino Linotype"/>
          <w:i/>
          <w:iCs/>
          <w:sz w:val="18"/>
          <w:lang w:val="en-US"/>
        </w:rPr>
        <w:t>8</w:t>
      </w:r>
      <w:r w:rsidRPr="00BE3350">
        <w:rPr>
          <w:rFonts w:ascii="Palatino Linotype" w:hAnsi="Palatino Linotype"/>
          <w:sz w:val="18"/>
          <w:lang w:val="en-US"/>
        </w:rPr>
        <w:t>, 705–709, doi:10.1016/j.egyr.2022.02.270.</w:t>
      </w:r>
    </w:p>
    <w:p w14:paraId="665B58DE"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lastRenderedPageBreak/>
        <w:t xml:space="preserve">38. </w:t>
      </w:r>
      <w:r w:rsidRPr="00BE3350">
        <w:rPr>
          <w:rFonts w:ascii="Palatino Linotype" w:hAnsi="Palatino Linotype"/>
          <w:sz w:val="18"/>
          <w:lang w:val="en-US"/>
        </w:rPr>
        <w:tab/>
        <w:t>Datta, D.; Tassou, S.A.; Marriott, D. Application of Neural Networks for the Prediction of the Energy Consumption in a Supermarket.</w:t>
      </w:r>
    </w:p>
    <w:p w14:paraId="596D1E0E" w14:textId="77777777" w:rsidR="000C2642" w:rsidRPr="00BE3350" w:rsidRDefault="000C2642" w:rsidP="00BE3350">
      <w:pPr>
        <w:pStyle w:val="Bibliography"/>
        <w:keepLines/>
        <w:snapToGrid w:val="0"/>
        <w:spacing w:line="228" w:lineRule="auto"/>
        <w:ind w:left="425" w:hanging="425"/>
        <w:jc w:val="both"/>
        <w:rPr>
          <w:rFonts w:ascii="Palatino Linotype" w:hAnsi="Palatino Linotype"/>
          <w:sz w:val="18"/>
          <w:lang w:val="en-US"/>
        </w:rPr>
      </w:pPr>
      <w:r w:rsidRPr="00BE3350">
        <w:rPr>
          <w:rFonts w:ascii="Palatino Linotype" w:hAnsi="Palatino Linotype"/>
          <w:sz w:val="18"/>
          <w:lang w:val="en-US"/>
        </w:rPr>
        <w:t xml:space="preserve">39. </w:t>
      </w:r>
      <w:r w:rsidRPr="00BE3350">
        <w:rPr>
          <w:rFonts w:ascii="Palatino Linotype" w:hAnsi="Palatino Linotype"/>
          <w:sz w:val="18"/>
          <w:lang w:val="en-US"/>
        </w:rPr>
        <w:tab/>
        <w:t>US20150248118A1 - Systems and Methods for Modeling Energy Consumption and Creating Demand Response Strategies Using Learning-Based Approaches - Google Patents Available online: https://patents.google.com/patent/US20150248118A1/en (accessed on 14 March 2024).</w:t>
      </w:r>
    </w:p>
    <w:p w14:paraId="2E89054B" w14:textId="19CFAFEB" w:rsidR="006B4CD0" w:rsidRDefault="00767D7B" w:rsidP="005215D7">
      <w:pPr>
        <w:pStyle w:val="MDPI71References"/>
        <w:keepLines/>
        <w:numPr>
          <w:ilvl w:val="0"/>
          <w:numId w:val="0"/>
        </w:numPr>
        <w:snapToGrid/>
        <w:spacing w:line="240" w:lineRule="auto"/>
        <w:contextualSpacing/>
      </w:pPr>
      <w:r>
        <w:rPr>
          <w:color w:val="auto"/>
          <w:szCs w:val="24"/>
          <w:lang w:val="en-PH" w:eastAsia="en-US" w:bidi="ar-SA"/>
        </w:rPr>
        <w:fldChar w:fldCharType="end"/>
      </w:r>
    </w:p>
    <w:p w14:paraId="7CDC1089" w14:textId="3761A69C" w:rsidR="00C0570E" w:rsidRPr="00D92CC8" w:rsidRDefault="00D92CC8" w:rsidP="00D92CC8">
      <w:pPr>
        <w:pStyle w:val="MDPI63Notes"/>
      </w:pPr>
      <w:r w:rsidRPr="00D92CC8">
        <w:rPr>
          <w:b/>
        </w:rPr>
        <w:t>Disclaimer/Publisher’s Note:</w:t>
      </w:r>
      <w:r w:rsidRPr="00D92CC8">
        <w:t xml:space="preserve"> The statements, opinions and data contained in all publications are solely those of the individual author(s) and contributor(s) and not of MDPI and/or the editor(s). MDPI and/or the editor(s) disclaim responsibility for any injury to people or property resulting from any ideas, methods, </w:t>
      </w:r>
      <w:proofErr w:type="gramStart"/>
      <w:r w:rsidRPr="00D92CC8">
        <w:t>instructions</w:t>
      </w:r>
      <w:proofErr w:type="gramEnd"/>
      <w:r w:rsidRPr="00D92CC8">
        <w:t xml:space="preserve"> or products referred to in the content.</w:t>
      </w:r>
    </w:p>
    <w:sectPr w:rsidR="00C0570E" w:rsidRPr="00D92CC8" w:rsidSect="00A06EF2">
      <w:headerReference w:type="even" r:id="rId16"/>
      <w:headerReference w:type="default" r:id="rId17"/>
      <w:headerReference w:type="first" r:id="rId18"/>
      <w:footerReference w:type="first" r:id="rId19"/>
      <w:type w:val="continuous"/>
      <w:pgSz w:w="11906" w:h="16838" w:code="9"/>
      <w:pgMar w:top="1417" w:right="720" w:bottom="1077" w:left="720" w:header="1020" w:footer="340" w:gutter="0"/>
      <w:lnNumType w:countBy="1" w:restart="continuous"/>
      <w:pgNumType w:start="1"/>
      <w:cols w:space="425"/>
      <w:titlePg/>
      <w:bidi/>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9D1AD1" w14:textId="77777777" w:rsidR="00A06EF2" w:rsidRDefault="00A06EF2">
      <w:r>
        <w:separator/>
      </w:r>
    </w:p>
  </w:endnote>
  <w:endnote w:type="continuationSeparator" w:id="0">
    <w:p w14:paraId="584535CB" w14:textId="77777777" w:rsidR="00A06EF2" w:rsidRDefault="00A06EF2">
      <w:r>
        <w:continuationSeparator/>
      </w:r>
    </w:p>
  </w:endnote>
  <w:endnote w:type="continuationNotice" w:id="1">
    <w:p w14:paraId="57AAD900" w14:textId="77777777" w:rsidR="00A06EF2" w:rsidRDefault="00A06EF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DengXian">
    <w:altName w:val="等线"/>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2FF" w:usb1="420024FF" w:usb2="00000000" w:usb3="00000000" w:csb0="0000019F" w:csb1="00000000"/>
  </w:font>
  <w:font w:name="DengXian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5C1C5A" w14:textId="77777777" w:rsidR="00417A2E" w:rsidRDefault="00417A2E" w:rsidP="00100362">
    <w:pPr>
      <w:pBdr>
        <w:top w:val="single" w:sz="4" w:space="0" w:color="000000"/>
      </w:pBdr>
      <w:tabs>
        <w:tab w:val="right" w:pos="8844"/>
      </w:tabs>
      <w:adjustRightInd w:val="0"/>
      <w:snapToGrid w:val="0"/>
      <w:spacing w:before="480" w:line="100" w:lineRule="exact"/>
      <w:rPr>
        <w:i/>
        <w:sz w:val="16"/>
        <w:szCs w:val="16"/>
      </w:rPr>
    </w:pPr>
  </w:p>
  <w:p w14:paraId="6FB889CD" w14:textId="77777777" w:rsidR="00C75534" w:rsidRPr="00372FCD" w:rsidRDefault="00C75534" w:rsidP="00581562">
    <w:pPr>
      <w:tabs>
        <w:tab w:val="right" w:pos="10466"/>
      </w:tabs>
      <w:adjustRightInd w:val="0"/>
      <w:snapToGrid w:val="0"/>
      <w:rPr>
        <w:sz w:val="16"/>
        <w:szCs w:val="16"/>
        <w:lang w:val="fr-CH"/>
      </w:rPr>
    </w:pPr>
    <w:r w:rsidRPr="00E0238F">
      <w:rPr>
        <w:i/>
        <w:sz w:val="16"/>
        <w:szCs w:val="16"/>
      </w:rPr>
      <w:t>Buildings</w:t>
    </w:r>
    <w:r>
      <w:rPr>
        <w:i/>
        <w:sz w:val="16"/>
        <w:szCs w:val="16"/>
      </w:rPr>
      <w:t xml:space="preserve"> </w:t>
    </w:r>
    <w:r w:rsidR="00E905EF">
      <w:rPr>
        <w:b/>
        <w:bCs/>
        <w:iCs/>
        <w:sz w:val="16"/>
        <w:szCs w:val="16"/>
      </w:rPr>
      <w:t>2024</w:t>
    </w:r>
    <w:r w:rsidR="00175DCB" w:rsidRPr="00175DCB">
      <w:rPr>
        <w:bCs/>
        <w:iCs/>
        <w:sz w:val="16"/>
        <w:szCs w:val="16"/>
      </w:rPr>
      <w:t>,</w:t>
    </w:r>
    <w:r w:rsidR="00E905EF">
      <w:rPr>
        <w:bCs/>
        <w:i/>
        <w:iCs/>
        <w:sz w:val="16"/>
        <w:szCs w:val="16"/>
      </w:rPr>
      <w:t xml:space="preserve"> 14</w:t>
    </w:r>
    <w:r w:rsidR="00175DCB" w:rsidRPr="00175DCB">
      <w:rPr>
        <w:bCs/>
        <w:iCs/>
        <w:sz w:val="16"/>
        <w:szCs w:val="16"/>
      </w:rPr>
      <w:t xml:space="preserve">, </w:t>
    </w:r>
    <w:r w:rsidR="00691A0D">
      <w:rPr>
        <w:bCs/>
        <w:iCs/>
        <w:sz w:val="16"/>
        <w:szCs w:val="16"/>
      </w:rPr>
      <w:t>x</w:t>
    </w:r>
    <w:r w:rsidR="00417A2E">
      <w:rPr>
        <w:bCs/>
        <w:iCs/>
        <w:sz w:val="16"/>
        <w:szCs w:val="16"/>
      </w:rPr>
      <w:t>. https://doi.org/10.3390/xxxxx</w:t>
    </w:r>
    <w:r w:rsidR="00581562" w:rsidRPr="00372FCD">
      <w:rPr>
        <w:sz w:val="16"/>
        <w:szCs w:val="16"/>
        <w:lang w:val="fr-CH"/>
      </w:rPr>
      <w:tab/>
    </w:r>
    <w:r w:rsidRPr="00372FCD">
      <w:rPr>
        <w:sz w:val="16"/>
        <w:szCs w:val="16"/>
        <w:lang w:val="fr-CH"/>
      </w:rPr>
      <w:t>www.mdpi.com/journal/</w:t>
    </w:r>
    <w:r w:rsidRPr="00E0238F">
      <w:rPr>
        <w:sz w:val="16"/>
        <w:szCs w:val="16"/>
      </w:rPr>
      <w:t>buildings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189C42" w14:textId="77777777" w:rsidR="00A06EF2" w:rsidRDefault="00A06EF2">
      <w:r>
        <w:separator/>
      </w:r>
    </w:p>
  </w:footnote>
  <w:footnote w:type="continuationSeparator" w:id="0">
    <w:p w14:paraId="68C99152" w14:textId="77777777" w:rsidR="00A06EF2" w:rsidRDefault="00A06EF2">
      <w:r>
        <w:continuationSeparator/>
      </w:r>
    </w:p>
  </w:footnote>
  <w:footnote w:type="continuationNotice" w:id="1">
    <w:p w14:paraId="74E5155B" w14:textId="77777777" w:rsidR="00A06EF2" w:rsidRDefault="00A06EF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B3AA2D" w14:textId="77777777" w:rsidR="00C75534" w:rsidRDefault="00C75534" w:rsidP="00C75534">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C29E3C" w14:textId="77777777" w:rsidR="00417A2E" w:rsidRDefault="00C75534" w:rsidP="00581562">
    <w:pPr>
      <w:tabs>
        <w:tab w:val="right" w:pos="10466"/>
      </w:tabs>
      <w:adjustRightInd w:val="0"/>
      <w:snapToGrid w:val="0"/>
      <w:rPr>
        <w:sz w:val="16"/>
      </w:rPr>
    </w:pPr>
    <w:r>
      <w:rPr>
        <w:i/>
        <w:sz w:val="16"/>
      </w:rPr>
      <w:t xml:space="preserve">Buildings </w:t>
    </w:r>
    <w:r w:rsidR="00E905EF">
      <w:rPr>
        <w:b/>
        <w:sz w:val="16"/>
      </w:rPr>
      <w:t>2024</w:t>
    </w:r>
    <w:r w:rsidR="00175DCB" w:rsidRPr="00175DCB">
      <w:rPr>
        <w:sz w:val="16"/>
      </w:rPr>
      <w:t>,</w:t>
    </w:r>
    <w:r w:rsidR="00E905EF">
      <w:rPr>
        <w:i/>
        <w:sz w:val="16"/>
      </w:rPr>
      <w:t xml:space="preserve"> 14</w:t>
    </w:r>
    <w:r w:rsidR="00691A0D">
      <w:rPr>
        <w:sz w:val="16"/>
      </w:rPr>
      <w:t>, x FOR PEER REVIEW</w:t>
    </w:r>
    <w:r w:rsidR="00581562">
      <w:rPr>
        <w:sz w:val="16"/>
      </w:rPr>
      <w:tab/>
    </w:r>
    <w:r w:rsidR="00691A0D">
      <w:rPr>
        <w:sz w:val="16"/>
      </w:rPr>
      <w:fldChar w:fldCharType="begin"/>
    </w:r>
    <w:r w:rsidR="00691A0D">
      <w:rPr>
        <w:sz w:val="16"/>
      </w:rPr>
      <w:instrText xml:space="preserve"> PAGE   \* MERGEFORMAT </w:instrText>
    </w:r>
    <w:r w:rsidR="00691A0D">
      <w:rPr>
        <w:sz w:val="16"/>
      </w:rPr>
      <w:fldChar w:fldCharType="separate"/>
    </w:r>
    <w:r w:rsidR="00DE030D">
      <w:rPr>
        <w:sz w:val="16"/>
      </w:rPr>
      <w:t>5</w:t>
    </w:r>
    <w:r w:rsidR="00691A0D">
      <w:rPr>
        <w:sz w:val="16"/>
      </w:rPr>
      <w:fldChar w:fldCharType="end"/>
    </w:r>
    <w:r w:rsidR="00691A0D">
      <w:rPr>
        <w:sz w:val="16"/>
      </w:rPr>
      <w:t xml:space="preserve"> of </w:t>
    </w:r>
    <w:r w:rsidR="00691A0D">
      <w:rPr>
        <w:sz w:val="16"/>
      </w:rPr>
      <w:fldChar w:fldCharType="begin"/>
    </w:r>
    <w:r w:rsidR="00691A0D">
      <w:rPr>
        <w:sz w:val="16"/>
      </w:rPr>
      <w:instrText xml:space="preserve"> NUMPAGES   \* MERGEFORMAT </w:instrText>
    </w:r>
    <w:r w:rsidR="00691A0D">
      <w:rPr>
        <w:sz w:val="16"/>
      </w:rPr>
      <w:fldChar w:fldCharType="separate"/>
    </w:r>
    <w:r w:rsidR="00DE030D">
      <w:rPr>
        <w:sz w:val="16"/>
      </w:rPr>
      <w:t>5</w:t>
    </w:r>
    <w:r w:rsidR="00691A0D">
      <w:rPr>
        <w:sz w:val="16"/>
      </w:rPr>
      <w:fldChar w:fldCharType="end"/>
    </w:r>
  </w:p>
  <w:p w14:paraId="303D4355" w14:textId="77777777" w:rsidR="00C75534" w:rsidRPr="00604516" w:rsidRDefault="00C75534" w:rsidP="00100362">
    <w:pPr>
      <w:pBdr>
        <w:bottom w:val="single" w:sz="4" w:space="1" w:color="000000"/>
      </w:pBdr>
      <w:tabs>
        <w:tab w:val="right" w:pos="8844"/>
      </w:tabs>
      <w:adjustRightInd w:val="0"/>
      <w:snapToGrid w:val="0"/>
      <w:spacing w:after="480" w:line="100" w:lineRule="exact"/>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487" w:type="dxa"/>
      <w:tblCellMar>
        <w:left w:w="0" w:type="dxa"/>
        <w:right w:w="0" w:type="dxa"/>
      </w:tblCellMar>
      <w:tblLook w:val="04A0" w:firstRow="1" w:lastRow="0" w:firstColumn="1" w:lastColumn="0" w:noHBand="0" w:noVBand="1"/>
    </w:tblPr>
    <w:tblGrid>
      <w:gridCol w:w="3679"/>
      <w:gridCol w:w="4535"/>
      <w:gridCol w:w="2273"/>
    </w:tblGrid>
    <w:tr w:rsidR="00417A2E" w:rsidRPr="00581562" w14:paraId="457795CC" w14:textId="77777777" w:rsidTr="00FF70B3">
      <w:trPr>
        <w:trHeight w:val="686"/>
      </w:trPr>
      <w:tc>
        <w:tcPr>
          <w:tcW w:w="3679" w:type="dxa"/>
          <w:shd w:val="clear" w:color="auto" w:fill="auto"/>
          <w:vAlign w:val="center"/>
        </w:tcPr>
        <w:p w14:paraId="54EFB88B" w14:textId="77777777" w:rsidR="00417A2E" w:rsidRPr="00E61F03" w:rsidRDefault="00546B39" w:rsidP="00581562">
          <w:pPr>
            <w:pStyle w:val="Header"/>
            <w:pBdr>
              <w:bottom w:val="none" w:sz="0" w:space="0" w:color="auto"/>
            </w:pBdr>
            <w:jc w:val="left"/>
            <w:rPr>
              <w:rFonts w:eastAsia="DengXian"/>
              <w:b/>
              <w:bCs/>
            </w:rPr>
          </w:pPr>
          <w:r w:rsidRPr="00E61F03">
            <w:rPr>
              <w:rFonts w:eastAsia="DengXian"/>
              <w:b/>
              <w:bCs/>
              <w:noProof/>
            </w:rPr>
            <w:drawing>
              <wp:inline distT="0" distB="0" distL="0" distR="0" wp14:anchorId="6D9B13D0" wp14:editId="7154043A">
                <wp:extent cx="1711325" cy="429260"/>
                <wp:effectExtent l="0" t="0" r="0" b="0"/>
                <wp:docPr id="1" name="Picture 3" descr="C:\Users\home\AppData\Local\Temp\HZ$D.003.481\building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AppData\Local\Temp\HZ$D.003.481\buildings_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11325" cy="429260"/>
                        </a:xfrm>
                        <a:prstGeom prst="rect">
                          <a:avLst/>
                        </a:prstGeom>
                        <a:noFill/>
                        <a:ln>
                          <a:noFill/>
                        </a:ln>
                      </pic:spPr>
                    </pic:pic>
                  </a:graphicData>
                </a:graphic>
              </wp:inline>
            </w:drawing>
          </w:r>
        </w:p>
      </w:tc>
      <w:tc>
        <w:tcPr>
          <w:tcW w:w="4535" w:type="dxa"/>
          <w:shd w:val="clear" w:color="auto" w:fill="auto"/>
          <w:vAlign w:val="center"/>
        </w:tcPr>
        <w:p w14:paraId="0B879733" w14:textId="77777777" w:rsidR="00417A2E" w:rsidRPr="00E61F03" w:rsidRDefault="00417A2E" w:rsidP="00581562">
          <w:pPr>
            <w:pStyle w:val="Header"/>
            <w:pBdr>
              <w:bottom w:val="none" w:sz="0" w:space="0" w:color="auto"/>
            </w:pBdr>
            <w:rPr>
              <w:rFonts w:eastAsia="DengXian"/>
              <w:b/>
              <w:bCs/>
            </w:rPr>
          </w:pPr>
        </w:p>
      </w:tc>
      <w:tc>
        <w:tcPr>
          <w:tcW w:w="2273" w:type="dxa"/>
          <w:shd w:val="clear" w:color="auto" w:fill="auto"/>
          <w:vAlign w:val="center"/>
        </w:tcPr>
        <w:p w14:paraId="6BC025D0" w14:textId="77777777" w:rsidR="00417A2E" w:rsidRPr="00E61F03" w:rsidRDefault="00FF70B3" w:rsidP="00FF70B3">
          <w:pPr>
            <w:pStyle w:val="Header"/>
            <w:pBdr>
              <w:bottom w:val="none" w:sz="0" w:space="0" w:color="auto"/>
            </w:pBdr>
            <w:jc w:val="right"/>
            <w:rPr>
              <w:rFonts w:eastAsia="DengXian"/>
              <w:b/>
              <w:bCs/>
            </w:rPr>
          </w:pPr>
          <w:r>
            <w:rPr>
              <w:rFonts w:eastAsia="DengXian"/>
              <w:b/>
              <w:bCs/>
              <w:noProof/>
            </w:rPr>
            <w:drawing>
              <wp:inline distT="0" distB="0" distL="0" distR="0" wp14:anchorId="3F33140A" wp14:editId="25949DEC">
                <wp:extent cx="540000" cy="360000"/>
                <wp:effectExtent l="0" t="0" r="0" b="2540"/>
                <wp:docPr id="781064864" name="Picture 1"/>
                <wp:cNvGraphicFramePr/>
                <a:graphic xmlns:a="http://schemas.openxmlformats.org/drawingml/2006/main">
                  <a:graphicData uri="http://schemas.openxmlformats.org/drawingml/2006/picture">
                    <pic:pic xmlns:pic="http://schemas.openxmlformats.org/drawingml/2006/picture">
                      <pic:nvPicPr>
                        <pic:cNvPr id="781064864" name=""/>
                        <pic:cNvPicPr/>
                      </pic:nvPicPr>
                      <pic:blipFill>
                        <a:blip r:embed="rId2"/>
                        <a:stretch>
                          <a:fillRect/>
                        </a:stretch>
                      </pic:blipFill>
                      <pic:spPr>
                        <a:xfrm>
                          <a:off x="0" y="0"/>
                          <a:ext cx="540000" cy="360000"/>
                        </a:xfrm>
                        <a:prstGeom prst="rect">
                          <a:avLst/>
                        </a:prstGeom>
                      </pic:spPr>
                    </pic:pic>
                  </a:graphicData>
                </a:graphic>
              </wp:inline>
            </w:drawing>
          </w:r>
        </w:p>
      </w:tc>
    </w:tr>
  </w:tbl>
  <w:p w14:paraId="17BA890E" w14:textId="77777777" w:rsidR="00C75534" w:rsidRPr="00417A2E" w:rsidRDefault="00C75534" w:rsidP="00100362">
    <w:pPr>
      <w:pBdr>
        <w:bottom w:val="single" w:sz="4" w:space="1" w:color="000000"/>
      </w:pBdr>
      <w:adjustRightInd w:val="0"/>
      <w:snapToGrid w:val="0"/>
      <w:spacing w:line="100" w:lineRule="exac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3164DE"/>
    <w:multiLevelType w:val="hybridMultilevel"/>
    <w:tmpl w:val="38D47966"/>
    <w:lvl w:ilvl="0" w:tplc="0C765924">
      <w:start w:val="1"/>
      <w:numFmt w:val="lowerLetter"/>
      <w:lvlText w:val="(%1)"/>
      <w:lvlJc w:val="left"/>
      <w:pPr>
        <w:ind w:left="10050" w:hanging="360"/>
      </w:pPr>
      <w:rPr>
        <w:rFonts w:hint="default"/>
      </w:rPr>
    </w:lvl>
    <w:lvl w:ilvl="1" w:tplc="04090019" w:tentative="1">
      <w:start w:val="1"/>
      <w:numFmt w:val="lowerLetter"/>
      <w:lvlText w:val="%2."/>
      <w:lvlJc w:val="left"/>
      <w:pPr>
        <w:ind w:left="10770" w:hanging="360"/>
      </w:pPr>
    </w:lvl>
    <w:lvl w:ilvl="2" w:tplc="0409001B" w:tentative="1">
      <w:start w:val="1"/>
      <w:numFmt w:val="lowerRoman"/>
      <w:lvlText w:val="%3."/>
      <w:lvlJc w:val="right"/>
      <w:pPr>
        <w:ind w:left="11490" w:hanging="180"/>
      </w:pPr>
    </w:lvl>
    <w:lvl w:ilvl="3" w:tplc="0409000F" w:tentative="1">
      <w:start w:val="1"/>
      <w:numFmt w:val="decimal"/>
      <w:lvlText w:val="%4."/>
      <w:lvlJc w:val="left"/>
      <w:pPr>
        <w:ind w:left="12210" w:hanging="360"/>
      </w:pPr>
    </w:lvl>
    <w:lvl w:ilvl="4" w:tplc="04090019" w:tentative="1">
      <w:start w:val="1"/>
      <w:numFmt w:val="lowerLetter"/>
      <w:lvlText w:val="%5."/>
      <w:lvlJc w:val="left"/>
      <w:pPr>
        <w:ind w:left="12930" w:hanging="360"/>
      </w:pPr>
    </w:lvl>
    <w:lvl w:ilvl="5" w:tplc="0409001B" w:tentative="1">
      <w:start w:val="1"/>
      <w:numFmt w:val="lowerRoman"/>
      <w:lvlText w:val="%6."/>
      <w:lvlJc w:val="right"/>
      <w:pPr>
        <w:ind w:left="13650" w:hanging="180"/>
      </w:pPr>
    </w:lvl>
    <w:lvl w:ilvl="6" w:tplc="0409000F" w:tentative="1">
      <w:start w:val="1"/>
      <w:numFmt w:val="decimal"/>
      <w:lvlText w:val="%7."/>
      <w:lvlJc w:val="left"/>
      <w:pPr>
        <w:ind w:left="14370" w:hanging="360"/>
      </w:pPr>
    </w:lvl>
    <w:lvl w:ilvl="7" w:tplc="04090019" w:tentative="1">
      <w:start w:val="1"/>
      <w:numFmt w:val="lowerLetter"/>
      <w:lvlText w:val="%8."/>
      <w:lvlJc w:val="left"/>
      <w:pPr>
        <w:ind w:left="15090" w:hanging="360"/>
      </w:pPr>
    </w:lvl>
    <w:lvl w:ilvl="8" w:tplc="0409001B" w:tentative="1">
      <w:start w:val="1"/>
      <w:numFmt w:val="lowerRoman"/>
      <w:lvlText w:val="%9."/>
      <w:lvlJc w:val="right"/>
      <w:pPr>
        <w:ind w:left="15810" w:hanging="180"/>
      </w:pPr>
    </w:lvl>
  </w:abstractNum>
  <w:abstractNum w:abstractNumId="1" w15:restartNumberingAfterBreak="0">
    <w:nsid w:val="0A367171"/>
    <w:multiLevelType w:val="hybridMultilevel"/>
    <w:tmpl w:val="D52CADAC"/>
    <w:lvl w:ilvl="0" w:tplc="922ABD9E">
      <w:start w:val="4"/>
      <w:numFmt w:val="bullet"/>
      <w:lvlText w:val="-"/>
      <w:lvlJc w:val="left"/>
      <w:pPr>
        <w:ind w:left="2968" w:hanging="360"/>
      </w:pPr>
      <w:rPr>
        <w:rFonts w:ascii="Palatino Linotype" w:eastAsia="Times New Roman" w:hAnsi="Palatino Linotype" w:cs="Times New Roman" w:hint="default"/>
      </w:rPr>
    </w:lvl>
    <w:lvl w:ilvl="1" w:tplc="04090003" w:tentative="1">
      <w:start w:val="1"/>
      <w:numFmt w:val="bullet"/>
      <w:lvlText w:val="o"/>
      <w:lvlJc w:val="left"/>
      <w:pPr>
        <w:ind w:left="3688" w:hanging="360"/>
      </w:pPr>
      <w:rPr>
        <w:rFonts w:ascii="Courier New" w:hAnsi="Courier New" w:cs="Courier New" w:hint="default"/>
      </w:rPr>
    </w:lvl>
    <w:lvl w:ilvl="2" w:tplc="04090005" w:tentative="1">
      <w:start w:val="1"/>
      <w:numFmt w:val="bullet"/>
      <w:lvlText w:val=""/>
      <w:lvlJc w:val="left"/>
      <w:pPr>
        <w:ind w:left="4408" w:hanging="360"/>
      </w:pPr>
      <w:rPr>
        <w:rFonts w:ascii="Wingdings" w:hAnsi="Wingdings" w:hint="default"/>
      </w:rPr>
    </w:lvl>
    <w:lvl w:ilvl="3" w:tplc="04090001" w:tentative="1">
      <w:start w:val="1"/>
      <w:numFmt w:val="bullet"/>
      <w:lvlText w:val=""/>
      <w:lvlJc w:val="left"/>
      <w:pPr>
        <w:ind w:left="5128" w:hanging="360"/>
      </w:pPr>
      <w:rPr>
        <w:rFonts w:ascii="Symbol" w:hAnsi="Symbol" w:hint="default"/>
      </w:rPr>
    </w:lvl>
    <w:lvl w:ilvl="4" w:tplc="04090003" w:tentative="1">
      <w:start w:val="1"/>
      <w:numFmt w:val="bullet"/>
      <w:lvlText w:val="o"/>
      <w:lvlJc w:val="left"/>
      <w:pPr>
        <w:ind w:left="5848" w:hanging="360"/>
      </w:pPr>
      <w:rPr>
        <w:rFonts w:ascii="Courier New" w:hAnsi="Courier New" w:cs="Courier New" w:hint="default"/>
      </w:rPr>
    </w:lvl>
    <w:lvl w:ilvl="5" w:tplc="04090005" w:tentative="1">
      <w:start w:val="1"/>
      <w:numFmt w:val="bullet"/>
      <w:lvlText w:val=""/>
      <w:lvlJc w:val="left"/>
      <w:pPr>
        <w:ind w:left="6568" w:hanging="360"/>
      </w:pPr>
      <w:rPr>
        <w:rFonts w:ascii="Wingdings" w:hAnsi="Wingdings" w:hint="default"/>
      </w:rPr>
    </w:lvl>
    <w:lvl w:ilvl="6" w:tplc="04090001" w:tentative="1">
      <w:start w:val="1"/>
      <w:numFmt w:val="bullet"/>
      <w:lvlText w:val=""/>
      <w:lvlJc w:val="left"/>
      <w:pPr>
        <w:ind w:left="7288" w:hanging="360"/>
      </w:pPr>
      <w:rPr>
        <w:rFonts w:ascii="Symbol" w:hAnsi="Symbol" w:hint="default"/>
      </w:rPr>
    </w:lvl>
    <w:lvl w:ilvl="7" w:tplc="04090003" w:tentative="1">
      <w:start w:val="1"/>
      <w:numFmt w:val="bullet"/>
      <w:lvlText w:val="o"/>
      <w:lvlJc w:val="left"/>
      <w:pPr>
        <w:ind w:left="8008" w:hanging="360"/>
      </w:pPr>
      <w:rPr>
        <w:rFonts w:ascii="Courier New" w:hAnsi="Courier New" w:cs="Courier New" w:hint="default"/>
      </w:rPr>
    </w:lvl>
    <w:lvl w:ilvl="8" w:tplc="04090005" w:tentative="1">
      <w:start w:val="1"/>
      <w:numFmt w:val="bullet"/>
      <w:lvlText w:val=""/>
      <w:lvlJc w:val="left"/>
      <w:pPr>
        <w:ind w:left="8728" w:hanging="360"/>
      </w:pPr>
      <w:rPr>
        <w:rFonts w:ascii="Wingdings" w:hAnsi="Wingdings" w:hint="default"/>
      </w:rPr>
    </w:lvl>
  </w:abstractNum>
  <w:abstractNum w:abstractNumId="2" w15:restartNumberingAfterBreak="0">
    <w:nsid w:val="15120DC5"/>
    <w:multiLevelType w:val="hybridMultilevel"/>
    <w:tmpl w:val="732CDCD8"/>
    <w:lvl w:ilvl="0" w:tplc="DAE64F30">
      <w:start w:val="1"/>
      <w:numFmt w:val="decimal"/>
      <w:lvlRestart w:val="0"/>
      <w:pStyle w:val="MDPI71References"/>
      <w:lvlText w:val="%1."/>
      <w:lvlJc w:val="left"/>
      <w:pPr>
        <w:ind w:left="425" w:hanging="425"/>
      </w:pPr>
      <w:rPr>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8B468F5"/>
    <w:multiLevelType w:val="hybridMultilevel"/>
    <w:tmpl w:val="2E76CFFC"/>
    <w:lvl w:ilvl="0" w:tplc="37BED858">
      <w:start w:val="1"/>
      <w:numFmt w:val="bullet"/>
      <w:lvlRestart w:val="0"/>
      <w:pStyle w:val="MDPI38bullet"/>
      <w:lvlText w:val=""/>
      <w:lvlJc w:val="left"/>
      <w:pPr>
        <w:ind w:left="3033" w:hanging="425"/>
      </w:pPr>
      <w:rPr>
        <w:rFonts w:ascii="Symbol" w:hAnsi="Symbol" w:hint="default"/>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E0C6F5D"/>
    <w:multiLevelType w:val="hybridMultilevel"/>
    <w:tmpl w:val="8BFE0D56"/>
    <w:lvl w:ilvl="0" w:tplc="CCCE9BD4">
      <w:start w:val="1"/>
      <w:numFmt w:val="bullet"/>
      <w:lvlRestart w:val="0"/>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5" w15:restartNumberingAfterBreak="0">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7" w15:restartNumberingAfterBreak="0">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9" w15:restartNumberingAfterBreak="0">
    <w:nsid w:val="52E2771B"/>
    <w:multiLevelType w:val="hybridMultilevel"/>
    <w:tmpl w:val="A2A06AAC"/>
    <w:lvl w:ilvl="0" w:tplc="C788203A">
      <w:start w:val="1"/>
      <w:numFmt w:val="decimal"/>
      <w:lvlRestart w:val="0"/>
      <w:lvlText w:val="%1"/>
      <w:lvlJc w:val="left"/>
      <w:pPr>
        <w:ind w:left="425" w:hanging="425"/>
      </w:pPr>
      <w:rPr>
        <w:rFonts w:hint="eastAsia"/>
        <w:caps w:val="0"/>
        <w:strike w:val="0"/>
        <w:dstrike w:val="0"/>
        <w:vanish w:val="0"/>
        <w:sz w:val="18"/>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4075B53"/>
    <w:multiLevelType w:val="hybridMultilevel"/>
    <w:tmpl w:val="A0DCA02E"/>
    <w:lvl w:ilvl="0" w:tplc="5CB0595C">
      <w:start w:val="1"/>
      <w:numFmt w:val="decimal"/>
      <w:lvlRestart w:val="0"/>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11" w15:restartNumberingAfterBreak="0">
    <w:nsid w:val="5AC02E1E"/>
    <w:multiLevelType w:val="hybridMultilevel"/>
    <w:tmpl w:val="CBA631F2"/>
    <w:lvl w:ilvl="0" w:tplc="0E460428">
      <w:start w:val="1"/>
      <w:numFmt w:val="lowerLetter"/>
      <w:lvlText w:val="(%1)"/>
      <w:lvlJc w:val="left"/>
      <w:pPr>
        <w:ind w:left="5970" w:hanging="360"/>
      </w:pPr>
      <w:rPr>
        <w:rFonts w:hint="default"/>
        <w:color w:val="000000" w:themeColor="text1"/>
      </w:rPr>
    </w:lvl>
    <w:lvl w:ilvl="1" w:tplc="04090019" w:tentative="1">
      <w:start w:val="1"/>
      <w:numFmt w:val="lowerLetter"/>
      <w:lvlText w:val="%2."/>
      <w:lvlJc w:val="left"/>
      <w:pPr>
        <w:ind w:left="6690" w:hanging="360"/>
      </w:pPr>
    </w:lvl>
    <w:lvl w:ilvl="2" w:tplc="0409001B" w:tentative="1">
      <w:start w:val="1"/>
      <w:numFmt w:val="lowerRoman"/>
      <w:lvlText w:val="%3."/>
      <w:lvlJc w:val="right"/>
      <w:pPr>
        <w:ind w:left="7410" w:hanging="180"/>
      </w:pPr>
    </w:lvl>
    <w:lvl w:ilvl="3" w:tplc="0409000F" w:tentative="1">
      <w:start w:val="1"/>
      <w:numFmt w:val="decimal"/>
      <w:lvlText w:val="%4."/>
      <w:lvlJc w:val="left"/>
      <w:pPr>
        <w:ind w:left="8130" w:hanging="360"/>
      </w:pPr>
    </w:lvl>
    <w:lvl w:ilvl="4" w:tplc="04090019" w:tentative="1">
      <w:start w:val="1"/>
      <w:numFmt w:val="lowerLetter"/>
      <w:lvlText w:val="%5."/>
      <w:lvlJc w:val="left"/>
      <w:pPr>
        <w:ind w:left="8850" w:hanging="360"/>
      </w:pPr>
    </w:lvl>
    <w:lvl w:ilvl="5" w:tplc="0409001B" w:tentative="1">
      <w:start w:val="1"/>
      <w:numFmt w:val="lowerRoman"/>
      <w:lvlText w:val="%6."/>
      <w:lvlJc w:val="right"/>
      <w:pPr>
        <w:ind w:left="9570" w:hanging="180"/>
      </w:pPr>
    </w:lvl>
    <w:lvl w:ilvl="6" w:tplc="0409000F" w:tentative="1">
      <w:start w:val="1"/>
      <w:numFmt w:val="decimal"/>
      <w:lvlText w:val="%7."/>
      <w:lvlJc w:val="left"/>
      <w:pPr>
        <w:ind w:left="10290" w:hanging="360"/>
      </w:pPr>
    </w:lvl>
    <w:lvl w:ilvl="7" w:tplc="04090019" w:tentative="1">
      <w:start w:val="1"/>
      <w:numFmt w:val="lowerLetter"/>
      <w:lvlText w:val="%8."/>
      <w:lvlJc w:val="left"/>
      <w:pPr>
        <w:ind w:left="11010" w:hanging="360"/>
      </w:pPr>
    </w:lvl>
    <w:lvl w:ilvl="8" w:tplc="0409001B" w:tentative="1">
      <w:start w:val="1"/>
      <w:numFmt w:val="lowerRoman"/>
      <w:lvlText w:val="%9."/>
      <w:lvlJc w:val="right"/>
      <w:pPr>
        <w:ind w:left="11730" w:hanging="180"/>
      </w:pPr>
    </w:lvl>
  </w:abstractNum>
  <w:abstractNum w:abstractNumId="12" w15:restartNumberingAfterBreak="0">
    <w:nsid w:val="671F5658"/>
    <w:multiLevelType w:val="hybridMultilevel"/>
    <w:tmpl w:val="9F1EA866"/>
    <w:lvl w:ilvl="0" w:tplc="E1D0A766">
      <w:start w:val="1"/>
      <w:numFmt w:val="lowerLetter"/>
      <w:lvlText w:val="(%1)"/>
      <w:lvlJc w:val="left"/>
      <w:pPr>
        <w:ind w:left="5415" w:hanging="1020"/>
      </w:pPr>
      <w:rPr>
        <w:rFonts w:hint="default"/>
        <w:color w:val="000000" w:themeColor="text1"/>
      </w:rPr>
    </w:lvl>
    <w:lvl w:ilvl="1" w:tplc="04090019" w:tentative="1">
      <w:start w:val="1"/>
      <w:numFmt w:val="lowerLetter"/>
      <w:lvlText w:val="%2."/>
      <w:lvlJc w:val="left"/>
      <w:pPr>
        <w:ind w:left="5475" w:hanging="360"/>
      </w:pPr>
    </w:lvl>
    <w:lvl w:ilvl="2" w:tplc="0409001B" w:tentative="1">
      <w:start w:val="1"/>
      <w:numFmt w:val="lowerRoman"/>
      <w:lvlText w:val="%3."/>
      <w:lvlJc w:val="right"/>
      <w:pPr>
        <w:ind w:left="6195" w:hanging="180"/>
      </w:pPr>
    </w:lvl>
    <w:lvl w:ilvl="3" w:tplc="0409000F" w:tentative="1">
      <w:start w:val="1"/>
      <w:numFmt w:val="decimal"/>
      <w:lvlText w:val="%4."/>
      <w:lvlJc w:val="left"/>
      <w:pPr>
        <w:ind w:left="6915" w:hanging="360"/>
      </w:pPr>
    </w:lvl>
    <w:lvl w:ilvl="4" w:tplc="04090019" w:tentative="1">
      <w:start w:val="1"/>
      <w:numFmt w:val="lowerLetter"/>
      <w:lvlText w:val="%5."/>
      <w:lvlJc w:val="left"/>
      <w:pPr>
        <w:ind w:left="7635" w:hanging="360"/>
      </w:pPr>
    </w:lvl>
    <w:lvl w:ilvl="5" w:tplc="0409001B" w:tentative="1">
      <w:start w:val="1"/>
      <w:numFmt w:val="lowerRoman"/>
      <w:lvlText w:val="%6."/>
      <w:lvlJc w:val="right"/>
      <w:pPr>
        <w:ind w:left="8355" w:hanging="180"/>
      </w:pPr>
    </w:lvl>
    <w:lvl w:ilvl="6" w:tplc="0409000F" w:tentative="1">
      <w:start w:val="1"/>
      <w:numFmt w:val="decimal"/>
      <w:lvlText w:val="%7."/>
      <w:lvlJc w:val="left"/>
      <w:pPr>
        <w:ind w:left="9075" w:hanging="360"/>
      </w:pPr>
    </w:lvl>
    <w:lvl w:ilvl="7" w:tplc="04090019" w:tentative="1">
      <w:start w:val="1"/>
      <w:numFmt w:val="lowerLetter"/>
      <w:lvlText w:val="%8."/>
      <w:lvlJc w:val="left"/>
      <w:pPr>
        <w:ind w:left="9795" w:hanging="360"/>
      </w:pPr>
    </w:lvl>
    <w:lvl w:ilvl="8" w:tplc="0409001B" w:tentative="1">
      <w:start w:val="1"/>
      <w:numFmt w:val="lowerRoman"/>
      <w:lvlText w:val="%9."/>
      <w:lvlJc w:val="right"/>
      <w:pPr>
        <w:ind w:left="10515" w:hanging="180"/>
      </w:pPr>
    </w:lvl>
  </w:abstractNum>
  <w:abstractNum w:abstractNumId="13" w15:restartNumberingAfterBreak="0">
    <w:nsid w:val="697E4961"/>
    <w:multiLevelType w:val="hybridMultilevel"/>
    <w:tmpl w:val="8A346ECA"/>
    <w:lvl w:ilvl="0" w:tplc="73E46D6E">
      <w:start w:val="1"/>
      <w:numFmt w:val="decimal"/>
      <w:lvlRestart w:val="0"/>
      <w:pStyle w:val="MDPI37itemize"/>
      <w:lvlText w:val="%1."/>
      <w:lvlJc w:val="left"/>
      <w:pPr>
        <w:ind w:left="3033" w:hanging="425"/>
      </w:pPr>
      <w:rPr>
        <w:b w:val="0"/>
        <w:i w:val="0"/>
        <w:sz w:val="20"/>
        <w:vertAlign w:val="baseline"/>
      </w:rPr>
    </w:lvl>
    <w:lvl w:ilvl="1" w:tplc="04090019" w:tentative="1">
      <w:start w:val="1"/>
      <w:numFmt w:val="lowerLetter"/>
      <w:lvlText w:val="%2."/>
      <w:lvlJc w:val="left"/>
      <w:pPr>
        <w:ind w:left="4048" w:hanging="360"/>
      </w:pPr>
    </w:lvl>
    <w:lvl w:ilvl="2" w:tplc="0409001B" w:tentative="1">
      <w:start w:val="1"/>
      <w:numFmt w:val="lowerRoman"/>
      <w:lvlText w:val="%3."/>
      <w:lvlJc w:val="right"/>
      <w:pPr>
        <w:ind w:left="4768" w:hanging="180"/>
      </w:pPr>
    </w:lvl>
    <w:lvl w:ilvl="3" w:tplc="0409000F" w:tentative="1">
      <w:start w:val="1"/>
      <w:numFmt w:val="decimal"/>
      <w:lvlText w:val="%4."/>
      <w:lvlJc w:val="left"/>
      <w:pPr>
        <w:ind w:left="5488" w:hanging="360"/>
      </w:pPr>
    </w:lvl>
    <w:lvl w:ilvl="4" w:tplc="04090019" w:tentative="1">
      <w:start w:val="1"/>
      <w:numFmt w:val="lowerLetter"/>
      <w:lvlText w:val="%5."/>
      <w:lvlJc w:val="left"/>
      <w:pPr>
        <w:ind w:left="6208" w:hanging="360"/>
      </w:pPr>
    </w:lvl>
    <w:lvl w:ilvl="5" w:tplc="0409001B" w:tentative="1">
      <w:start w:val="1"/>
      <w:numFmt w:val="lowerRoman"/>
      <w:lvlText w:val="%6."/>
      <w:lvlJc w:val="right"/>
      <w:pPr>
        <w:ind w:left="6928" w:hanging="180"/>
      </w:pPr>
    </w:lvl>
    <w:lvl w:ilvl="6" w:tplc="0409000F" w:tentative="1">
      <w:start w:val="1"/>
      <w:numFmt w:val="decimal"/>
      <w:lvlText w:val="%7."/>
      <w:lvlJc w:val="left"/>
      <w:pPr>
        <w:ind w:left="7648" w:hanging="360"/>
      </w:pPr>
    </w:lvl>
    <w:lvl w:ilvl="7" w:tplc="04090019" w:tentative="1">
      <w:start w:val="1"/>
      <w:numFmt w:val="lowerLetter"/>
      <w:lvlText w:val="%8."/>
      <w:lvlJc w:val="left"/>
      <w:pPr>
        <w:ind w:left="8368" w:hanging="360"/>
      </w:pPr>
    </w:lvl>
    <w:lvl w:ilvl="8" w:tplc="0409001B" w:tentative="1">
      <w:start w:val="1"/>
      <w:numFmt w:val="lowerRoman"/>
      <w:lvlText w:val="%9."/>
      <w:lvlJc w:val="right"/>
      <w:pPr>
        <w:ind w:left="9088" w:hanging="180"/>
      </w:pPr>
    </w:lvl>
  </w:abstractNum>
  <w:abstractNum w:abstractNumId="14" w15:restartNumberingAfterBreak="0">
    <w:nsid w:val="706D5736"/>
    <w:multiLevelType w:val="hybridMultilevel"/>
    <w:tmpl w:val="7E201858"/>
    <w:lvl w:ilvl="0" w:tplc="7736F520">
      <w:start w:val="1"/>
      <w:numFmt w:val="decimal"/>
      <w:lvlRestart w:val="0"/>
      <w:lvlText w:val="%1."/>
      <w:lvlJc w:val="left"/>
      <w:pPr>
        <w:ind w:left="425" w:hanging="425"/>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DEF0186"/>
    <w:multiLevelType w:val="hybridMultilevel"/>
    <w:tmpl w:val="C36C9BEA"/>
    <w:lvl w:ilvl="0" w:tplc="4B8CB574">
      <w:start w:val="1"/>
      <w:numFmt w:val="decimal"/>
      <w:lvlRestart w:val="0"/>
      <w:pStyle w:val="MDPI71FootNotes"/>
      <w:lvlText w:val="%1."/>
      <w:lvlJc w:val="left"/>
      <w:pPr>
        <w:ind w:left="425" w:hanging="425"/>
      </w:pPr>
      <w:rPr>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971785919">
    <w:abstractNumId w:val="6"/>
  </w:num>
  <w:num w:numId="2" w16cid:durableId="1005326952">
    <w:abstractNumId w:val="8"/>
  </w:num>
  <w:num w:numId="3" w16cid:durableId="576791205">
    <w:abstractNumId w:val="5"/>
  </w:num>
  <w:num w:numId="4" w16cid:durableId="737946631">
    <w:abstractNumId w:val="7"/>
  </w:num>
  <w:num w:numId="5" w16cid:durableId="1124957068">
    <w:abstractNumId w:val="10"/>
  </w:num>
  <w:num w:numId="6" w16cid:durableId="1804731240">
    <w:abstractNumId w:val="4"/>
  </w:num>
  <w:num w:numId="7" w16cid:durableId="1695572794">
    <w:abstractNumId w:val="10"/>
  </w:num>
  <w:num w:numId="8" w16cid:durableId="903219984">
    <w:abstractNumId w:val="4"/>
  </w:num>
  <w:num w:numId="9" w16cid:durableId="233122838">
    <w:abstractNumId w:val="10"/>
  </w:num>
  <w:num w:numId="10" w16cid:durableId="671835700">
    <w:abstractNumId w:val="4"/>
  </w:num>
  <w:num w:numId="11" w16cid:durableId="208660771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104037847">
    <w:abstractNumId w:val="14"/>
  </w:num>
  <w:num w:numId="13" w16cid:durableId="677658205">
    <w:abstractNumId w:val="10"/>
  </w:num>
  <w:num w:numId="14" w16cid:durableId="867372297">
    <w:abstractNumId w:val="4"/>
  </w:num>
  <w:num w:numId="15" w16cid:durableId="1917209037">
    <w:abstractNumId w:val="3"/>
  </w:num>
  <w:num w:numId="16" w16cid:durableId="96368648">
    <w:abstractNumId w:val="9"/>
  </w:num>
  <w:num w:numId="17" w16cid:durableId="299925343">
    <w:abstractNumId w:val="2"/>
  </w:num>
  <w:num w:numId="18" w16cid:durableId="1937667943">
    <w:abstractNumId w:val="10"/>
  </w:num>
  <w:num w:numId="19" w16cid:durableId="1229075125">
    <w:abstractNumId w:val="4"/>
  </w:num>
  <w:num w:numId="20" w16cid:durableId="91778153">
    <w:abstractNumId w:val="3"/>
  </w:num>
  <w:num w:numId="21" w16cid:durableId="177279715">
    <w:abstractNumId w:val="15"/>
  </w:num>
  <w:num w:numId="22" w16cid:durableId="2008823150">
    <w:abstractNumId w:val="13"/>
  </w:num>
  <w:num w:numId="23" w16cid:durableId="1345743483">
    <w:abstractNumId w:val="2"/>
  </w:num>
  <w:num w:numId="24" w16cid:durableId="601449857">
    <w:abstractNumId w:val="1"/>
  </w:num>
  <w:num w:numId="25" w16cid:durableId="535505659">
    <w:abstractNumId w:val="11"/>
  </w:num>
  <w:num w:numId="26" w16cid:durableId="1594707869">
    <w:abstractNumId w:val="0"/>
  </w:num>
  <w:num w:numId="27" w16cid:durableId="383141814">
    <w:abstractNumId w:val="12"/>
  </w:num>
  <w:num w:numId="28" w16cid:durableId="68119718">
    <w:abstractNumId w:val="2"/>
  </w:num>
  <w:num w:numId="29" w16cid:durableId="43483437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5"/>
  <w:bordersDoNotSurroundHeader/>
  <w:bordersDoNotSurroundFooter/>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10"/>
  <w:autoHyphenation/>
  <w:drawingGridHorizontalSpacing w:val="120"/>
  <w:drawingGridVerticalSpacing w:val="163"/>
  <w:displayHorizontalDrawingGridEvery w:val="0"/>
  <w:displayVerticalDrawingGridEvery w:val="2"/>
  <w:characterSpacingControl w:val="compressPunctuation"/>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42C3"/>
    <w:rsid w:val="000029E6"/>
    <w:rsid w:val="00003CF5"/>
    <w:rsid w:val="00004D61"/>
    <w:rsid w:val="00010EA7"/>
    <w:rsid w:val="00010F55"/>
    <w:rsid w:val="00011EC1"/>
    <w:rsid w:val="0001477D"/>
    <w:rsid w:val="00016319"/>
    <w:rsid w:val="00017EB3"/>
    <w:rsid w:val="000200AF"/>
    <w:rsid w:val="0002019C"/>
    <w:rsid w:val="00021177"/>
    <w:rsid w:val="000241E3"/>
    <w:rsid w:val="00027B4E"/>
    <w:rsid w:val="00030487"/>
    <w:rsid w:val="00030ADD"/>
    <w:rsid w:val="00032633"/>
    <w:rsid w:val="00033B8A"/>
    <w:rsid w:val="00034856"/>
    <w:rsid w:val="000355FE"/>
    <w:rsid w:val="000363E2"/>
    <w:rsid w:val="000367E9"/>
    <w:rsid w:val="000371B5"/>
    <w:rsid w:val="00037FEA"/>
    <w:rsid w:val="00040025"/>
    <w:rsid w:val="00040FF0"/>
    <w:rsid w:val="000410CA"/>
    <w:rsid w:val="0004321C"/>
    <w:rsid w:val="000432CF"/>
    <w:rsid w:val="0004345C"/>
    <w:rsid w:val="00043C76"/>
    <w:rsid w:val="000453ED"/>
    <w:rsid w:val="00045544"/>
    <w:rsid w:val="000536BB"/>
    <w:rsid w:val="00055095"/>
    <w:rsid w:val="000614D5"/>
    <w:rsid w:val="000629D8"/>
    <w:rsid w:val="00062A73"/>
    <w:rsid w:val="000701A0"/>
    <w:rsid w:val="00071225"/>
    <w:rsid w:val="000712E1"/>
    <w:rsid w:val="0007206E"/>
    <w:rsid w:val="0007241E"/>
    <w:rsid w:val="00072A15"/>
    <w:rsid w:val="0007363F"/>
    <w:rsid w:val="00073A52"/>
    <w:rsid w:val="00080B92"/>
    <w:rsid w:val="00082300"/>
    <w:rsid w:val="00082AA2"/>
    <w:rsid w:val="0008449A"/>
    <w:rsid w:val="00084838"/>
    <w:rsid w:val="0008545F"/>
    <w:rsid w:val="00086718"/>
    <w:rsid w:val="000940B8"/>
    <w:rsid w:val="000955C0"/>
    <w:rsid w:val="00095DCC"/>
    <w:rsid w:val="000A0720"/>
    <w:rsid w:val="000A31E3"/>
    <w:rsid w:val="000A38B7"/>
    <w:rsid w:val="000A3AE0"/>
    <w:rsid w:val="000A791A"/>
    <w:rsid w:val="000B07D5"/>
    <w:rsid w:val="000B0F82"/>
    <w:rsid w:val="000B2173"/>
    <w:rsid w:val="000B260C"/>
    <w:rsid w:val="000B26F2"/>
    <w:rsid w:val="000B29B7"/>
    <w:rsid w:val="000B3B02"/>
    <w:rsid w:val="000B441B"/>
    <w:rsid w:val="000B4FC2"/>
    <w:rsid w:val="000B6847"/>
    <w:rsid w:val="000B6A51"/>
    <w:rsid w:val="000B7436"/>
    <w:rsid w:val="000C0D2F"/>
    <w:rsid w:val="000C1C7F"/>
    <w:rsid w:val="000C2642"/>
    <w:rsid w:val="000C26E7"/>
    <w:rsid w:val="000C2D72"/>
    <w:rsid w:val="000C43DB"/>
    <w:rsid w:val="000C4641"/>
    <w:rsid w:val="000C49D6"/>
    <w:rsid w:val="000C7E44"/>
    <w:rsid w:val="000D0E6C"/>
    <w:rsid w:val="000D2571"/>
    <w:rsid w:val="000D2B98"/>
    <w:rsid w:val="000D682B"/>
    <w:rsid w:val="000E3EB7"/>
    <w:rsid w:val="000E4E48"/>
    <w:rsid w:val="000E638C"/>
    <w:rsid w:val="000E7388"/>
    <w:rsid w:val="000E7FE9"/>
    <w:rsid w:val="000F0161"/>
    <w:rsid w:val="000F061E"/>
    <w:rsid w:val="000F2CDC"/>
    <w:rsid w:val="000F5810"/>
    <w:rsid w:val="00100362"/>
    <w:rsid w:val="001017C3"/>
    <w:rsid w:val="00101E6E"/>
    <w:rsid w:val="00102B0E"/>
    <w:rsid w:val="00111087"/>
    <w:rsid w:val="00113E80"/>
    <w:rsid w:val="001165E0"/>
    <w:rsid w:val="0011771F"/>
    <w:rsid w:val="00126CC9"/>
    <w:rsid w:val="00130F87"/>
    <w:rsid w:val="00132B3D"/>
    <w:rsid w:val="00133061"/>
    <w:rsid w:val="00134AF2"/>
    <w:rsid w:val="00136FCE"/>
    <w:rsid w:val="0014382D"/>
    <w:rsid w:val="00145734"/>
    <w:rsid w:val="00146738"/>
    <w:rsid w:val="00146808"/>
    <w:rsid w:val="00150139"/>
    <w:rsid w:val="0015064B"/>
    <w:rsid w:val="001509B4"/>
    <w:rsid w:val="00150B89"/>
    <w:rsid w:val="0015622B"/>
    <w:rsid w:val="0015691C"/>
    <w:rsid w:val="0015723F"/>
    <w:rsid w:val="001614C8"/>
    <w:rsid w:val="001638E9"/>
    <w:rsid w:val="00163A34"/>
    <w:rsid w:val="00165FAF"/>
    <w:rsid w:val="00172192"/>
    <w:rsid w:val="00175385"/>
    <w:rsid w:val="00175DCB"/>
    <w:rsid w:val="00177C68"/>
    <w:rsid w:val="00180B38"/>
    <w:rsid w:val="00181090"/>
    <w:rsid w:val="001831EF"/>
    <w:rsid w:val="0018424E"/>
    <w:rsid w:val="00191447"/>
    <w:rsid w:val="00194182"/>
    <w:rsid w:val="00196534"/>
    <w:rsid w:val="00197211"/>
    <w:rsid w:val="001A0A3D"/>
    <w:rsid w:val="001A0EB8"/>
    <w:rsid w:val="001A1A76"/>
    <w:rsid w:val="001A1C48"/>
    <w:rsid w:val="001A3D8B"/>
    <w:rsid w:val="001A5323"/>
    <w:rsid w:val="001A57FF"/>
    <w:rsid w:val="001A658B"/>
    <w:rsid w:val="001A7381"/>
    <w:rsid w:val="001A75FC"/>
    <w:rsid w:val="001B1C8D"/>
    <w:rsid w:val="001B2282"/>
    <w:rsid w:val="001B2847"/>
    <w:rsid w:val="001B36DE"/>
    <w:rsid w:val="001B3AF8"/>
    <w:rsid w:val="001B597E"/>
    <w:rsid w:val="001B76C3"/>
    <w:rsid w:val="001C1D55"/>
    <w:rsid w:val="001C1E8B"/>
    <w:rsid w:val="001C3D15"/>
    <w:rsid w:val="001C52FA"/>
    <w:rsid w:val="001C536E"/>
    <w:rsid w:val="001C5C67"/>
    <w:rsid w:val="001C7B25"/>
    <w:rsid w:val="001D325D"/>
    <w:rsid w:val="001D33E5"/>
    <w:rsid w:val="001D5595"/>
    <w:rsid w:val="001D638A"/>
    <w:rsid w:val="001E0C6C"/>
    <w:rsid w:val="001E2AEB"/>
    <w:rsid w:val="001E4A75"/>
    <w:rsid w:val="001E51C7"/>
    <w:rsid w:val="001E5694"/>
    <w:rsid w:val="001E7DF1"/>
    <w:rsid w:val="001F1667"/>
    <w:rsid w:val="001F3FFE"/>
    <w:rsid w:val="001F7849"/>
    <w:rsid w:val="00200BD7"/>
    <w:rsid w:val="0020109A"/>
    <w:rsid w:val="00201436"/>
    <w:rsid w:val="002061C8"/>
    <w:rsid w:val="002065DA"/>
    <w:rsid w:val="00206A34"/>
    <w:rsid w:val="00206B50"/>
    <w:rsid w:val="0021090A"/>
    <w:rsid w:val="0021158D"/>
    <w:rsid w:val="00211741"/>
    <w:rsid w:val="002146CE"/>
    <w:rsid w:val="00215CA0"/>
    <w:rsid w:val="00220400"/>
    <w:rsid w:val="00221B8E"/>
    <w:rsid w:val="0022220D"/>
    <w:rsid w:val="00224688"/>
    <w:rsid w:val="0022613A"/>
    <w:rsid w:val="002264C7"/>
    <w:rsid w:val="0022757B"/>
    <w:rsid w:val="002326CA"/>
    <w:rsid w:val="00234C2E"/>
    <w:rsid w:val="00235C08"/>
    <w:rsid w:val="0023644D"/>
    <w:rsid w:val="00236CEF"/>
    <w:rsid w:val="002376D7"/>
    <w:rsid w:val="00237C1C"/>
    <w:rsid w:val="00241E70"/>
    <w:rsid w:val="0024485F"/>
    <w:rsid w:val="002454BA"/>
    <w:rsid w:val="00251103"/>
    <w:rsid w:val="00252BF4"/>
    <w:rsid w:val="00252FD1"/>
    <w:rsid w:val="00254F88"/>
    <w:rsid w:val="00256A7E"/>
    <w:rsid w:val="002615F7"/>
    <w:rsid w:val="002618ED"/>
    <w:rsid w:val="00261D7D"/>
    <w:rsid w:val="00263665"/>
    <w:rsid w:val="00266E23"/>
    <w:rsid w:val="002672FC"/>
    <w:rsid w:val="002722DA"/>
    <w:rsid w:val="0027272C"/>
    <w:rsid w:val="00275498"/>
    <w:rsid w:val="002756DC"/>
    <w:rsid w:val="00280302"/>
    <w:rsid w:val="0028455B"/>
    <w:rsid w:val="00284EB4"/>
    <w:rsid w:val="002854A4"/>
    <w:rsid w:val="002862D7"/>
    <w:rsid w:val="0028791A"/>
    <w:rsid w:val="002941CB"/>
    <w:rsid w:val="00295655"/>
    <w:rsid w:val="00295B1C"/>
    <w:rsid w:val="00297B60"/>
    <w:rsid w:val="002A3C86"/>
    <w:rsid w:val="002A77CA"/>
    <w:rsid w:val="002A7D3E"/>
    <w:rsid w:val="002B1D8D"/>
    <w:rsid w:val="002B48F1"/>
    <w:rsid w:val="002B74B3"/>
    <w:rsid w:val="002C1288"/>
    <w:rsid w:val="002C3A1B"/>
    <w:rsid w:val="002C3E49"/>
    <w:rsid w:val="002C4093"/>
    <w:rsid w:val="002D463E"/>
    <w:rsid w:val="002D4FB3"/>
    <w:rsid w:val="002D52B2"/>
    <w:rsid w:val="002E35CB"/>
    <w:rsid w:val="002E452B"/>
    <w:rsid w:val="002E611E"/>
    <w:rsid w:val="002E7DEC"/>
    <w:rsid w:val="002F1179"/>
    <w:rsid w:val="002F1B70"/>
    <w:rsid w:val="002F3422"/>
    <w:rsid w:val="002F6FEC"/>
    <w:rsid w:val="002F72CF"/>
    <w:rsid w:val="0030499D"/>
    <w:rsid w:val="00306286"/>
    <w:rsid w:val="0031041C"/>
    <w:rsid w:val="00310C94"/>
    <w:rsid w:val="003112D4"/>
    <w:rsid w:val="00312954"/>
    <w:rsid w:val="00312C35"/>
    <w:rsid w:val="00313EE2"/>
    <w:rsid w:val="00317730"/>
    <w:rsid w:val="003201D8"/>
    <w:rsid w:val="00326141"/>
    <w:rsid w:val="00330536"/>
    <w:rsid w:val="00330586"/>
    <w:rsid w:val="00330A1E"/>
    <w:rsid w:val="00331A2C"/>
    <w:rsid w:val="0033242B"/>
    <w:rsid w:val="00332AB7"/>
    <w:rsid w:val="00332B83"/>
    <w:rsid w:val="003334E4"/>
    <w:rsid w:val="003341DB"/>
    <w:rsid w:val="003351C3"/>
    <w:rsid w:val="0033520E"/>
    <w:rsid w:val="0033737D"/>
    <w:rsid w:val="003377E1"/>
    <w:rsid w:val="00337C8C"/>
    <w:rsid w:val="003457FC"/>
    <w:rsid w:val="003506A6"/>
    <w:rsid w:val="00352594"/>
    <w:rsid w:val="00352936"/>
    <w:rsid w:val="00354F15"/>
    <w:rsid w:val="00356840"/>
    <w:rsid w:val="00356FF7"/>
    <w:rsid w:val="00357895"/>
    <w:rsid w:val="003605B6"/>
    <w:rsid w:val="003610E4"/>
    <w:rsid w:val="003630D6"/>
    <w:rsid w:val="00365E9F"/>
    <w:rsid w:val="003743F5"/>
    <w:rsid w:val="003755EC"/>
    <w:rsid w:val="00376AAA"/>
    <w:rsid w:val="00380C1B"/>
    <w:rsid w:val="0038177F"/>
    <w:rsid w:val="00381C1B"/>
    <w:rsid w:val="0038339B"/>
    <w:rsid w:val="00383899"/>
    <w:rsid w:val="0038545D"/>
    <w:rsid w:val="00390D6F"/>
    <w:rsid w:val="0039206A"/>
    <w:rsid w:val="003922C3"/>
    <w:rsid w:val="00392D1C"/>
    <w:rsid w:val="003940DF"/>
    <w:rsid w:val="0039570F"/>
    <w:rsid w:val="003960C7"/>
    <w:rsid w:val="00397057"/>
    <w:rsid w:val="003A01B2"/>
    <w:rsid w:val="003A2C1A"/>
    <w:rsid w:val="003A6228"/>
    <w:rsid w:val="003A674C"/>
    <w:rsid w:val="003A706E"/>
    <w:rsid w:val="003B0CD2"/>
    <w:rsid w:val="003B406E"/>
    <w:rsid w:val="003B42B7"/>
    <w:rsid w:val="003B4399"/>
    <w:rsid w:val="003B5BE8"/>
    <w:rsid w:val="003B75F6"/>
    <w:rsid w:val="003C1769"/>
    <w:rsid w:val="003C1B79"/>
    <w:rsid w:val="003C2665"/>
    <w:rsid w:val="003C5C29"/>
    <w:rsid w:val="003C6483"/>
    <w:rsid w:val="003D0467"/>
    <w:rsid w:val="003D113A"/>
    <w:rsid w:val="003D4C75"/>
    <w:rsid w:val="003D4EE8"/>
    <w:rsid w:val="003D76E1"/>
    <w:rsid w:val="003D7B41"/>
    <w:rsid w:val="003E1479"/>
    <w:rsid w:val="003E370C"/>
    <w:rsid w:val="003E551B"/>
    <w:rsid w:val="003E5638"/>
    <w:rsid w:val="003F09DF"/>
    <w:rsid w:val="003F1EB6"/>
    <w:rsid w:val="003F25AF"/>
    <w:rsid w:val="003F29A7"/>
    <w:rsid w:val="003F2E8D"/>
    <w:rsid w:val="003F3A64"/>
    <w:rsid w:val="003F7AAC"/>
    <w:rsid w:val="00401D30"/>
    <w:rsid w:val="004033E5"/>
    <w:rsid w:val="00403579"/>
    <w:rsid w:val="004037E7"/>
    <w:rsid w:val="00404FE0"/>
    <w:rsid w:val="00407BE9"/>
    <w:rsid w:val="0041346E"/>
    <w:rsid w:val="00416B34"/>
    <w:rsid w:val="00417A2E"/>
    <w:rsid w:val="004222C6"/>
    <w:rsid w:val="00422D23"/>
    <w:rsid w:val="00424E81"/>
    <w:rsid w:val="00425199"/>
    <w:rsid w:val="0042561F"/>
    <w:rsid w:val="004268C3"/>
    <w:rsid w:val="00427111"/>
    <w:rsid w:val="00430EAE"/>
    <w:rsid w:val="00432828"/>
    <w:rsid w:val="00433F50"/>
    <w:rsid w:val="00434182"/>
    <w:rsid w:val="00434940"/>
    <w:rsid w:val="00434951"/>
    <w:rsid w:val="00435804"/>
    <w:rsid w:val="00437A9A"/>
    <w:rsid w:val="004417B9"/>
    <w:rsid w:val="0044623F"/>
    <w:rsid w:val="00446BDA"/>
    <w:rsid w:val="004503CF"/>
    <w:rsid w:val="00450DB2"/>
    <w:rsid w:val="00451EE7"/>
    <w:rsid w:val="00452A4A"/>
    <w:rsid w:val="0046789F"/>
    <w:rsid w:val="00467FC4"/>
    <w:rsid w:val="0047202C"/>
    <w:rsid w:val="004741DA"/>
    <w:rsid w:val="00481EBC"/>
    <w:rsid w:val="00483421"/>
    <w:rsid w:val="00483AAB"/>
    <w:rsid w:val="00483CF7"/>
    <w:rsid w:val="00492907"/>
    <w:rsid w:val="00496F53"/>
    <w:rsid w:val="004971A6"/>
    <w:rsid w:val="004A20A1"/>
    <w:rsid w:val="004A520D"/>
    <w:rsid w:val="004A5636"/>
    <w:rsid w:val="004A6AAB"/>
    <w:rsid w:val="004B1A54"/>
    <w:rsid w:val="004B1D1F"/>
    <w:rsid w:val="004B3474"/>
    <w:rsid w:val="004B405C"/>
    <w:rsid w:val="004B50DD"/>
    <w:rsid w:val="004B653B"/>
    <w:rsid w:val="004C4043"/>
    <w:rsid w:val="004C4E2F"/>
    <w:rsid w:val="004D1051"/>
    <w:rsid w:val="004D10F7"/>
    <w:rsid w:val="004D2B93"/>
    <w:rsid w:val="004D41E2"/>
    <w:rsid w:val="004D5B76"/>
    <w:rsid w:val="004D7398"/>
    <w:rsid w:val="004D7C4E"/>
    <w:rsid w:val="004E3307"/>
    <w:rsid w:val="004E4489"/>
    <w:rsid w:val="004E6687"/>
    <w:rsid w:val="004E689E"/>
    <w:rsid w:val="004F0ACE"/>
    <w:rsid w:val="004F2DD5"/>
    <w:rsid w:val="004F3369"/>
    <w:rsid w:val="004F63AB"/>
    <w:rsid w:val="005003B9"/>
    <w:rsid w:val="00500F6A"/>
    <w:rsid w:val="0050187E"/>
    <w:rsid w:val="00501BDE"/>
    <w:rsid w:val="00512F28"/>
    <w:rsid w:val="00514E1A"/>
    <w:rsid w:val="00515A0F"/>
    <w:rsid w:val="005162C3"/>
    <w:rsid w:val="00516D05"/>
    <w:rsid w:val="00516E83"/>
    <w:rsid w:val="005203C8"/>
    <w:rsid w:val="00520797"/>
    <w:rsid w:val="005215D7"/>
    <w:rsid w:val="0052187B"/>
    <w:rsid w:val="0052202C"/>
    <w:rsid w:val="0052369A"/>
    <w:rsid w:val="00523831"/>
    <w:rsid w:val="00527176"/>
    <w:rsid w:val="00527B1F"/>
    <w:rsid w:val="00530096"/>
    <w:rsid w:val="0053044D"/>
    <w:rsid w:val="00533269"/>
    <w:rsid w:val="00533368"/>
    <w:rsid w:val="00533D58"/>
    <w:rsid w:val="00535707"/>
    <w:rsid w:val="00536D85"/>
    <w:rsid w:val="005373A9"/>
    <w:rsid w:val="00541B44"/>
    <w:rsid w:val="00541E07"/>
    <w:rsid w:val="005423F3"/>
    <w:rsid w:val="00543400"/>
    <w:rsid w:val="005434C2"/>
    <w:rsid w:val="00543A57"/>
    <w:rsid w:val="005444C4"/>
    <w:rsid w:val="00545155"/>
    <w:rsid w:val="00546B39"/>
    <w:rsid w:val="00547773"/>
    <w:rsid w:val="00550DDC"/>
    <w:rsid w:val="00550FD2"/>
    <w:rsid w:val="00553DFB"/>
    <w:rsid w:val="00561319"/>
    <w:rsid w:val="00562269"/>
    <w:rsid w:val="00563D82"/>
    <w:rsid w:val="005646AD"/>
    <w:rsid w:val="005647C7"/>
    <w:rsid w:val="0056699D"/>
    <w:rsid w:val="005671EC"/>
    <w:rsid w:val="00571C17"/>
    <w:rsid w:val="005742DB"/>
    <w:rsid w:val="0057455C"/>
    <w:rsid w:val="00577BF8"/>
    <w:rsid w:val="00580E67"/>
    <w:rsid w:val="00581562"/>
    <w:rsid w:val="00581A2B"/>
    <w:rsid w:val="005827EB"/>
    <w:rsid w:val="005840FE"/>
    <w:rsid w:val="00584A5F"/>
    <w:rsid w:val="00585FB9"/>
    <w:rsid w:val="00587246"/>
    <w:rsid w:val="00587C91"/>
    <w:rsid w:val="00590E03"/>
    <w:rsid w:val="005917D4"/>
    <w:rsid w:val="00591FAB"/>
    <w:rsid w:val="00592A2F"/>
    <w:rsid w:val="00592E8D"/>
    <w:rsid w:val="005937C9"/>
    <w:rsid w:val="00594716"/>
    <w:rsid w:val="00594E85"/>
    <w:rsid w:val="00596624"/>
    <w:rsid w:val="0059717B"/>
    <w:rsid w:val="005A089D"/>
    <w:rsid w:val="005A16A9"/>
    <w:rsid w:val="005A348D"/>
    <w:rsid w:val="005A3A13"/>
    <w:rsid w:val="005A52F9"/>
    <w:rsid w:val="005A66E1"/>
    <w:rsid w:val="005A7ACC"/>
    <w:rsid w:val="005B00B5"/>
    <w:rsid w:val="005B1215"/>
    <w:rsid w:val="005B197F"/>
    <w:rsid w:val="005B3C28"/>
    <w:rsid w:val="005B3C3F"/>
    <w:rsid w:val="005B4265"/>
    <w:rsid w:val="005B4803"/>
    <w:rsid w:val="005B58BB"/>
    <w:rsid w:val="005B7BF9"/>
    <w:rsid w:val="005B7FE9"/>
    <w:rsid w:val="005C6031"/>
    <w:rsid w:val="005C70C3"/>
    <w:rsid w:val="005C76C9"/>
    <w:rsid w:val="005D23FD"/>
    <w:rsid w:val="005D26F6"/>
    <w:rsid w:val="005D432C"/>
    <w:rsid w:val="005D613B"/>
    <w:rsid w:val="005E17F0"/>
    <w:rsid w:val="005E1B9F"/>
    <w:rsid w:val="005E2CA7"/>
    <w:rsid w:val="005E3495"/>
    <w:rsid w:val="005E53A8"/>
    <w:rsid w:val="005F12CE"/>
    <w:rsid w:val="005F3A7E"/>
    <w:rsid w:val="005F4578"/>
    <w:rsid w:val="005F4E02"/>
    <w:rsid w:val="006004B5"/>
    <w:rsid w:val="00601012"/>
    <w:rsid w:val="006021E8"/>
    <w:rsid w:val="006051F7"/>
    <w:rsid w:val="00605293"/>
    <w:rsid w:val="006057E8"/>
    <w:rsid w:val="00605C8A"/>
    <w:rsid w:val="006061FE"/>
    <w:rsid w:val="00606C65"/>
    <w:rsid w:val="0061089C"/>
    <w:rsid w:val="00612522"/>
    <w:rsid w:val="00613118"/>
    <w:rsid w:val="0061439A"/>
    <w:rsid w:val="00614430"/>
    <w:rsid w:val="006169C2"/>
    <w:rsid w:val="006176E3"/>
    <w:rsid w:val="00621A35"/>
    <w:rsid w:val="00622ABC"/>
    <w:rsid w:val="00623073"/>
    <w:rsid w:val="00623877"/>
    <w:rsid w:val="0062573E"/>
    <w:rsid w:val="00625AA4"/>
    <w:rsid w:val="006264A4"/>
    <w:rsid w:val="00627C97"/>
    <w:rsid w:val="00630C8E"/>
    <w:rsid w:val="006339A0"/>
    <w:rsid w:val="00634ADA"/>
    <w:rsid w:val="00637580"/>
    <w:rsid w:val="00641612"/>
    <w:rsid w:val="00644419"/>
    <w:rsid w:val="0064563E"/>
    <w:rsid w:val="00646A3B"/>
    <w:rsid w:val="00646DD1"/>
    <w:rsid w:val="00647590"/>
    <w:rsid w:val="00647D2F"/>
    <w:rsid w:val="00647DEC"/>
    <w:rsid w:val="006508E7"/>
    <w:rsid w:val="00651F80"/>
    <w:rsid w:val="00654A69"/>
    <w:rsid w:val="006560AD"/>
    <w:rsid w:val="00660D7D"/>
    <w:rsid w:val="00662CC2"/>
    <w:rsid w:val="0066348D"/>
    <w:rsid w:val="00664BD1"/>
    <w:rsid w:val="00666959"/>
    <w:rsid w:val="00666D32"/>
    <w:rsid w:val="00666FF6"/>
    <w:rsid w:val="00670A01"/>
    <w:rsid w:val="00670B57"/>
    <w:rsid w:val="00673A87"/>
    <w:rsid w:val="00673FB6"/>
    <w:rsid w:val="0067529B"/>
    <w:rsid w:val="00675813"/>
    <w:rsid w:val="0068038D"/>
    <w:rsid w:val="00680557"/>
    <w:rsid w:val="00680588"/>
    <w:rsid w:val="00681656"/>
    <w:rsid w:val="00681CCF"/>
    <w:rsid w:val="00682B96"/>
    <w:rsid w:val="00684004"/>
    <w:rsid w:val="006850F2"/>
    <w:rsid w:val="006852D7"/>
    <w:rsid w:val="0068542F"/>
    <w:rsid w:val="00687E70"/>
    <w:rsid w:val="006903B9"/>
    <w:rsid w:val="00691A0D"/>
    <w:rsid w:val="006920F5"/>
    <w:rsid w:val="00692393"/>
    <w:rsid w:val="00695B31"/>
    <w:rsid w:val="00696FFF"/>
    <w:rsid w:val="006A20F2"/>
    <w:rsid w:val="006A24E0"/>
    <w:rsid w:val="006A2875"/>
    <w:rsid w:val="006A28F8"/>
    <w:rsid w:val="006A3052"/>
    <w:rsid w:val="006A536F"/>
    <w:rsid w:val="006A665F"/>
    <w:rsid w:val="006B32FA"/>
    <w:rsid w:val="006B4CD0"/>
    <w:rsid w:val="006B4F16"/>
    <w:rsid w:val="006B5016"/>
    <w:rsid w:val="006B6271"/>
    <w:rsid w:val="006C2C8F"/>
    <w:rsid w:val="006C2F70"/>
    <w:rsid w:val="006C495C"/>
    <w:rsid w:val="006C5926"/>
    <w:rsid w:val="006C5ACE"/>
    <w:rsid w:val="006C6E36"/>
    <w:rsid w:val="006D2E03"/>
    <w:rsid w:val="006D3FAB"/>
    <w:rsid w:val="006E1BE4"/>
    <w:rsid w:val="006E2663"/>
    <w:rsid w:val="006E4CB7"/>
    <w:rsid w:val="006E589B"/>
    <w:rsid w:val="006F151B"/>
    <w:rsid w:val="006F3961"/>
    <w:rsid w:val="006F4CD3"/>
    <w:rsid w:val="006F5A32"/>
    <w:rsid w:val="006F5A6C"/>
    <w:rsid w:val="00700B14"/>
    <w:rsid w:val="00700CE2"/>
    <w:rsid w:val="0070209D"/>
    <w:rsid w:val="0070247E"/>
    <w:rsid w:val="00702903"/>
    <w:rsid w:val="0070400C"/>
    <w:rsid w:val="00706492"/>
    <w:rsid w:val="007075AF"/>
    <w:rsid w:val="007141A9"/>
    <w:rsid w:val="00716ABE"/>
    <w:rsid w:val="00717BE0"/>
    <w:rsid w:val="0072043A"/>
    <w:rsid w:val="00721C68"/>
    <w:rsid w:val="0072287D"/>
    <w:rsid w:val="00724403"/>
    <w:rsid w:val="00724457"/>
    <w:rsid w:val="0072482B"/>
    <w:rsid w:val="007264B6"/>
    <w:rsid w:val="007276F3"/>
    <w:rsid w:val="007303A4"/>
    <w:rsid w:val="007326C4"/>
    <w:rsid w:val="00734D66"/>
    <w:rsid w:val="00735EDF"/>
    <w:rsid w:val="0073745C"/>
    <w:rsid w:val="00740078"/>
    <w:rsid w:val="00741E7C"/>
    <w:rsid w:val="00742A60"/>
    <w:rsid w:val="0074428D"/>
    <w:rsid w:val="0074527C"/>
    <w:rsid w:val="007458CA"/>
    <w:rsid w:val="00746644"/>
    <w:rsid w:val="00746692"/>
    <w:rsid w:val="00746C9B"/>
    <w:rsid w:val="00751728"/>
    <w:rsid w:val="0075502A"/>
    <w:rsid w:val="00761A13"/>
    <w:rsid w:val="00762B88"/>
    <w:rsid w:val="00763B9D"/>
    <w:rsid w:val="00763D23"/>
    <w:rsid w:val="00764E0E"/>
    <w:rsid w:val="007672DF"/>
    <w:rsid w:val="00767D7B"/>
    <w:rsid w:val="00770E71"/>
    <w:rsid w:val="007728C5"/>
    <w:rsid w:val="00776DA8"/>
    <w:rsid w:val="007772C6"/>
    <w:rsid w:val="00780E6F"/>
    <w:rsid w:val="0078171C"/>
    <w:rsid w:val="0078244D"/>
    <w:rsid w:val="00785ACF"/>
    <w:rsid w:val="00785C66"/>
    <w:rsid w:val="00786B60"/>
    <w:rsid w:val="00786D4E"/>
    <w:rsid w:val="0079180A"/>
    <w:rsid w:val="00794022"/>
    <w:rsid w:val="00796186"/>
    <w:rsid w:val="00797438"/>
    <w:rsid w:val="007A0BF6"/>
    <w:rsid w:val="007A132D"/>
    <w:rsid w:val="007A3801"/>
    <w:rsid w:val="007A3E7E"/>
    <w:rsid w:val="007A5787"/>
    <w:rsid w:val="007A5AE5"/>
    <w:rsid w:val="007A5D78"/>
    <w:rsid w:val="007A68FF"/>
    <w:rsid w:val="007A778B"/>
    <w:rsid w:val="007A7B92"/>
    <w:rsid w:val="007B01BF"/>
    <w:rsid w:val="007B3293"/>
    <w:rsid w:val="007B3B9B"/>
    <w:rsid w:val="007B3D52"/>
    <w:rsid w:val="007B6BCA"/>
    <w:rsid w:val="007B77D1"/>
    <w:rsid w:val="007C403E"/>
    <w:rsid w:val="007C58C5"/>
    <w:rsid w:val="007C6E7A"/>
    <w:rsid w:val="007C717B"/>
    <w:rsid w:val="007D0944"/>
    <w:rsid w:val="007D0FF7"/>
    <w:rsid w:val="007D2095"/>
    <w:rsid w:val="007D3D09"/>
    <w:rsid w:val="007D52C0"/>
    <w:rsid w:val="007E1B4C"/>
    <w:rsid w:val="007E2144"/>
    <w:rsid w:val="007E608F"/>
    <w:rsid w:val="007E6449"/>
    <w:rsid w:val="007E6F50"/>
    <w:rsid w:val="007E798D"/>
    <w:rsid w:val="007F27AB"/>
    <w:rsid w:val="007F6D12"/>
    <w:rsid w:val="007F71E9"/>
    <w:rsid w:val="0080060C"/>
    <w:rsid w:val="00800DB2"/>
    <w:rsid w:val="0080245B"/>
    <w:rsid w:val="008036E3"/>
    <w:rsid w:val="008078F1"/>
    <w:rsid w:val="00816235"/>
    <w:rsid w:val="008176F3"/>
    <w:rsid w:val="00821D7E"/>
    <w:rsid w:val="008249C4"/>
    <w:rsid w:val="00825444"/>
    <w:rsid w:val="008276A2"/>
    <w:rsid w:val="00830C06"/>
    <w:rsid w:val="008338C6"/>
    <w:rsid w:val="00833DB1"/>
    <w:rsid w:val="0083765A"/>
    <w:rsid w:val="00840270"/>
    <w:rsid w:val="00840287"/>
    <w:rsid w:val="008406BE"/>
    <w:rsid w:val="00840A63"/>
    <w:rsid w:val="00843020"/>
    <w:rsid w:val="00843BE8"/>
    <w:rsid w:val="0085343D"/>
    <w:rsid w:val="00856F16"/>
    <w:rsid w:val="0086342C"/>
    <w:rsid w:val="008648D9"/>
    <w:rsid w:val="008657F6"/>
    <w:rsid w:val="00865F48"/>
    <w:rsid w:val="008660F4"/>
    <w:rsid w:val="00866C25"/>
    <w:rsid w:val="00866D71"/>
    <w:rsid w:val="00871160"/>
    <w:rsid w:val="008713FB"/>
    <w:rsid w:val="008729B2"/>
    <w:rsid w:val="00872DB1"/>
    <w:rsid w:val="00873614"/>
    <w:rsid w:val="00875221"/>
    <w:rsid w:val="00876CFC"/>
    <w:rsid w:val="008803CF"/>
    <w:rsid w:val="008855B9"/>
    <w:rsid w:val="008856DA"/>
    <w:rsid w:val="00891E87"/>
    <w:rsid w:val="00894A8D"/>
    <w:rsid w:val="008952E9"/>
    <w:rsid w:val="00895E76"/>
    <w:rsid w:val="008974E7"/>
    <w:rsid w:val="008A0D2C"/>
    <w:rsid w:val="008A1486"/>
    <w:rsid w:val="008A56C2"/>
    <w:rsid w:val="008B10B8"/>
    <w:rsid w:val="008B4973"/>
    <w:rsid w:val="008B4C8D"/>
    <w:rsid w:val="008B5CAD"/>
    <w:rsid w:val="008B77B5"/>
    <w:rsid w:val="008C1B07"/>
    <w:rsid w:val="008C2C8C"/>
    <w:rsid w:val="008C3A02"/>
    <w:rsid w:val="008C4248"/>
    <w:rsid w:val="008C5080"/>
    <w:rsid w:val="008C5CC0"/>
    <w:rsid w:val="008D1078"/>
    <w:rsid w:val="008D1D9C"/>
    <w:rsid w:val="008D2992"/>
    <w:rsid w:val="008D3395"/>
    <w:rsid w:val="008D39F5"/>
    <w:rsid w:val="008D4989"/>
    <w:rsid w:val="008D4C39"/>
    <w:rsid w:val="008E5082"/>
    <w:rsid w:val="008E5DF1"/>
    <w:rsid w:val="008F26AE"/>
    <w:rsid w:val="008F3E59"/>
    <w:rsid w:val="008F60B7"/>
    <w:rsid w:val="008F6AA0"/>
    <w:rsid w:val="008F6C83"/>
    <w:rsid w:val="008F7C63"/>
    <w:rsid w:val="00900291"/>
    <w:rsid w:val="00901B02"/>
    <w:rsid w:val="00901B97"/>
    <w:rsid w:val="00902052"/>
    <w:rsid w:val="00905F6D"/>
    <w:rsid w:val="00906C30"/>
    <w:rsid w:val="00907E22"/>
    <w:rsid w:val="00911159"/>
    <w:rsid w:val="009113F3"/>
    <w:rsid w:val="00911AFE"/>
    <w:rsid w:val="00911D4C"/>
    <w:rsid w:val="00921219"/>
    <w:rsid w:val="009239AD"/>
    <w:rsid w:val="00923E5E"/>
    <w:rsid w:val="00924368"/>
    <w:rsid w:val="00924926"/>
    <w:rsid w:val="00926D66"/>
    <w:rsid w:val="00927453"/>
    <w:rsid w:val="00927835"/>
    <w:rsid w:val="00932AEA"/>
    <w:rsid w:val="0093409B"/>
    <w:rsid w:val="00935439"/>
    <w:rsid w:val="009360B6"/>
    <w:rsid w:val="00936243"/>
    <w:rsid w:val="00936FD9"/>
    <w:rsid w:val="00937ED6"/>
    <w:rsid w:val="00940079"/>
    <w:rsid w:val="009406DA"/>
    <w:rsid w:val="00940E14"/>
    <w:rsid w:val="00942C8A"/>
    <w:rsid w:val="00943ABE"/>
    <w:rsid w:val="009443AC"/>
    <w:rsid w:val="00944D37"/>
    <w:rsid w:val="00946271"/>
    <w:rsid w:val="00947508"/>
    <w:rsid w:val="00952388"/>
    <w:rsid w:val="00955B6E"/>
    <w:rsid w:val="00956654"/>
    <w:rsid w:val="00961AD2"/>
    <w:rsid w:val="009629B5"/>
    <w:rsid w:val="00962C31"/>
    <w:rsid w:val="00963C69"/>
    <w:rsid w:val="00964E25"/>
    <w:rsid w:val="00965C28"/>
    <w:rsid w:val="00965E16"/>
    <w:rsid w:val="00971512"/>
    <w:rsid w:val="00971ECC"/>
    <w:rsid w:val="00973D1E"/>
    <w:rsid w:val="00974901"/>
    <w:rsid w:val="00976E6D"/>
    <w:rsid w:val="0097739C"/>
    <w:rsid w:val="00980FCC"/>
    <w:rsid w:val="009820E9"/>
    <w:rsid w:val="009831DD"/>
    <w:rsid w:val="00985928"/>
    <w:rsid w:val="00990206"/>
    <w:rsid w:val="00992EF5"/>
    <w:rsid w:val="00996E90"/>
    <w:rsid w:val="009A0A8C"/>
    <w:rsid w:val="009A1814"/>
    <w:rsid w:val="009A36BE"/>
    <w:rsid w:val="009A43F1"/>
    <w:rsid w:val="009A5EDE"/>
    <w:rsid w:val="009C0226"/>
    <w:rsid w:val="009C2893"/>
    <w:rsid w:val="009C47F2"/>
    <w:rsid w:val="009C558E"/>
    <w:rsid w:val="009C5A7F"/>
    <w:rsid w:val="009C6C6B"/>
    <w:rsid w:val="009C6E85"/>
    <w:rsid w:val="009D036D"/>
    <w:rsid w:val="009D06D8"/>
    <w:rsid w:val="009D4E6C"/>
    <w:rsid w:val="009D6790"/>
    <w:rsid w:val="009D6B53"/>
    <w:rsid w:val="009D7EB4"/>
    <w:rsid w:val="009E07CE"/>
    <w:rsid w:val="009E0D62"/>
    <w:rsid w:val="009E21D5"/>
    <w:rsid w:val="009E2672"/>
    <w:rsid w:val="009E2FFB"/>
    <w:rsid w:val="009E357B"/>
    <w:rsid w:val="009E6853"/>
    <w:rsid w:val="009E7A3B"/>
    <w:rsid w:val="009F06B8"/>
    <w:rsid w:val="009F262F"/>
    <w:rsid w:val="009F2A8C"/>
    <w:rsid w:val="009F348E"/>
    <w:rsid w:val="009F584E"/>
    <w:rsid w:val="009F5E96"/>
    <w:rsid w:val="009F70E6"/>
    <w:rsid w:val="00A050E8"/>
    <w:rsid w:val="00A06EF2"/>
    <w:rsid w:val="00A10B0A"/>
    <w:rsid w:val="00A10BA9"/>
    <w:rsid w:val="00A14F4E"/>
    <w:rsid w:val="00A21F92"/>
    <w:rsid w:val="00A22961"/>
    <w:rsid w:val="00A22AA5"/>
    <w:rsid w:val="00A2629A"/>
    <w:rsid w:val="00A2635D"/>
    <w:rsid w:val="00A26978"/>
    <w:rsid w:val="00A26A34"/>
    <w:rsid w:val="00A2719E"/>
    <w:rsid w:val="00A276D7"/>
    <w:rsid w:val="00A300D2"/>
    <w:rsid w:val="00A30110"/>
    <w:rsid w:val="00A31F51"/>
    <w:rsid w:val="00A32046"/>
    <w:rsid w:val="00A323D4"/>
    <w:rsid w:val="00A3334B"/>
    <w:rsid w:val="00A33E71"/>
    <w:rsid w:val="00A353B2"/>
    <w:rsid w:val="00A37EF3"/>
    <w:rsid w:val="00A40AC4"/>
    <w:rsid w:val="00A47C81"/>
    <w:rsid w:val="00A535B7"/>
    <w:rsid w:val="00A53E89"/>
    <w:rsid w:val="00A56ECF"/>
    <w:rsid w:val="00A57B71"/>
    <w:rsid w:val="00A60B14"/>
    <w:rsid w:val="00A65638"/>
    <w:rsid w:val="00A65D82"/>
    <w:rsid w:val="00A7167C"/>
    <w:rsid w:val="00A75000"/>
    <w:rsid w:val="00A840D6"/>
    <w:rsid w:val="00A87C31"/>
    <w:rsid w:val="00A9097A"/>
    <w:rsid w:val="00A9211E"/>
    <w:rsid w:val="00A937D0"/>
    <w:rsid w:val="00A94E7B"/>
    <w:rsid w:val="00A95D93"/>
    <w:rsid w:val="00A970A3"/>
    <w:rsid w:val="00AA0DE0"/>
    <w:rsid w:val="00AA176F"/>
    <w:rsid w:val="00AA2563"/>
    <w:rsid w:val="00AA2CDC"/>
    <w:rsid w:val="00AA6445"/>
    <w:rsid w:val="00AB247C"/>
    <w:rsid w:val="00AB3486"/>
    <w:rsid w:val="00AB5440"/>
    <w:rsid w:val="00AC0558"/>
    <w:rsid w:val="00AC1C06"/>
    <w:rsid w:val="00AC24ED"/>
    <w:rsid w:val="00AC2FA5"/>
    <w:rsid w:val="00AC596F"/>
    <w:rsid w:val="00AC5BEC"/>
    <w:rsid w:val="00AC671F"/>
    <w:rsid w:val="00AD1C28"/>
    <w:rsid w:val="00AD1F31"/>
    <w:rsid w:val="00AD2028"/>
    <w:rsid w:val="00AD50B4"/>
    <w:rsid w:val="00AD7D1A"/>
    <w:rsid w:val="00AE0D12"/>
    <w:rsid w:val="00AE17BC"/>
    <w:rsid w:val="00AE1C17"/>
    <w:rsid w:val="00AE29EE"/>
    <w:rsid w:val="00AE6150"/>
    <w:rsid w:val="00AE6AF5"/>
    <w:rsid w:val="00AF027C"/>
    <w:rsid w:val="00AF0C2B"/>
    <w:rsid w:val="00AF19D6"/>
    <w:rsid w:val="00AF2C4B"/>
    <w:rsid w:val="00AF3A9E"/>
    <w:rsid w:val="00AF4DB6"/>
    <w:rsid w:val="00AF753B"/>
    <w:rsid w:val="00B00409"/>
    <w:rsid w:val="00B01EBF"/>
    <w:rsid w:val="00B02337"/>
    <w:rsid w:val="00B03570"/>
    <w:rsid w:val="00B038BB"/>
    <w:rsid w:val="00B13209"/>
    <w:rsid w:val="00B133D0"/>
    <w:rsid w:val="00B15073"/>
    <w:rsid w:val="00B16872"/>
    <w:rsid w:val="00B17008"/>
    <w:rsid w:val="00B17D5C"/>
    <w:rsid w:val="00B21210"/>
    <w:rsid w:val="00B214BB"/>
    <w:rsid w:val="00B2269D"/>
    <w:rsid w:val="00B22B77"/>
    <w:rsid w:val="00B237CB"/>
    <w:rsid w:val="00B23858"/>
    <w:rsid w:val="00B24704"/>
    <w:rsid w:val="00B24F15"/>
    <w:rsid w:val="00B25AD9"/>
    <w:rsid w:val="00B26314"/>
    <w:rsid w:val="00B276C9"/>
    <w:rsid w:val="00B30F79"/>
    <w:rsid w:val="00B31BC0"/>
    <w:rsid w:val="00B342D0"/>
    <w:rsid w:val="00B36AFB"/>
    <w:rsid w:val="00B36D54"/>
    <w:rsid w:val="00B409F0"/>
    <w:rsid w:val="00B4115B"/>
    <w:rsid w:val="00B416EA"/>
    <w:rsid w:val="00B41E17"/>
    <w:rsid w:val="00B430F8"/>
    <w:rsid w:val="00B43F8C"/>
    <w:rsid w:val="00B459B8"/>
    <w:rsid w:val="00B47EBE"/>
    <w:rsid w:val="00B51AA8"/>
    <w:rsid w:val="00B5596F"/>
    <w:rsid w:val="00B55B04"/>
    <w:rsid w:val="00B55CC0"/>
    <w:rsid w:val="00B57A3A"/>
    <w:rsid w:val="00B6024D"/>
    <w:rsid w:val="00B607C5"/>
    <w:rsid w:val="00B60A36"/>
    <w:rsid w:val="00B63B58"/>
    <w:rsid w:val="00B663AE"/>
    <w:rsid w:val="00B70027"/>
    <w:rsid w:val="00B71E88"/>
    <w:rsid w:val="00B759E7"/>
    <w:rsid w:val="00B81721"/>
    <w:rsid w:val="00B822FD"/>
    <w:rsid w:val="00B82B5D"/>
    <w:rsid w:val="00B849BA"/>
    <w:rsid w:val="00B866E1"/>
    <w:rsid w:val="00B87C28"/>
    <w:rsid w:val="00B87C5C"/>
    <w:rsid w:val="00B9352E"/>
    <w:rsid w:val="00B942AE"/>
    <w:rsid w:val="00B959D1"/>
    <w:rsid w:val="00BA0A50"/>
    <w:rsid w:val="00BA4708"/>
    <w:rsid w:val="00BA4B50"/>
    <w:rsid w:val="00BB02FE"/>
    <w:rsid w:val="00BB16BF"/>
    <w:rsid w:val="00BB1BDB"/>
    <w:rsid w:val="00BB1D61"/>
    <w:rsid w:val="00BB24C5"/>
    <w:rsid w:val="00BB2934"/>
    <w:rsid w:val="00BB3F73"/>
    <w:rsid w:val="00BB4065"/>
    <w:rsid w:val="00BB62FD"/>
    <w:rsid w:val="00BB6BD3"/>
    <w:rsid w:val="00BC1A67"/>
    <w:rsid w:val="00BC2172"/>
    <w:rsid w:val="00BC243A"/>
    <w:rsid w:val="00BC266B"/>
    <w:rsid w:val="00BC3475"/>
    <w:rsid w:val="00BC587B"/>
    <w:rsid w:val="00BC789B"/>
    <w:rsid w:val="00BD05FF"/>
    <w:rsid w:val="00BD3094"/>
    <w:rsid w:val="00BE1711"/>
    <w:rsid w:val="00BE1AB6"/>
    <w:rsid w:val="00BE2CE2"/>
    <w:rsid w:val="00BE3350"/>
    <w:rsid w:val="00BE55E4"/>
    <w:rsid w:val="00BF1127"/>
    <w:rsid w:val="00BF1376"/>
    <w:rsid w:val="00BF1E2E"/>
    <w:rsid w:val="00BF390C"/>
    <w:rsid w:val="00BF43C7"/>
    <w:rsid w:val="00BF5811"/>
    <w:rsid w:val="00C00C4A"/>
    <w:rsid w:val="00C020CA"/>
    <w:rsid w:val="00C03EE1"/>
    <w:rsid w:val="00C04CC4"/>
    <w:rsid w:val="00C0570E"/>
    <w:rsid w:val="00C068F2"/>
    <w:rsid w:val="00C06949"/>
    <w:rsid w:val="00C06C3F"/>
    <w:rsid w:val="00C10AF5"/>
    <w:rsid w:val="00C10B3C"/>
    <w:rsid w:val="00C12A51"/>
    <w:rsid w:val="00C1306B"/>
    <w:rsid w:val="00C140E6"/>
    <w:rsid w:val="00C152E3"/>
    <w:rsid w:val="00C163E7"/>
    <w:rsid w:val="00C208D8"/>
    <w:rsid w:val="00C20DA7"/>
    <w:rsid w:val="00C20F40"/>
    <w:rsid w:val="00C22877"/>
    <w:rsid w:val="00C25AF7"/>
    <w:rsid w:val="00C27447"/>
    <w:rsid w:val="00C32827"/>
    <w:rsid w:val="00C33547"/>
    <w:rsid w:val="00C33B27"/>
    <w:rsid w:val="00C35C88"/>
    <w:rsid w:val="00C37BBF"/>
    <w:rsid w:val="00C37F48"/>
    <w:rsid w:val="00C41AF5"/>
    <w:rsid w:val="00C42543"/>
    <w:rsid w:val="00C43BF8"/>
    <w:rsid w:val="00C4451E"/>
    <w:rsid w:val="00C47785"/>
    <w:rsid w:val="00C51111"/>
    <w:rsid w:val="00C529C7"/>
    <w:rsid w:val="00C53189"/>
    <w:rsid w:val="00C57B37"/>
    <w:rsid w:val="00C57D6F"/>
    <w:rsid w:val="00C6046A"/>
    <w:rsid w:val="00C609FF"/>
    <w:rsid w:val="00C618D8"/>
    <w:rsid w:val="00C6276D"/>
    <w:rsid w:val="00C636B3"/>
    <w:rsid w:val="00C71CE0"/>
    <w:rsid w:val="00C73C9A"/>
    <w:rsid w:val="00C75534"/>
    <w:rsid w:val="00C77AAC"/>
    <w:rsid w:val="00C80078"/>
    <w:rsid w:val="00C8288B"/>
    <w:rsid w:val="00C82E19"/>
    <w:rsid w:val="00C84F23"/>
    <w:rsid w:val="00C86BE5"/>
    <w:rsid w:val="00C904A2"/>
    <w:rsid w:val="00C906E8"/>
    <w:rsid w:val="00C945DA"/>
    <w:rsid w:val="00C97731"/>
    <w:rsid w:val="00CA1BC5"/>
    <w:rsid w:val="00CA1CE8"/>
    <w:rsid w:val="00CA3F09"/>
    <w:rsid w:val="00CA4471"/>
    <w:rsid w:val="00CA4F3F"/>
    <w:rsid w:val="00CB2DB3"/>
    <w:rsid w:val="00CB3835"/>
    <w:rsid w:val="00CB4A27"/>
    <w:rsid w:val="00CB57ED"/>
    <w:rsid w:val="00CB65F7"/>
    <w:rsid w:val="00CB778C"/>
    <w:rsid w:val="00CC0371"/>
    <w:rsid w:val="00CC10F1"/>
    <w:rsid w:val="00CC337A"/>
    <w:rsid w:val="00CC3CCD"/>
    <w:rsid w:val="00CC55C4"/>
    <w:rsid w:val="00CC771F"/>
    <w:rsid w:val="00CC78F5"/>
    <w:rsid w:val="00CD1072"/>
    <w:rsid w:val="00CD5F0A"/>
    <w:rsid w:val="00CD5F86"/>
    <w:rsid w:val="00CE2162"/>
    <w:rsid w:val="00CE2E82"/>
    <w:rsid w:val="00CE4AB5"/>
    <w:rsid w:val="00CE5D19"/>
    <w:rsid w:val="00CE6737"/>
    <w:rsid w:val="00CE6A45"/>
    <w:rsid w:val="00CE6D4B"/>
    <w:rsid w:val="00CE7366"/>
    <w:rsid w:val="00CF0CB7"/>
    <w:rsid w:val="00CF4D6E"/>
    <w:rsid w:val="00CF5533"/>
    <w:rsid w:val="00CF56A4"/>
    <w:rsid w:val="00CF6372"/>
    <w:rsid w:val="00CF64B0"/>
    <w:rsid w:val="00D055DC"/>
    <w:rsid w:val="00D057D1"/>
    <w:rsid w:val="00D05ED9"/>
    <w:rsid w:val="00D06B8D"/>
    <w:rsid w:val="00D10981"/>
    <w:rsid w:val="00D1215B"/>
    <w:rsid w:val="00D130E4"/>
    <w:rsid w:val="00D134B9"/>
    <w:rsid w:val="00D14656"/>
    <w:rsid w:val="00D17000"/>
    <w:rsid w:val="00D20CA7"/>
    <w:rsid w:val="00D20FDC"/>
    <w:rsid w:val="00D2216E"/>
    <w:rsid w:val="00D242C3"/>
    <w:rsid w:val="00D27D32"/>
    <w:rsid w:val="00D34467"/>
    <w:rsid w:val="00D34CCF"/>
    <w:rsid w:val="00D34E47"/>
    <w:rsid w:val="00D365B2"/>
    <w:rsid w:val="00D37155"/>
    <w:rsid w:val="00D41B49"/>
    <w:rsid w:val="00D435CD"/>
    <w:rsid w:val="00D43989"/>
    <w:rsid w:val="00D44CC8"/>
    <w:rsid w:val="00D4664A"/>
    <w:rsid w:val="00D4688D"/>
    <w:rsid w:val="00D51111"/>
    <w:rsid w:val="00D51134"/>
    <w:rsid w:val="00D51C36"/>
    <w:rsid w:val="00D51F36"/>
    <w:rsid w:val="00D52058"/>
    <w:rsid w:val="00D54429"/>
    <w:rsid w:val="00D546D2"/>
    <w:rsid w:val="00D574F6"/>
    <w:rsid w:val="00D607C5"/>
    <w:rsid w:val="00D61045"/>
    <w:rsid w:val="00D612DD"/>
    <w:rsid w:val="00D62371"/>
    <w:rsid w:val="00D662AC"/>
    <w:rsid w:val="00D70799"/>
    <w:rsid w:val="00D724AA"/>
    <w:rsid w:val="00D7419D"/>
    <w:rsid w:val="00D751B4"/>
    <w:rsid w:val="00D76AA7"/>
    <w:rsid w:val="00D76DB0"/>
    <w:rsid w:val="00D77BC2"/>
    <w:rsid w:val="00D80A8C"/>
    <w:rsid w:val="00D81A7A"/>
    <w:rsid w:val="00D8474A"/>
    <w:rsid w:val="00D84ABA"/>
    <w:rsid w:val="00D85949"/>
    <w:rsid w:val="00D85EB3"/>
    <w:rsid w:val="00D8614E"/>
    <w:rsid w:val="00D91A5D"/>
    <w:rsid w:val="00D92363"/>
    <w:rsid w:val="00D92CC8"/>
    <w:rsid w:val="00D945AA"/>
    <w:rsid w:val="00D9705C"/>
    <w:rsid w:val="00DA1524"/>
    <w:rsid w:val="00DA1E3F"/>
    <w:rsid w:val="00DA55AE"/>
    <w:rsid w:val="00DA77F5"/>
    <w:rsid w:val="00DA7E81"/>
    <w:rsid w:val="00DB15CF"/>
    <w:rsid w:val="00DB238D"/>
    <w:rsid w:val="00DB2959"/>
    <w:rsid w:val="00DB32C9"/>
    <w:rsid w:val="00DB4B48"/>
    <w:rsid w:val="00DB545C"/>
    <w:rsid w:val="00DB6488"/>
    <w:rsid w:val="00DB6A2E"/>
    <w:rsid w:val="00DC0AB7"/>
    <w:rsid w:val="00DC1965"/>
    <w:rsid w:val="00DC2D49"/>
    <w:rsid w:val="00DC3671"/>
    <w:rsid w:val="00DC6DC9"/>
    <w:rsid w:val="00DC7590"/>
    <w:rsid w:val="00DD0C5B"/>
    <w:rsid w:val="00DD1A49"/>
    <w:rsid w:val="00DD1E80"/>
    <w:rsid w:val="00DD3624"/>
    <w:rsid w:val="00DD460A"/>
    <w:rsid w:val="00DD4F5D"/>
    <w:rsid w:val="00DE030D"/>
    <w:rsid w:val="00DE0322"/>
    <w:rsid w:val="00DE1C50"/>
    <w:rsid w:val="00DE1F0D"/>
    <w:rsid w:val="00DE2E83"/>
    <w:rsid w:val="00DE40E9"/>
    <w:rsid w:val="00DE4D0F"/>
    <w:rsid w:val="00DE51A8"/>
    <w:rsid w:val="00DE544C"/>
    <w:rsid w:val="00DE559A"/>
    <w:rsid w:val="00DE6008"/>
    <w:rsid w:val="00DE649B"/>
    <w:rsid w:val="00DE6AD6"/>
    <w:rsid w:val="00DF11FF"/>
    <w:rsid w:val="00DF13A7"/>
    <w:rsid w:val="00DF1FF4"/>
    <w:rsid w:val="00DF4576"/>
    <w:rsid w:val="00DF52B1"/>
    <w:rsid w:val="00DF59BC"/>
    <w:rsid w:val="00DF77C2"/>
    <w:rsid w:val="00E0139D"/>
    <w:rsid w:val="00E02FDF"/>
    <w:rsid w:val="00E05E7C"/>
    <w:rsid w:val="00E05F51"/>
    <w:rsid w:val="00E100A5"/>
    <w:rsid w:val="00E110E5"/>
    <w:rsid w:val="00E11755"/>
    <w:rsid w:val="00E12096"/>
    <w:rsid w:val="00E124D1"/>
    <w:rsid w:val="00E1308D"/>
    <w:rsid w:val="00E133A4"/>
    <w:rsid w:val="00E13C08"/>
    <w:rsid w:val="00E13CAC"/>
    <w:rsid w:val="00E159B5"/>
    <w:rsid w:val="00E21266"/>
    <w:rsid w:val="00E21497"/>
    <w:rsid w:val="00E2240F"/>
    <w:rsid w:val="00E2478E"/>
    <w:rsid w:val="00E26894"/>
    <w:rsid w:val="00E30165"/>
    <w:rsid w:val="00E36F86"/>
    <w:rsid w:val="00E3753D"/>
    <w:rsid w:val="00E375BB"/>
    <w:rsid w:val="00E40740"/>
    <w:rsid w:val="00E4088E"/>
    <w:rsid w:val="00E40AD4"/>
    <w:rsid w:val="00E42730"/>
    <w:rsid w:val="00E4392E"/>
    <w:rsid w:val="00E43EFC"/>
    <w:rsid w:val="00E45795"/>
    <w:rsid w:val="00E50021"/>
    <w:rsid w:val="00E524F2"/>
    <w:rsid w:val="00E5569C"/>
    <w:rsid w:val="00E61ACB"/>
    <w:rsid w:val="00E61F03"/>
    <w:rsid w:val="00E648FE"/>
    <w:rsid w:val="00E64A41"/>
    <w:rsid w:val="00E65983"/>
    <w:rsid w:val="00E66290"/>
    <w:rsid w:val="00E67C20"/>
    <w:rsid w:val="00E70DFE"/>
    <w:rsid w:val="00E74F77"/>
    <w:rsid w:val="00E77A0C"/>
    <w:rsid w:val="00E80A49"/>
    <w:rsid w:val="00E821DB"/>
    <w:rsid w:val="00E8374A"/>
    <w:rsid w:val="00E83FF0"/>
    <w:rsid w:val="00E84C2B"/>
    <w:rsid w:val="00E864D7"/>
    <w:rsid w:val="00E905EF"/>
    <w:rsid w:val="00E91D71"/>
    <w:rsid w:val="00E94E09"/>
    <w:rsid w:val="00E96042"/>
    <w:rsid w:val="00E9693B"/>
    <w:rsid w:val="00E96A39"/>
    <w:rsid w:val="00E9764D"/>
    <w:rsid w:val="00EA493B"/>
    <w:rsid w:val="00EA4B53"/>
    <w:rsid w:val="00EA63AB"/>
    <w:rsid w:val="00EA7765"/>
    <w:rsid w:val="00EB3FDC"/>
    <w:rsid w:val="00EB4D7F"/>
    <w:rsid w:val="00EB4DA7"/>
    <w:rsid w:val="00EB4DDD"/>
    <w:rsid w:val="00EB5613"/>
    <w:rsid w:val="00EC1C44"/>
    <w:rsid w:val="00EC2587"/>
    <w:rsid w:val="00EC30C8"/>
    <w:rsid w:val="00EC3EA2"/>
    <w:rsid w:val="00EC5D1B"/>
    <w:rsid w:val="00EC7E44"/>
    <w:rsid w:val="00ED2439"/>
    <w:rsid w:val="00ED55C0"/>
    <w:rsid w:val="00EE0447"/>
    <w:rsid w:val="00EE19F9"/>
    <w:rsid w:val="00EE253A"/>
    <w:rsid w:val="00EE41DC"/>
    <w:rsid w:val="00EE5F27"/>
    <w:rsid w:val="00EE764D"/>
    <w:rsid w:val="00EF165E"/>
    <w:rsid w:val="00EF175A"/>
    <w:rsid w:val="00EF3097"/>
    <w:rsid w:val="00EF373E"/>
    <w:rsid w:val="00EF3FA3"/>
    <w:rsid w:val="00EF476D"/>
    <w:rsid w:val="00EF47A5"/>
    <w:rsid w:val="00EF4E64"/>
    <w:rsid w:val="00EF66F7"/>
    <w:rsid w:val="00EF6DE6"/>
    <w:rsid w:val="00EF6EDB"/>
    <w:rsid w:val="00F0133B"/>
    <w:rsid w:val="00F04265"/>
    <w:rsid w:val="00F04C6C"/>
    <w:rsid w:val="00F05E84"/>
    <w:rsid w:val="00F06266"/>
    <w:rsid w:val="00F0710B"/>
    <w:rsid w:val="00F11235"/>
    <w:rsid w:val="00F15310"/>
    <w:rsid w:val="00F15314"/>
    <w:rsid w:val="00F17730"/>
    <w:rsid w:val="00F17F6C"/>
    <w:rsid w:val="00F26902"/>
    <w:rsid w:val="00F335DE"/>
    <w:rsid w:val="00F3424F"/>
    <w:rsid w:val="00F34A15"/>
    <w:rsid w:val="00F418D9"/>
    <w:rsid w:val="00F429DE"/>
    <w:rsid w:val="00F43B20"/>
    <w:rsid w:val="00F43EC3"/>
    <w:rsid w:val="00F44A19"/>
    <w:rsid w:val="00F4653C"/>
    <w:rsid w:val="00F539CC"/>
    <w:rsid w:val="00F57F93"/>
    <w:rsid w:val="00F61BC7"/>
    <w:rsid w:val="00F621DB"/>
    <w:rsid w:val="00F623AF"/>
    <w:rsid w:val="00F64172"/>
    <w:rsid w:val="00F663DD"/>
    <w:rsid w:val="00F701EC"/>
    <w:rsid w:val="00F71AE8"/>
    <w:rsid w:val="00F71EA3"/>
    <w:rsid w:val="00F73262"/>
    <w:rsid w:val="00F743C4"/>
    <w:rsid w:val="00F8119C"/>
    <w:rsid w:val="00F81686"/>
    <w:rsid w:val="00F8335C"/>
    <w:rsid w:val="00F867EA"/>
    <w:rsid w:val="00F87247"/>
    <w:rsid w:val="00F93A6C"/>
    <w:rsid w:val="00F943A8"/>
    <w:rsid w:val="00F95059"/>
    <w:rsid w:val="00F96592"/>
    <w:rsid w:val="00FA0921"/>
    <w:rsid w:val="00FA543D"/>
    <w:rsid w:val="00FA5BAC"/>
    <w:rsid w:val="00FB03C7"/>
    <w:rsid w:val="00FB1BE6"/>
    <w:rsid w:val="00FB500C"/>
    <w:rsid w:val="00FB5E2E"/>
    <w:rsid w:val="00FB6658"/>
    <w:rsid w:val="00FB759C"/>
    <w:rsid w:val="00FC0AAB"/>
    <w:rsid w:val="00FC0AD9"/>
    <w:rsid w:val="00FC0F58"/>
    <w:rsid w:val="00FC3999"/>
    <w:rsid w:val="00FC3C96"/>
    <w:rsid w:val="00FC4F05"/>
    <w:rsid w:val="00FC5395"/>
    <w:rsid w:val="00FC5BC5"/>
    <w:rsid w:val="00FD103D"/>
    <w:rsid w:val="00FD11B0"/>
    <w:rsid w:val="00FD1DE1"/>
    <w:rsid w:val="00FD21EE"/>
    <w:rsid w:val="00FD4CEC"/>
    <w:rsid w:val="00FD667D"/>
    <w:rsid w:val="00FD6FFC"/>
    <w:rsid w:val="00FE3C3C"/>
    <w:rsid w:val="00FE406D"/>
    <w:rsid w:val="00FE4784"/>
    <w:rsid w:val="00FE565B"/>
    <w:rsid w:val="00FE5EC1"/>
    <w:rsid w:val="00FE6FD3"/>
    <w:rsid w:val="00FE789E"/>
    <w:rsid w:val="00FF2095"/>
    <w:rsid w:val="00FF244B"/>
    <w:rsid w:val="00FF2844"/>
    <w:rsid w:val="00FF44CD"/>
    <w:rsid w:val="00FF70B3"/>
    <w:rsid w:val="00FF74F7"/>
    <w:rsid w:val="00FF7622"/>
    <w:rsid w:val="039C0629"/>
    <w:rsid w:val="4BCB910F"/>
    <w:rsid w:val="57F2BC41"/>
    <w:rsid w:val="669A47CC"/>
    <w:rsid w:val="7900C977"/>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FB40138"/>
  <w15:chartTrackingRefBased/>
  <w15:docId w15:val="{7716B2C1-3630-4F97-B78C-8883D64F1A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020CA"/>
    <w:rPr>
      <w:rFonts w:ascii="Times New Roman" w:eastAsia="Times New Roman" w:hAnsi="Times New Roman"/>
      <w:sz w:val="24"/>
      <w:szCs w:val="24"/>
      <w:lang w:val="en-PH"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next w:val="Normal"/>
    <w:qFormat/>
    <w:rsid w:val="00DD4F5D"/>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Normal"/>
    <w:qFormat/>
    <w:rsid w:val="00DD4F5D"/>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Normal"/>
    <w:qFormat/>
    <w:rsid w:val="00DD4F5D"/>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
    <w:next w:val="Normal"/>
    <w:qFormat/>
    <w:rsid w:val="00DD4F5D"/>
    <w:pPr>
      <w:adjustRightInd w:val="0"/>
      <w:snapToGrid w:val="0"/>
      <w:spacing w:line="240" w:lineRule="atLeast"/>
      <w:ind w:right="113"/>
    </w:pPr>
    <w:rPr>
      <w:sz w:val="14"/>
      <w:lang w:eastAsia="de-DE" w:bidi="en-US"/>
    </w:rPr>
  </w:style>
  <w:style w:type="paragraph" w:customStyle="1" w:styleId="MDPI16affiliation">
    <w:name w:val="MDPI_1.6_affiliation"/>
    <w:qFormat/>
    <w:rsid w:val="00DD4F5D"/>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Normal"/>
    <w:qFormat/>
    <w:rsid w:val="00DD4F5D"/>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Normal"/>
    <w:qFormat/>
    <w:rsid w:val="00DD4F5D"/>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DD4F5D"/>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table" w:customStyle="1" w:styleId="Mdeck5tablebodythreelines">
    <w:name w:val="M_deck_5_table_body_three_lines"/>
    <w:basedOn w:val="TableNormal"/>
    <w:uiPriority w:val="99"/>
    <w:rsid w:val="00CD5F86"/>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59"/>
    <w:rsid w:val="00DD4F5D"/>
    <w:pPr>
      <w:spacing w:line="260" w:lineRule="atLeast"/>
      <w:jc w:val="both"/>
    </w:pPr>
    <w:rPr>
      <w:rFonts w:ascii="Palatino Linotype" w:hAnsi="Palatino Linotype"/>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rsid w:val="00DD4F5D"/>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link w:val="Header"/>
    <w:uiPriority w:val="99"/>
    <w:rsid w:val="00DD4F5D"/>
    <w:rPr>
      <w:rFonts w:ascii="Palatino Linotype" w:hAnsi="Palatino Linotype"/>
      <w:noProof/>
      <w:color w:val="000000"/>
      <w:szCs w:val="18"/>
    </w:rPr>
  </w:style>
  <w:style w:type="paragraph" w:customStyle="1" w:styleId="MDPIheaderjournallogo">
    <w:name w:val="MDPI_header_journal_logo"/>
    <w:qFormat/>
    <w:rsid w:val="00DD4F5D"/>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DD4F5D"/>
    <w:pPr>
      <w:ind w:firstLine="0"/>
    </w:pPr>
  </w:style>
  <w:style w:type="paragraph" w:customStyle="1" w:styleId="MDPI31text">
    <w:name w:val="MDPI_3.1_text"/>
    <w:qFormat/>
    <w:rsid w:val="00740078"/>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DD4F5D"/>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4textspacebefore">
    <w:name w:val="MDPI_3.4_text_space_before"/>
    <w:qFormat/>
    <w:rsid w:val="00DD4F5D"/>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DD4F5D"/>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DD4F5D"/>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146738"/>
    <w:pPr>
      <w:numPr>
        <w:numId w:val="22"/>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146738"/>
    <w:pPr>
      <w:numPr>
        <w:numId w:val="20"/>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DD4F5D"/>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DD4F5D"/>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DD4F5D"/>
    <w:pPr>
      <w:adjustRightInd w:val="0"/>
      <w:snapToGrid w:val="0"/>
      <w:spacing w:before="240" w:after="120"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qFormat/>
    <w:rsid w:val="004B1D1F"/>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DD4F5D"/>
    <w:pPr>
      <w:adjustRightInd w:val="0"/>
      <w:snapToGrid w:val="0"/>
      <w:spacing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DD4F5D"/>
    <w:pPr>
      <w:adjustRightInd w:val="0"/>
      <w:snapToGrid w:val="0"/>
      <w:spacing w:before="120" w:after="240" w:line="228" w:lineRule="auto"/>
      <w:ind w:left="2608"/>
      <w:jc w:val="both"/>
    </w:pPr>
    <w:rPr>
      <w:rFonts w:ascii="Palatino Linotype" w:eastAsia="Times New Roman" w:hAnsi="Palatino Linotype"/>
      <w:color w:val="000000"/>
      <w:sz w:val="18"/>
      <w:lang w:eastAsia="de-DE" w:bidi="en-US"/>
    </w:rPr>
  </w:style>
  <w:style w:type="paragraph" w:customStyle="1" w:styleId="MDPI52figure">
    <w:name w:val="MDPI_5.2_figure"/>
    <w:qFormat/>
    <w:rsid w:val="00DD4F5D"/>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81theorem">
    <w:name w:val="MDPI_8.1_theorem"/>
    <w:qFormat/>
    <w:rsid w:val="00DD4F5D"/>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DD4F5D"/>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23heading3">
    <w:name w:val="MDPI_2.3_heading3"/>
    <w:qFormat/>
    <w:rsid w:val="00DD4F5D"/>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DD4F5D"/>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DD4F5D"/>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577BF8"/>
    <w:pPr>
      <w:numPr>
        <w:numId w:val="23"/>
      </w:numPr>
      <w:adjustRightInd w:val="0"/>
      <w:snapToGrid w:val="0"/>
      <w:spacing w:line="228" w:lineRule="auto"/>
      <w:jc w:val="both"/>
    </w:pPr>
    <w:rPr>
      <w:rFonts w:ascii="Palatino Linotype" w:eastAsia="Times New Roman" w:hAnsi="Palatino Linotype"/>
      <w:color w:val="000000"/>
      <w:sz w:val="18"/>
      <w:lang w:eastAsia="de-DE" w:bidi="en-US"/>
    </w:rPr>
  </w:style>
  <w:style w:type="paragraph" w:styleId="BalloonText">
    <w:name w:val="Balloon Text"/>
    <w:basedOn w:val="Normal"/>
    <w:link w:val="BalloonTextChar"/>
    <w:uiPriority w:val="99"/>
    <w:rsid w:val="00DD4F5D"/>
    <w:rPr>
      <w:rFonts w:cs="Tahoma"/>
      <w:szCs w:val="18"/>
    </w:rPr>
  </w:style>
  <w:style w:type="character" w:customStyle="1" w:styleId="BalloonTextChar">
    <w:name w:val="Balloon Text Char"/>
    <w:link w:val="BalloonText"/>
    <w:uiPriority w:val="99"/>
    <w:rsid w:val="00DD4F5D"/>
    <w:rPr>
      <w:rFonts w:ascii="Palatino Linotype" w:hAnsi="Palatino Linotype" w:cs="Tahoma"/>
      <w:noProof/>
      <w:color w:val="000000"/>
      <w:szCs w:val="18"/>
    </w:rPr>
  </w:style>
  <w:style w:type="character" w:styleId="LineNumber">
    <w:name w:val="line number"/>
    <w:uiPriority w:val="99"/>
    <w:rsid w:val="00B55CC0"/>
    <w:rPr>
      <w:rFonts w:ascii="Palatino Linotype" w:hAnsi="Palatino Linotype"/>
      <w:sz w:val="16"/>
    </w:rPr>
  </w:style>
  <w:style w:type="table" w:customStyle="1" w:styleId="MDPI41threelinetable">
    <w:name w:val="MDPI_4.1_three_line_table"/>
    <w:basedOn w:val="TableNormal"/>
    <w:uiPriority w:val="99"/>
    <w:rsid w:val="00DD4F5D"/>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Hyperlink">
    <w:name w:val="Hyperlink"/>
    <w:uiPriority w:val="99"/>
    <w:rsid w:val="00DD4F5D"/>
    <w:rPr>
      <w:color w:val="0000FF"/>
      <w:u w:val="single"/>
    </w:rPr>
  </w:style>
  <w:style w:type="character" w:styleId="UnresolvedMention">
    <w:name w:val="Unresolved Mention"/>
    <w:uiPriority w:val="99"/>
    <w:semiHidden/>
    <w:unhideWhenUsed/>
    <w:rsid w:val="00741E7C"/>
    <w:rPr>
      <w:color w:val="605E5C"/>
      <w:shd w:val="clear" w:color="auto" w:fill="E1DFDD"/>
    </w:rPr>
  </w:style>
  <w:style w:type="paragraph" w:styleId="Footer">
    <w:name w:val="footer"/>
    <w:basedOn w:val="Normal"/>
    <w:link w:val="FooterChar"/>
    <w:uiPriority w:val="99"/>
    <w:rsid w:val="00DD4F5D"/>
    <w:pPr>
      <w:tabs>
        <w:tab w:val="center" w:pos="4153"/>
        <w:tab w:val="right" w:pos="8306"/>
      </w:tabs>
      <w:snapToGrid w:val="0"/>
      <w:spacing w:line="240" w:lineRule="atLeast"/>
    </w:pPr>
    <w:rPr>
      <w:szCs w:val="18"/>
    </w:rPr>
  </w:style>
  <w:style w:type="character" w:customStyle="1" w:styleId="FooterChar">
    <w:name w:val="Footer Char"/>
    <w:link w:val="Footer"/>
    <w:uiPriority w:val="99"/>
    <w:rsid w:val="00DD4F5D"/>
    <w:rPr>
      <w:rFonts w:ascii="Palatino Linotype" w:hAnsi="Palatino Linotype"/>
      <w:noProof/>
      <w:color w:val="000000"/>
      <w:szCs w:val="18"/>
    </w:rPr>
  </w:style>
  <w:style w:type="table" w:styleId="PlainTable4">
    <w:name w:val="Plain Table 4"/>
    <w:basedOn w:val="TableNormal"/>
    <w:uiPriority w:val="44"/>
    <w:rsid w:val="00175DCB"/>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61Citation">
    <w:name w:val="MDPI_6.1_Citation"/>
    <w:qFormat/>
    <w:rsid w:val="00DD4F5D"/>
    <w:pPr>
      <w:adjustRightInd w:val="0"/>
      <w:snapToGrid w:val="0"/>
      <w:spacing w:line="240" w:lineRule="atLeast"/>
      <w:ind w:right="113"/>
    </w:pPr>
    <w:rPr>
      <w:rFonts w:ascii="Palatino Linotype" w:hAnsi="Palatino Linotype" w:cs="Cordia New"/>
      <w:sz w:val="14"/>
      <w:szCs w:val="22"/>
    </w:rPr>
  </w:style>
  <w:style w:type="paragraph" w:customStyle="1" w:styleId="MDPI62BackMatter">
    <w:name w:val="MDPI_6.2_BackMatter"/>
    <w:qFormat/>
    <w:rsid w:val="00DD4F5D"/>
    <w:pPr>
      <w:adjustRightInd w:val="0"/>
      <w:snapToGrid w:val="0"/>
      <w:spacing w:after="120" w:line="228" w:lineRule="auto"/>
      <w:ind w:left="2608"/>
      <w:jc w:val="both"/>
    </w:pPr>
    <w:rPr>
      <w:rFonts w:ascii="Palatino Linotype" w:eastAsia="Times New Roman" w:hAnsi="Palatino Linotype"/>
      <w:snapToGrid w:val="0"/>
      <w:color w:val="000000"/>
      <w:sz w:val="18"/>
      <w:lang w:eastAsia="en-US" w:bidi="en-US"/>
    </w:rPr>
  </w:style>
  <w:style w:type="paragraph" w:customStyle="1" w:styleId="MDPI63Notes">
    <w:name w:val="MDPI_6.3_Notes"/>
    <w:qFormat/>
    <w:rsid w:val="00DD4F5D"/>
    <w:pPr>
      <w:adjustRightInd w:val="0"/>
      <w:snapToGrid w:val="0"/>
      <w:spacing w:before="240" w:line="228" w:lineRule="auto"/>
      <w:jc w:val="both"/>
    </w:pPr>
    <w:rPr>
      <w:rFonts w:ascii="Palatino Linotype" w:hAnsi="Palatino Linotype"/>
      <w:snapToGrid w:val="0"/>
      <w:color w:val="000000"/>
      <w:sz w:val="18"/>
      <w:lang w:eastAsia="en-US" w:bidi="en-US"/>
    </w:rPr>
  </w:style>
  <w:style w:type="paragraph" w:customStyle="1" w:styleId="MDPI15academiceditor">
    <w:name w:val="MDPI_1.5_academic_editor"/>
    <w:qFormat/>
    <w:rsid w:val="007A7B92"/>
    <w:pPr>
      <w:adjustRightInd w:val="0"/>
      <w:snapToGrid w:val="0"/>
      <w:spacing w:before="12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DD4F5D"/>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DD4F5D"/>
    <w:pPr>
      <w:adjustRightInd w:val="0"/>
      <w:snapToGrid w:val="0"/>
      <w:spacing w:before="240" w:after="120" w:line="260" w:lineRule="atLeast"/>
      <w:jc w:val="center"/>
    </w:pPr>
    <w:rPr>
      <w:rFonts w:ascii="Palatino Linotype" w:hAnsi="Palatino Linotype" w:cs="Cordia New"/>
      <w:noProof/>
      <w:color w:val="000000"/>
      <w:sz w:val="18"/>
      <w:szCs w:val="22"/>
      <w:lang w:bidi="en-US"/>
    </w:rPr>
  </w:style>
  <w:style w:type="paragraph" w:customStyle="1" w:styleId="MDPI511onefigurecaption">
    <w:name w:val="MDPI_5.1.1_one_figure_caption"/>
    <w:qFormat/>
    <w:rsid w:val="00DD4F5D"/>
    <w:pPr>
      <w:adjustRightInd w:val="0"/>
      <w:snapToGrid w:val="0"/>
      <w:spacing w:before="240" w:after="120" w:line="260" w:lineRule="atLeast"/>
      <w:jc w:val="center"/>
    </w:pPr>
    <w:rPr>
      <w:rFonts w:ascii="Palatino Linotype" w:hAnsi="Palatino Linotype"/>
      <w:noProof/>
      <w:color w:val="000000"/>
      <w:sz w:val="18"/>
      <w:lang w:bidi="en-US"/>
    </w:rPr>
  </w:style>
  <w:style w:type="paragraph" w:customStyle="1" w:styleId="MDPI72Copyright">
    <w:name w:val="MDPI_7.2_Copyright"/>
    <w:qFormat/>
    <w:rsid w:val="00911159"/>
    <w:pPr>
      <w:adjustRightInd w:val="0"/>
      <w:snapToGrid w:val="0"/>
      <w:spacing w:before="60" w:line="240" w:lineRule="atLeast"/>
      <w:ind w:right="113"/>
      <w:jc w:val="both"/>
    </w:pPr>
    <w:rPr>
      <w:rFonts w:ascii="Palatino Linotype" w:eastAsia="Times New Roman" w:hAnsi="Palatino Linotype"/>
      <w:noProof/>
      <w:snapToGrid w:val="0"/>
      <w:color w:val="000000"/>
      <w:sz w:val="14"/>
      <w:lang w:val="en-GB" w:eastAsia="en-GB"/>
    </w:rPr>
  </w:style>
  <w:style w:type="paragraph" w:customStyle="1" w:styleId="MDPI73CopyrightImage">
    <w:name w:val="MDPI_7.3_CopyrightImage"/>
    <w:rsid w:val="00DD4F5D"/>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DD4F5D"/>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DD4F5D"/>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footerfirstpage">
    <w:name w:val="MDPI_footer_firstpage"/>
    <w:qFormat/>
    <w:rsid w:val="00DD4F5D"/>
    <w:pPr>
      <w:tabs>
        <w:tab w:val="right" w:pos="8845"/>
      </w:tabs>
      <w:spacing w:line="160" w:lineRule="exact"/>
    </w:pPr>
    <w:rPr>
      <w:rFonts w:ascii="Palatino Linotype" w:eastAsia="Times New Roman" w:hAnsi="Palatino Linotype"/>
      <w:color w:val="000000"/>
      <w:sz w:val="16"/>
      <w:lang w:eastAsia="de-DE"/>
    </w:rPr>
  </w:style>
  <w:style w:type="paragraph" w:customStyle="1" w:styleId="MDPIheader">
    <w:name w:val="MDPI_header"/>
    <w:qFormat/>
    <w:rsid w:val="00DD4F5D"/>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DD4F5D"/>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DD4F5D"/>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TableNormal"/>
    <w:uiPriority w:val="99"/>
    <w:rsid w:val="00DD4F5D"/>
    <w:rPr>
      <w:rFonts w:ascii="Palatino Linotype" w:hAnsi="Palatino Linotype"/>
      <w:color w:val="000000"/>
      <w:lang w:val="en-CA" w:eastAsia="en-US"/>
    </w:rPr>
    <w:tblPr>
      <w:tblCellMar>
        <w:left w:w="0" w:type="dxa"/>
        <w:right w:w="0" w:type="dxa"/>
      </w:tblCellMar>
    </w:tblPr>
  </w:style>
  <w:style w:type="paragraph" w:customStyle="1" w:styleId="MDPItext">
    <w:name w:val="MDPI_text"/>
    <w:qFormat/>
    <w:rsid w:val="00DD4F5D"/>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DD4F5D"/>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DD4F5D"/>
  </w:style>
  <w:style w:type="paragraph" w:styleId="Bibliography">
    <w:name w:val="Bibliography"/>
    <w:basedOn w:val="Normal"/>
    <w:next w:val="Normal"/>
    <w:uiPriority w:val="37"/>
    <w:unhideWhenUsed/>
    <w:rsid w:val="00DD4F5D"/>
    <w:pPr>
      <w:tabs>
        <w:tab w:val="left" w:pos="504"/>
      </w:tabs>
      <w:spacing w:line="240" w:lineRule="atLeast"/>
      <w:ind w:left="504" w:hanging="504"/>
    </w:pPr>
  </w:style>
  <w:style w:type="paragraph" w:styleId="BodyText">
    <w:name w:val="Body Text"/>
    <w:link w:val="BodyTextChar"/>
    <w:rsid w:val="00DD4F5D"/>
    <w:pPr>
      <w:spacing w:after="120" w:line="340" w:lineRule="atLeast"/>
      <w:jc w:val="both"/>
    </w:pPr>
    <w:rPr>
      <w:rFonts w:ascii="Palatino Linotype" w:hAnsi="Palatino Linotype"/>
      <w:color w:val="000000"/>
      <w:sz w:val="24"/>
      <w:lang w:eastAsia="de-DE"/>
    </w:rPr>
  </w:style>
  <w:style w:type="character" w:customStyle="1" w:styleId="BodyTextChar">
    <w:name w:val="Body Text Char"/>
    <w:link w:val="BodyText"/>
    <w:rsid w:val="00DD4F5D"/>
    <w:rPr>
      <w:rFonts w:ascii="Palatino Linotype" w:hAnsi="Palatino Linotype"/>
      <w:color w:val="000000"/>
      <w:sz w:val="24"/>
      <w:lang w:eastAsia="de-DE"/>
    </w:rPr>
  </w:style>
  <w:style w:type="character" w:styleId="CommentReference">
    <w:name w:val="annotation reference"/>
    <w:rsid w:val="00DD4F5D"/>
    <w:rPr>
      <w:sz w:val="21"/>
      <w:szCs w:val="21"/>
    </w:rPr>
  </w:style>
  <w:style w:type="paragraph" w:styleId="CommentText">
    <w:name w:val="annotation text"/>
    <w:basedOn w:val="Normal"/>
    <w:link w:val="CommentTextChar"/>
    <w:rsid w:val="00DD4F5D"/>
  </w:style>
  <w:style w:type="character" w:customStyle="1" w:styleId="CommentTextChar">
    <w:name w:val="Comment Text Char"/>
    <w:link w:val="CommentText"/>
    <w:rsid w:val="00DD4F5D"/>
    <w:rPr>
      <w:rFonts w:ascii="Palatino Linotype" w:hAnsi="Palatino Linotype"/>
      <w:noProof/>
      <w:color w:val="000000"/>
    </w:rPr>
  </w:style>
  <w:style w:type="paragraph" w:styleId="CommentSubject">
    <w:name w:val="annotation subject"/>
    <w:basedOn w:val="CommentText"/>
    <w:next w:val="CommentText"/>
    <w:link w:val="CommentSubjectChar"/>
    <w:rsid w:val="00DD4F5D"/>
    <w:rPr>
      <w:b/>
      <w:bCs/>
    </w:rPr>
  </w:style>
  <w:style w:type="character" w:customStyle="1" w:styleId="CommentSubjectChar">
    <w:name w:val="Comment Subject Char"/>
    <w:link w:val="CommentSubject"/>
    <w:rsid w:val="00DD4F5D"/>
    <w:rPr>
      <w:rFonts w:ascii="Palatino Linotype" w:hAnsi="Palatino Linotype"/>
      <w:b/>
      <w:bCs/>
      <w:noProof/>
      <w:color w:val="000000"/>
    </w:rPr>
  </w:style>
  <w:style w:type="character" w:styleId="EndnoteReference">
    <w:name w:val="endnote reference"/>
    <w:rsid w:val="00DD4F5D"/>
    <w:rPr>
      <w:vertAlign w:val="superscript"/>
    </w:rPr>
  </w:style>
  <w:style w:type="paragraph" w:styleId="EndnoteText">
    <w:name w:val="endnote text"/>
    <w:basedOn w:val="Normal"/>
    <w:link w:val="EndnoteTextChar"/>
    <w:semiHidden/>
    <w:unhideWhenUsed/>
    <w:rsid w:val="00DD4F5D"/>
  </w:style>
  <w:style w:type="character" w:customStyle="1" w:styleId="EndnoteTextChar">
    <w:name w:val="Endnote Text Char"/>
    <w:link w:val="EndnoteText"/>
    <w:semiHidden/>
    <w:rsid w:val="00DD4F5D"/>
    <w:rPr>
      <w:rFonts w:ascii="Palatino Linotype" w:hAnsi="Palatino Linotype"/>
      <w:noProof/>
      <w:color w:val="000000"/>
    </w:rPr>
  </w:style>
  <w:style w:type="character" w:styleId="FollowedHyperlink">
    <w:name w:val="FollowedHyperlink"/>
    <w:rsid w:val="00DD4F5D"/>
    <w:rPr>
      <w:color w:val="954F72"/>
      <w:u w:val="single"/>
    </w:rPr>
  </w:style>
  <w:style w:type="paragraph" w:styleId="FootnoteText">
    <w:name w:val="footnote text"/>
    <w:basedOn w:val="Normal"/>
    <w:link w:val="FootnoteTextChar"/>
    <w:semiHidden/>
    <w:unhideWhenUsed/>
    <w:rsid w:val="00DD4F5D"/>
  </w:style>
  <w:style w:type="character" w:customStyle="1" w:styleId="FootnoteTextChar">
    <w:name w:val="Footnote Text Char"/>
    <w:link w:val="FootnoteText"/>
    <w:semiHidden/>
    <w:rsid w:val="00DD4F5D"/>
    <w:rPr>
      <w:rFonts w:ascii="Palatino Linotype" w:hAnsi="Palatino Linotype"/>
      <w:noProof/>
      <w:color w:val="000000"/>
    </w:rPr>
  </w:style>
  <w:style w:type="paragraph" w:styleId="NormalWeb">
    <w:name w:val="Normal (Web)"/>
    <w:basedOn w:val="Normal"/>
    <w:uiPriority w:val="99"/>
    <w:rsid w:val="00DD4F5D"/>
  </w:style>
  <w:style w:type="paragraph" w:customStyle="1" w:styleId="MsoFootnoteText0">
    <w:name w:val="MsoFootnoteText"/>
    <w:basedOn w:val="NormalWeb"/>
    <w:qFormat/>
    <w:rsid w:val="00DD4F5D"/>
  </w:style>
  <w:style w:type="character" w:styleId="PageNumber">
    <w:name w:val="page number"/>
    <w:rsid w:val="00DD4F5D"/>
  </w:style>
  <w:style w:type="character" w:styleId="PlaceholderText">
    <w:name w:val="Placeholder Text"/>
    <w:uiPriority w:val="99"/>
    <w:semiHidden/>
    <w:rsid w:val="00DD4F5D"/>
    <w:rPr>
      <w:color w:val="808080"/>
    </w:rPr>
  </w:style>
  <w:style w:type="paragraph" w:customStyle="1" w:styleId="MDPI71FootNotes">
    <w:name w:val="MDPI_7.1_FootNotes"/>
    <w:qFormat/>
    <w:rsid w:val="00D055DC"/>
    <w:pPr>
      <w:numPr>
        <w:numId w:val="21"/>
      </w:numPr>
      <w:adjustRightInd w:val="0"/>
      <w:snapToGrid w:val="0"/>
      <w:spacing w:line="228" w:lineRule="auto"/>
    </w:pPr>
    <w:rPr>
      <w:rFonts w:ascii="Palatino Linotype" w:eastAsiaTheme="minorEastAsia" w:hAnsi="Palatino Linotype"/>
      <w:noProof/>
      <w:color w:val="000000"/>
      <w:sz w:val="18"/>
    </w:rPr>
  </w:style>
  <w:style w:type="paragraph" w:customStyle="1" w:styleId="EndNoteBibliographyTitle">
    <w:name w:val="EndNoteBibliographyTitle"/>
    <w:rsid w:val="00B24704"/>
    <w:rPr>
      <w:lang w:val="en-PH" w:eastAsia="en-PH"/>
    </w:rPr>
  </w:style>
  <w:style w:type="paragraph" w:customStyle="1" w:styleId="EndNoteBibliography">
    <w:name w:val="EndNoteBibliography"/>
    <w:rsid w:val="00B24704"/>
    <w:rPr>
      <w:lang w:val="en-PH" w:eastAsia="en-PH"/>
    </w:rPr>
  </w:style>
  <w:style w:type="paragraph" w:styleId="Revision">
    <w:name w:val="Revision"/>
    <w:hidden/>
    <w:uiPriority w:val="99"/>
    <w:semiHidden/>
    <w:rsid w:val="0021158D"/>
    <w:rPr>
      <w:rFonts w:ascii="Palatino Linotype" w:hAnsi="Palatino Linotype"/>
      <w:color w:val="000000"/>
    </w:rPr>
  </w:style>
  <w:style w:type="character" w:customStyle="1" w:styleId="katex-mathml">
    <w:name w:val="katex-mathml"/>
    <w:basedOn w:val="DefaultParagraphFont"/>
    <w:rsid w:val="00785C66"/>
  </w:style>
  <w:style w:type="character" w:customStyle="1" w:styleId="mord">
    <w:name w:val="mord"/>
    <w:basedOn w:val="DefaultParagraphFont"/>
    <w:rsid w:val="00785C6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043940">
      <w:bodyDiv w:val="1"/>
      <w:marLeft w:val="0"/>
      <w:marRight w:val="0"/>
      <w:marTop w:val="0"/>
      <w:marBottom w:val="0"/>
      <w:divBdr>
        <w:top w:val="none" w:sz="0" w:space="0" w:color="auto"/>
        <w:left w:val="none" w:sz="0" w:space="0" w:color="auto"/>
        <w:bottom w:val="none" w:sz="0" w:space="0" w:color="auto"/>
        <w:right w:val="none" w:sz="0" w:space="0" w:color="auto"/>
      </w:divBdr>
    </w:div>
    <w:div w:id="68963756">
      <w:bodyDiv w:val="1"/>
      <w:marLeft w:val="0"/>
      <w:marRight w:val="0"/>
      <w:marTop w:val="0"/>
      <w:marBottom w:val="0"/>
      <w:divBdr>
        <w:top w:val="none" w:sz="0" w:space="0" w:color="auto"/>
        <w:left w:val="none" w:sz="0" w:space="0" w:color="auto"/>
        <w:bottom w:val="none" w:sz="0" w:space="0" w:color="auto"/>
        <w:right w:val="none" w:sz="0" w:space="0" w:color="auto"/>
      </w:divBdr>
    </w:div>
    <w:div w:id="106897343">
      <w:bodyDiv w:val="1"/>
      <w:marLeft w:val="0"/>
      <w:marRight w:val="0"/>
      <w:marTop w:val="0"/>
      <w:marBottom w:val="0"/>
      <w:divBdr>
        <w:top w:val="none" w:sz="0" w:space="0" w:color="auto"/>
        <w:left w:val="none" w:sz="0" w:space="0" w:color="auto"/>
        <w:bottom w:val="none" w:sz="0" w:space="0" w:color="auto"/>
        <w:right w:val="none" w:sz="0" w:space="0" w:color="auto"/>
      </w:divBdr>
    </w:div>
    <w:div w:id="259342293">
      <w:bodyDiv w:val="1"/>
      <w:marLeft w:val="0"/>
      <w:marRight w:val="0"/>
      <w:marTop w:val="0"/>
      <w:marBottom w:val="0"/>
      <w:divBdr>
        <w:top w:val="none" w:sz="0" w:space="0" w:color="auto"/>
        <w:left w:val="none" w:sz="0" w:space="0" w:color="auto"/>
        <w:bottom w:val="none" w:sz="0" w:space="0" w:color="auto"/>
        <w:right w:val="none" w:sz="0" w:space="0" w:color="auto"/>
      </w:divBdr>
      <w:divsChild>
        <w:div w:id="696201687">
          <w:marLeft w:val="0"/>
          <w:marRight w:val="0"/>
          <w:marTop w:val="0"/>
          <w:marBottom w:val="0"/>
          <w:divBdr>
            <w:top w:val="none" w:sz="0" w:space="0" w:color="auto"/>
            <w:left w:val="none" w:sz="0" w:space="0" w:color="auto"/>
            <w:bottom w:val="none" w:sz="0" w:space="0" w:color="auto"/>
            <w:right w:val="none" w:sz="0" w:space="0" w:color="auto"/>
          </w:divBdr>
          <w:divsChild>
            <w:div w:id="754859991">
              <w:marLeft w:val="0"/>
              <w:marRight w:val="0"/>
              <w:marTop w:val="0"/>
              <w:marBottom w:val="0"/>
              <w:divBdr>
                <w:top w:val="none" w:sz="0" w:space="0" w:color="auto"/>
                <w:left w:val="none" w:sz="0" w:space="0" w:color="auto"/>
                <w:bottom w:val="none" w:sz="0" w:space="0" w:color="auto"/>
                <w:right w:val="none" w:sz="0" w:space="0" w:color="auto"/>
              </w:divBdr>
              <w:divsChild>
                <w:div w:id="63844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8075583">
      <w:bodyDiv w:val="1"/>
      <w:marLeft w:val="0"/>
      <w:marRight w:val="0"/>
      <w:marTop w:val="0"/>
      <w:marBottom w:val="0"/>
      <w:divBdr>
        <w:top w:val="none" w:sz="0" w:space="0" w:color="auto"/>
        <w:left w:val="none" w:sz="0" w:space="0" w:color="auto"/>
        <w:bottom w:val="none" w:sz="0" w:space="0" w:color="auto"/>
        <w:right w:val="none" w:sz="0" w:space="0" w:color="auto"/>
      </w:divBdr>
    </w:div>
    <w:div w:id="348485395">
      <w:bodyDiv w:val="1"/>
      <w:marLeft w:val="0"/>
      <w:marRight w:val="0"/>
      <w:marTop w:val="0"/>
      <w:marBottom w:val="0"/>
      <w:divBdr>
        <w:top w:val="none" w:sz="0" w:space="0" w:color="auto"/>
        <w:left w:val="none" w:sz="0" w:space="0" w:color="auto"/>
        <w:bottom w:val="none" w:sz="0" w:space="0" w:color="auto"/>
        <w:right w:val="none" w:sz="0" w:space="0" w:color="auto"/>
      </w:divBdr>
    </w:div>
    <w:div w:id="366762183">
      <w:bodyDiv w:val="1"/>
      <w:marLeft w:val="0"/>
      <w:marRight w:val="0"/>
      <w:marTop w:val="0"/>
      <w:marBottom w:val="0"/>
      <w:divBdr>
        <w:top w:val="none" w:sz="0" w:space="0" w:color="auto"/>
        <w:left w:val="none" w:sz="0" w:space="0" w:color="auto"/>
        <w:bottom w:val="none" w:sz="0" w:space="0" w:color="auto"/>
        <w:right w:val="none" w:sz="0" w:space="0" w:color="auto"/>
      </w:divBdr>
    </w:div>
    <w:div w:id="579024204">
      <w:bodyDiv w:val="1"/>
      <w:marLeft w:val="0"/>
      <w:marRight w:val="0"/>
      <w:marTop w:val="0"/>
      <w:marBottom w:val="0"/>
      <w:divBdr>
        <w:top w:val="none" w:sz="0" w:space="0" w:color="auto"/>
        <w:left w:val="none" w:sz="0" w:space="0" w:color="auto"/>
        <w:bottom w:val="none" w:sz="0" w:space="0" w:color="auto"/>
        <w:right w:val="none" w:sz="0" w:space="0" w:color="auto"/>
      </w:divBdr>
    </w:div>
    <w:div w:id="606153958">
      <w:bodyDiv w:val="1"/>
      <w:marLeft w:val="0"/>
      <w:marRight w:val="0"/>
      <w:marTop w:val="0"/>
      <w:marBottom w:val="0"/>
      <w:divBdr>
        <w:top w:val="none" w:sz="0" w:space="0" w:color="auto"/>
        <w:left w:val="none" w:sz="0" w:space="0" w:color="auto"/>
        <w:bottom w:val="none" w:sz="0" w:space="0" w:color="auto"/>
        <w:right w:val="none" w:sz="0" w:space="0" w:color="auto"/>
      </w:divBdr>
    </w:div>
    <w:div w:id="610362399">
      <w:bodyDiv w:val="1"/>
      <w:marLeft w:val="0"/>
      <w:marRight w:val="0"/>
      <w:marTop w:val="0"/>
      <w:marBottom w:val="0"/>
      <w:divBdr>
        <w:top w:val="none" w:sz="0" w:space="0" w:color="auto"/>
        <w:left w:val="none" w:sz="0" w:space="0" w:color="auto"/>
        <w:bottom w:val="none" w:sz="0" w:space="0" w:color="auto"/>
        <w:right w:val="none" w:sz="0" w:space="0" w:color="auto"/>
      </w:divBdr>
    </w:div>
    <w:div w:id="610822670">
      <w:bodyDiv w:val="1"/>
      <w:marLeft w:val="0"/>
      <w:marRight w:val="0"/>
      <w:marTop w:val="0"/>
      <w:marBottom w:val="0"/>
      <w:divBdr>
        <w:top w:val="none" w:sz="0" w:space="0" w:color="auto"/>
        <w:left w:val="none" w:sz="0" w:space="0" w:color="auto"/>
        <w:bottom w:val="none" w:sz="0" w:space="0" w:color="auto"/>
        <w:right w:val="none" w:sz="0" w:space="0" w:color="auto"/>
      </w:divBdr>
    </w:div>
    <w:div w:id="662658364">
      <w:bodyDiv w:val="1"/>
      <w:marLeft w:val="0"/>
      <w:marRight w:val="0"/>
      <w:marTop w:val="0"/>
      <w:marBottom w:val="0"/>
      <w:divBdr>
        <w:top w:val="none" w:sz="0" w:space="0" w:color="auto"/>
        <w:left w:val="none" w:sz="0" w:space="0" w:color="auto"/>
        <w:bottom w:val="none" w:sz="0" w:space="0" w:color="auto"/>
        <w:right w:val="none" w:sz="0" w:space="0" w:color="auto"/>
      </w:divBdr>
    </w:div>
    <w:div w:id="666514437">
      <w:bodyDiv w:val="1"/>
      <w:marLeft w:val="0"/>
      <w:marRight w:val="0"/>
      <w:marTop w:val="0"/>
      <w:marBottom w:val="0"/>
      <w:divBdr>
        <w:top w:val="none" w:sz="0" w:space="0" w:color="auto"/>
        <w:left w:val="none" w:sz="0" w:space="0" w:color="auto"/>
        <w:bottom w:val="none" w:sz="0" w:space="0" w:color="auto"/>
        <w:right w:val="none" w:sz="0" w:space="0" w:color="auto"/>
      </w:divBdr>
    </w:div>
    <w:div w:id="692345668">
      <w:bodyDiv w:val="1"/>
      <w:marLeft w:val="0"/>
      <w:marRight w:val="0"/>
      <w:marTop w:val="0"/>
      <w:marBottom w:val="0"/>
      <w:divBdr>
        <w:top w:val="none" w:sz="0" w:space="0" w:color="auto"/>
        <w:left w:val="none" w:sz="0" w:space="0" w:color="auto"/>
        <w:bottom w:val="none" w:sz="0" w:space="0" w:color="auto"/>
        <w:right w:val="none" w:sz="0" w:space="0" w:color="auto"/>
      </w:divBdr>
    </w:div>
    <w:div w:id="735129556">
      <w:bodyDiv w:val="1"/>
      <w:marLeft w:val="0"/>
      <w:marRight w:val="0"/>
      <w:marTop w:val="0"/>
      <w:marBottom w:val="0"/>
      <w:divBdr>
        <w:top w:val="none" w:sz="0" w:space="0" w:color="auto"/>
        <w:left w:val="none" w:sz="0" w:space="0" w:color="auto"/>
        <w:bottom w:val="none" w:sz="0" w:space="0" w:color="auto"/>
        <w:right w:val="none" w:sz="0" w:space="0" w:color="auto"/>
      </w:divBdr>
    </w:div>
    <w:div w:id="823544048">
      <w:bodyDiv w:val="1"/>
      <w:marLeft w:val="0"/>
      <w:marRight w:val="0"/>
      <w:marTop w:val="0"/>
      <w:marBottom w:val="0"/>
      <w:divBdr>
        <w:top w:val="none" w:sz="0" w:space="0" w:color="auto"/>
        <w:left w:val="none" w:sz="0" w:space="0" w:color="auto"/>
        <w:bottom w:val="none" w:sz="0" w:space="0" w:color="auto"/>
        <w:right w:val="none" w:sz="0" w:space="0" w:color="auto"/>
      </w:divBdr>
    </w:div>
    <w:div w:id="861744522">
      <w:bodyDiv w:val="1"/>
      <w:marLeft w:val="0"/>
      <w:marRight w:val="0"/>
      <w:marTop w:val="0"/>
      <w:marBottom w:val="0"/>
      <w:divBdr>
        <w:top w:val="none" w:sz="0" w:space="0" w:color="auto"/>
        <w:left w:val="none" w:sz="0" w:space="0" w:color="auto"/>
        <w:bottom w:val="none" w:sz="0" w:space="0" w:color="auto"/>
        <w:right w:val="none" w:sz="0" w:space="0" w:color="auto"/>
      </w:divBdr>
    </w:div>
    <w:div w:id="986977030">
      <w:bodyDiv w:val="1"/>
      <w:marLeft w:val="0"/>
      <w:marRight w:val="0"/>
      <w:marTop w:val="0"/>
      <w:marBottom w:val="0"/>
      <w:divBdr>
        <w:top w:val="none" w:sz="0" w:space="0" w:color="auto"/>
        <w:left w:val="none" w:sz="0" w:space="0" w:color="auto"/>
        <w:bottom w:val="none" w:sz="0" w:space="0" w:color="auto"/>
        <w:right w:val="none" w:sz="0" w:space="0" w:color="auto"/>
      </w:divBdr>
    </w:div>
    <w:div w:id="1041130927">
      <w:bodyDiv w:val="1"/>
      <w:marLeft w:val="0"/>
      <w:marRight w:val="0"/>
      <w:marTop w:val="0"/>
      <w:marBottom w:val="0"/>
      <w:divBdr>
        <w:top w:val="none" w:sz="0" w:space="0" w:color="auto"/>
        <w:left w:val="none" w:sz="0" w:space="0" w:color="auto"/>
        <w:bottom w:val="none" w:sz="0" w:space="0" w:color="auto"/>
        <w:right w:val="none" w:sz="0" w:space="0" w:color="auto"/>
      </w:divBdr>
    </w:div>
    <w:div w:id="1089345836">
      <w:bodyDiv w:val="1"/>
      <w:marLeft w:val="0"/>
      <w:marRight w:val="0"/>
      <w:marTop w:val="0"/>
      <w:marBottom w:val="0"/>
      <w:divBdr>
        <w:top w:val="none" w:sz="0" w:space="0" w:color="auto"/>
        <w:left w:val="none" w:sz="0" w:space="0" w:color="auto"/>
        <w:bottom w:val="none" w:sz="0" w:space="0" w:color="auto"/>
        <w:right w:val="none" w:sz="0" w:space="0" w:color="auto"/>
      </w:divBdr>
    </w:div>
    <w:div w:id="1103308418">
      <w:bodyDiv w:val="1"/>
      <w:marLeft w:val="0"/>
      <w:marRight w:val="0"/>
      <w:marTop w:val="0"/>
      <w:marBottom w:val="0"/>
      <w:divBdr>
        <w:top w:val="none" w:sz="0" w:space="0" w:color="auto"/>
        <w:left w:val="none" w:sz="0" w:space="0" w:color="auto"/>
        <w:bottom w:val="none" w:sz="0" w:space="0" w:color="auto"/>
        <w:right w:val="none" w:sz="0" w:space="0" w:color="auto"/>
      </w:divBdr>
    </w:div>
    <w:div w:id="1131288507">
      <w:bodyDiv w:val="1"/>
      <w:marLeft w:val="0"/>
      <w:marRight w:val="0"/>
      <w:marTop w:val="0"/>
      <w:marBottom w:val="0"/>
      <w:divBdr>
        <w:top w:val="none" w:sz="0" w:space="0" w:color="auto"/>
        <w:left w:val="none" w:sz="0" w:space="0" w:color="auto"/>
        <w:bottom w:val="none" w:sz="0" w:space="0" w:color="auto"/>
        <w:right w:val="none" w:sz="0" w:space="0" w:color="auto"/>
      </w:divBdr>
    </w:div>
    <w:div w:id="1220435040">
      <w:bodyDiv w:val="1"/>
      <w:marLeft w:val="0"/>
      <w:marRight w:val="0"/>
      <w:marTop w:val="0"/>
      <w:marBottom w:val="0"/>
      <w:divBdr>
        <w:top w:val="none" w:sz="0" w:space="0" w:color="auto"/>
        <w:left w:val="none" w:sz="0" w:space="0" w:color="auto"/>
        <w:bottom w:val="none" w:sz="0" w:space="0" w:color="auto"/>
        <w:right w:val="none" w:sz="0" w:space="0" w:color="auto"/>
      </w:divBdr>
    </w:div>
    <w:div w:id="1243875640">
      <w:bodyDiv w:val="1"/>
      <w:marLeft w:val="0"/>
      <w:marRight w:val="0"/>
      <w:marTop w:val="0"/>
      <w:marBottom w:val="0"/>
      <w:divBdr>
        <w:top w:val="none" w:sz="0" w:space="0" w:color="auto"/>
        <w:left w:val="none" w:sz="0" w:space="0" w:color="auto"/>
        <w:bottom w:val="none" w:sz="0" w:space="0" w:color="auto"/>
        <w:right w:val="none" w:sz="0" w:space="0" w:color="auto"/>
      </w:divBdr>
    </w:div>
    <w:div w:id="1488589249">
      <w:bodyDiv w:val="1"/>
      <w:marLeft w:val="0"/>
      <w:marRight w:val="0"/>
      <w:marTop w:val="0"/>
      <w:marBottom w:val="0"/>
      <w:divBdr>
        <w:top w:val="none" w:sz="0" w:space="0" w:color="auto"/>
        <w:left w:val="none" w:sz="0" w:space="0" w:color="auto"/>
        <w:bottom w:val="none" w:sz="0" w:space="0" w:color="auto"/>
        <w:right w:val="none" w:sz="0" w:space="0" w:color="auto"/>
      </w:divBdr>
    </w:div>
    <w:div w:id="1499272028">
      <w:bodyDiv w:val="1"/>
      <w:marLeft w:val="0"/>
      <w:marRight w:val="0"/>
      <w:marTop w:val="0"/>
      <w:marBottom w:val="0"/>
      <w:divBdr>
        <w:top w:val="none" w:sz="0" w:space="0" w:color="auto"/>
        <w:left w:val="none" w:sz="0" w:space="0" w:color="auto"/>
        <w:bottom w:val="none" w:sz="0" w:space="0" w:color="auto"/>
        <w:right w:val="none" w:sz="0" w:space="0" w:color="auto"/>
      </w:divBdr>
    </w:div>
    <w:div w:id="1559442219">
      <w:bodyDiv w:val="1"/>
      <w:marLeft w:val="0"/>
      <w:marRight w:val="0"/>
      <w:marTop w:val="0"/>
      <w:marBottom w:val="0"/>
      <w:divBdr>
        <w:top w:val="none" w:sz="0" w:space="0" w:color="auto"/>
        <w:left w:val="none" w:sz="0" w:space="0" w:color="auto"/>
        <w:bottom w:val="none" w:sz="0" w:space="0" w:color="auto"/>
        <w:right w:val="none" w:sz="0" w:space="0" w:color="auto"/>
      </w:divBdr>
    </w:div>
    <w:div w:id="1620989382">
      <w:bodyDiv w:val="1"/>
      <w:marLeft w:val="0"/>
      <w:marRight w:val="0"/>
      <w:marTop w:val="0"/>
      <w:marBottom w:val="0"/>
      <w:divBdr>
        <w:top w:val="none" w:sz="0" w:space="0" w:color="auto"/>
        <w:left w:val="none" w:sz="0" w:space="0" w:color="auto"/>
        <w:bottom w:val="none" w:sz="0" w:space="0" w:color="auto"/>
        <w:right w:val="none" w:sz="0" w:space="0" w:color="auto"/>
      </w:divBdr>
    </w:div>
    <w:div w:id="1628318440">
      <w:bodyDiv w:val="1"/>
      <w:marLeft w:val="0"/>
      <w:marRight w:val="0"/>
      <w:marTop w:val="0"/>
      <w:marBottom w:val="0"/>
      <w:divBdr>
        <w:top w:val="none" w:sz="0" w:space="0" w:color="auto"/>
        <w:left w:val="none" w:sz="0" w:space="0" w:color="auto"/>
        <w:bottom w:val="none" w:sz="0" w:space="0" w:color="auto"/>
        <w:right w:val="none" w:sz="0" w:space="0" w:color="auto"/>
      </w:divBdr>
    </w:div>
    <w:div w:id="1660427539">
      <w:bodyDiv w:val="1"/>
      <w:marLeft w:val="0"/>
      <w:marRight w:val="0"/>
      <w:marTop w:val="0"/>
      <w:marBottom w:val="0"/>
      <w:divBdr>
        <w:top w:val="none" w:sz="0" w:space="0" w:color="auto"/>
        <w:left w:val="none" w:sz="0" w:space="0" w:color="auto"/>
        <w:bottom w:val="none" w:sz="0" w:space="0" w:color="auto"/>
        <w:right w:val="none" w:sz="0" w:space="0" w:color="auto"/>
      </w:divBdr>
    </w:div>
    <w:div w:id="1704398776">
      <w:bodyDiv w:val="1"/>
      <w:marLeft w:val="0"/>
      <w:marRight w:val="0"/>
      <w:marTop w:val="0"/>
      <w:marBottom w:val="0"/>
      <w:divBdr>
        <w:top w:val="none" w:sz="0" w:space="0" w:color="auto"/>
        <w:left w:val="none" w:sz="0" w:space="0" w:color="auto"/>
        <w:bottom w:val="none" w:sz="0" w:space="0" w:color="auto"/>
        <w:right w:val="none" w:sz="0" w:space="0" w:color="auto"/>
      </w:divBdr>
    </w:div>
    <w:div w:id="1821145101">
      <w:bodyDiv w:val="1"/>
      <w:marLeft w:val="0"/>
      <w:marRight w:val="0"/>
      <w:marTop w:val="0"/>
      <w:marBottom w:val="0"/>
      <w:divBdr>
        <w:top w:val="none" w:sz="0" w:space="0" w:color="auto"/>
        <w:left w:val="none" w:sz="0" w:space="0" w:color="auto"/>
        <w:bottom w:val="none" w:sz="0" w:space="0" w:color="auto"/>
        <w:right w:val="none" w:sz="0" w:space="0" w:color="auto"/>
      </w:divBdr>
    </w:div>
    <w:div w:id="2103985286">
      <w:bodyDiv w:val="1"/>
      <w:marLeft w:val="0"/>
      <w:marRight w:val="0"/>
      <w:marTop w:val="0"/>
      <w:marBottom w:val="0"/>
      <w:divBdr>
        <w:top w:val="none" w:sz="0" w:space="0" w:color="auto"/>
        <w:left w:val="none" w:sz="0" w:space="0" w:color="auto"/>
        <w:bottom w:val="none" w:sz="0" w:space="0" w:color="auto"/>
        <w:right w:val="none" w:sz="0" w:space="0" w:color="auto"/>
      </w:divBdr>
    </w:div>
    <w:div w:id="2138064223">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www.apc.edu.ph" TargetMode="Externa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bit.ly/PowerCosumptionModeling"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aculty\Downloads\buildings-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0">
    <wetp:webextensionref xmlns:r="http://schemas.openxmlformats.org/officeDocument/2006/relationships" r:id="rId1"/>
  </wetp:taskpane>
  <wetp:taskpane dockstate="right" visibility="0" width="438" row="1">
    <wetp:webextensionref xmlns:r="http://schemas.openxmlformats.org/officeDocument/2006/relationships" r:id="rId2"/>
  </wetp:taskpane>
</wetp:taskpanes>
</file>

<file path=word/webextensions/webextension1.xml><?xml version="1.0" encoding="utf-8"?>
<we:webextension xmlns:we="http://schemas.microsoft.com/office/webextensions/webextension/2010/11" id="{3131590B-7EF2-4878-BF3D-6E67DA2CAAC8}">
  <we:reference id="wa200005983" version="1.2.0.0" store="en-US" storeType="OMEX"/>
  <we:alternateReferences>
    <we:reference id="WA200005983" version="1.2.0.0" store="WA200005983" storeType="OMEX"/>
  </we:alternateReferences>
  <we:properties/>
  <we:bindings/>
  <we:snapshot xmlns:r="http://schemas.openxmlformats.org/officeDocument/2006/relationships"/>
</we:webextension>
</file>

<file path=word/webextensions/webextension2.xml><?xml version="1.0" encoding="utf-8"?>
<we:webextension xmlns:we="http://schemas.microsoft.com/office/webextensions/webextension/2010/11" id="{934AEC40-BA3D-444C-A1FF-1B96E8F2EDB0}">
  <we:reference id="wa104380122" version="2.1.0.1" store="en-US" storeType="OMEX"/>
  <we:alternateReferences>
    <we:reference id="WA104380122" version="2.1.0.1" store="WA104380122"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Version="16">
  <b:Source>
    <b:Tag>ATi21</b:Tag>
    <b:SourceType>InternetSite</b:SourceType>
    <b:Guid>{1C31B6CE-FF87-43FF-AA98-E778BCF36A47}</b:Guid>
    <b:Title>A Timeline in the History of Smart Buildings</b:Title>
    <b:Year>2021</b:Year>
    <b:ProductionCompany>hereworks</b:ProductionCompany>
    <b:Month>April </b:Month>
    <b:Day>4</b:Day>
    <b:URL>https://hereworks.ie/tech-talk/a-timeline-in-the-history-of-smart-buildings/#:~:text=In%201981%2C%20United%20Technology%20Building,consumption%20and%20better%20building%20efficiency.</b:URL>
    <b:RefOrder>1</b:RefOrder>
  </b:Source>
  <b:Source>
    <b:Tag>Kho20</b:Tag>
    <b:SourceType>JournalArticle</b:SourceType>
    <b:Guid>{E1F35394-D15D-4CFD-A1C0-70DD069B7680}</b:Guid>
    <b:Title>Critical review of standards for indoor thermal environment and air quality</b:Title>
    <b:JournalName>Energy and Buildings</b:JournalName>
    <b:Year>2020</b:Year>
    <b:Volume>213</b:Volume>
    <b:Author>
      <b:Author>
        <b:NameList>
          <b:Person>
            <b:Last>Khovalyg</b:Last>
            <b:First>Dolaana </b:First>
          </b:Person>
          <b:Person>
            <b:Last>Kazanci </b:Last>
            <b:First>Ongun B. </b:First>
          </b:Person>
          <b:Person>
            <b:Last>Halvorsen</b:Last>
            <b:First>Hanne </b:First>
          </b:Person>
          <b:Person>
            <b:Last>Gundlach</b:Last>
            <b:First>Ida </b:First>
          </b:Person>
          <b:Person>
            <b:Last>Bahnfleth</b:Last>
            <b:First>William P. </b:First>
          </b:Person>
          <b:Person>
            <b:Last>Toftum</b:Last>
            <b:First>Jørn </b:First>
          </b:Person>
          <b:Person>
            <b:Last>Olesen</b:Last>
            <b:Middle>W</b:Middle>
            <b:First>Bjarne </b:First>
          </b:Person>
        </b:NameList>
      </b:Author>
    </b:Author>
    <b:RefOrder>2</b:RefOrder>
  </b:Source>
  <b:Source>
    <b:Tag>Cho22</b:Tag>
    <b:SourceType>ElectronicSource</b:SourceType>
    <b:Guid>{9F88AAA9-9B8B-DE48-9591-04781F653757}</b:Guid>
    <b:Title>Indoor Environmental Quality: Thermal Comfort</b:Title>
    <b:Year>2022</b:Year>
    <b:Author>
      <b:Author>
        <b:NameList>
          <b:Person>
            <b:Last>Chow</b:Last>
            <b:First>David</b:First>
            <b:Middle>H.C.</b:Middle>
          </b:Person>
        </b:NameList>
      </b:Author>
      <b:ProducerName>
        <b:NameList>
          <b:Person>
            <b:Last>Elseiver</b:Last>
          </b:Person>
        </b:NameList>
      </b:ProducerName>
    </b:Author>
    <b:BookTitle>Reference Module in Earth Systems and Environmental Sciences</b:BookTitle>
    <b:Publisher>Elsevier</b:Publisher>
    <b:StandardNumber>ISBN 9780124095489</b:StandardNumber>
    <b:Comments>https://doi.org/10.1016/B978-0-323-90386-8.00006-1.</b:Comments>
    <b:URL>https://doi.org/10.1016/B978-0-323-90386-8.00006-1</b:URL>
    <b:Month>May</b:Month>
    <b:Day>31</b:Day>
    <b:PublicationTitle>Reference Module in Earth Systems and Environmental Sciences</b:PublicationTitle>
    <b:RefOrder>3</b:RefOrder>
  </b:Source>
  <b:Source>
    <b:Tag>Dep08</b:Tag>
    <b:SourceType>InternetSite</b:SourceType>
    <b:Guid>{EF5DCE8D-2CF9-0445-8961-BF503F3B6740}</b:Guid>
    <b:Author>
      <b:Author>
        <b:NameList>
          <b:Person>
            <b:Last>Energy</b:Last>
            <b:First>Department</b:First>
            <b:Middle>of</b:Middle>
          </b:Person>
        </b:NameList>
      </b:Author>
    </b:Author>
    <b:Title>Department of Energy</b:Title>
    <b:InternetSiteTitle>Guidelines For Energy Conserving Design of Buildings and Utility Systems</b:InternetSiteTitle>
    <b:URL>https://www.doe.gov.ph/guidelines-energy-conserving-design-buildings-and-utility-systems#:~:text=The%20building%20sector%20in%20the,the%20nationwide%20electric%20power%20consumption.</b:URL>
    <b:Year>2008</b:Year>
    <b:RefOrder>5</b:RefOrder>
  </b:Source>
  <b:Source>
    <b:Tag>Yla22</b:Tag>
    <b:SourceType>JournalArticle</b:SourceType>
    <b:Guid>{E72C27D4-78D7-2143-8568-A5D8773ADC05}</b:Guid>
    <b:Title>Assessment of Energy Savings Potentials at University in Lanao del Norte, Philippines</b:Title>
    <b:Year>2022</b:Year>
    <b:Pages>22-28</b:Pages>
    <b:JournalName>International Research Journal of Advanced Engineering and Science</b:JournalName>
    <b:Author>
      <b:Author>
        <b:NameList>
          <b:Person>
            <b:Last>Ylaya</b:Last>
            <b:Middle>V. </b:Middle>
            <b:First>Vrian Jay </b:First>
          </b:Person>
          <b:Person>
            <b:Last>Malicay</b:Last>
            <b:Middle>G. </b:Middle>
            <b:First>Leonielyn </b:First>
          </b:Person>
        </b:NameList>
      </b:Author>
    </b:Author>
    <b:Volume>7</b:Volume>
    <b:Issue>2</b:Issue>
    <b:StandardNumber>ISSN (Online): 2455-9024</b:StandardNumber>
    <b:RefOrder>6</b:RefOrder>
  </b:Source>
  <b:Source>
    <b:Tag>Lop17</b:Tag>
    <b:SourceType>ConferenceProceedings</b:SourceType>
    <b:Guid>{42FA38DE-F57D-F643-A6F1-B8853412FC9D}</b:Guid>
    <b:Title>Energy audit and analysis of the electricity consumption of an educational building in the Philippines for smart consumption</b:Title>
    <b:Year>2017</b:Year>
    <b:ConferenceName>2017 IEEE 9th International Conference on Humanoid, Nanotechnology, Information Technology, Communication and Control, Environment and Management (HNICEM)</b:ConferenceName>
    <b:Publisher>IEEE</b:Publisher>
    <b:City>Manila, Philippines</b:City>
    <b:Pages>1-4</b:Pages>
    <b:Author>
      <b:Author>
        <b:NameList>
          <b:Person>
            <b:Last>Lopez</b:Last>
            <b:First>Neil Stephen </b:First>
          </b:Person>
          <b:Person>
            <b:Last>Gonzaga</b:Last>
            <b:First>Jeremias </b:First>
          </b:Person>
          <b:Person>
            <b:Last>Gan Lim</b:Last>
            <b:Middle>A. </b:Middle>
            <b:First>Laurence </b:First>
          </b:Person>
        </b:NameList>
      </b:Author>
    </b:Author>
    <b:Comments>doi: 10.1109/HNICEM.2017.8269505</b:Comments>
    <b:RefOrder>7</b:RefOrder>
  </b:Source>
  <b:Source>
    <b:Tag>Met20</b:Tag>
    <b:SourceType>JournalArticle</b:SourceType>
    <b:Guid>{03B3CE09-BBFF-42AB-AA41-DF36F116BA80}</b:Guid>
    <b:Title>Energy Efficiency in Smart Buildings: IoT Approaches</b:Title>
    <b:JournalName>IEEE Access</b:JournalName>
    <b:Year>2020</b:Year>
    <b:Pages>63679 - 63699</b:Pages>
    <b:Volume>8</b:Volume>
    <b:Author>
      <b:Author>
        <b:NameList>
          <b:Person>
            <b:Last>Metallidou</b:Last>
            <b:Middle>K. </b:Middle>
            <b:First>Chrysi </b:First>
          </b:Person>
          <b:Person>
            <b:Last>Psannis</b:Last>
            <b:Middle>E. </b:Middle>
            <b:First>Kostas </b:First>
          </b:Person>
          <b:Person>
            <b:Last>Egyptiadou</b:Last>
            <b:First>Eugenia Alexandropoulou </b:First>
          </b:Person>
        </b:NameList>
      </b:Author>
    </b:Author>
    <b:RefOrder>8</b:RefOrder>
  </b:Source>
  <b:Source>
    <b:Tag>Afr191</b:Tag>
    <b:SourceType>JournalArticle</b:SourceType>
    <b:Guid>{9E5B24EC-BAEF-304A-B3C9-AB839C5C98B9}</b:Guid>
    <b:Title>A comprehensive study on application development software systems</b:Title>
    <b:JournalName>International Journal of Emerging Trends in Engineering Research</b:JournalName>
    <b:Year>2019</b:Year>
    <b:Volume>7</b:Volume>
    <b:Issue>8</b:Issue>
    <b:Pages>99-103</b:Pages>
    <b:Author>
      <b:Author>
        <b:NameList>
          <b:Person>
            <b:Last>Africa</b:Last>
            <b:Middle>M. </b:Middle>
            <b:First>Aaron Don </b:First>
          </b:Person>
          <b:Person>
            <b:Last>Ching</b:Last>
            <b:First>Gerard </b:First>
          </b:Person>
          <b:Person>
            <b:Last>Go</b:Last>
            <b:First>Kerwin </b:First>
          </b:Person>
          <b:Person>
            <b:Last>Evidente</b:Last>
            <b:First>Rency </b:First>
          </b:Person>
          <b:Person>
            <b:Last>Uy</b:Last>
            <b:First>Jason</b:First>
          </b:Person>
        </b:NameList>
      </b:Author>
    </b:Author>
    <b:Month>January </b:Month>
    <b:Day>1</b:Day>
    <b:Comments>https://doi.org/10.30534/ijeter/2019/03782019</b:Comments>
    <b:RefOrder>96</b:RefOrder>
  </b:Source>
</b:Sources>
</file>

<file path=customXml/itemProps1.xml><?xml version="1.0" encoding="utf-8"?>
<ds:datastoreItem xmlns:ds="http://schemas.openxmlformats.org/officeDocument/2006/customXml" ds:itemID="{497115C6-A34B-6447-94DD-CC3E766A84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C:\Users\Faculty\Downloads\buildings-template.dot</Template>
  <TotalTime>0</TotalTime>
  <Pages>15</Pages>
  <Words>18041</Words>
  <Characters>102837</Characters>
  <Application>Microsoft Office Word</Application>
  <DocSecurity>0</DocSecurity>
  <Lines>856</Lines>
  <Paragraphs>241</Paragraphs>
  <ScaleCrop>false</ScaleCrop>
  <HeadingPairs>
    <vt:vector size="2" baseType="variant">
      <vt:variant>
        <vt:lpstr>Title</vt:lpstr>
      </vt:variant>
      <vt:variant>
        <vt:i4>1</vt:i4>
      </vt:variant>
    </vt:vector>
  </HeadingPairs>
  <TitlesOfParts>
    <vt:vector size="1" baseType="lpstr">
      <vt:lpstr>Type of the Paper (Article</vt:lpstr>
    </vt:vector>
  </TitlesOfParts>
  <Company/>
  <LinksUpToDate>false</LinksUpToDate>
  <CharactersWithSpaces>120637</CharactersWithSpaces>
  <SharedDoc>false</SharedDoc>
  <HLinks>
    <vt:vector size="6" baseType="variant">
      <vt:variant>
        <vt:i4>3997750</vt:i4>
      </vt:variant>
      <vt:variant>
        <vt:i4>24</vt:i4>
      </vt:variant>
      <vt:variant>
        <vt:i4>0</vt:i4>
      </vt:variant>
      <vt:variant>
        <vt:i4>5</vt:i4>
      </vt:variant>
      <vt:variant>
        <vt:lpwstr>https://img.mdpi.org/data/contributor-role-instruction.pdf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Faculty</dc:creator>
  <cp:keywords/>
  <dc:description/>
  <cp:lastModifiedBy>Stanley Glenn E. Brucal</cp:lastModifiedBy>
  <cp:revision>3</cp:revision>
  <cp:lastPrinted>2024-03-19T07:21:00Z</cp:lastPrinted>
  <dcterms:created xsi:type="dcterms:W3CDTF">2024-03-19T07:21:00Z</dcterms:created>
  <dcterms:modified xsi:type="dcterms:W3CDTF">2024-03-19T07:21:00Z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zotero-version="6.0.35"&gt;&lt;session id="MpX2cX0j"/&gt;&lt;style id="http://www.zotero.org/styles/multidisciplinary-digital-publishing-institute" hasBibliography="1" bibliographyStyleHasBeenSet="1"/&gt;&lt;prefs&gt;&lt;pref name="fieldType" value="Field"</vt:lpwstr>
  </property>
  <property fmtid="{D5CDD505-2E9C-101B-9397-08002B2CF9AE}" pid="3" name="ZOTERO_PREF_2">
    <vt:lpwstr>/&gt;&lt;pref name="automaticJournalAbbreviations" value="true"/&gt;&lt;/prefs&gt;&lt;/data&gt;</vt:lpwstr>
  </property>
</Properties>
</file>