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22304" w:rsidRPr="006453D9" w:rsidRDefault="00522304" w:rsidP="00522304">
      <w:pPr>
        <w:pStyle w:val="MDPI11articletype"/>
      </w:pPr>
      <w:r w:rsidRPr="006453D9">
        <w:t>Artic</w:t>
      </w:r>
      <w:r w:rsidR="008A0BBA">
        <w:t>le</w:t>
      </w:r>
    </w:p>
    <w:p w:rsidR="00522304" w:rsidRPr="003B1AF1" w:rsidRDefault="00FB0BFB" w:rsidP="00522304">
      <w:pPr>
        <w:pStyle w:val="MDPI12title"/>
      </w:pPr>
      <w:r w:rsidRPr="00FB0BFB">
        <w:t xml:space="preserve">Wastewater-Based Epidemiology </w:t>
      </w:r>
      <w:r w:rsidR="004C557C" w:rsidRPr="00FB0BFB">
        <w:t>f</w:t>
      </w:r>
      <w:r w:rsidRPr="00FB0BFB">
        <w:t>or</w:t>
      </w:r>
      <w:r w:rsidR="004C557C" w:rsidRPr="00FB0BFB">
        <w:t xml:space="preserve"> SARS-CoV-2</w:t>
      </w:r>
      <w:r w:rsidR="004C557C" w:rsidRPr="004C557C">
        <w:t xml:space="preserve"> in </w:t>
      </w:r>
      <w:r w:rsidR="0075560D">
        <w:t xml:space="preserve">Northern </w:t>
      </w:r>
      <w:r w:rsidR="00B42B1F">
        <w:t>Italy: A Spatiot</w:t>
      </w:r>
      <w:r w:rsidR="004C557C" w:rsidRPr="004C557C">
        <w:t>emporal Model</w:t>
      </w:r>
    </w:p>
    <w:p w:rsidR="0008598A" w:rsidRPr="00F66D4B" w:rsidRDefault="00F66D4B" w:rsidP="00522304">
      <w:pPr>
        <w:pStyle w:val="MDPI13authornames"/>
        <w:rPr>
          <w:lang w:val="it-IT"/>
        </w:rPr>
      </w:pPr>
      <w:r w:rsidRPr="00F66D4B">
        <w:rPr>
          <w:lang w:val="it-IT"/>
        </w:rPr>
        <w:t>Matilde</w:t>
      </w:r>
      <w:r w:rsidR="00522304" w:rsidRPr="00F66D4B">
        <w:rPr>
          <w:lang w:val="it-IT"/>
        </w:rPr>
        <w:t xml:space="preserve"> </w:t>
      </w:r>
      <w:r w:rsidRPr="00F66D4B">
        <w:rPr>
          <w:lang w:val="it-IT"/>
        </w:rPr>
        <w:t>Fondriest</w:t>
      </w:r>
      <w:r w:rsidR="00FB0BFB">
        <w:rPr>
          <w:lang w:val="it-IT"/>
        </w:rPr>
        <w:t xml:space="preserve"> </w:t>
      </w:r>
      <w:r w:rsidR="00522304" w:rsidRPr="00F66D4B">
        <w:rPr>
          <w:vertAlign w:val="superscript"/>
          <w:lang w:val="it-IT"/>
        </w:rPr>
        <w:t>1</w:t>
      </w:r>
      <w:r w:rsidRPr="00F66D4B">
        <w:rPr>
          <w:vertAlign w:val="superscript"/>
          <w:lang w:val="it-IT"/>
        </w:rPr>
        <w:t xml:space="preserve"> </w:t>
      </w:r>
      <w:r w:rsidR="008A5808" w:rsidRPr="00F66D4B">
        <w:rPr>
          <w:vertAlign w:val="superscript"/>
          <w:lang w:val="it-IT"/>
        </w:rPr>
        <w:t>,</w:t>
      </w:r>
      <w:r w:rsidR="008A5808" w:rsidRPr="00F66D4B">
        <w:rPr>
          <w:lang w:val="it-IT"/>
        </w:rPr>
        <w:t>*</w:t>
      </w:r>
      <w:r w:rsidR="008A5808">
        <w:rPr>
          <w:lang w:val="it-IT"/>
        </w:rPr>
        <w:t xml:space="preserve"> </w:t>
      </w:r>
      <w:r w:rsidRPr="00F66D4B">
        <w:rPr>
          <w:lang w:val="it-IT"/>
        </w:rPr>
        <w:t>(†)</w:t>
      </w:r>
      <w:r w:rsidR="00522304" w:rsidRPr="00F66D4B">
        <w:rPr>
          <w:lang w:val="it-IT"/>
        </w:rPr>
        <w:t xml:space="preserve">, </w:t>
      </w:r>
      <w:r w:rsidRPr="00F66D4B">
        <w:rPr>
          <w:lang w:val="it-IT"/>
        </w:rPr>
        <w:t>Lorenzo</w:t>
      </w:r>
      <w:r w:rsidR="00522304" w:rsidRPr="00F66D4B">
        <w:rPr>
          <w:lang w:val="it-IT"/>
        </w:rPr>
        <w:t xml:space="preserve"> </w:t>
      </w:r>
      <w:r>
        <w:rPr>
          <w:lang w:val="it-IT"/>
        </w:rPr>
        <w:t>Vaccari</w:t>
      </w:r>
      <w:r w:rsidR="00FB0BFB" w:rsidRPr="00F66D4B">
        <w:rPr>
          <w:lang w:val="it-IT"/>
        </w:rPr>
        <w:t xml:space="preserve"> </w:t>
      </w:r>
      <w:r w:rsidR="00FB0BFB" w:rsidRPr="00F66D4B">
        <w:rPr>
          <w:vertAlign w:val="superscript"/>
          <w:lang w:val="it-IT"/>
        </w:rPr>
        <w:t>1</w:t>
      </w:r>
      <w:r w:rsidR="00522304" w:rsidRPr="00F66D4B">
        <w:rPr>
          <w:lang w:val="it-IT"/>
        </w:rPr>
        <w:t xml:space="preserve"> </w:t>
      </w:r>
      <w:r w:rsidRPr="00F66D4B">
        <w:rPr>
          <w:lang w:val="it-IT"/>
        </w:rPr>
        <w:t>(†)</w:t>
      </w:r>
      <w:r w:rsidR="0075560D" w:rsidRPr="00F66D4B">
        <w:rPr>
          <w:lang w:val="it-IT"/>
        </w:rPr>
        <w:t>,</w:t>
      </w:r>
      <w:r w:rsidR="000E7BAC">
        <w:rPr>
          <w:lang w:val="it-IT"/>
        </w:rPr>
        <w:t xml:space="preserve"> </w:t>
      </w:r>
      <w:r w:rsidR="000E7BAC" w:rsidRPr="008A5808">
        <w:rPr>
          <w:lang w:val="it-IT"/>
        </w:rPr>
        <w:t xml:space="preserve">Federico </w:t>
      </w:r>
      <w:proofErr w:type="spellStart"/>
      <w:r w:rsidR="000E7BAC" w:rsidRPr="008A5808">
        <w:rPr>
          <w:lang w:val="it-IT"/>
        </w:rPr>
        <w:t>Aldrovandi</w:t>
      </w:r>
      <w:proofErr w:type="spellEnd"/>
      <w:r w:rsidR="00947A61">
        <w:rPr>
          <w:lang w:val="it-IT"/>
        </w:rPr>
        <w:t xml:space="preserve"> </w:t>
      </w:r>
      <w:r w:rsidR="00947A61">
        <w:rPr>
          <w:vertAlign w:val="superscript"/>
          <w:lang w:val="it-IT"/>
        </w:rPr>
        <w:t>2</w:t>
      </w:r>
      <w:r w:rsidR="000E7BAC" w:rsidRPr="00F66D4B">
        <w:rPr>
          <w:lang w:val="it-IT"/>
        </w:rPr>
        <w:t>,</w:t>
      </w:r>
      <w:r w:rsidR="000E7BAC">
        <w:rPr>
          <w:lang w:val="it-IT"/>
        </w:rPr>
        <w:t xml:space="preserve"> </w:t>
      </w:r>
      <w:r w:rsidR="000E7BAC" w:rsidRPr="008A5808">
        <w:rPr>
          <w:lang w:val="it-IT"/>
        </w:rPr>
        <w:t xml:space="preserve">Laura De </w:t>
      </w:r>
      <w:proofErr w:type="spellStart"/>
      <w:r w:rsidR="000E7BAC" w:rsidRPr="008A5808">
        <w:rPr>
          <w:lang w:val="it-IT"/>
        </w:rPr>
        <w:t>Lellis</w:t>
      </w:r>
      <w:proofErr w:type="spellEnd"/>
      <w:r w:rsidR="00947A61">
        <w:rPr>
          <w:lang w:val="it-IT"/>
        </w:rPr>
        <w:t xml:space="preserve"> </w:t>
      </w:r>
      <w:r w:rsidR="00947A61">
        <w:rPr>
          <w:vertAlign w:val="superscript"/>
          <w:lang w:val="it-IT"/>
        </w:rPr>
        <w:t>3</w:t>
      </w:r>
      <w:r w:rsidR="000E7BAC" w:rsidRPr="00F66D4B">
        <w:rPr>
          <w:lang w:val="it-IT"/>
        </w:rPr>
        <w:t xml:space="preserve">, </w:t>
      </w:r>
      <w:r w:rsidR="008A5808" w:rsidRPr="008A5808">
        <w:rPr>
          <w:lang w:val="it-IT"/>
        </w:rPr>
        <w:t>Filippo Ferretti</w:t>
      </w:r>
      <w:r w:rsidR="001A30C9">
        <w:rPr>
          <w:lang w:val="it-IT"/>
        </w:rPr>
        <w:t xml:space="preserve"> </w:t>
      </w:r>
      <w:r w:rsidR="001A30C9">
        <w:rPr>
          <w:vertAlign w:val="superscript"/>
          <w:lang w:val="it-IT"/>
        </w:rPr>
        <w:t>4</w:t>
      </w:r>
      <w:r w:rsidR="0075560D" w:rsidRPr="00F66D4B">
        <w:rPr>
          <w:lang w:val="it-IT"/>
        </w:rPr>
        <w:t xml:space="preserve">, </w:t>
      </w:r>
      <w:r w:rsidR="008A5808" w:rsidRPr="008A5808">
        <w:rPr>
          <w:lang w:val="it-IT"/>
        </w:rPr>
        <w:t>Carmine Fiorentino</w:t>
      </w:r>
      <w:r w:rsidR="001A30C9">
        <w:rPr>
          <w:lang w:val="it-IT"/>
        </w:rPr>
        <w:t xml:space="preserve"> </w:t>
      </w:r>
      <w:r w:rsidR="001A30C9">
        <w:rPr>
          <w:vertAlign w:val="superscript"/>
          <w:lang w:val="it-IT"/>
        </w:rPr>
        <w:t>4</w:t>
      </w:r>
      <w:r w:rsidR="0075560D" w:rsidRPr="00F66D4B">
        <w:rPr>
          <w:lang w:val="it-IT"/>
        </w:rPr>
        <w:t xml:space="preserve">, </w:t>
      </w:r>
      <w:r w:rsidR="000E7BAC" w:rsidRPr="008A5808">
        <w:rPr>
          <w:lang w:val="it-IT"/>
        </w:rPr>
        <w:t>Erica Mari</w:t>
      </w:r>
      <w:r w:rsidR="008771DE">
        <w:rPr>
          <w:lang w:val="it-IT"/>
        </w:rPr>
        <w:t xml:space="preserve"> </w:t>
      </w:r>
      <w:r w:rsidR="008771DE" w:rsidRPr="00F66D4B">
        <w:rPr>
          <w:vertAlign w:val="superscript"/>
          <w:lang w:val="it-IT"/>
        </w:rPr>
        <w:t>1</w:t>
      </w:r>
      <w:r w:rsidR="00C87B34">
        <w:rPr>
          <w:vertAlign w:val="superscript"/>
          <w:lang w:val="it-IT"/>
        </w:rPr>
        <w:t xml:space="preserve">, </w:t>
      </w:r>
      <w:r w:rsidR="001A30C9">
        <w:rPr>
          <w:vertAlign w:val="superscript"/>
          <w:lang w:val="it-IT"/>
        </w:rPr>
        <w:t>4</w:t>
      </w:r>
      <w:r w:rsidR="000E7BAC" w:rsidRPr="00F66D4B">
        <w:rPr>
          <w:lang w:val="it-IT"/>
        </w:rPr>
        <w:t xml:space="preserve">, </w:t>
      </w:r>
      <w:r w:rsidR="000E7BAC" w:rsidRPr="008A5808">
        <w:rPr>
          <w:lang w:val="it-IT"/>
        </w:rPr>
        <w:t xml:space="preserve">Maria Grazia </w:t>
      </w:r>
      <w:proofErr w:type="spellStart"/>
      <w:r w:rsidR="000E7BAC" w:rsidRPr="008A5808">
        <w:rPr>
          <w:lang w:val="it-IT"/>
        </w:rPr>
        <w:t>Mascolo</w:t>
      </w:r>
      <w:proofErr w:type="spellEnd"/>
      <w:r w:rsidR="000E7BAC">
        <w:rPr>
          <w:lang w:val="it-IT"/>
        </w:rPr>
        <w:t xml:space="preserve"> </w:t>
      </w:r>
      <w:r w:rsidR="000E7BAC" w:rsidRPr="00F66D4B">
        <w:rPr>
          <w:vertAlign w:val="superscript"/>
          <w:lang w:val="it-IT"/>
        </w:rPr>
        <w:t>1</w:t>
      </w:r>
      <w:r w:rsidR="000E7BAC">
        <w:rPr>
          <w:lang w:val="it-IT"/>
        </w:rPr>
        <w:t>,</w:t>
      </w:r>
      <w:r w:rsidR="000E7BAC" w:rsidRPr="008A5808">
        <w:rPr>
          <w:lang w:val="it-IT"/>
        </w:rPr>
        <w:t xml:space="preserve"> </w:t>
      </w:r>
      <w:r w:rsidR="008A5808" w:rsidRPr="008A5808">
        <w:rPr>
          <w:lang w:val="it-IT"/>
        </w:rPr>
        <w:t xml:space="preserve">Laura </w:t>
      </w:r>
      <w:proofErr w:type="spellStart"/>
      <w:r w:rsidR="008A5808" w:rsidRPr="008A5808">
        <w:rPr>
          <w:lang w:val="it-IT"/>
        </w:rPr>
        <w:t>Minelli</w:t>
      </w:r>
      <w:proofErr w:type="spellEnd"/>
      <w:r w:rsidR="001A30C9">
        <w:rPr>
          <w:lang w:val="it-IT"/>
        </w:rPr>
        <w:t xml:space="preserve"> </w:t>
      </w:r>
      <w:r w:rsidR="00B3557F">
        <w:rPr>
          <w:vertAlign w:val="superscript"/>
          <w:lang w:val="it-IT"/>
        </w:rPr>
        <w:t>5</w:t>
      </w:r>
      <w:r w:rsidR="008A5808">
        <w:rPr>
          <w:lang w:val="it-IT"/>
        </w:rPr>
        <w:t xml:space="preserve">, </w:t>
      </w:r>
      <w:r w:rsidR="008A5808" w:rsidRPr="008A5808">
        <w:rPr>
          <w:lang w:val="it-IT"/>
        </w:rPr>
        <w:t xml:space="preserve">Vincenza </w:t>
      </w:r>
      <w:proofErr w:type="spellStart"/>
      <w:r w:rsidR="008A5808" w:rsidRPr="008A5808">
        <w:rPr>
          <w:lang w:val="it-IT"/>
        </w:rPr>
        <w:t>Perlangeli</w:t>
      </w:r>
      <w:proofErr w:type="spellEnd"/>
      <w:r w:rsidR="001A30C9">
        <w:rPr>
          <w:lang w:val="it-IT"/>
        </w:rPr>
        <w:t xml:space="preserve"> </w:t>
      </w:r>
      <w:r w:rsidR="001A30C9">
        <w:rPr>
          <w:vertAlign w:val="superscript"/>
          <w:lang w:val="it-IT"/>
        </w:rPr>
        <w:t>4</w:t>
      </w:r>
      <w:r w:rsidR="008A5808">
        <w:rPr>
          <w:lang w:val="it-IT"/>
        </w:rPr>
        <w:t xml:space="preserve">, </w:t>
      </w:r>
      <w:r w:rsidR="008A5808" w:rsidRPr="008A5808">
        <w:rPr>
          <w:lang w:val="it-IT"/>
        </w:rPr>
        <w:t xml:space="preserve">Giuseppe </w:t>
      </w:r>
      <w:proofErr w:type="spellStart"/>
      <w:r w:rsidR="008A5808" w:rsidRPr="008A5808">
        <w:rPr>
          <w:lang w:val="it-IT"/>
        </w:rPr>
        <w:t>Bortone</w:t>
      </w:r>
      <w:proofErr w:type="spellEnd"/>
      <w:r w:rsidR="00C87B34">
        <w:rPr>
          <w:lang w:val="it-IT"/>
        </w:rPr>
        <w:t xml:space="preserve"> </w:t>
      </w:r>
      <w:r w:rsidR="00C87B34" w:rsidRPr="00F66D4B">
        <w:rPr>
          <w:vertAlign w:val="superscript"/>
          <w:lang w:val="it-IT"/>
        </w:rPr>
        <w:t>1</w:t>
      </w:r>
      <w:r w:rsidR="008A5808">
        <w:rPr>
          <w:lang w:val="it-IT"/>
        </w:rPr>
        <w:t xml:space="preserve">, </w:t>
      </w:r>
      <w:r w:rsidR="00034F25">
        <w:rPr>
          <w:lang w:val="it-IT"/>
        </w:rPr>
        <w:t xml:space="preserve"> </w:t>
      </w:r>
      <w:r w:rsidR="008A5808" w:rsidRPr="008A5808">
        <w:rPr>
          <w:lang w:val="it-IT"/>
        </w:rPr>
        <w:t>Paolo Pandolfi</w:t>
      </w:r>
      <w:r w:rsidR="001A30C9">
        <w:rPr>
          <w:lang w:val="it-IT"/>
        </w:rPr>
        <w:t xml:space="preserve"> </w:t>
      </w:r>
      <w:r w:rsidR="001A30C9">
        <w:rPr>
          <w:vertAlign w:val="superscript"/>
          <w:lang w:val="it-IT"/>
        </w:rPr>
        <w:t>4</w:t>
      </w:r>
      <w:r w:rsidR="000E7BAC">
        <w:rPr>
          <w:lang w:val="it-IT"/>
        </w:rPr>
        <w:t xml:space="preserve">, </w:t>
      </w:r>
      <w:r w:rsidR="000E7BAC" w:rsidRPr="008A5808">
        <w:rPr>
          <w:lang w:val="it-IT"/>
        </w:rPr>
        <w:t>Anna</w:t>
      </w:r>
      <w:r w:rsidR="00263156">
        <w:rPr>
          <w:lang w:val="it-IT"/>
        </w:rPr>
        <w:t>m</w:t>
      </w:r>
      <w:r w:rsidR="000E7BAC" w:rsidRPr="008A5808">
        <w:rPr>
          <w:lang w:val="it-IT"/>
        </w:rPr>
        <w:t xml:space="preserve">aria </w:t>
      </w:r>
      <w:proofErr w:type="spellStart"/>
      <w:r w:rsidR="000E7BAC" w:rsidRPr="008A5808">
        <w:rPr>
          <w:lang w:val="it-IT"/>
        </w:rPr>
        <w:t>Colacci</w:t>
      </w:r>
      <w:proofErr w:type="spellEnd"/>
      <w:r w:rsidR="000E7BAC" w:rsidRPr="00F66D4B">
        <w:rPr>
          <w:lang w:val="it-IT"/>
        </w:rPr>
        <w:t xml:space="preserve"> </w:t>
      </w:r>
      <w:r w:rsidR="00C87B34" w:rsidRPr="00F66D4B">
        <w:rPr>
          <w:vertAlign w:val="superscript"/>
          <w:lang w:val="it-IT"/>
        </w:rPr>
        <w:t>1</w:t>
      </w:r>
      <w:r w:rsidR="008A5808" w:rsidRPr="008A5808">
        <w:rPr>
          <w:lang w:val="it-IT"/>
        </w:rPr>
        <w:t xml:space="preserve"> </w:t>
      </w:r>
      <w:r w:rsidR="00522304" w:rsidRPr="00F66D4B">
        <w:rPr>
          <w:lang w:val="it-IT"/>
        </w:rPr>
        <w:t xml:space="preserve">and </w:t>
      </w:r>
      <w:r w:rsidR="000E7BAC" w:rsidRPr="00F66D4B">
        <w:rPr>
          <w:lang w:val="it-IT"/>
        </w:rPr>
        <w:t>Andrea</w:t>
      </w:r>
      <w:r w:rsidR="000E7BAC">
        <w:rPr>
          <w:lang w:val="it-IT"/>
        </w:rPr>
        <w:t xml:space="preserve"> </w:t>
      </w:r>
      <w:proofErr w:type="spellStart"/>
      <w:r w:rsidR="000E7BAC">
        <w:rPr>
          <w:lang w:val="it-IT"/>
        </w:rPr>
        <w:t>Ranzi</w:t>
      </w:r>
      <w:proofErr w:type="spellEnd"/>
      <w:r w:rsidR="000E7BAC" w:rsidRPr="00F66D4B">
        <w:rPr>
          <w:lang w:val="it-IT"/>
        </w:rPr>
        <w:t xml:space="preserve"> </w:t>
      </w:r>
      <w:r w:rsidR="000E7BAC" w:rsidRPr="00F66D4B">
        <w:rPr>
          <w:vertAlign w:val="superscript"/>
          <w:lang w:val="it-IT"/>
        </w:rPr>
        <w:t>1</w:t>
      </w:r>
    </w:p>
    <w:tbl>
      <w:tblPr>
        <w:tblpPr w:leftFromText="198" w:rightFromText="198" w:vertAnchor="page" w:horzAnchor="margin" w:tblpY="11276"/>
        <w:tblW w:w="2410" w:type="dxa"/>
        <w:tblLayout w:type="fixed"/>
        <w:tblCellMar>
          <w:left w:w="0" w:type="dxa"/>
          <w:right w:w="0" w:type="dxa"/>
        </w:tblCellMar>
        <w:tblLook w:val="04A0"/>
      </w:tblPr>
      <w:tblGrid>
        <w:gridCol w:w="2410"/>
      </w:tblGrid>
      <w:tr w:rsidR="0008598A" w:rsidRPr="006331AD" w:rsidTr="00D63F7E">
        <w:tc>
          <w:tcPr>
            <w:tcW w:w="2410" w:type="dxa"/>
            <w:shd w:val="clear" w:color="auto" w:fill="auto"/>
          </w:tcPr>
          <w:p w:rsidR="0008598A" w:rsidRPr="00E4528C" w:rsidRDefault="0008598A" w:rsidP="00D63F7E">
            <w:pPr>
              <w:pStyle w:val="MDPI61Citation"/>
              <w:spacing w:after="120" w:line="240" w:lineRule="exact"/>
            </w:pPr>
            <w:r w:rsidRPr="00183AB8">
              <w:rPr>
                <w:b/>
              </w:rPr>
              <w:t>Citation:</w:t>
            </w:r>
            <w:r>
              <w:rPr>
                <w:b/>
              </w:rPr>
              <w:t xml:space="preserve"> </w:t>
            </w:r>
            <w:r>
              <w:t>To be added by editorial staff during production.</w:t>
            </w:r>
          </w:p>
          <w:p w:rsidR="0008598A" w:rsidRPr="002D18CB" w:rsidRDefault="0008598A" w:rsidP="00D63F7E">
            <w:pPr>
              <w:pStyle w:val="MDPI14history"/>
              <w:spacing w:before="120" w:after="120"/>
              <w:rPr>
                <w:rFonts w:eastAsia="SimSun" w:cs="SimSun"/>
                <w:lang w:eastAsia="zh-CN"/>
              </w:rPr>
            </w:pPr>
            <w:r w:rsidRPr="002D18CB">
              <w:t xml:space="preserve">Academic Editor: </w:t>
            </w:r>
            <w:proofErr w:type="spellStart"/>
            <w:r w:rsidRPr="002D18CB">
              <w:t>Firstname</w:t>
            </w:r>
            <w:proofErr w:type="spellEnd"/>
            <w:r w:rsidRPr="002D18CB">
              <w:t xml:space="preserve"> </w:t>
            </w:r>
            <w:proofErr w:type="spellStart"/>
            <w:r w:rsidRPr="002D18CB">
              <w:t>Lastname</w:t>
            </w:r>
            <w:proofErr w:type="spellEnd"/>
          </w:p>
          <w:p w:rsidR="0008598A" w:rsidRPr="002D18CB" w:rsidRDefault="0008598A" w:rsidP="00D63F7E">
            <w:pPr>
              <w:pStyle w:val="MDPI14history"/>
              <w:spacing w:before="120"/>
              <w:rPr>
                <w:rFonts w:eastAsia="SimSun" w:cs="SimSun"/>
              </w:rPr>
            </w:pPr>
            <w:r w:rsidRPr="002D18CB">
              <w:rPr>
                <w:szCs w:val="14"/>
              </w:rPr>
              <w:t>Received: date</w:t>
            </w:r>
          </w:p>
          <w:p w:rsidR="0008598A" w:rsidRDefault="0008598A" w:rsidP="00D63F7E">
            <w:pPr>
              <w:pStyle w:val="MDPI14history"/>
              <w:rPr>
                <w:szCs w:val="14"/>
              </w:rPr>
            </w:pPr>
            <w:r>
              <w:rPr>
                <w:szCs w:val="14"/>
              </w:rPr>
              <w:t>Revised: date</w:t>
            </w:r>
          </w:p>
          <w:p w:rsidR="0008598A" w:rsidRPr="00550626" w:rsidRDefault="0008598A" w:rsidP="00D63F7E">
            <w:pPr>
              <w:pStyle w:val="MDPI14history"/>
              <w:rPr>
                <w:szCs w:val="14"/>
              </w:rPr>
            </w:pPr>
            <w:r>
              <w:rPr>
                <w:szCs w:val="14"/>
              </w:rPr>
              <w:t>Accepted: date</w:t>
            </w:r>
          </w:p>
          <w:p w:rsidR="0008598A" w:rsidRPr="00550626" w:rsidRDefault="0008598A" w:rsidP="00D63F7E">
            <w:pPr>
              <w:pStyle w:val="MDPI14history"/>
              <w:spacing w:after="120"/>
              <w:rPr>
                <w:szCs w:val="14"/>
              </w:rPr>
            </w:pPr>
            <w:r w:rsidRPr="00550626">
              <w:rPr>
                <w:szCs w:val="14"/>
              </w:rPr>
              <w:t xml:space="preserve">Published: </w:t>
            </w:r>
            <w:r w:rsidRPr="00D945EC">
              <w:rPr>
                <w:szCs w:val="14"/>
              </w:rPr>
              <w:t>date</w:t>
            </w:r>
          </w:p>
          <w:p w:rsidR="0008598A" w:rsidRPr="006331AD" w:rsidRDefault="0008598A" w:rsidP="00D63F7E">
            <w:pPr>
              <w:adjustRightInd w:val="0"/>
              <w:snapToGrid w:val="0"/>
              <w:spacing w:before="120" w:line="240" w:lineRule="atLeast"/>
              <w:ind w:right="113"/>
              <w:jc w:val="left"/>
              <w:rPr>
                <w:rFonts w:eastAsia="等线"/>
                <w:bCs/>
                <w:sz w:val="14"/>
                <w:szCs w:val="14"/>
                <w:lang w:bidi="en-US"/>
              </w:rPr>
            </w:pPr>
            <w:r w:rsidRPr="006331AD">
              <w:rPr>
                <w:rFonts w:eastAsia="等线"/>
                <w:lang w:val="it-IT" w:eastAsia="it-IT"/>
              </w:rPr>
              <w:drawing>
                <wp:inline distT="0" distB="0" distL="0" distR="0">
                  <wp:extent cx="692785" cy="249555"/>
                  <wp:effectExtent l="0" t="0" r="0" b="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92785" cy="249555"/>
                          </a:xfrm>
                          <a:prstGeom prst="rect">
                            <a:avLst/>
                          </a:prstGeom>
                          <a:noFill/>
                          <a:ln>
                            <a:noFill/>
                          </a:ln>
                        </pic:spPr>
                      </pic:pic>
                    </a:graphicData>
                  </a:graphic>
                </wp:inline>
              </w:drawing>
            </w:r>
          </w:p>
          <w:p w:rsidR="0008598A" w:rsidRPr="006331AD" w:rsidRDefault="0008598A" w:rsidP="0028726C">
            <w:pPr>
              <w:pStyle w:val="MDPI72Copyright"/>
              <w:rPr>
                <w:rFonts w:eastAsia="等线"/>
                <w:lang w:bidi="en-US"/>
              </w:rPr>
            </w:pPr>
            <w:r w:rsidRPr="006331AD">
              <w:rPr>
                <w:rFonts w:eastAsia="等线"/>
                <w:b/>
                <w:lang w:bidi="en-US"/>
              </w:rPr>
              <w:t>Copyright:</w:t>
            </w:r>
            <w:r w:rsidRPr="006331AD">
              <w:rPr>
                <w:rFonts w:eastAsia="等线"/>
                <w:lang w:bidi="en-US"/>
              </w:rPr>
              <w:t xml:space="preserve"> </w:t>
            </w:r>
            <w:r w:rsidR="00B24932">
              <w:rPr>
                <w:rFonts w:eastAsia="等线"/>
                <w:lang w:bidi="en-US"/>
              </w:rPr>
              <w:t>© 2024 by the</w:t>
            </w:r>
            <w:r>
              <w:rPr>
                <w:rFonts w:eastAsia="等线"/>
                <w:lang w:bidi="en-US"/>
              </w:rPr>
              <w:t xml:space="preserve"> authors. Submitted for possible open access publication under the terms and conditions of the Creative Commons </w:t>
            </w:r>
            <w:r w:rsidRPr="006331AD">
              <w:rPr>
                <w:rFonts w:eastAsia="等线"/>
                <w:lang w:bidi="en-US"/>
              </w:rPr>
              <w:t>Attribution (CC BY) license (</w:t>
            </w:r>
            <w:r>
              <w:rPr>
                <w:rFonts w:eastAsia="等线"/>
                <w:lang w:bidi="en-US"/>
              </w:rPr>
              <w:t>https://</w:t>
            </w:r>
            <w:r w:rsidRPr="006331AD">
              <w:rPr>
                <w:rFonts w:eastAsia="等线"/>
                <w:lang w:bidi="en-US"/>
              </w:rPr>
              <w:t>creativecommons.org/licenses/by/4.0/).</w:t>
            </w:r>
          </w:p>
        </w:tc>
      </w:tr>
    </w:tbl>
    <w:p w:rsidR="008A5808" w:rsidRPr="008A5808" w:rsidRDefault="008A5808" w:rsidP="00522304">
      <w:pPr>
        <w:pStyle w:val="MDPI16affiliation"/>
      </w:pPr>
      <w:r w:rsidRPr="008A5808">
        <w:t>(†)</w:t>
      </w:r>
      <w:r>
        <w:t xml:space="preserve"> </w:t>
      </w:r>
      <w:r w:rsidRPr="008A5808">
        <w:t>These authors contributed equally to this work</w:t>
      </w:r>
    </w:p>
    <w:p w:rsidR="00522304" w:rsidRPr="00D23AD9" w:rsidRDefault="00B670B5" w:rsidP="00522304">
      <w:pPr>
        <w:pStyle w:val="MDPI16affiliation"/>
        <w:rPr>
          <w:highlight w:val="yellow"/>
        </w:rPr>
      </w:pPr>
      <w:r w:rsidRPr="00B670B5">
        <w:rPr>
          <w:vertAlign w:val="superscript"/>
        </w:rPr>
        <w:t>1</w:t>
      </w:r>
      <w:r w:rsidR="00522304" w:rsidRPr="00D945EC">
        <w:tab/>
      </w:r>
      <w:r w:rsidR="00263156" w:rsidRPr="00263156">
        <w:t>Regional Agency for Prevention, Environment and Energy of Emilia-Romagna, 40139 Bologna, Italy</w:t>
      </w:r>
      <w:r w:rsidR="000E7BAC" w:rsidRPr="000E7BAC">
        <w:t xml:space="preserve">; </w:t>
      </w:r>
    </w:p>
    <w:p w:rsidR="00522304" w:rsidRDefault="00522304" w:rsidP="00522304">
      <w:pPr>
        <w:pStyle w:val="MDPI16affiliation"/>
      </w:pPr>
      <w:r w:rsidRPr="00947A61">
        <w:rPr>
          <w:vertAlign w:val="superscript"/>
        </w:rPr>
        <w:t>2</w:t>
      </w:r>
      <w:r w:rsidRPr="00947A61">
        <w:tab/>
      </w:r>
      <w:r w:rsidR="00947A61" w:rsidRPr="00947A61">
        <w:t>Alma Ma</w:t>
      </w:r>
      <w:r w:rsidR="00034F25">
        <w:t xml:space="preserve">ter Institute on Healthy Planet, </w:t>
      </w:r>
      <w:r w:rsidR="00947A61" w:rsidRPr="00947A61">
        <w:t>Department of Biological, Geological and Environmental Sciences, University of Bologna, 40138 Bologna, Italy</w:t>
      </w:r>
      <w:r w:rsidR="00034F25">
        <w:t>;</w:t>
      </w:r>
    </w:p>
    <w:p w:rsidR="00034F25" w:rsidRPr="00E000E8" w:rsidRDefault="00034F25" w:rsidP="00522304">
      <w:pPr>
        <w:pStyle w:val="MDPI16affiliation"/>
        <w:rPr>
          <w:lang w:val="it-IT"/>
        </w:rPr>
      </w:pPr>
      <w:r w:rsidRPr="00E000E8">
        <w:rPr>
          <w:vertAlign w:val="superscript"/>
          <w:lang w:val="it-IT"/>
        </w:rPr>
        <w:t>3</w:t>
      </w:r>
      <w:r w:rsidRPr="00E000E8">
        <w:rPr>
          <w:lang w:val="it-IT"/>
        </w:rPr>
        <w:tab/>
      </w:r>
      <w:proofErr w:type="spellStart"/>
      <w:r w:rsidRPr="00E000E8">
        <w:rPr>
          <w:lang w:val="it-IT"/>
        </w:rPr>
        <w:t>Hera</w:t>
      </w:r>
      <w:proofErr w:type="spellEnd"/>
      <w:r w:rsidR="00B3557F">
        <w:rPr>
          <w:lang w:val="it-IT"/>
        </w:rPr>
        <w:t xml:space="preserve"> </w:t>
      </w:r>
      <w:proofErr w:type="spellStart"/>
      <w:r w:rsidR="00B3557F">
        <w:rPr>
          <w:lang w:val="it-IT"/>
        </w:rPr>
        <w:t>tech</w:t>
      </w:r>
      <w:proofErr w:type="spellEnd"/>
      <w:r w:rsidR="00E000E8" w:rsidRPr="00E000E8">
        <w:rPr>
          <w:lang w:val="it-IT"/>
        </w:rPr>
        <w:t xml:space="preserve"> S</w:t>
      </w:r>
      <w:r w:rsidR="00B3557F">
        <w:rPr>
          <w:lang w:val="it-IT"/>
        </w:rPr>
        <w:t>rl</w:t>
      </w:r>
      <w:r w:rsidR="00E000E8" w:rsidRPr="00E000E8">
        <w:rPr>
          <w:lang w:val="it-IT"/>
        </w:rPr>
        <w:t>, 40127 Bologna, Italy;</w:t>
      </w:r>
    </w:p>
    <w:p w:rsidR="00034F25" w:rsidRDefault="00034F25" w:rsidP="00522304">
      <w:pPr>
        <w:pStyle w:val="MDPI16affiliation"/>
      </w:pPr>
      <w:r>
        <w:rPr>
          <w:vertAlign w:val="superscript"/>
        </w:rPr>
        <w:t>4</w:t>
      </w:r>
      <w:r w:rsidRPr="00947A61">
        <w:tab/>
      </w:r>
      <w:r w:rsidRPr="00034F25">
        <w:t>Local Health Authority of Bologna</w:t>
      </w:r>
      <w:r w:rsidR="00502571">
        <w:t>,</w:t>
      </w:r>
      <w:r w:rsidRPr="00034F25">
        <w:t xml:space="preserve"> Department of Public Health, 40124 Bologna, Italy</w:t>
      </w:r>
      <w:r>
        <w:t>;</w:t>
      </w:r>
    </w:p>
    <w:p w:rsidR="00B3557F" w:rsidRPr="00B3557F" w:rsidRDefault="00B3557F" w:rsidP="00522304">
      <w:pPr>
        <w:pStyle w:val="MDPI16affiliation"/>
        <w:rPr>
          <w:highlight w:val="yellow"/>
          <w:lang w:val="it-IT"/>
        </w:rPr>
      </w:pPr>
      <w:r w:rsidRPr="009B2C30">
        <w:rPr>
          <w:vertAlign w:val="superscript"/>
          <w:lang w:val="it-IT"/>
        </w:rPr>
        <w:t>5</w:t>
      </w:r>
      <w:r w:rsidRPr="00E000E8">
        <w:rPr>
          <w:lang w:val="it-IT"/>
        </w:rPr>
        <w:tab/>
        <w:t xml:space="preserve">Water </w:t>
      </w:r>
      <w:proofErr w:type="spellStart"/>
      <w:r w:rsidRPr="00E000E8">
        <w:rPr>
          <w:lang w:val="it-IT"/>
        </w:rPr>
        <w:t>Directorate</w:t>
      </w:r>
      <w:proofErr w:type="spellEnd"/>
      <w:r w:rsidRPr="00E000E8">
        <w:rPr>
          <w:lang w:val="it-IT"/>
        </w:rPr>
        <w:t xml:space="preserve">, </w:t>
      </w:r>
      <w:proofErr w:type="spellStart"/>
      <w:r w:rsidRPr="00E000E8">
        <w:rPr>
          <w:lang w:val="it-IT"/>
        </w:rPr>
        <w:t>Hera</w:t>
      </w:r>
      <w:proofErr w:type="spellEnd"/>
      <w:r w:rsidRPr="00E000E8">
        <w:rPr>
          <w:lang w:val="it-IT"/>
        </w:rPr>
        <w:t xml:space="preserve"> SpA, 40127 Bologna, Italy</w:t>
      </w:r>
    </w:p>
    <w:p w:rsidR="00522304" w:rsidRPr="00550626" w:rsidRDefault="00522304" w:rsidP="00522304">
      <w:pPr>
        <w:pStyle w:val="MDPI16affiliation"/>
      </w:pPr>
      <w:r w:rsidRPr="00034F25">
        <w:rPr>
          <w:b/>
        </w:rPr>
        <w:t>*</w:t>
      </w:r>
      <w:r w:rsidRPr="00034F25">
        <w:tab/>
        <w:t xml:space="preserve">Correspondence: </w:t>
      </w:r>
      <w:r w:rsidR="00034F25" w:rsidRPr="00034F25">
        <w:t>mfondriest@arpae.it</w:t>
      </w:r>
      <w:r w:rsidRPr="00034F25">
        <w:t>;</w:t>
      </w:r>
    </w:p>
    <w:p w:rsidR="00522304" w:rsidRPr="004C655F" w:rsidRDefault="00522304" w:rsidP="00522304">
      <w:pPr>
        <w:pStyle w:val="MDPI17abstract"/>
        <w:rPr>
          <w:szCs w:val="18"/>
          <w:lang w:val="en-GB"/>
        </w:rPr>
      </w:pPr>
      <w:r w:rsidRPr="00550626">
        <w:rPr>
          <w:b/>
          <w:szCs w:val="18"/>
        </w:rPr>
        <w:t xml:space="preserve">Abstract: </w:t>
      </w:r>
      <w:r w:rsidR="004D4B19">
        <w:rPr>
          <w:szCs w:val="18"/>
        </w:rPr>
        <w:t>The study investigated</w:t>
      </w:r>
      <w:r w:rsidR="004C655F" w:rsidRPr="004C655F">
        <w:rPr>
          <w:szCs w:val="18"/>
        </w:rPr>
        <w:t xml:space="preserve"> the application of Wastewater-Based Epidemiology (WBE) as a tool for monitoring SARS-CoV-2 prevalence in a city in Northern Italy from October 2021</w:t>
      </w:r>
      <w:r w:rsidR="004D4B19">
        <w:rPr>
          <w:szCs w:val="18"/>
        </w:rPr>
        <w:t xml:space="preserve"> to May 2023. </w:t>
      </w:r>
      <w:r w:rsidR="009C731C">
        <w:rPr>
          <w:szCs w:val="18"/>
        </w:rPr>
        <w:t>Starting from a widely applied deterministic model, th</w:t>
      </w:r>
      <w:r w:rsidR="00AE2272">
        <w:rPr>
          <w:szCs w:val="18"/>
        </w:rPr>
        <w:t>is</w:t>
      </w:r>
      <w:r w:rsidR="009C731C">
        <w:rPr>
          <w:szCs w:val="18"/>
        </w:rPr>
        <w:t xml:space="preserve"> </w:t>
      </w:r>
      <w:r w:rsidR="004D4B19">
        <w:rPr>
          <w:szCs w:val="18"/>
        </w:rPr>
        <w:t>study proposed</w:t>
      </w:r>
      <w:r w:rsidR="004C655F" w:rsidRPr="004C655F">
        <w:rPr>
          <w:szCs w:val="18"/>
        </w:rPr>
        <w:t xml:space="preserve"> a </w:t>
      </w:r>
      <w:r w:rsidR="00AC2928">
        <w:rPr>
          <w:szCs w:val="18"/>
        </w:rPr>
        <w:t xml:space="preserve">variation to take </w:t>
      </w:r>
      <w:r w:rsidR="004C655F" w:rsidRPr="004C655F">
        <w:rPr>
          <w:szCs w:val="18"/>
        </w:rPr>
        <w:t>into account population characteristics and virus biodegradation in the sewer network. The model calculate</w:t>
      </w:r>
      <w:r w:rsidR="004D4B19">
        <w:rPr>
          <w:szCs w:val="18"/>
        </w:rPr>
        <w:t>d</w:t>
      </w:r>
      <w:r w:rsidR="0032363A">
        <w:rPr>
          <w:szCs w:val="18"/>
        </w:rPr>
        <w:t xml:space="preserve"> virus</w:t>
      </w:r>
      <w:r w:rsidR="004C655F" w:rsidRPr="004C655F">
        <w:rPr>
          <w:szCs w:val="18"/>
        </w:rPr>
        <w:t xml:space="preserve"> loads and corresponding COVID-19 cases over time in d</w:t>
      </w:r>
      <w:r w:rsidR="004D4B19">
        <w:rPr>
          <w:szCs w:val="18"/>
        </w:rPr>
        <w:t>ifferent areas of the city and wa</w:t>
      </w:r>
      <w:r w:rsidR="004C655F" w:rsidRPr="004C655F">
        <w:rPr>
          <w:szCs w:val="18"/>
        </w:rPr>
        <w:t>s validated with healthcare data while considering viral mutations, vaccination</w:t>
      </w:r>
      <w:r w:rsidR="00BA1001">
        <w:rPr>
          <w:szCs w:val="18"/>
        </w:rPr>
        <w:t>s</w:t>
      </w:r>
      <w:r w:rsidR="004C655F" w:rsidRPr="004C655F">
        <w:rPr>
          <w:szCs w:val="18"/>
        </w:rPr>
        <w:t>, and tes</w:t>
      </w:r>
      <w:r w:rsidR="004C655F" w:rsidRPr="004C655F">
        <w:rPr>
          <w:szCs w:val="18"/>
        </w:rPr>
        <w:t>t</w:t>
      </w:r>
      <w:r w:rsidR="004C655F" w:rsidRPr="004C655F">
        <w:rPr>
          <w:szCs w:val="18"/>
        </w:rPr>
        <w:t xml:space="preserve">ing </w:t>
      </w:r>
      <w:r w:rsidR="00545486">
        <w:rPr>
          <w:szCs w:val="18"/>
        </w:rPr>
        <w:t>variability</w:t>
      </w:r>
      <w:r w:rsidR="004C655F" w:rsidRPr="004C655F">
        <w:rPr>
          <w:szCs w:val="18"/>
        </w:rPr>
        <w:t xml:space="preserve">. </w:t>
      </w:r>
      <w:r w:rsidR="00AC2928" w:rsidRPr="004C655F">
        <w:rPr>
          <w:szCs w:val="18"/>
        </w:rPr>
        <w:t xml:space="preserve">The correlation between </w:t>
      </w:r>
      <w:r w:rsidR="00AE2272">
        <w:rPr>
          <w:szCs w:val="18"/>
        </w:rPr>
        <w:t xml:space="preserve">the </w:t>
      </w:r>
      <w:r w:rsidR="00AC2928" w:rsidRPr="004C655F">
        <w:rPr>
          <w:szCs w:val="18"/>
        </w:rPr>
        <w:t xml:space="preserve">predicted and reported cases </w:t>
      </w:r>
      <w:r w:rsidR="00AC2928">
        <w:rPr>
          <w:szCs w:val="18"/>
        </w:rPr>
        <w:t xml:space="preserve">was high </w:t>
      </w:r>
      <w:r w:rsidR="00AC2928" w:rsidRPr="004C655F">
        <w:rPr>
          <w:szCs w:val="18"/>
        </w:rPr>
        <w:t xml:space="preserve">across the three waves </w:t>
      </w:r>
      <w:r w:rsidR="00AE2272">
        <w:rPr>
          <w:szCs w:val="18"/>
        </w:rPr>
        <w:t xml:space="preserve">that </w:t>
      </w:r>
      <w:r w:rsidR="00AC2928">
        <w:rPr>
          <w:szCs w:val="18"/>
        </w:rPr>
        <w:t xml:space="preserve">occurred </w:t>
      </w:r>
      <w:r w:rsidR="00AC2928" w:rsidRPr="004C655F">
        <w:rPr>
          <w:szCs w:val="18"/>
        </w:rPr>
        <w:t xml:space="preserve">in the considered period, demonstrating </w:t>
      </w:r>
      <w:r w:rsidR="00AC2928">
        <w:rPr>
          <w:szCs w:val="18"/>
        </w:rPr>
        <w:t>the</w:t>
      </w:r>
      <w:r w:rsidR="00AC2928" w:rsidRPr="004C655F">
        <w:rPr>
          <w:szCs w:val="18"/>
        </w:rPr>
        <w:t xml:space="preserve"> </w:t>
      </w:r>
      <w:r w:rsidR="00AC2928">
        <w:rPr>
          <w:szCs w:val="18"/>
        </w:rPr>
        <w:t xml:space="preserve">model’s </w:t>
      </w:r>
      <w:r w:rsidR="00AC2928" w:rsidRPr="004C655F">
        <w:rPr>
          <w:szCs w:val="18"/>
        </w:rPr>
        <w:t>capacity to predict rel</w:t>
      </w:r>
      <w:r w:rsidR="00AC2928" w:rsidRPr="004C655F">
        <w:rPr>
          <w:szCs w:val="18"/>
        </w:rPr>
        <w:t>e</w:t>
      </w:r>
      <w:r w:rsidR="00AC2928" w:rsidRPr="004C655F">
        <w:rPr>
          <w:szCs w:val="18"/>
        </w:rPr>
        <w:t xml:space="preserve">vant </w:t>
      </w:r>
      <w:r w:rsidR="00AC2928">
        <w:rPr>
          <w:szCs w:val="18"/>
        </w:rPr>
        <w:t>fluctuations</w:t>
      </w:r>
      <w:r w:rsidR="00AC2928" w:rsidRPr="004C655F">
        <w:rPr>
          <w:szCs w:val="18"/>
        </w:rPr>
        <w:t xml:space="preserve"> in the num</w:t>
      </w:r>
      <w:r w:rsidR="00AC2928">
        <w:rPr>
          <w:szCs w:val="18"/>
        </w:rPr>
        <w:t>ber of cases</w:t>
      </w:r>
      <w:r w:rsidR="004C655F" w:rsidRPr="004C655F">
        <w:rPr>
          <w:szCs w:val="18"/>
        </w:rPr>
        <w:t xml:space="preserve">. </w:t>
      </w:r>
      <w:r w:rsidR="00AE2272" w:rsidRPr="00AE2272">
        <w:rPr>
          <w:szCs w:val="18"/>
        </w:rPr>
        <w:t>Population characteristics did not substantially influence the predicted and reported infection rates</w:t>
      </w:r>
      <w:r w:rsidR="00AC2928">
        <w:rPr>
          <w:szCs w:val="18"/>
        </w:rPr>
        <w:t xml:space="preserve">. </w:t>
      </w:r>
      <w:r w:rsidR="00ED33AD" w:rsidRPr="00ED33AD">
        <w:rPr>
          <w:szCs w:val="18"/>
        </w:rPr>
        <w:t>Conversely</w:t>
      </w:r>
      <w:r w:rsidR="00545486">
        <w:rPr>
          <w:szCs w:val="18"/>
        </w:rPr>
        <w:t>, b</w:t>
      </w:r>
      <w:r w:rsidR="004C655F" w:rsidRPr="004C655F">
        <w:rPr>
          <w:szCs w:val="18"/>
        </w:rPr>
        <w:t>iodeg</w:t>
      </w:r>
      <w:r w:rsidR="00BA1001">
        <w:rPr>
          <w:szCs w:val="18"/>
        </w:rPr>
        <w:t>radation significantly reduced</w:t>
      </w:r>
      <w:r w:rsidR="004C655F" w:rsidRPr="004C655F">
        <w:rPr>
          <w:szCs w:val="18"/>
        </w:rPr>
        <w:t xml:space="preserve"> the virus load reaching the </w:t>
      </w:r>
      <w:r w:rsidR="004C655F">
        <w:rPr>
          <w:szCs w:val="18"/>
        </w:rPr>
        <w:t>wastewater treatment plant</w:t>
      </w:r>
      <w:r w:rsidR="00C33ECE">
        <w:rPr>
          <w:szCs w:val="18"/>
        </w:rPr>
        <w:t>, resulting in a 30%</w:t>
      </w:r>
      <w:r w:rsidR="004C655F" w:rsidRPr="004C655F">
        <w:rPr>
          <w:szCs w:val="18"/>
        </w:rPr>
        <w:t xml:space="preserve"> </w:t>
      </w:r>
      <w:r w:rsidR="00502571">
        <w:rPr>
          <w:szCs w:val="18"/>
        </w:rPr>
        <w:t>reduction</w:t>
      </w:r>
      <w:r w:rsidR="00545486">
        <w:rPr>
          <w:szCs w:val="18"/>
        </w:rPr>
        <w:t xml:space="preserve"> </w:t>
      </w:r>
      <w:r w:rsidR="00AE2272">
        <w:rPr>
          <w:szCs w:val="18"/>
        </w:rPr>
        <w:t>in</w:t>
      </w:r>
      <w:r w:rsidR="004C655F" w:rsidRPr="004C655F">
        <w:rPr>
          <w:szCs w:val="18"/>
        </w:rPr>
        <w:t xml:space="preserve"> the total virus load produced in the study area. This approach can be applied for comparing virus load values across cities with varying population demographics and sewer network </w:t>
      </w:r>
      <w:r w:rsidR="00643EB0">
        <w:rPr>
          <w:szCs w:val="18"/>
        </w:rPr>
        <w:t>structure</w:t>
      </w:r>
      <w:r w:rsidR="00AE2272">
        <w:rPr>
          <w:szCs w:val="18"/>
        </w:rPr>
        <w:t>s</w:t>
      </w:r>
      <w:r w:rsidR="004C655F" w:rsidRPr="004C655F">
        <w:rPr>
          <w:szCs w:val="18"/>
        </w:rPr>
        <w:t>, enhancing the comparability of WBE data for effective surveillance and intervention strategies.</w:t>
      </w:r>
    </w:p>
    <w:p w:rsidR="00522304" w:rsidRPr="00550626" w:rsidRDefault="00522304" w:rsidP="00522304">
      <w:pPr>
        <w:pStyle w:val="MDPI18keywords"/>
        <w:rPr>
          <w:szCs w:val="18"/>
        </w:rPr>
      </w:pPr>
      <w:r w:rsidRPr="00550626">
        <w:rPr>
          <w:b/>
          <w:szCs w:val="18"/>
        </w:rPr>
        <w:t xml:space="preserve">Keywords: </w:t>
      </w:r>
      <w:r w:rsidR="00D714E3" w:rsidRPr="00D714E3">
        <w:rPr>
          <w:szCs w:val="18"/>
        </w:rPr>
        <w:t>Wastewater-based epidemiology</w:t>
      </w:r>
      <w:r w:rsidRPr="00D714E3">
        <w:rPr>
          <w:szCs w:val="18"/>
        </w:rPr>
        <w:t xml:space="preserve">; </w:t>
      </w:r>
      <w:r w:rsidR="00D714E3" w:rsidRPr="00D714E3">
        <w:rPr>
          <w:szCs w:val="18"/>
        </w:rPr>
        <w:t>SARS-CoV-2</w:t>
      </w:r>
      <w:r w:rsidRPr="00D714E3">
        <w:rPr>
          <w:szCs w:val="18"/>
        </w:rPr>
        <w:t xml:space="preserve">; </w:t>
      </w:r>
      <w:r w:rsidR="00D714E3" w:rsidRPr="00D714E3">
        <w:rPr>
          <w:szCs w:val="18"/>
        </w:rPr>
        <w:t xml:space="preserve">COVID-19; </w:t>
      </w:r>
      <w:r w:rsidR="008F1132">
        <w:rPr>
          <w:szCs w:val="18"/>
        </w:rPr>
        <w:t xml:space="preserve">wastewater; </w:t>
      </w:r>
      <w:r w:rsidR="00D714E3" w:rsidRPr="00D714E3">
        <w:rPr>
          <w:szCs w:val="18"/>
        </w:rPr>
        <w:t>biodegrad</w:t>
      </w:r>
      <w:r w:rsidR="00D714E3" w:rsidRPr="00D714E3">
        <w:rPr>
          <w:szCs w:val="18"/>
        </w:rPr>
        <w:t>a</w:t>
      </w:r>
      <w:r w:rsidR="00D714E3" w:rsidRPr="00D714E3">
        <w:rPr>
          <w:szCs w:val="18"/>
        </w:rPr>
        <w:t>tion</w:t>
      </w:r>
      <w:r w:rsidR="008F1132">
        <w:rPr>
          <w:szCs w:val="18"/>
        </w:rPr>
        <w:t xml:space="preserve">; </w:t>
      </w:r>
      <w:r w:rsidR="00477E7B">
        <w:rPr>
          <w:szCs w:val="18"/>
        </w:rPr>
        <w:t>sewer network;</w:t>
      </w:r>
      <w:r w:rsidR="00D714E3">
        <w:rPr>
          <w:szCs w:val="18"/>
        </w:rPr>
        <w:t xml:space="preserve"> spatiotemporal model</w:t>
      </w:r>
      <w:r w:rsidR="006F6D9D">
        <w:rPr>
          <w:szCs w:val="18"/>
        </w:rPr>
        <w:t>;</w:t>
      </w:r>
      <w:r w:rsidR="00AE0291">
        <w:rPr>
          <w:szCs w:val="18"/>
        </w:rPr>
        <w:t xml:space="preserve"> </w:t>
      </w:r>
      <w:r w:rsidR="00AE0291" w:rsidRPr="00AE0291">
        <w:rPr>
          <w:szCs w:val="18"/>
        </w:rPr>
        <w:t>public health</w:t>
      </w:r>
      <w:r w:rsidR="008F1132">
        <w:rPr>
          <w:szCs w:val="18"/>
        </w:rPr>
        <w:t xml:space="preserve">; </w:t>
      </w:r>
      <w:r w:rsidR="008F1132" w:rsidRPr="008F1132">
        <w:rPr>
          <w:szCs w:val="18"/>
        </w:rPr>
        <w:t>early-warning system</w:t>
      </w:r>
      <w:r w:rsidR="006F6D9D">
        <w:rPr>
          <w:szCs w:val="18"/>
        </w:rPr>
        <w:t xml:space="preserve"> </w:t>
      </w:r>
    </w:p>
    <w:p w:rsidR="00522304" w:rsidRPr="00550626" w:rsidRDefault="00522304" w:rsidP="00522304">
      <w:pPr>
        <w:pStyle w:val="MDPI19line"/>
      </w:pPr>
    </w:p>
    <w:p w:rsidR="00522304" w:rsidRDefault="00522304" w:rsidP="00522304">
      <w:pPr>
        <w:pStyle w:val="MDPI21heading1"/>
        <w:rPr>
          <w:lang w:eastAsia="zh-CN"/>
        </w:rPr>
      </w:pPr>
      <w:r w:rsidRPr="007F2582">
        <w:rPr>
          <w:lang w:eastAsia="zh-CN"/>
        </w:rPr>
        <w:t>1. Introduction</w:t>
      </w:r>
    </w:p>
    <w:p w:rsidR="00221B1C" w:rsidRDefault="00221B1C" w:rsidP="00221B1C">
      <w:pPr>
        <w:pStyle w:val="MDPI31text"/>
      </w:pPr>
      <w:r>
        <w:t>The global effort against the COVID-19 pandemic has underscored the need for i</w:t>
      </w:r>
      <w:r>
        <w:t>n</w:t>
      </w:r>
      <w:r>
        <w:t>novative and robust surveillance methods to track the prevalence of SARS-CoV-2, the causative agent o</w:t>
      </w:r>
      <w:r w:rsidR="00D714E3">
        <w:t>f COVID-19, within communities.</w:t>
      </w:r>
      <w:r w:rsidR="00C60965">
        <w:t xml:space="preserve"> </w:t>
      </w:r>
      <w:r>
        <w:t xml:space="preserve">Wastewater-based epidemiology (WBE) has emerged as a valuable tool for the proactive and scalable monitoring of viral presence in populations </w:t>
      </w:r>
      <w:r w:rsidR="00695BCD">
        <w:t>[</w:t>
      </w:r>
      <w:hyperlink w:anchor="scott_1" w:history="1">
        <w:r w:rsidR="00695BCD" w:rsidRPr="00695BCD">
          <w:rPr>
            <w:rStyle w:val="Collegamentoipertestuale"/>
          </w:rPr>
          <w:t>1</w:t>
        </w:r>
      </w:hyperlink>
      <w:r w:rsidR="00695BCD">
        <w:t>]</w:t>
      </w:r>
      <w:r w:rsidR="00825662">
        <w:t xml:space="preserve"> </w:t>
      </w:r>
      <w:r>
        <w:t>and several countries have successfully implemented WBE as a complementary surveilla</w:t>
      </w:r>
      <w:r w:rsidR="00825662">
        <w:t xml:space="preserve">nce </w:t>
      </w:r>
      <w:r w:rsidR="00263156">
        <w:t xml:space="preserve">system to clinical testing </w:t>
      </w:r>
      <w:r w:rsidR="00695BCD">
        <w:t>[</w:t>
      </w:r>
      <w:hyperlink w:anchor="bertels_2022_2" w:history="1">
        <w:r w:rsidR="00695BCD" w:rsidRPr="00695BCD">
          <w:rPr>
            <w:rStyle w:val="Collegamentoipertestuale"/>
          </w:rPr>
          <w:t>2</w:t>
        </w:r>
      </w:hyperlink>
      <w:r w:rsidR="00263156">
        <w:t>,</w:t>
      </w:r>
      <w:hyperlink w:anchor="Li_2021" w:history="1">
        <w:r w:rsidR="00695BCD" w:rsidRPr="00695BCD">
          <w:rPr>
            <w:rStyle w:val="Collegamentoipertestuale"/>
          </w:rPr>
          <w:t>3</w:t>
        </w:r>
      </w:hyperlink>
      <w:r w:rsidR="00695BCD">
        <w:t>]</w:t>
      </w:r>
      <w:r>
        <w:t xml:space="preserve">. This surveillance method not only aids in </w:t>
      </w:r>
      <w:r w:rsidR="007D65CB">
        <w:t xml:space="preserve">the </w:t>
      </w:r>
      <w:r>
        <w:t>early detection and prevention of disease outbreaks but also enables timely public health interventions such as targeted testing, contact tr</w:t>
      </w:r>
      <w:r w:rsidR="00E217B9">
        <w:t>a</w:t>
      </w:r>
      <w:r w:rsidR="00263156">
        <w:t xml:space="preserve">cing, and resource allocation </w:t>
      </w:r>
      <w:r w:rsidR="00695BCD">
        <w:t>[</w:t>
      </w:r>
      <w:hyperlink w:anchor="scott_1" w:history="1">
        <w:r w:rsidR="00695BCD" w:rsidRPr="00695BCD">
          <w:rPr>
            <w:rStyle w:val="Collegamentoipertestuale"/>
          </w:rPr>
          <w:t>1</w:t>
        </w:r>
      </w:hyperlink>
      <w:r>
        <w:t>,</w:t>
      </w:r>
      <w:hyperlink w:anchor="bertels_2022_2" w:history="1">
        <w:r w:rsidR="00695BCD" w:rsidRPr="00695BCD">
          <w:rPr>
            <w:rStyle w:val="Collegamentoipertestuale"/>
          </w:rPr>
          <w:t>2</w:t>
        </w:r>
      </w:hyperlink>
      <w:r w:rsidR="00695BCD">
        <w:t>]</w:t>
      </w:r>
      <w:r w:rsidR="007D65CB">
        <w:t xml:space="preserve">. </w:t>
      </w:r>
      <w:r w:rsidR="00B57E35">
        <w:t>Several</w:t>
      </w:r>
      <w:r w:rsidR="00A360D5">
        <w:t xml:space="preserve"> studies [</w:t>
      </w:r>
      <w:hyperlink w:anchor="weidhass_2021" w:history="1">
        <w:r w:rsidR="00A360D5" w:rsidRPr="00A360D5">
          <w:rPr>
            <w:rStyle w:val="Collegamentoipertestuale"/>
          </w:rPr>
          <w:t>4</w:t>
        </w:r>
      </w:hyperlink>
      <w:r w:rsidR="00A360D5">
        <w:t>,</w:t>
      </w:r>
      <w:hyperlink w:anchor="robotto_2022" w:history="1">
        <w:r w:rsidR="00A360D5" w:rsidRPr="00A360D5">
          <w:rPr>
            <w:rStyle w:val="Collegamentoipertestuale"/>
          </w:rPr>
          <w:t>5</w:t>
        </w:r>
      </w:hyperlink>
      <w:r w:rsidR="00A360D5">
        <w:t>]</w:t>
      </w:r>
      <w:r>
        <w:t xml:space="preserve"> emphasize the importance of environmental su</w:t>
      </w:r>
      <w:r>
        <w:t>r</w:t>
      </w:r>
      <w:r>
        <w:t>veillance as an early warning system to detect viral levels in the population and identify outbreaks before cases are reported to the healthcare system.</w:t>
      </w:r>
    </w:p>
    <w:p w:rsidR="00221B1C" w:rsidRDefault="007D65CB" w:rsidP="00221B1C">
      <w:pPr>
        <w:pStyle w:val="MDPI31text"/>
      </w:pPr>
      <w:r>
        <w:t>Recently</w:t>
      </w:r>
      <w:r w:rsidR="00221B1C">
        <w:t xml:space="preserve">, the application of this method as a complementary approach to clinical surveillance has become even more important given the reduction in recorded tests and </w:t>
      </w:r>
      <w:r w:rsidR="00221B1C">
        <w:lastRenderedPageBreak/>
        <w:t>the widespread occurrence of asymptomatic or mild</w:t>
      </w:r>
      <w:r>
        <w:t>ly</w:t>
      </w:r>
      <w:r w:rsidR="00221B1C">
        <w:t xml:space="preserve"> symptomatic cases</w:t>
      </w:r>
      <w:r w:rsidR="00280CFF">
        <w:t xml:space="preserve"> [</w:t>
      </w:r>
      <w:hyperlink w:anchor="baldovin_2023" w:history="1">
        <w:r w:rsidR="00762BF4" w:rsidRPr="00762BF4">
          <w:rPr>
            <w:rStyle w:val="Collegamentoipertestuale"/>
          </w:rPr>
          <w:t>6</w:t>
        </w:r>
      </w:hyperlink>
      <w:r w:rsidR="00280CFF">
        <w:t>]</w:t>
      </w:r>
      <w:r w:rsidR="00221B1C">
        <w:t>.</w:t>
      </w:r>
      <w:r w:rsidR="00A04771">
        <w:t xml:space="preserve"> </w:t>
      </w:r>
      <w:r w:rsidR="00221B1C">
        <w:t xml:space="preserve">Indeed, wastewater serves as a collective pool of genetic material shed by an entire community, providing insights into the prevalence of SARS-CoV-2, including asymptomatic and </w:t>
      </w:r>
      <w:proofErr w:type="spellStart"/>
      <w:r w:rsidR="00221B1C">
        <w:t>presymptomatic</w:t>
      </w:r>
      <w:proofErr w:type="spellEnd"/>
      <w:r w:rsidR="00221B1C">
        <w:t xml:space="preserve"> cases </w:t>
      </w:r>
      <w:r w:rsidR="00762BF4">
        <w:t>[</w:t>
      </w:r>
      <w:hyperlink w:anchor="scott_1" w:history="1">
        <w:r w:rsidR="00695BCD" w:rsidRPr="00695BCD">
          <w:rPr>
            <w:rStyle w:val="Collegamentoipertestuale"/>
          </w:rPr>
          <w:t>1</w:t>
        </w:r>
      </w:hyperlink>
      <w:r w:rsidR="00762BF4">
        <w:t>,</w:t>
      </w:r>
      <w:hyperlink w:anchor="bertels_2022_2" w:history="1">
        <w:r w:rsidR="00762BF4" w:rsidRPr="00695BCD">
          <w:rPr>
            <w:rStyle w:val="Collegamentoipertestuale"/>
          </w:rPr>
          <w:t>2</w:t>
        </w:r>
      </w:hyperlink>
      <w:r w:rsidR="00762BF4">
        <w:t>,</w:t>
      </w:r>
      <w:hyperlink w:anchor="mamahan_2021" w:history="1">
        <w:r w:rsidR="00762BF4" w:rsidRPr="00762BF4">
          <w:rPr>
            <w:rStyle w:val="Collegamentoipertestuale"/>
          </w:rPr>
          <w:t>7</w:t>
        </w:r>
      </w:hyperlink>
      <w:r w:rsidR="00762BF4">
        <w:t>]</w:t>
      </w:r>
      <w:r w:rsidR="00221B1C">
        <w:t>.</w:t>
      </w:r>
      <w:r w:rsidR="008416DF">
        <w:t xml:space="preserve"> </w:t>
      </w:r>
      <w:r w:rsidR="00221B1C">
        <w:t>Advance</w:t>
      </w:r>
      <w:r>
        <w:t>s</w:t>
      </w:r>
      <w:r w:rsidR="00221B1C">
        <w:t xml:space="preserve"> in the monitoring of SARS-CoV-2 in wastewater have been significant, with molecular techniques such as quantitative reverse </w:t>
      </w:r>
      <w:r w:rsidRPr="007D65CB">
        <w:t>transcri</w:t>
      </w:r>
      <w:r w:rsidRPr="007D65CB">
        <w:t>p</w:t>
      </w:r>
      <w:r w:rsidRPr="007D65CB">
        <w:t>tion‒polymerase</w:t>
      </w:r>
      <w:r>
        <w:t xml:space="preserve"> </w:t>
      </w:r>
      <w:r w:rsidR="00221B1C">
        <w:t>chain reaction (</w:t>
      </w:r>
      <w:proofErr w:type="spellStart"/>
      <w:r w:rsidR="00221B1C">
        <w:t>qRT</w:t>
      </w:r>
      <w:proofErr w:type="spellEnd"/>
      <w:r w:rsidR="00221B1C">
        <w:t>-PCR) playing a pivotal role in the accurate quant</w:t>
      </w:r>
      <w:r w:rsidR="00221B1C">
        <w:t>i</w:t>
      </w:r>
      <w:r w:rsidR="00221B1C">
        <w:t>fication of viral RNA</w:t>
      </w:r>
      <w:r w:rsidR="00BF63ED">
        <w:t xml:space="preserve"> </w:t>
      </w:r>
      <w:r w:rsidR="00695BCD">
        <w:t>[</w:t>
      </w:r>
      <w:hyperlink w:anchor="scott_1" w:history="1">
        <w:r w:rsidR="00695BCD" w:rsidRPr="00695BCD">
          <w:rPr>
            <w:rStyle w:val="Collegamentoipertestuale"/>
          </w:rPr>
          <w:t>1</w:t>
        </w:r>
      </w:hyperlink>
      <w:r w:rsidR="00221B1C">
        <w:t>,</w:t>
      </w:r>
      <w:hyperlink w:anchor="Li_2021" w:history="1">
        <w:r w:rsidR="00695BCD" w:rsidRPr="00695BCD">
          <w:rPr>
            <w:rStyle w:val="Collegamentoipertestuale"/>
          </w:rPr>
          <w:t>3</w:t>
        </w:r>
      </w:hyperlink>
      <w:r w:rsidR="00695BCD">
        <w:t>]</w:t>
      </w:r>
      <w:r w:rsidR="00221B1C">
        <w:t>.</w:t>
      </w:r>
    </w:p>
    <w:p w:rsidR="008416DF" w:rsidRDefault="00221B1C" w:rsidP="00221B1C">
      <w:pPr>
        <w:pStyle w:val="MDPI31text"/>
      </w:pPr>
      <w:r>
        <w:t>Italy, one of the hardest</w:t>
      </w:r>
      <w:r w:rsidR="007D65CB">
        <w:t xml:space="preserve"> </w:t>
      </w:r>
      <w:r>
        <w:t xml:space="preserve">hit countries, has been monitoring urban sewage since July 2020 as part of a pilot study: the “SARI project” (Epidemiological Surveillance for SARS-CoV-2 in urban sewage in Italy), coordinated by </w:t>
      </w:r>
      <w:r w:rsidR="007D65CB">
        <w:t xml:space="preserve">the </w:t>
      </w:r>
      <w:r>
        <w:t xml:space="preserve">National Institute for Public Health and involving a network composed </w:t>
      </w:r>
      <w:r w:rsidR="007D65CB">
        <w:t>of</w:t>
      </w:r>
      <w:r>
        <w:t xml:space="preserve"> </w:t>
      </w:r>
      <w:r w:rsidR="007D65CB">
        <w:t>r</w:t>
      </w:r>
      <w:r>
        <w:t>egions, wastewater service providers, r</w:t>
      </w:r>
      <w:r>
        <w:t>e</w:t>
      </w:r>
      <w:r>
        <w:t>gional environmental protection agencies</w:t>
      </w:r>
      <w:r w:rsidR="00721097">
        <w:t xml:space="preserve"> and local health authorities [</w:t>
      </w:r>
      <w:hyperlink w:anchor="la_rosa_2022" w:history="1">
        <w:r w:rsidR="00721097" w:rsidRPr="00721097">
          <w:rPr>
            <w:rStyle w:val="Collegamentoipertestuale"/>
          </w:rPr>
          <w:t>8</w:t>
        </w:r>
      </w:hyperlink>
      <w:r w:rsidR="00721097">
        <w:t>].</w:t>
      </w:r>
      <w:r w:rsidR="008416DF">
        <w:t xml:space="preserve"> </w:t>
      </w:r>
    </w:p>
    <w:p w:rsidR="00221B1C" w:rsidRDefault="00B57E35" w:rsidP="00221B1C">
      <w:pPr>
        <w:pStyle w:val="MDPI31text"/>
      </w:pPr>
      <w:r>
        <w:t>On</w:t>
      </w:r>
      <w:r w:rsidR="00221B1C">
        <w:t xml:space="preserve"> March </w:t>
      </w:r>
      <w:r>
        <w:t xml:space="preserve">17, </w:t>
      </w:r>
      <w:r w:rsidR="00221B1C">
        <w:t>2021, the European Commission recommended that EU member states begin monitoring SARS-CoV-2 in</w:t>
      </w:r>
      <w:r w:rsidR="00CE48F1">
        <w:t xml:space="preserve"> wastewater by October 1, 2021 [</w:t>
      </w:r>
      <w:hyperlink w:anchor="raccomandazione_ue" w:history="1">
        <w:r w:rsidR="00CE48F1" w:rsidRPr="00CE48F1">
          <w:rPr>
            <w:rStyle w:val="Collegamentoipertestuale"/>
          </w:rPr>
          <w:t>9</w:t>
        </w:r>
      </w:hyperlink>
      <w:r w:rsidR="00CE48F1">
        <w:t>]</w:t>
      </w:r>
      <w:r w:rsidR="00221B1C">
        <w:t xml:space="preserve">. Therefore, since October 2021, in Italy, existing research activities within the SARI project </w:t>
      </w:r>
      <w:r w:rsidR="007D65CB">
        <w:t>have been</w:t>
      </w:r>
      <w:r w:rsidR="00221B1C">
        <w:t xml:space="preserve"> transformed into a surveillance system, with two main focuses: </w:t>
      </w:r>
      <w:proofErr w:type="spellStart"/>
      <w:r w:rsidR="007D65CB" w:rsidRPr="007D65CB">
        <w:t>analysing</w:t>
      </w:r>
      <w:proofErr w:type="spellEnd"/>
      <w:r w:rsidR="007D65CB" w:rsidRPr="007D65CB">
        <w:t xml:space="preserve"> </w:t>
      </w:r>
      <w:r w:rsidR="00221B1C">
        <w:t>the trend of SARS-CoV-2 in urban wastewaters to predict epidemiological trends in the population and studying the spread of SARS-CoV-2 variants over time</w:t>
      </w:r>
      <w:r w:rsidR="00CE48F1">
        <w:t xml:space="preserve"> [</w:t>
      </w:r>
      <w:hyperlink w:anchor="la_rosa_2022" w:history="1">
        <w:r w:rsidR="00CE48F1" w:rsidRPr="00721097">
          <w:rPr>
            <w:rStyle w:val="Collegamentoipertestuale"/>
          </w:rPr>
          <w:t>8</w:t>
        </w:r>
      </w:hyperlink>
      <w:r w:rsidR="00CE48F1">
        <w:t>].</w:t>
      </w:r>
    </w:p>
    <w:p w:rsidR="00221B1C" w:rsidRDefault="00221B1C" w:rsidP="00221B1C">
      <w:pPr>
        <w:pStyle w:val="MDPI31text"/>
      </w:pPr>
      <w:r>
        <w:t xml:space="preserve">Following the principles of WBE and focusing on the surveillance objective defined by the SARI project, this study aims to predict </w:t>
      </w:r>
      <w:r w:rsidR="007D65CB">
        <w:t xml:space="preserve">the </w:t>
      </w:r>
      <w:r>
        <w:t>temporal and spatial distribution of COVID-19 cases starting from SARS-CoV-2 detection in the main wastewater treatment plant (WWTP) of a medium-size</w:t>
      </w:r>
      <w:r w:rsidR="007D65CB">
        <w:t>d</w:t>
      </w:r>
      <w:r>
        <w:t xml:space="preserve"> city in northern Italy.</w:t>
      </w:r>
    </w:p>
    <w:p w:rsidR="00221B1C" w:rsidRDefault="00221B1C" w:rsidP="00221B1C">
      <w:pPr>
        <w:pStyle w:val="MDPI31text"/>
      </w:pPr>
      <w:r>
        <w:t xml:space="preserve">This interest aligns with several studies conducted in many other countries, where various </w:t>
      </w:r>
      <w:proofErr w:type="spellStart"/>
      <w:r w:rsidR="007D65CB">
        <w:t>modelling</w:t>
      </w:r>
      <w:proofErr w:type="spellEnd"/>
      <w:r w:rsidR="007D65CB">
        <w:t xml:space="preserve"> </w:t>
      </w:r>
      <w:r>
        <w:t xml:space="preserve">techniques have been employed in the development of WBE for COVID-19 surveillance </w:t>
      </w:r>
      <w:r w:rsidR="00FD33BF">
        <w:t>[</w:t>
      </w:r>
      <w:hyperlink w:anchor="ciannella_2023" w:history="1">
        <w:r w:rsidR="00FD33BF" w:rsidRPr="00FD33BF">
          <w:rPr>
            <w:rStyle w:val="Collegamentoipertestuale"/>
          </w:rPr>
          <w:t>10</w:t>
        </w:r>
      </w:hyperlink>
      <w:r w:rsidR="00FD33BF">
        <w:t xml:space="preserve">], </w:t>
      </w:r>
      <w:r>
        <w:t>includin</w:t>
      </w:r>
      <w:r w:rsidR="00280CFF">
        <w:t>g regression [</w:t>
      </w:r>
      <w:hyperlink w:anchor="robotto_2022" w:history="1">
        <w:r w:rsidR="00280CFF" w:rsidRPr="00A360D5">
          <w:rPr>
            <w:rStyle w:val="Collegamentoipertestuale"/>
          </w:rPr>
          <w:t>5</w:t>
        </w:r>
      </w:hyperlink>
      <w:r w:rsidR="00280CFF">
        <w:t>,</w:t>
      </w:r>
      <w:hyperlink w:anchor="rauch_2022" w:history="1">
        <w:r w:rsidR="008747F0" w:rsidRPr="008747F0">
          <w:rPr>
            <w:rStyle w:val="Collegamentoipertestuale"/>
          </w:rPr>
          <w:t>11</w:t>
        </w:r>
      </w:hyperlink>
      <w:r w:rsidR="00280CFF">
        <w:t>]</w:t>
      </w:r>
      <w:r>
        <w:t>, artificial intelli</w:t>
      </w:r>
      <w:r w:rsidR="006B5A31">
        <w:t>gence [</w:t>
      </w:r>
      <w:hyperlink w:anchor="morvan_2022" w:history="1">
        <w:r w:rsidR="006B5A31" w:rsidRPr="006B5A31">
          <w:rPr>
            <w:rStyle w:val="Collegamentoipertestuale"/>
          </w:rPr>
          <w:t>12</w:t>
        </w:r>
      </w:hyperlink>
      <w:r>
        <w:t>,</w:t>
      </w:r>
      <w:hyperlink w:anchor="jiang_2022" w:history="1">
        <w:r w:rsidR="006B5A31" w:rsidRPr="006B5A31">
          <w:rPr>
            <w:rStyle w:val="Collegamentoipertestuale"/>
          </w:rPr>
          <w:t>13</w:t>
        </w:r>
      </w:hyperlink>
      <w:r w:rsidR="006B5A31">
        <w:t>]</w:t>
      </w:r>
      <w:r>
        <w:t xml:space="preserve">, and deterministic models </w:t>
      </w:r>
      <w:r w:rsidR="00C728EF">
        <w:t>[</w:t>
      </w:r>
      <w:hyperlink w:anchor="Li_2021" w:history="1">
        <w:r w:rsidR="00C728EF" w:rsidRPr="00695BCD">
          <w:rPr>
            <w:rStyle w:val="Collegamentoipertestuale"/>
          </w:rPr>
          <w:t>3</w:t>
        </w:r>
      </w:hyperlink>
      <w:r w:rsidR="00C728EF">
        <w:t>,</w:t>
      </w:r>
      <w:hyperlink w:anchor="ahmed_2020_A" w:history="1">
        <w:r w:rsidR="00524369" w:rsidRPr="00524369">
          <w:rPr>
            <w:rStyle w:val="Collegamentoipertestuale"/>
          </w:rPr>
          <w:t>14</w:t>
        </w:r>
      </w:hyperlink>
      <w:r w:rsidR="00524369">
        <w:t>,</w:t>
      </w:r>
      <w:hyperlink w:anchor="prasek_2022" w:history="1">
        <w:r w:rsidR="00524369" w:rsidRPr="00524369">
          <w:rPr>
            <w:rStyle w:val="Collegamentoipertestuale"/>
          </w:rPr>
          <w:t>15</w:t>
        </w:r>
      </w:hyperlink>
      <w:r>
        <w:t>,</w:t>
      </w:r>
      <w:hyperlink w:anchor="schimtz_2021" w:history="1">
        <w:r w:rsidR="00E0768D" w:rsidRPr="00E0768D">
          <w:rPr>
            <w:rStyle w:val="Collegamentoipertestuale"/>
          </w:rPr>
          <w:t>16</w:t>
        </w:r>
      </w:hyperlink>
      <w:r>
        <w:t>,</w:t>
      </w:r>
      <w:hyperlink w:anchor="wani_2023" w:history="1">
        <w:r w:rsidR="004E6E22" w:rsidRPr="004E6E22">
          <w:rPr>
            <w:rStyle w:val="Collegamentoipertestuale"/>
          </w:rPr>
          <w:t>17</w:t>
        </w:r>
      </w:hyperlink>
      <w:r w:rsidR="00695BCD">
        <w:t>]</w:t>
      </w:r>
      <w:r w:rsidR="00524369">
        <w:t>.</w:t>
      </w:r>
    </w:p>
    <w:p w:rsidR="00221B1C" w:rsidRDefault="00221B1C" w:rsidP="00221B1C">
      <w:pPr>
        <w:pStyle w:val="MDPI31text"/>
      </w:pPr>
      <w:r>
        <w:t>In the present study</w:t>
      </w:r>
      <w:r w:rsidR="007D65CB">
        <w:t>,</w:t>
      </w:r>
      <w:r>
        <w:t xml:space="preserve"> a deterministic model was applied: the equation upon which the model was based w</w:t>
      </w:r>
      <w:r w:rsidR="00524369">
        <w:t>as initially proposed by Ahmed [</w:t>
      </w:r>
      <w:hyperlink w:anchor="ahmed_2020_A" w:history="1">
        <w:r w:rsidR="00524369" w:rsidRPr="00524369">
          <w:rPr>
            <w:rStyle w:val="Collegamentoipertestuale"/>
          </w:rPr>
          <w:t>14</w:t>
        </w:r>
      </w:hyperlink>
      <w:r w:rsidR="00524369">
        <w:t>]</w:t>
      </w:r>
      <w:r>
        <w:t xml:space="preserve"> and subsequently employed in various other studies </w:t>
      </w:r>
      <w:r w:rsidR="00E0768D">
        <w:t>[</w:t>
      </w:r>
      <w:hyperlink w:anchor="Li_2021" w:history="1">
        <w:r w:rsidR="00E0768D" w:rsidRPr="00695BCD">
          <w:rPr>
            <w:rStyle w:val="Collegamentoipertestuale"/>
          </w:rPr>
          <w:t>3</w:t>
        </w:r>
      </w:hyperlink>
      <w:r w:rsidR="00E0768D">
        <w:t>,</w:t>
      </w:r>
      <w:hyperlink w:anchor="prasek_2022" w:history="1">
        <w:r w:rsidR="00E0768D" w:rsidRPr="00524369">
          <w:rPr>
            <w:rStyle w:val="Collegamentoipertestuale"/>
          </w:rPr>
          <w:t>15</w:t>
        </w:r>
      </w:hyperlink>
      <w:r w:rsidR="00E0768D">
        <w:t>,</w:t>
      </w:r>
      <w:hyperlink w:anchor="schimtz_2021" w:history="1">
        <w:r w:rsidR="00E0768D" w:rsidRPr="00E0768D">
          <w:rPr>
            <w:rStyle w:val="Collegamentoipertestuale"/>
          </w:rPr>
          <w:t>16</w:t>
        </w:r>
      </w:hyperlink>
      <w:r>
        <w:t>,</w:t>
      </w:r>
      <w:hyperlink w:anchor="wani_2023" w:history="1">
        <w:r w:rsidR="004E6E22" w:rsidRPr="004E6E22">
          <w:rPr>
            <w:rStyle w:val="Collegamentoipertestuale"/>
          </w:rPr>
          <w:t>17</w:t>
        </w:r>
      </w:hyperlink>
      <w:r w:rsidR="00695BCD">
        <w:t>]</w:t>
      </w:r>
      <w:r>
        <w:t>. The equation was adapted to integrate a spatial component: the proposed model enables the calculation of the spatial and temporal di</w:t>
      </w:r>
      <w:r>
        <w:t>s</w:t>
      </w:r>
      <w:r>
        <w:t>tribution of COVID-19 cases by adjusting SARS-CoV-2 RNA concentration data at the WWTP to take into account virus biodegradation effects.</w:t>
      </w:r>
    </w:p>
    <w:p w:rsidR="00221B1C" w:rsidRDefault="00221B1C" w:rsidP="00221B1C">
      <w:pPr>
        <w:pStyle w:val="MDPI31text"/>
      </w:pPr>
      <w:r>
        <w:t xml:space="preserve">The model aimed to accurately simulate the biodegradation of the virus along the sewer network </w:t>
      </w:r>
      <w:r w:rsidR="007D65CB">
        <w:t>via</w:t>
      </w:r>
      <w:r>
        <w:t xml:space="preserve"> an approach simi</w:t>
      </w:r>
      <w:r w:rsidR="007D65CB">
        <w:t xml:space="preserve">lar to that employed by McCall </w:t>
      </w:r>
      <w:r>
        <w:t xml:space="preserve">et al. </w:t>
      </w:r>
      <w:r w:rsidR="004E6E22">
        <w:t>[</w:t>
      </w:r>
      <w:hyperlink w:anchor="mc_call_2022" w:history="1">
        <w:r w:rsidR="004E6E22" w:rsidRPr="004E6E22">
          <w:rPr>
            <w:rStyle w:val="Collegamentoipertestuale"/>
          </w:rPr>
          <w:t>18</w:t>
        </w:r>
      </w:hyperlink>
      <w:r w:rsidR="004E6E22">
        <w:t>]</w:t>
      </w:r>
      <w:r>
        <w:t>. This est</w:t>
      </w:r>
      <w:r>
        <w:t>i</w:t>
      </w:r>
      <w:r>
        <w:t>mate, together with the characteristics of the population and its geographical distrib</w:t>
      </w:r>
      <w:r>
        <w:t>u</w:t>
      </w:r>
      <w:r>
        <w:t xml:space="preserve">tion, allowed </w:t>
      </w:r>
      <w:r w:rsidR="007D65CB">
        <w:t xml:space="preserve">us </w:t>
      </w:r>
      <w:r>
        <w:t>to determine the virus load produced in each zone within the study area and the corresponding</w:t>
      </w:r>
      <w:r w:rsidR="00E64463">
        <w:t xml:space="preserve"> number of new cases over time.</w:t>
      </w:r>
    </w:p>
    <w:p w:rsidR="00221B1C" w:rsidRDefault="007D65CB" w:rsidP="00221B1C">
      <w:pPr>
        <w:pStyle w:val="MDPI31text"/>
      </w:pPr>
      <w:r>
        <w:t>This</w:t>
      </w:r>
      <w:r w:rsidR="00221B1C">
        <w:t xml:space="preserve"> approach </w:t>
      </w:r>
      <w:r w:rsidR="00BA2090">
        <w:t>proposes</w:t>
      </w:r>
      <w:r w:rsidR="00945CF9">
        <w:t xml:space="preserve"> a methodology that </w:t>
      </w:r>
      <w:r w:rsidR="00BA2090">
        <w:t>can</w:t>
      </w:r>
      <w:r w:rsidR="00221B1C">
        <w:t xml:space="preserve"> be effectively implemented in mu</w:t>
      </w:r>
      <w:r w:rsidR="00221B1C">
        <w:t>l</w:t>
      </w:r>
      <w:r w:rsidR="00221B1C">
        <w:t>tiple cities where WBE is conducted. This methodology enables a reliable comparison of virus load values measured at WWTPs among cities characterized by different popul</w:t>
      </w:r>
      <w:r w:rsidR="00221B1C">
        <w:t>a</w:t>
      </w:r>
      <w:r w:rsidR="00221B1C">
        <w:t>tion demographics and sewer network distributions.</w:t>
      </w:r>
    </w:p>
    <w:p w:rsidR="00522304" w:rsidRDefault="00221B1C" w:rsidP="00221B1C">
      <w:pPr>
        <w:pStyle w:val="MDPI31text"/>
      </w:pPr>
      <w:r>
        <w:t xml:space="preserve">The </w:t>
      </w:r>
      <w:r w:rsidR="00BA2090">
        <w:t xml:space="preserve">performance of the </w:t>
      </w:r>
      <w:r>
        <w:t>model was evaluated by comparing the estimated cases with those recorded by</w:t>
      </w:r>
      <w:r w:rsidR="00B57E35">
        <w:t xml:space="preserve"> the regional healthcare system and</w:t>
      </w:r>
      <w:r>
        <w:t xml:space="preserve"> considering various relevant health variables for interpreting the results.</w:t>
      </w:r>
    </w:p>
    <w:p w:rsidR="00522304" w:rsidRDefault="00522304" w:rsidP="00522304">
      <w:pPr>
        <w:pStyle w:val="MDPI21heading1"/>
      </w:pPr>
      <w:r w:rsidRPr="00FA04F1">
        <w:rPr>
          <w:lang w:eastAsia="zh-CN"/>
        </w:rPr>
        <w:t xml:space="preserve">2. </w:t>
      </w:r>
      <w:r w:rsidRPr="00FA04F1">
        <w:t>Materials and Methods</w:t>
      </w:r>
    </w:p>
    <w:p w:rsidR="00221B1C" w:rsidRPr="001F31D1" w:rsidRDefault="00221B1C" w:rsidP="00221B1C">
      <w:pPr>
        <w:pStyle w:val="MDPI22heading2"/>
        <w:spacing w:before="240"/>
      </w:pPr>
      <w:r w:rsidRPr="00221B1C">
        <w:t>2.1.</w:t>
      </w:r>
      <w:r w:rsidRPr="00221B1C">
        <w:tab/>
        <w:t>Study area and population analysis</w:t>
      </w:r>
    </w:p>
    <w:p w:rsidR="00221B1C" w:rsidRDefault="00CB597B" w:rsidP="00221B1C">
      <w:pPr>
        <w:pStyle w:val="MDPI31text"/>
      </w:pPr>
      <w:r>
        <w:t xml:space="preserve">The </w:t>
      </w:r>
      <w:r w:rsidR="00221B1C">
        <w:t>study was conducted based on measurements detected at the main WWTP in Bologna, the capital of the Emilia-Romagna region in northern Italy. The pl</w:t>
      </w:r>
      <w:r w:rsidR="00E34F73">
        <w:t xml:space="preserve">ant is located in the north of </w:t>
      </w:r>
      <w:r w:rsidR="006A4375">
        <w:t>Bologna</w:t>
      </w:r>
      <w:r w:rsidR="00221B1C">
        <w:t xml:space="preserve"> and serves the </w:t>
      </w:r>
      <w:r w:rsidR="006A4375">
        <w:t>city</w:t>
      </w:r>
      <w:r w:rsidR="00221B1C">
        <w:t xml:space="preserve"> and neighboring municipalities, catering to a capacity of 800,000 population equivalents.</w:t>
      </w:r>
    </w:p>
    <w:p w:rsidR="00221B1C" w:rsidRDefault="00221B1C" w:rsidP="00221B1C">
      <w:pPr>
        <w:pStyle w:val="MDPI31text"/>
      </w:pPr>
      <w:r>
        <w:t>The study area was defined as the area served by the WWTP. The study was co</w:t>
      </w:r>
      <w:r>
        <w:t>n</w:t>
      </w:r>
      <w:r w:rsidR="007D65CB">
        <w:t>ducted at the</w:t>
      </w:r>
      <w:r>
        <w:t xml:space="preserve"> </w:t>
      </w:r>
      <w:proofErr w:type="spellStart"/>
      <w:r>
        <w:t>sub</w:t>
      </w:r>
      <w:r w:rsidR="007D65CB">
        <w:t>municipal</w:t>
      </w:r>
      <w:proofErr w:type="spellEnd"/>
      <w:r w:rsidR="007D65CB">
        <w:t xml:space="preserve"> level;</w:t>
      </w:r>
      <w:r>
        <w:t xml:space="preserve"> therefore, the municipalities were divided into census </w:t>
      </w:r>
      <w:r>
        <w:lastRenderedPageBreak/>
        <w:t>sections</w:t>
      </w:r>
      <w:r w:rsidR="00D331C8">
        <w:t xml:space="preserve"> [</w:t>
      </w:r>
      <w:hyperlink w:anchor="ISTAT" w:history="1">
        <w:r w:rsidR="00D331C8" w:rsidRPr="00D331C8">
          <w:rPr>
            <w:rStyle w:val="Collegamentoipertestuale"/>
          </w:rPr>
          <w:t>19</w:t>
        </w:r>
      </w:hyperlink>
      <w:r w:rsidR="00D331C8">
        <w:t>]</w:t>
      </w:r>
      <w:r>
        <w:t xml:space="preserve">, </w:t>
      </w:r>
      <w:r w:rsidR="007D65CB" w:rsidRPr="007D65CB">
        <w:t xml:space="preserve">which are </w:t>
      </w:r>
      <w:r>
        <w:t>already widely used for statistical analyses. Only Bologna</w:t>
      </w:r>
      <w:r w:rsidR="007D65CB">
        <w:t xml:space="preserve"> was</w:t>
      </w:r>
      <w:r>
        <w:t xml:space="preserve"> </w:t>
      </w:r>
      <w:r w:rsidR="006A4375">
        <w:t>divided</w:t>
      </w:r>
      <w:r>
        <w:t xml:space="preserve"> into statistical areas</w:t>
      </w:r>
      <w:r w:rsidR="008D41CD">
        <w:t xml:space="preserve"> [</w:t>
      </w:r>
      <w:hyperlink w:anchor="aree_stat_bologna" w:history="1">
        <w:r w:rsidR="008D41CD" w:rsidRPr="008D41CD">
          <w:rPr>
            <w:rStyle w:val="Collegamentoipertestuale"/>
          </w:rPr>
          <w:t>20</w:t>
        </w:r>
      </w:hyperlink>
      <w:r w:rsidR="008D41CD">
        <w:t>]</w:t>
      </w:r>
      <w:r>
        <w:t xml:space="preserve"> </w:t>
      </w:r>
      <w:r w:rsidR="006A4375">
        <w:t>since</w:t>
      </w:r>
      <w:r>
        <w:t xml:space="preserve"> these areas are more extensive and offer more r</w:t>
      </w:r>
      <w:r>
        <w:t>e</w:t>
      </w:r>
      <w:r>
        <w:t xml:space="preserve">cent data </w:t>
      </w:r>
      <w:r w:rsidR="007D65CB">
        <w:t>than</w:t>
      </w:r>
      <w:r w:rsidR="00D331C8">
        <w:t xml:space="preserve"> census sections [</w:t>
      </w:r>
      <w:hyperlink w:anchor="ISTAT" w:history="1">
        <w:r w:rsidR="00D331C8" w:rsidRPr="00D331C8">
          <w:rPr>
            <w:rStyle w:val="Collegamentoipertestuale"/>
          </w:rPr>
          <w:t>19</w:t>
        </w:r>
      </w:hyperlink>
      <w:r w:rsidR="00D331C8">
        <w:t>].</w:t>
      </w:r>
    </w:p>
    <w:p w:rsidR="00221B1C" w:rsidRDefault="00221B1C" w:rsidP="00221B1C">
      <w:pPr>
        <w:pStyle w:val="MDPI31text"/>
      </w:pPr>
      <w:r>
        <w:t>A three-step selection process was followed to define the areas (i.e.</w:t>
      </w:r>
      <w:r w:rsidR="007D65CB">
        <w:t>,</w:t>
      </w:r>
      <w:r w:rsidR="006A4375">
        <w:t xml:space="preserve"> census sections </w:t>
      </w:r>
      <w:r>
        <w:t>and statistical areas) belo</w:t>
      </w:r>
      <w:r w:rsidR="007D65CB">
        <w:t>nging to the study area. First,</w:t>
      </w:r>
      <w:r>
        <w:t xml:space="preserve"> the study area was delineated as the union of the areas that are encompassed by or intersect the catchment area served by the sewer network. </w:t>
      </w:r>
      <w:r w:rsidR="009367AA">
        <w:t>Additionally, those areas that we</w:t>
      </w:r>
      <w:r>
        <w:t xml:space="preserve">re enclosed by </w:t>
      </w:r>
      <w:r w:rsidR="00CA4827">
        <w:t xml:space="preserve">the </w:t>
      </w:r>
      <w:r>
        <w:t>previously s</w:t>
      </w:r>
      <w:r>
        <w:t>e</w:t>
      </w:r>
      <w:r>
        <w:t>lected areas were included. Finally</w:t>
      </w:r>
      <w:r w:rsidR="009367AA">
        <w:t>,</w:t>
      </w:r>
      <w:r>
        <w:t xml:space="preserve"> from </w:t>
      </w:r>
      <w:r w:rsidR="009367AA">
        <w:t>the selected areas, those that we</w:t>
      </w:r>
      <w:r>
        <w:t>re primarily associated with another treatment facility were excluded. The resulting study area e</w:t>
      </w:r>
      <w:r>
        <w:t>n</w:t>
      </w:r>
      <w:r>
        <w:t xml:space="preserve">compasses nearly all </w:t>
      </w:r>
      <w:r w:rsidR="009367AA">
        <w:t xml:space="preserve">the </w:t>
      </w:r>
      <w:r>
        <w:t>statistical areas of Bologna and part of the census sections of the neighboring municipalities. (Figure 1).</w:t>
      </w:r>
    </w:p>
    <w:p w:rsidR="00221B1C" w:rsidRDefault="00221B1C" w:rsidP="00221B1C">
      <w:pPr>
        <w:pStyle w:val="MDPI31text"/>
      </w:pPr>
      <w:r>
        <w:t xml:space="preserve">The study population is an estimate of the individuals domiciled in the study area, obtained by multiplying </w:t>
      </w:r>
      <w:r w:rsidR="009367AA">
        <w:t>the number of residents</w:t>
      </w:r>
      <w:r>
        <w:t xml:space="preserve"> </w:t>
      </w:r>
      <w:r w:rsidR="00D331C8">
        <w:t>[</w:t>
      </w:r>
      <w:hyperlink w:anchor="ISTAT" w:history="1">
        <w:r w:rsidR="00D331C8" w:rsidRPr="00D331C8">
          <w:rPr>
            <w:rStyle w:val="Collegamentoipertestuale"/>
          </w:rPr>
          <w:t>19</w:t>
        </w:r>
      </w:hyperlink>
      <w:r w:rsidR="008D41CD">
        <w:t>,</w:t>
      </w:r>
      <w:hyperlink w:anchor="aree_stat_bologna" w:history="1">
        <w:r w:rsidR="008D41CD" w:rsidRPr="008D41CD">
          <w:rPr>
            <w:rStyle w:val="Collegamentoipertestuale"/>
          </w:rPr>
          <w:t>20</w:t>
        </w:r>
      </w:hyperlink>
      <w:r w:rsidR="008D41CD">
        <w:t>]</w:t>
      </w:r>
      <w:r>
        <w:t xml:space="preserve"> by a coefficient derived from the data in the Regional Assistance Registry, representing the ratio between </w:t>
      </w:r>
      <w:r w:rsidR="009367AA">
        <w:t xml:space="preserve">the </w:t>
      </w:r>
      <w:r>
        <w:t>domiciled and resident population</w:t>
      </w:r>
      <w:r w:rsidR="009367AA">
        <w:t>s</w:t>
      </w:r>
      <w:r>
        <w:t xml:space="preserve"> at</w:t>
      </w:r>
      <w:r w:rsidR="009367AA">
        <w:t xml:space="preserve"> the</w:t>
      </w:r>
      <w:r>
        <w:t xml:space="preserve"> municipality level. (</w:t>
      </w:r>
      <w:r w:rsidR="000C1731">
        <w:t>Table S1</w:t>
      </w:r>
      <w:r>
        <w:t>)</w:t>
      </w:r>
    </w:p>
    <w:p w:rsidR="00221B1C" w:rsidRDefault="00221B1C" w:rsidP="00221B1C">
      <w:pPr>
        <w:pStyle w:val="MDPI31text"/>
        <w:keepNext/>
      </w:pPr>
      <w:r w:rsidRPr="00221B1C">
        <w:rPr>
          <w:noProof/>
          <w:lang w:val="it-IT" w:eastAsia="it-IT" w:bidi="ar-SA"/>
        </w:rPr>
        <w:drawing>
          <wp:inline distT="0" distB="0" distL="0" distR="0">
            <wp:extent cx="4242399" cy="2635982"/>
            <wp:effectExtent l="19050" t="0" r="5751" b="0"/>
            <wp:docPr id="2" name="Immagine 0" descr="Area di stud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0" descr="Area di studio.png"/>
                    <pic:cNvPicPr>
                      <a:picLocks noChangeAspect="1" noChangeArrowheads="1"/>
                    </pic:cNvPicPr>
                  </pic:nvPicPr>
                  <pic:blipFill>
                    <a:blip r:embed="rId9" cstate="print"/>
                    <a:srcRect b="3476"/>
                    <a:stretch>
                      <a:fillRect/>
                    </a:stretch>
                  </pic:blipFill>
                  <pic:spPr bwMode="auto">
                    <a:xfrm>
                      <a:off x="0" y="0"/>
                      <a:ext cx="4244900" cy="2637536"/>
                    </a:xfrm>
                    <a:prstGeom prst="rect">
                      <a:avLst/>
                    </a:prstGeom>
                  </pic:spPr>
                </pic:pic>
              </a:graphicData>
            </a:graphic>
          </wp:inline>
        </w:drawing>
      </w:r>
    </w:p>
    <w:p w:rsidR="00221B1C" w:rsidRPr="00221B1C" w:rsidRDefault="0092538A" w:rsidP="00221B1C">
      <w:pPr>
        <w:pStyle w:val="MDPI51figurecaption"/>
        <w:rPr>
          <w:b/>
        </w:rPr>
      </w:pPr>
      <w:r>
        <w:rPr>
          <w:b/>
        </w:rPr>
        <w:t>Figure</w:t>
      </w:r>
      <w:r w:rsidR="00221B1C" w:rsidRPr="00221B1C">
        <w:rPr>
          <w:b/>
        </w:rPr>
        <w:t xml:space="preserve"> </w:t>
      </w:r>
      <w:r w:rsidR="009F0FD2" w:rsidRPr="00221B1C">
        <w:rPr>
          <w:b/>
        </w:rPr>
        <w:fldChar w:fldCharType="begin"/>
      </w:r>
      <w:r w:rsidR="00221B1C" w:rsidRPr="00221B1C">
        <w:rPr>
          <w:b/>
        </w:rPr>
        <w:instrText xml:space="preserve"> SEQ Figura \* ARABIC </w:instrText>
      </w:r>
      <w:r w:rsidR="009F0FD2" w:rsidRPr="00221B1C">
        <w:rPr>
          <w:b/>
        </w:rPr>
        <w:fldChar w:fldCharType="separate"/>
      </w:r>
      <w:r w:rsidR="00F05728">
        <w:rPr>
          <w:b/>
          <w:noProof/>
        </w:rPr>
        <w:t>1</w:t>
      </w:r>
      <w:r w:rsidR="009F0FD2" w:rsidRPr="00221B1C">
        <w:rPr>
          <w:b/>
        </w:rPr>
        <w:fldChar w:fldCharType="end"/>
      </w:r>
      <w:r w:rsidR="00221B1C" w:rsidRPr="00221B1C">
        <w:t xml:space="preserve"> </w:t>
      </w:r>
      <w:r w:rsidR="00221B1C">
        <w:t>Map of the study area (orange</w:t>
      </w:r>
      <w:r w:rsidR="00221B1C" w:rsidRPr="0073018E">
        <w:t>) divided into census sections and statistical areas</w:t>
      </w:r>
      <w:r w:rsidR="00221B1C">
        <w:t xml:space="preserve"> (delin</w:t>
      </w:r>
      <w:r w:rsidR="00221B1C">
        <w:t>e</w:t>
      </w:r>
      <w:r w:rsidR="00221B1C">
        <w:t xml:space="preserve">ated in gray). </w:t>
      </w:r>
      <w:r w:rsidR="00221B1C" w:rsidRPr="0073018E">
        <w:t xml:space="preserve">Representation of the </w:t>
      </w:r>
      <w:r w:rsidR="00221B1C">
        <w:t xml:space="preserve">wastewater treatment plant (WWTP) (red triangle), sewer network (blue), </w:t>
      </w:r>
      <w:r w:rsidR="00221B1C" w:rsidRPr="00242E11">
        <w:t>catchment area</w:t>
      </w:r>
      <w:r w:rsidR="00221B1C" w:rsidRPr="0073018E">
        <w:t xml:space="preserve"> (light b</w:t>
      </w:r>
      <w:r w:rsidR="00221B1C">
        <w:t>lue), names and b</w:t>
      </w:r>
      <w:r w:rsidR="00221B1C" w:rsidRPr="00950A15">
        <w:t xml:space="preserve">oundaries </w:t>
      </w:r>
      <w:r w:rsidR="00221B1C">
        <w:t>of the municipalities (black)</w:t>
      </w:r>
    </w:p>
    <w:p w:rsidR="00221B1C" w:rsidRDefault="00221B1C" w:rsidP="00221B1C">
      <w:pPr>
        <w:pStyle w:val="MDPI22heading2"/>
        <w:spacing w:before="240"/>
      </w:pPr>
      <w:r>
        <w:t>2.2.</w:t>
      </w:r>
      <w:r>
        <w:tab/>
        <w:t>Virus concentration and wastewater flow rate at the WWTP</w:t>
      </w:r>
    </w:p>
    <w:p w:rsidR="00221B1C" w:rsidRDefault="00221B1C" w:rsidP="00221B1C">
      <w:pPr>
        <w:pStyle w:val="MDPI31text"/>
      </w:pPr>
      <w:r>
        <w:t xml:space="preserve">The concentration of SARS-CoV-2 RNA </w:t>
      </w:r>
      <w:r w:rsidR="004B1AF0">
        <w:t xml:space="preserve">[GC/L] </w:t>
      </w:r>
      <w:r>
        <w:t>and the effluent flow rate</w:t>
      </w:r>
      <w:r w:rsidR="004B1AF0">
        <w:t xml:space="preserve"> [m</w:t>
      </w:r>
      <w:r w:rsidR="004B1AF0" w:rsidRPr="004B1AF0">
        <w:rPr>
          <w:vertAlign w:val="superscript"/>
        </w:rPr>
        <w:t>3</w:t>
      </w:r>
      <w:r w:rsidR="004B1AF0">
        <w:t>/day]</w:t>
      </w:r>
      <w:r>
        <w:t xml:space="preserve"> observed at the inlet of the WWTP were obtained from a data-sharing platform </w:t>
      </w:r>
      <w:r w:rsidR="003B7054" w:rsidRPr="003B7054">
        <w:t>within the network of the SARI project</w:t>
      </w:r>
      <w:r>
        <w:t>. The study period was chosen according to the</w:t>
      </w:r>
      <w:r w:rsidR="009367AA">
        <w:t xml:space="preserve"> availabi</w:t>
      </w:r>
      <w:r w:rsidR="009367AA">
        <w:t>l</w:t>
      </w:r>
      <w:r w:rsidR="009367AA">
        <w:t>ity of</w:t>
      </w:r>
      <w:r>
        <w:t xml:space="preserve"> concentration data and ranged from 13/10/2021 (the first day of sampling) to 24/05/2023. </w:t>
      </w:r>
      <w:r w:rsidR="009367AA">
        <w:t>The m</w:t>
      </w:r>
      <w:r>
        <w:t xml:space="preserve">easurements were conducted weekly or twice a week, with an irregular frequency, resulting in a total of 165 data </w:t>
      </w:r>
      <w:r w:rsidR="009367AA">
        <w:t xml:space="preserve">points </w:t>
      </w:r>
      <w:r>
        <w:t>throughout the entire period.</w:t>
      </w:r>
    </w:p>
    <w:p w:rsidR="00221B1C" w:rsidRDefault="009367AA" w:rsidP="00221B1C">
      <w:pPr>
        <w:pStyle w:val="MDPI31text"/>
      </w:pPr>
      <w:r>
        <w:t xml:space="preserve">Samples were collected, </w:t>
      </w:r>
      <w:r w:rsidR="00221B1C">
        <w:t xml:space="preserve">processed for </w:t>
      </w:r>
      <w:r>
        <w:t xml:space="preserve">determination of </w:t>
      </w:r>
      <w:r w:rsidR="00221B1C">
        <w:t xml:space="preserve">virus concentration and subjected to RNA extraction following </w:t>
      </w:r>
      <w:r w:rsidR="001F2F1B">
        <w:t xml:space="preserve">the </w:t>
      </w:r>
      <w:r w:rsidR="00221B1C">
        <w:t>reference analytical protocol established for the SARI project</w:t>
      </w:r>
      <w:r w:rsidR="00BC233F">
        <w:t xml:space="preserve"> [</w:t>
      </w:r>
      <w:hyperlink w:anchor="protocollo_sari" w:history="1">
        <w:r w:rsidR="00BC233F" w:rsidRPr="00BC233F">
          <w:rPr>
            <w:rStyle w:val="Collegamentoipertestuale"/>
          </w:rPr>
          <w:t>21</w:t>
        </w:r>
      </w:hyperlink>
      <w:r w:rsidR="00BC233F">
        <w:t>]</w:t>
      </w:r>
      <w:r w:rsidR="00221B1C">
        <w:t>.</w:t>
      </w:r>
      <w:r w:rsidR="00F26820">
        <w:t xml:space="preserve"> </w:t>
      </w:r>
      <w:r w:rsidR="00221B1C">
        <w:t>Wastewater composite samples of 100 ml we</w:t>
      </w:r>
      <w:r w:rsidR="001F2F1B">
        <w:t>re collected over a 24-hour</w:t>
      </w:r>
      <w:r w:rsidR="00221B1C">
        <w:t xml:space="preserve"> period. A 50 ml al</w:t>
      </w:r>
      <w:r w:rsidR="001F2F1B">
        <w:t>iquot was frozen and constituted</w:t>
      </w:r>
      <w:r w:rsidR="00221B1C">
        <w:t xml:space="preserve"> the "archive sample" to be retained for any further determinations. The second 50 ml aliquot was immediately processed or stored at a refrigerated temperature (-20°C) until the analysis was</w:t>
      </w:r>
      <w:r w:rsidR="002D5C57">
        <w:t xml:space="preserve"> co</w:t>
      </w:r>
      <w:r w:rsidR="002D5C57">
        <w:t>n</w:t>
      </w:r>
      <w:r w:rsidR="002D5C57">
        <w:t xml:space="preserve">ducted, for a maximum of 24 </w:t>
      </w:r>
      <w:r w:rsidR="00221B1C">
        <w:t>-</w:t>
      </w:r>
      <w:r w:rsidR="002D5C57">
        <w:t xml:space="preserve"> </w:t>
      </w:r>
      <w:r w:rsidR="00221B1C">
        <w:t>48 h.</w:t>
      </w:r>
    </w:p>
    <w:p w:rsidR="001F2F1B" w:rsidRDefault="001F2F1B" w:rsidP="00221B1C">
      <w:pPr>
        <w:pStyle w:val="MDPI31text"/>
      </w:pPr>
      <w:r>
        <w:t>The w</w:t>
      </w:r>
      <w:r w:rsidR="00221B1C">
        <w:t xml:space="preserve">astewater sample concentration was </w:t>
      </w:r>
      <w:r w:rsidRPr="001F2F1B">
        <w:t xml:space="preserve">determined </w:t>
      </w:r>
      <w:r w:rsidR="00221B1C">
        <w:t>with a PEG/</w:t>
      </w:r>
      <w:proofErr w:type="spellStart"/>
      <w:r w:rsidR="00221B1C">
        <w:t>NaCl</w:t>
      </w:r>
      <w:proofErr w:type="spellEnd"/>
      <w:r w:rsidR="00221B1C">
        <w:t xml:space="preserve"> protocol using the method published by Wu et al.</w:t>
      </w:r>
      <w:r w:rsidR="00C45AE0">
        <w:t xml:space="preserve"> [</w:t>
      </w:r>
      <w:hyperlink w:anchor="Wu_2020" w:history="1">
        <w:r w:rsidR="00C45AE0" w:rsidRPr="00C45AE0">
          <w:rPr>
            <w:rStyle w:val="Collegamentoipertestuale"/>
          </w:rPr>
          <w:t>22</w:t>
        </w:r>
      </w:hyperlink>
      <w:r w:rsidR="00C45AE0">
        <w:t>]</w:t>
      </w:r>
      <w:r w:rsidR="00221B1C">
        <w:t>.</w:t>
      </w:r>
      <w:r>
        <w:t xml:space="preserve"> </w:t>
      </w:r>
      <w:r w:rsidR="00221B1C">
        <w:t>SARS-CoV-2</w:t>
      </w:r>
      <w:r>
        <w:t xml:space="preserve"> </w:t>
      </w:r>
      <w:r w:rsidR="00221B1C">
        <w:t xml:space="preserve">analysis included, as an initial step, cell </w:t>
      </w:r>
      <w:proofErr w:type="spellStart"/>
      <w:r w:rsidR="00221B1C">
        <w:t>lysis</w:t>
      </w:r>
      <w:proofErr w:type="spellEnd"/>
      <w:r w:rsidR="00221B1C">
        <w:t xml:space="preserve"> with guanidine </w:t>
      </w:r>
      <w:proofErr w:type="spellStart"/>
      <w:r w:rsidR="00221B1C">
        <w:t>isothiocyanate</w:t>
      </w:r>
      <w:proofErr w:type="spellEnd"/>
      <w:r w:rsidR="00221B1C">
        <w:t xml:space="preserve"> followed by the extraction of genetic mat</w:t>
      </w:r>
      <w:r w:rsidR="00221B1C">
        <w:t>e</w:t>
      </w:r>
      <w:r w:rsidR="00221B1C">
        <w:t>rial based on the adhesion of nucleic acids on magnetic silic</w:t>
      </w:r>
      <w:r>
        <w:t xml:space="preserve">a performed using the </w:t>
      </w:r>
      <w:proofErr w:type="spellStart"/>
      <w:r>
        <w:lastRenderedPageBreak/>
        <w:t>MiniMag</w:t>
      </w:r>
      <w:proofErr w:type="spellEnd"/>
      <w:r>
        <w:t>/</w:t>
      </w:r>
      <w:proofErr w:type="spellStart"/>
      <w:r w:rsidR="00221B1C">
        <w:t>eGeneUP</w:t>
      </w:r>
      <w:proofErr w:type="spellEnd"/>
      <w:r w:rsidR="00221B1C">
        <w:t xml:space="preserve"> (</w:t>
      </w:r>
      <w:proofErr w:type="spellStart"/>
      <w:r w:rsidR="00221B1C">
        <w:t>bioMerieux</w:t>
      </w:r>
      <w:proofErr w:type="spellEnd"/>
      <w:r w:rsidR="00221B1C">
        <w:t xml:space="preserve">) platform with a final volume of 100 µl for RNA elution. </w:t>
      </w:r>
      <w:r>
        <w:t xml:space="preserve">The quantitative detection of </w:t>
      </w:r>
      <w:r w:rsidR="00221B1C">
        <w:t xml:space="preserve">SARS-CoV-2 was </w:t>
      </w:r>
      <w:r>
        <w:t>performed by real-time RT-</w:t>
      </w:r>
      <w:proofErr w:type="spellStart"/>
      <w:r>
        <w:t>qPCR</w:t>
      </w:r>
      <w:proofErr w:type="spellEnd"/>
      <w:r>
        <w:t xml:space="preserve"> </w:t>
      </w:r>
      <w:r w:rsidR="00221B1C">
        <w:t xml:space="preserve">in </w:t>
      </w:r>
      <w:r>
        <w:t>a</w:t>
      </w:r>
      <w:r>
        <w:t>c</w:t>
      </w:r>
      <w:r>
        <w:t>cordance</w:t>
      </w:r>
      <w:r w:rsidR="00221B1C">
        <w:t xml:space="preserve"> with the EU</w:t>
      </w:r>
      <w:r w:rsidR="00CE48F1">
        <w:t xml:space="preserve"> 2021/472 Recommendation [</w:t>
      </w:r>
      <w:hyperlink w:anchor="raccomandazione_ue" w:history="1">
        <w:r w:rsidR="00CE48F1" w:rsidRPr="00CE48F1">
          <w:rPr>
            <w:rStyle w:val="Collegamentoipertestuale"/>
          </w:rPr>
          <w:t>9</w:t>
        </w:r>
      </w:hyperlink>
      <w:r w:rsidR="00CE48F1">
        <w:t>]</w:t>
      </w:r>
      <w:r w:rsidR="00221B1C">
        <w:t>.</w:t>
      </w:r>
      <w:r w:rsidRPr="001F2F1B">
        <w:t xml:space="preserve"> The quantitative determination of SARS-CoV-2 was based on ORF-1ab (</w:t>
      </w:r>
      <w:proofErr w:type="spellStart"/>
      <w:r w:rsidRPr="001F2F1B">
        <w:t>nps</w:t>
      </w:r>
      <w:proofErr w:type="spellEnd"/>
      <w:r w:rsidRPr="001F2F1B">
        <w:t xml:space="preserve"> 14), with </w:t>
      </w:r>
      <w:proofErr w:type="spellStart"/>
      <w:r>
        <w:t>M</w:t>
      </w:r>
      <w:r w:rsidRPr="001F2F1B">
        <w:t>urine</w:t>
      </w:r>
      <w:proofErr w:type="spellEnd"/>
      <w:r w:rsidRPr="001F2F1B">
        <w:t xml:space="preserve"> </w:t>
      </w:r>
      <w:proofErr w:type="spellStart"/>
      <w:r>
        <w:t>N</w:t>
      </w:r>
      <w:r w:rsidRPr="001F2F1B">
        <w:t>orovirus</w:t>
      </w:r>
      <w:proofErr w:type="spellEnd"/>
      <w:r w:rsidRPr="001F2F1B">
        <w:t xml:space="preserve"> used as a control virus during the analysis</w:t>
      </w:r>
      <w:r>
        <w:t>.</w:t>
      </w:r>
    </w:p>
    <w:p w:rsidR="00221B1C" w:rsidRDefault="00221B1C" w:rsidP="00221B1C">
      <w:pPr>
        <w:pStyle w:val="MDPI31text"/>
      </w:pPr>
      <w:r>
        <w:t>The mean (1.7</w:t>
      </w:r>
      <w:r w:rsidR="008E415E">
        <w:t>9</w:t>
      </w:r>
      <w:r w:rsidR="00EC1FE2">
        <w:t xml:space="preserve"> </w:t>
      </w:r>
      <w:r>
        <w:t>10</w:t>
      </w:r>
      <w:r w:rsidRPr="000C1731">
        <w:rPr>
          <w:vertAlign w:val="superscript"/>
        </w:rPr>
        <w:t>5</w:t>
      </w:r>
      <w:r>
        <w:t xml:space="preserve"> </w:t>
      </w:r>
      <w:r w:rsidR="008E415E">
        <w:t>[</w:t>
      </w:r>
      <w:r>
        <w:t>GC/L</w:t>
      </w:r>
      <w:r w:rsidR="008E415E">
        <w:t>]), median (0.83</w:t>
      </w:r>
      <w:r w:rsidR="00EC1FE2">
        <w:t xml:space="preserve"> </w:t>
      </w:r>
      <w:r>
        <w:t>10</w:t>
      </w:r>
      <w:r w:rsidRPr="000C1731">
        <w:rPr>
          <w:vertAlign w:val="superscript"/>
        </w:rPr>
        <w:t>5</w:t>
      </w:r>
      <w:r>
        <w:t xml:space="preserve"> </w:t>
      </w:r>
      <w:r w:rsidR="008E415E">
        <w:t>[</w:t>
      </w:r>
      <w:r>
        <w:t>GC/L</w:t>
      </w:r>
      <w:r w:rsidR="008E415E">
        <w:t>]</w:t>
      </w:r>
      <w:r>
        <w:t>), and maximum (1.10 10</w:t>
      </w:r>
      <w:r w:rsidRPr="000C1731">
        <w:rPr>
          <w:vertAlign w:val="superscript"/>
        </w:rPr>
        <w:t>6</w:t>
      </w:r>
      <w:r>
        <w:t xml:space="preserve"> </w:t>
      </w:r>
      <w:r w:rsidR="008E415E">
        <w:t>[</w:t>
      </w:r>
      <w:r>
        <w:t>GC/L</w:t>
      </w:r>
      <w:r w:rsidR="008E415E">
        <w:t>]</w:t>
      </w:r>
      <w:r>
        <w:t>) concentrations of SARS-CoV-2 RNA measured at the WWTP (</w:t>
      </w:r>
      <w:r w:rsidR="000D3350">
        <w:t>Figure S2,</w:t>
      </w:r>
      <w:r w:rsidR="000C1731">
        <w:t>Table S2</w:t>
      </w:r>
      <w:r>
        <w:t>) f</w:t>
      </w:r>
      <w:r w:rsidR="001F2F1B">
        <w:t>e</w:t>
      </w:r>
      <w:r>
        <w:t>ll within the range (10</w:t>
      </w:r>
      <w:r w:rsidRPr="000C1731">
        <w:rPr>
          <w:vertAlign w:val="superscript"/>
        </w:rPr>
        <w:t>2</w:t>
      </w:r>
      <w:r>
        <w:t>-10</w:t>
      </w:r>
      <w:r w:rsidRPr="000C1731">
        <w:rPr>
          <w:vertAlign w:val="superscript"/>
        </w:rPr>
        <w:t>5</w:t>
      </w:r>
      <w:r>
        <w:t xml:space="preserve"> </w:t>
      </w:r>
      <w:r w:rsidR="008E415E">
        <w:t>[</w:t>
      </w:r>
      <w:r>
        <w:t>GC/L</w:t>
      </w:r>
      <w:r w:rsidR="008E415E">
        <w:t>]</w:t>
      </w:r>
      <w:r>
        <w:t xml:space="preserve"> with maximum values exceeding 10</w:t>
      </w:r>
      <w:r w:rsidRPr="000C1731">
        <w:rPr>
          <w:vertAlign w:val="superscript"/>
        </w:rPr>
        <w:t>6</w:t>
      </w:r>
      <w:r>
        <w:t xml:space="preserve"> </w:t>
      </w:r>
      <w:r w:rsidR="008E415E">
        <w:t>[</w:t>
      </w:r>
      <w:r>
        <w:t>GC/L</w:t>
      </w:r>
      <w:r w:rsidR="008E415E">
        <w:t>]</w:t>
      </w:r>
      <w:r w:rsidR="00A360D5">
        <w:t>) found in the literature [</w:t>
      </w:r>
      <w:hyperlink w:anchor="weidhass_2021" w:history="1">
        <w:r w:rsidR="00A360D5" w:rsidRPr="00A360D5">
          <w:rPr>
            <w:rStyle w:val="Collegamentoipertestuale"/>
          </w:rPr>
          <w:t>4</w:t>
        </w:r>
      </w:hyperlink>
      <w:r w:rsidR="00A360D5">
        <w:t>,</w:t>
      </w:r>
      <w:hyperlink w:anchor="robotto_2022" w:history="1">
        <w:r w:rsidR="00280CFF" w:rsidRPr="00A360D5">
          <w:rPr>
            <w:rStyle w:val="Collegamentoipertestuale"/>
          </w:rPr>
          <w:t>5</w:t>
        </w:r>
      </w:hyperlink>
      <w:r>
        <w:t>,</w:t>
      </w:r>
      <w:hyperlink w:anchor="ahmed_2020_b" w:history="1">
        <w:r w:rsidR="00240692" w:rsidRPr="00240692">
          <w:rPr>
            <w:rStyle w:val="Collegamentoipertestuale"/>
          </w:rPr>
          <w:t>23</w:t>
        </w:r>
      </w:hyperlink>
      <w:r w:rsidR="00240692">
        <w:t>,</w:t>
      </w:r>
      <w:hyperlink w:anchor="la_rosa_2021" w:history="1">
        <w:r w:rsidR="000D3350" w:rsidRPr="000D3350">
          <w:rPr>
            <w:rStyle w:val="Collegamentoipertestuale"/>
          </w:rPr>
          <w:t>24</w:t>
        </w:r>
      </w:hyperlink>
      <w:r w:rsidR="000D3350">
        <w:t>]</w:t>
      </w:r>
      <w:r>
        <w:t>.</w:t>
      </w:r>
    </w:p>
    <w:p w:rsidR="00221B1C" w:rsidRDefault="00221B1C" w:rsidP="00221B1C">
      <w:pPr>
        <w:pStyle w:val="MDPI31text"/>
      </w:pPr>
      <w:r>
        <w:t xml:space="preserve">In combined sewer systems, such as the one described in the present study, intense rainfall events can lead to a significant dilution of the SARS-CoV-2 RNA concentration in the sewer, as well as fluctuations in flow velocity and other parameters. Therefore, </w:t>
      </w:r>
      <w:r w:rsidR="006A4375">
        <w:t>co</w:t>
      </w:r>
      <w:r w:rsidR="006A4375">
        <w:t>n</w:t>
      </w:r>
      <w:r w:rsidR="006A4375">
        <w:t xml:space="preserve">centration </w:t>
      </w:r>
      <w:r>
        <w:t>data collected when the flow rate exceeded the 90</w:t>
      </w:r>
      <w:r w:rsidRPr="00CF1604">
        <w:rPr>
          <w:vertAlign w:val="superscript"/>
        </w:rPr>
        <w:t>th</w:t>
      </w:r>
      <w:r>
        <w:t xml:space="preserve"> percentile of</w:t>
      </w:r>
      <w:r w:rsidR="008E415E">
        <w:t xml:space="preserve"> values re</w:t>
      </w:r>
      <w:r w:rsidR="008E415E">
        <w:t>c</w:t>
      </w:r>
      <w:r w:rsidR="008E415E">
        <w:t>orded in 2022 (156.5</w:t>
      </w:r>
      <w:r w:rsidR="00EC1FE2">
        <w:t xml:space="preserve"> </w:t>
      </w:r>
      <w:r>
        <w:t>10</w:t>
      </w:r>
      <w:r w:rsidRPr="008E415E">
        <w:rPr>
          <w:vertAlign w:val="superscript"/>
        </w:rPr>
        <w:t>3</w:t>
      </w:r>
      <w:r>
        <w:t xml:space="preserve"> </w:t>
      </w:r>
      <w:r w:rsidR="008E415E">
        <w:t>[</w:t>
      </w:r>
      <w:r>
        <w:t>m</w:t>
      </w:r>
      <w:r w:rsidRPr="008E415E">
        <w:rPr>
          <w:vertAlign w:val="superscript"/>
        </w:rPr>
        <w:t>3</w:t>
      </w:r>
      <w:r>
        <w:t>/day</w:t>
      </w:r>
      <w:r w:rsidR="008E415E">
        <w:t>]</w:t>
      </w:r>
      <w:r>
        <w:t xml:space="preserve">) were treated as outliers and thus removed </w:t>
      </w:r>
      <w:r w:rsidR="008747F0">
        <w:t>[</w:t>
      </w:r>
      <w:hyperlink w:anchor="rauch_2022" w:history="1">
        <w:r w:rsidR="008747F0" w:rsidRPr="008747F0">
          <w:rPr>
            <w:rStyle w:val="Collegamentoipertestuale"/>
          </w:rPr>
          <w:t>11</w:t>
        </w:r>
      </w:hyperlink>
      <w:r w:rsidR="008747F0">
        <w:t>]</w:t>
      </w:r>
      <w:r>
        <w:t>(</w:t>
      </w:r>
      <w:r w:rsidR="00CF1604">
        <w:t>Table S3,</w:t>
      </w:r>
      <w:r w:rsidR="000C1731">
        <w:t>Figure S3</w:t>
      </w:r>
      <w:r>
        <w:t>). In support of this method, the correlation between the effluent flow values measured at the WWTP inlet and the cumulative daily precipitation values</w:t>
      </w:r>
      <w:r w:rsidR="000D3350">
        <w:t xml:space="preserve"> [</w:t>
      </w:r>
      <w:hyperlink w:anchor="dexter" w:history="1">
        <w:r w:rsidR="000D3350" w:rsidRPr="000D3350">
          <w:rPr>
            <w:rStyle w:val="Collegamentoipertestuale"/>
          </w:rPr>
          <w:t>25</w:t>
        </w:r>
      </w:hyperlink>
      <w:r w:rsidR="000D3350">
        <w:t>]</w:t>
      </w:r>
      <w:r>
        <w:t xml:space="preserve"> mea</w:t>
      </w:r>
      <w:r>
        <w:t>s</w:t>
      </w:r>
      <w:r>
        <w:t>ured by monitoring stations in Bologna and neighboring municipalities</w:t>
      </w:r>
      <w:r w:rsidR="001F2F1B">
        <w:t xml:space="preserve"> was </w:t>
      </w:r>
      <w:proofErr w:type="spellStart"/>
      <w:r w:rsidR="001F2F1B">
        <w:t>analys</w:t>
      </w:r>
      <w:r>
        <w:t>ed</w:t>
      </w:r>
      <w:proofErr w:type="spellEnd"/>
      <w:r>
        <w:t>. The highest correlation (Pearson 0.88) was observed when considering the cumulative daily precipitation of the day preceding the flow measurement. This could be attributed to evening rains that reach the WWTP after several hours, contributing to the cumulative effluent flow on the following day.</w:t>
      </w:r>
    </w:p>
    <w:p w:rsidR="00221B1C" w:rsidRDefault="00221B1C" w:rsidP="00D81521">
      <w:pPr>
        <w:pStyle w:val="MDPI31text"/>
      </w:pPr>
      <w:r>
        <w:t>The daily load of SARS-CoV-2 RNA at the inlet of the WWTP [GC/day] was o</w:t>
      </w:r>
      <w:r>
        <w:t>b</w:t>
      </w:r>
      <w:r>
        <w:t xml:space="preserve">tained by multiplying the observed values (after removing outliers) of </w:t>
      </w:r>
      <w:r w:rsidR="001F2F1B">
        <w:t xml:space="preserve">the </w:t>
      </w:r>
      <w:r>
        <w:t>SARS-CoV-2</w:t>
      </w:r>
      <w:r w:rsidR="00456C78">
        <w:t xml:space="preserve"> RNA</w:t>
      </w:r>
      <w:r>
        <w:t xml:space="preserve"> concentration by the effluent flow rate. Subsequently, the historical time series of the daily load of SARS-CoV-2 RNA was processed using the locally estimated </w:t>
      </w:r>
      <w:proofErr w:type="spellStart"/>
      <w:r>
        <w:t>scatte</w:t>
      </w:r>
      <w:r w:rsidR="00653999">
        <w:t>rplot</w:t>
      </w:r>
      <w:proofErr w:type="spellEnd"/>
      <w:r w:rsidR="00653999">
        <w:t xml:space="preserve"> smoothing (LOESS) method [</w:t>
      </w:r>
      <w:hyperlink w:anchor="cleveland_1988" w:history="1">
        <w:r w:rsidR="00653999" w:rsidRPr="00653999">
          <w:rPr>
            <w:rStyle w:val="Collegamentoipertestuale"/>
          </w:rPr>
          <w:t>26</w:t>
        </w:r>
      </w:hyperlink>
      <w:r w:rsidR="00653999">
        <w:t>]</w:t>
      </w:r>
      <w:r>
        <w:t>. This was done with a dual purpose: first, to transform the historical series into one with a daily regular data interval based on irregularly measured data points, and second, to smooth the values to obtain a signal purified fr</w:t>
      </w:r>
      <w:r w:rsidR="00C30A89">
        <w:t>om potential measurement errors</w:t>
      </w:r>
      <w:r>
        <w:t xml:space="preserve"> </w:t>
      </w:r>
      <w:r w:rsidR="00C30A89">
        <w:t>(Figure S4)</w:t>
      </w:r>
      <w:r>
        <w:t>. The LOESS method was implemented in P</w:t>
      </w:r>
      <w:r>
        <w:t>y</w:t>
      </w:r>
      <w:r w:rsidR="00CF1604">
        <w:t>thon [</w:t>
      </w:r>
      <w:hyperlink w:anchor="cappellari" w:history="1">
        <w:r w:rsidR="00CF1604" w:rsidRPr="00CF1604">
          <w:rPr>
            <w:rStyle w:val="Collegamentoipertestuale"/>
          </w:rPr>
          <w:t>27</w:t>
        </w:r>
      </w:hyperlink>
      <w:r w:rsidR="00CF1604">
        <w:t>]</w:t>
      </w:r>
      <w:r>
        <w:t>, considering 11 neighboring data points for th</w:t>
      </w:r>
      <w:r w:rsidR="000B6171">
        <w:t xml:space="preserve">e local value estimation as in </w:t>
      </w:r>
      <w:r>
        <w:t>Rauch et al.</w:t>
      </w:r>
      <w:r w:rsidR="008747F0">
        <w:t xml:space="preserve"> [</w:t>
      </w:r>
      <w:hyperlink w:anchor="rauch_2022" w:history="1">
        <w:r w:rsidR="008747F0" w:rsidRPr="008747F0">
          <w:rPr>
            <w:rStyle w:val="Collegamentoipertestuale"/>
          </w:rPr>
          <w:t>11</w:t>
        </w:r>
      </w:hyperlink>
      <w:r w:rsidR="008747F0">
        <w:t>]</w:t>
      </w:r>
      <w:r>
        <w:t>.</w:t>
      </w:r>
    </w:p>
    <w:p w:rsidR="00221B1C" w:rsidRDefault="00221B1C" w:rsidP="00221B1C">
      <w:pPr>
        <w:pStyle w:val="MDPI22heading2"/>
        <w:spacing w:before="240"/>
      </w:pPr>
      <w:r>
        <w:t>2.3.</w:t>
      </w:r>
      <w:r>
        <w:tab/>
        <w:t>Health Data</w:t>
      </w:r>
    </w:p>
    <w:p w:rsidR="002F00AE" w:rsidRDefault="00221B1C" w:rsidP="00221B1C">
      <w:pPr>
        <w:pStyle w:val="MDPI31text"/>
      </w:pPr>
      <w:r>
        <w:t xml:space="preserve">The Local Health Authority of Bologna provided daily cases of COVID-19 within the </w:t>
      </w:r>
      <w:r w:rsidR="00B76BFF">
        <w:t xml:space="preserve">statistical areas and census sections in </w:t>
      </w:r>
      <w:r w:rsidR="007A48D9">
        <w:t xml:space="preserve">which the subjects </w:t>
      </w:r>
      <w:r w:rsidR="00487181">
        <w:t>were isolated</w:t>
      </w:r>
      <w:r w:rsidR="007A48D9">
        <w:t>.</w:t>
      </w:r>
      <w:r w:rsidR="002F00AE">
        <w:t xml:space="preserve"> </w:t>
      </w:r>
    </w:p>
    <w:p w:rsidR="00221B1C" w:rsidRDefault="00221B1C" w:rsidP="00221B1C">
      <w:pPr>
        <w:pStyle w:val="MDPI31text"/>
      </w:pPr>
      <w:r>
        <w:t xml:space="preserve">For each </w:t>
      </w:r>
      <w:r w:rsidR="00487181">
        <w:t>patient</w:t>
      </w:r>
      <w:r>
        <w:t>, the following information was available: census section or statist</w:t>
      </w:r>
      <w:r>
        <w:t>i</w:t>
      </w:r>
      <w:r>
        <w:t>cal area of isolation, presence of symptoms and onset of symptoms date if symptomatic, date of the swab test, diagnosis date (i.e.</w:t>
      </w:r>
      <w:r w:rsidR="000B6171">
        <w:t>,</w:t>
      </w:r>
      <w:r>
        <w:t xml:space="preserve"> date when a positive case is officially recorded in the healthcare system), admission date and discharge date in case of hospitalization, final outcome (i.e.</w:t>
      </w:r>
      <w:r w:rsidR="000B6171">
        <w:t>,</w:t>
      </w:r>
      <w:r>
        <w:t xml:space="preserve"> whether the individual recovered or deceased)</w:t>
      </w:r>
      <w:r w:rsidR="000B6171">
        <w:t>,</w:t>
      </w:r>
      <w:r>
        <w:t xml:space="preserve"> final outcome date,</w:t>
      </w:r>
      <w:r w:rsidR="000B6171">
        <w:t xml:space="preserve"> and</w:t>
      </w:r>
      <w:r>
        <w:t xml:space="preserve"> cause of death if deceased. </w:t>
      </w:r>
    </w:p>
    <w:p w:rsidR="00221B1C" w:rsidRDefault="00221B1C" w:rsidP="00221B1C">
      <w:pPr>
        <w:pStyle w:val="MDPI31text"/>
      </w:pPr>
      <w:r>
        <w:t xml:space="preserve">The model presented in this article </w:t>
      </w:r>
      <w:r w:rsidR="006A4375">
        <w:t>was</w:t>
      </w:r>
      <w:r>
        <w:t xml:space="preserve"> implemented to estimate new daily cases. Therefore, data on newly reported daily cases from the healthcare system were selected</w:t>
      </w:r>
      <w:r w:rsidR="006A4375">
        <w:t xml:space="preserve"> to evaluate the model’s performance</w:t>
      </w:r>
      <w:r>
        <w:t xml:space="preserve">. The decision to estimate new daily cases instead of active cases was made </w:t>
      </w:r>
      <w:r w:rsidR="000B6171">
        <w:t xml:space="preserve">by </w:t>
      </w:r>
      <w:r>
        <w:t>recognizing that the duration of an infected individual's class</w:t>
      </w:r>
      <w:r>
        <w:t>i</w:t>
      </w:r>
      <w:r>
        <w:t>fication as an active case is likely to be more uncertain, varying significantly from person to person, and influenced by prevailing COVID-19 regulations (e.g.</w:t>
      </w:r>
      <w:r w:rsidR="000B6171">
        <w:t>,</w:t>
      </w:r>
      <w:r>
        <w:t xml:space="preserve"> a confirmatory test was not always required to confirm the end of the infection period).</w:t>
      </w:r>
    </w:p>
    <w:p w:rsidR="00221B1C" w:rsidRDefault="00221B1C" w:rsidP="006A4375">
      <w:pPr>
        <w:pStyle w:val="MDPI31text"/>
      </w:pPr>
      <w:r>
        <w:t>To reduce individual variability</w:t>
      </w:r>
      <w:r w:rsidR="000B6171">
        <w:t>,</w:t>
      </w:r>
      <w:r>
        <w:t xml:space="preserve"> the date of symptoms onset (or the date of the swab test if asymptomatic) was taken as the reference date for defining a new case, hospital</w:t>
      </w:r>
      <w:r>
        <w:t>i</w:t>
      </w:r>
      <w:r>
        <w:t xml:space="preserve">zation, or death reported by the healthcare system. This was </w:t>
      </w:r>
      <w:r w:rsidR="006A4375">
        <w:t>considered</w:t>
      </w:r>
      <w:r>
        <w:t xml:space="preserve"> the best ref</w:t>
      </w:r>
      <w:r w:rsidR="000B6171">
        <w:t>e</w:t>
      </w:r>
      <w:r w:rsidR="000B6171">
        <w:t>r</w:t>
      </w:r>
      <w:r w:rsidR="000B6171">
        <w:t>ence date f</w:t>
      </w:r>
      <w:r>
        <w:t>o</w:t>
      </w:r>
      <w:r w:rsidR="000B6171">
        <w:t>r comparing</w:t>
      </w:r>
      <w:r>
        <w:t xml:space="preserve"> predicted </w:t>
      </w:r>
      <w:r w:rsidR="006A4375">
        <w:t>and</w:t>
      </w:r>
      <w:r>
        <w:t xml:space="preserve"> reported </w:t>
      </w:r>
      <w:r w:rsidR="000B6171">
        <w:t>cases</w:t>
      </w:r>
      <w:r>
        <w:t xml:space="preserve"> </w:t>
      </w:r>
      <w:r w:rsidR="006A4375" w:rsidRPr="006A4375">
        <w:t>due to the correspondence of the onset of symptoms with the peak of SARS-CoV-2 excretion in feces</w:t>
      </w:r>
      <w:r w:rsidR="009452DB">
        <w:t xml:space="preserve"> [</w:t>
      </w:r>
      <w:hyperlink w:anchor="prasek_2022" w:history="1">
        <w:r w:rsidR="009452DB" w:rsidRPr="00524369">
          <w:rPr>
            <w:rStyle w:val="Collegamentoipertestuale"/>
          </w:rPr>
          <w:t>15</w:t>
        </w:r>
      </w:hyperlink>
      <w:r w:rsidR="009452DB">
        <w:t>,</w:t>
      </w:r>
      <w:hyperlink w:anchor="Benefield" w:history="1">
        <w:r w:rsidR="009452DB" w:rsidRPr="009452DB">
          <w:rPr>
            <w:rStyle w:val="Collegamentoipertestuale"/>
          </w:rPr>
          <w:t>28</w:t>
        </w:r>
      </w:hyperlink>
      <w:r w:rsidR="009452DB">
        <w:t>,</w:t>
      </w:r>
      <w:hyperlink w:anchor="foladori_2020" w:history="1">
        <w:r w:rsidR="002847C1" w:rsidRPr="002847C1">
          <w:rPr>
            <w:rStyle w:val="Collegamentoipertestuale"/>
          </w:rPr>
          <w:t>29</w:t>
        </w:r>
      </w:hyperlink>
      <w:r w:rsidR="00E0768D">
        <w:t>]</w:t>
      </w:r>
      <w:r>
        <w:t xml:space="preserve">. </w:t>
      </w:r>
    </w:p>
    <w:p w:rsidR="00F04133" w:rsidRDefault="00221B1C" w:rsidP="00221B1C">
      <w:pPr>
        <w:pStyle w:val="MDPI31text"/>
      </w:pPr>
      <w:r>
        <w:lastRenderedPageBreak/>
        <w:t>Daily city-level data on tests and vaccines (second and third doses) were provided by the Local Health Authority of Bologna. An analysis of these health variables was performed to interpret the model results.</w:t>
      </w:r>
    </w:p>
    <w:p w:rsidR="00F04133" w:rsidRDefault="00F04133" w:rsidP="00F04133">
      <w:pPr>
        <w:pStyle w:val="MDPI22heading2"/>
        <w:spacing w:before="240"/>
      </w:pPr>
      <w:r>
        <w:t>2.4.</w:t>
      </w:r>
      <w:r>
        <w:tab/>
        <w:t>Model Equation</w:t>
      </w:r>
    </w:p>
    <w:p w:rsidR="00F04133" w:rsidRDefault="00F04133" w:rsidP="00F04133">
      <w:pPr>
        <w:pStyle w:val="MDPI31text"/>
      </w:pPr>
      <w:r>
        <w:t xml:space="preserve">The model was based on an equation employed in previous studies </w:t>
      </w:r>
      <w:r w:rsidR="00524369">
        <w:t>[</w:t>
      </w:r>
      <w:hyperlink w:anchor="Li_2021" w:history="1">
        <w:r w:rsidR="00524369" w:rsidRPr="00695BCD">
          <w:rPr>
            <w:rStyle w:val="Collegamentoipertestuale"/>
          </w:rPr>
          <w:t>3</w:t>
        </w:r>
      </w:hyperlink>
      <w:r w:rsidR="00524369">
        <w:t>,</w:t>
      </w:r>
      <w:hyperlink w:anchor="ahmed_2020_A" w:history="1">
        <w:r w:rsidR="00524369" w:rsidRPr="00524369">
          <w:rPr>
            <w:rStyle w:val="Collegamentoipertestuale"/>
          </w:rPr>
          <w:t>14</w:t>
        </w:r>
      </w:hyperlink>
      <w:r>
        <w:t>,</w:t>
      </w:r>
      <w:hyperlink w:anchor="prasek_2022" w:history="1">
        <w:r w:rsidR="00E0768D" w:rsidRPr="00524369">
          <w:rPr>
            <w:rStyle w:val="Collegamentoipertestuale"/>
          </w:rPr>
          <w:t>15</w:t>
        </w:r>
      </w:hyperlink>
      <w:r w:rsidR="00E0768D">
        <w:t>,</w:t>
      </w:r>
      <w:hyperlink w:anchor="schimtz_2021" w:history="1">
        <w:r w:rsidR="00E0768D" w:rsidRPr="00E0768D">
          <w:rPr>
            <w:rStyle w:val="Collegamentoipertestuale"/>
          </w:rPr>
          <w:t>16</w:t>
        </w:r>
      </w:hyperlink>
      <w:r>
        <w:t>,</w:t>
      </w:r>
      <w:hyperlink w:anchor="wani_2023" w:history="1">
        <w:r w:rsidR="004E6E22" w:rsidRPr="004E6E22">
          <w:rPr>
            <w:rStyle w:val="Collegamentoipertestuale"/>
          </w:rPr>
          <w:t>17</w:t>
        </w:r>
      </w:hyperlink>
      <w:r w:rsidR="00695BCD">
        <w:t>]</w:t>
      </w:r>
      <w:r>
        <w:t xml:space="preserve"> for </w:t>
      </w:r>
      <w:proofErr w:type="spellStart"/>
      <w:r w:rsidR="00EC1FE2">
        <w:t>mode</w:t>
      </w:r>
      <w:r w:rsidR="000B6171">
        <w:t>l</w:t>
      </w:r>
      <w:r w:rsidR="00EC1FE2">
        <w:t>ling</w:t>
      </w:r>
      <w:proofErr w:type="spellEnd"/>
      <w:r>
        <w:t xml:space="preserve"> the relationship between the </w:t>
      </w:r>
      <w:r w:rsidR="006A4375">
        <w:t xml:space="preserve">SARS-CoV-2 </w:t>
      </w:r>
      <w:r>
        <w:t>concentration at WWTP</w:t>
      </w:r>
      <w:r w:rsidR="000B6171">
        <w:t>s</w:t>
      </w:r>
      <w:r>
        <w:t xml:space="preserve"> and the number of COVID-19 cases. This equation was adapted </w:t>
      </w:r>
      <w:r w:rsidR="000B6171">
        <w:t xml:space="preserve">by </w:t>
      </w:r>
      <w:r>
        <w:t>integrating two different factors to consider the spatial component.</w:t>
      </w:r>
      <w:r w:rsidR="00C940A9">
        <w:t xml:space="preserve"> </w:t>
      </w:r>
      <w:r>
        <w:t>This adjustment was made to obtain a more accurate estimate of virus biodegradation and, consequently, to derive the actual co</w:t>
      </w:r>
      <w:r>
        <w:t>n</w:t>
      </w:r>
      <w:r>
        <w:t xml:space="preserve">tributions of SARS-CoV-2 RNA from different areas within the catchment and </w:t>
      </w:r>
      <w:r w:rsidR="00792EB7" w:rsidRPr="00792EB7">
        <w:t>thus pr</w:t>
      </w:r>
      <w:r w:rsidR="00792EB7" w:rsidRPr="00792EB7">
        <w:t>e</w:t>
      </w:r>
      <w:r w:rsidR="00792EB7" w:rsidRPr="00792EB7">
        <w:t xml:space="preserve">dict the corresponding number of </w:t>
      </w:r>
      <w:r>
        <w:t>COVID-19 cases.</w:t>
      </w:r>
    </w:p>
    <w:p w:rsidR="00F04133" w:rsidRDefault="00F04133" w:rsidP="00F04133">
      <w:pPr>
        <w:pStyle w:val="MDPI31text"/>
      </w:pPr>
      <w:r>
        <w:t>A virus biodegradation factor and a population-based coefficient were introduced in the equation to differentiate the contribution of each area to the observed concentration at the WWTP. Both of these factors were calculated for each area.</w:t>
      </w:r>
    </w:p>
    <w:p w:rsidR="00F04133" w:rsidRDefault="00F04133" w:rsidP="00F04133">
      <w:pPr>
        <w:pStyle w:val="MDPI31text"/>
      </w:pPr>
      <w:r>
        <w:t xml:space="preserve">The daily load of SARS-CoV-2 at the inlet of the WWTP [GC/day] was </w:t>
      </w:r>
      <w:r w:rsidR="00B20394">
        <w:t xml:space="preserve">set </w:t>
      </w:r>
      <w:r w:rsidR="000B6171">
        <w:t>equal</w:t>
      </w:r>
      <w:r>
        <w:t xml:space="preserve"> to the sum of the </w:t>
      </w:r>
      <w:r w:rsidR="000B6171">
        <w:t xml:space="preserve">daily </w:t>
      </w:r>
      <w:r>
        <w:t>virus load generated by each area,</w:t>
      </w:r>
      <w:r w:rsidR="000B6171">
        <w:t xml:space="preserve"> which was </w:t>
      </w:r>
      <w:r>
        <w:t>reduced by accounting for virus biodegradation along the sewer network and refined by incorporating the population-based coefficient associated wit</w:t>
      </w:r>
      <w:r w:rsidR="00B20394">
        <w:t>h the population of each area (Eq. 1)</w:t>
      </w:r>
      <w:r>
        <w:t>.</w:t>
      </w:r>
    </w:p>
    <w:tbl>
      <w:tblPr>
        <w:tblW w:w="7859" w:type="dxa"/>
        <w:tblInd w:w="2608" w:type="dxa"/>
        <w:tblCellMar>
          <w:left w:w="0" w:type="dxa"/>
          <w:right w:w="0" w:type="dxa"/>
        </w:tblCellMar>
        <w:tblLook w:val="04A0"/>
      </w:tblPr>
      <w:tblGrid>
        <w:gridCol w:w="7428"/>
        <w:gridCol w:w="431"/>
      </w:tblGrid>
      <w:tr w:rsidR="00F04133" w:rsidRPr="006331AD" w:rsidTr="00D63F7E">
        <w:tc>
          <w:tcPr>
            <w:tcW w:w="7428" w:type="dxa"/>
          </w:tcPr>
          <w:p w:rsidR="00F04133" w:rsidRPr="003030D2" w:rsidRDefault="009F0FD2" w:rsidP="00D63F7E">
            <w:pPr>
              <w:pStyle w:val="MDPI39equation"/>
            </w:pPr>
            <m:oMathPara>
              <m:oMath>
                <m:sSub>
                  <m:sSubPr>
                    <m:ctrlPr>
                      <w:rPr>
                        <w:rFonts w:ascii="Cambria Math" w:hAnsi="Cambria Math"/>
                      </w:rPr>
                    </m:ctrlPr>
                  </m:sSubPr>
                  <m:e>
                    <m:r>
                      <w:rPr>
                        <w:rFonts w:ascii="Cambria Math" w:hAnsi="Cambria Math"/>
                      </w:rPr>
                      <m:t>C</m:t>
                    </m:r>
                  </m:e>
                  <m:sub>
                    <m:r>
                      <w:rPr>
                        <w:rFonts w:ascii="Cambria Math" w:hAnsi="Cambria Math"/>
                      </w:rPr>
                      <m:t>W</m:t>
                    </m:r>
                  </m:sub>
                </m:sSub>
                <m:r>
                  <m:rPr>
                    <m:sty m:val="p"/>
                  </m:rPr>
                  <w:rPr>
                    <w:rFonts w:ascii="Cambria Math" w:hAnsi="Cambria Math"/>
                  </w:rPr>
                  <m:t>(</m:t>
                </m:r>
                <m:r>
                  <w:rPr>
                    <w:rFonts w:ascii="Cambria Math" w:hAnsi="Cambria Math"/>
                  </w:rPr>
                  <m:t>t</m:t>
                </m:r>
                <m:r>
                  <m:rPr>
                    <m:sty m:val="p"/>
                  </m:rPr>
                  <w:rPr>
                    <w:rFonts w:ascii="Cambria Math" w:hAnsi="Cambria Math"/>
                  </w:rPr>
                  <m:t>)∙</m:t>
                </m:r>
                <m:sSub>
                  <m:sSubPr>
                    <m:ctrlPr>
                      <w:rPr>
                        <w:rFonts w:ascii="Cambria Math" w:hAnsi="Cambria Math"/>
                      </w:rPr>
                    </m:ctrlPr>
                  </m:sSubPr>
                  <m:e>
                    <m:r>
                      <w:rPr>
                        <w:rFonts w:ascii="Cambria Math" w:hAnsi="Cambria Math"/>
                      </w:rPr>
                      <m:t>Q</m:t>
                    </m:r>
                  </m:e>
                  <m:sub>
                    <m:r>
                      <w:rPr>
                        <w:rFonts w:ascii="Cambria Math" w:hAnsi="Cambria Math"/>
                      </w:rPr>
                      <m:t>W</m:t>
                    </m:r>
                  </m:sub>
                </m:sSub>
                <m:r>
                  <m:rPr>
                    <m:sty m:val="p"/>
                  </m:rPr>
                  <w:rPr>
                    <w:rFonts w:ascii="Cambria Math" w:hAnsi="Cambria Math"/>
                  </w:rPr>
                  <m:t>(</m:t>
                </m:r>
                <m:r>
                  <w:rPr>
                    <w:rFonts w:ascii="Cambria Math" w:hAnsi="Cambria Math"/>
                  </w:rPr>
                  <m:t>t</m:t>
                </m:r>
                <m:r>
                  <m:rPr>
                    <m:sty m:val="p"/>
                  </m:rPr>
                  <w:rPr>
                    <w:rFonts w:ascii="Cambria Math" w:hAnsi="Cambria Math"/>
                  </w:rPr>
                  <m:t>)=</m:t>
                </m:r>
                <m:sSub>
                  <m:sSubPr>
                    <m:ctrlPr>
                      <w:rPr>
                        <w:rFonts w:ascii="Cambria Math" w:hAnsi="Cambria Math"/>
                      </w:rPr>
                    </m:ctrlPr>
                  </m:sSubPr>
                  <m:e>
                    <m:r>
                      <w:rPr>
                        <w:rFonts w:ascii="Cambria Math" w:hAnsi="Cambria Math"/>
                      </w:rPr>
                      <m:t>S</m:t>
                    </m:r>
                  </m:e>
                  <m:sub>
                    <m:r>
                      <w:rPr>
                        <w:rFonts w:ascii="Cambria Math" w:hAnsi="Cambria Math"/>
                      </w:rPr>
                      <m:t>h</m:t>
                    </m:r>
                  </m:sub>
                </m:sSub>
                <m:r>
                  <m:rPr>
                    <m:sty m:val="p"/>
                  </m:rPr>
                  <w:rPr>
                    <w:rFonts w:ascii="Cambria Math" w:hAnsi="Cambria Math"/>
                  </w:rPr>
                  <m:t>∙</m:t>
                </m:r>
                <m:sSub>
                  <m:sSubPr>
                    <m:ctrlPr>
                      <w:rPr>
                        <w:rFonts w:ascii="Cambria Math" w:hAnsi="Cambria Math"/>
                      </w:rPr>
                    </m:ctrlPr>
                  </m:sSubPr>
                  <m:e>
                    <m:r>
                      <w:rPr>
                        <w:rFonts w:ascii="Cambria Math" w:hAnsi="Cambria Math"/>
                      </w:rPr>
                      <m:t>M</m:t>
                    </m:r>
                  </m:e>
                  <m:sub>
                    <m:r>
                      <w:rPr>
                        <w:rFonts w:ascii="Cambria Math" w:hAnsi="Cambria Math"/>
                      </w:rPr>
                      <m:t>f</m:t>
                    </m:r>
                  </m:sub>
                </m:sSub>
                <m:r>
                  <m:rPr>
                    <m:sty m:val="p"/>
                  </m:rPr>
                  <w:rPr>
                    <w:rFonts w:ascii="Cambria Math" w:hAnsi="Cambria Math"/>
                  </w:rPr>
                  <m:t>∙</m:t>
                </m:r>
                <m:r>
                  <w:rPr>
                    <w:rFonts w:ascii="Cambria Math" w:hAnsi="Cambria Math"/>
                  </w:rPr>
                  <m:t>IR</m:t>
                </m:r>
                <m:d>
                  <m:dPr>
                    <m:ctrlPr>
                      <w:rPr>
                        <w:rFonts w:ascii="Cambria Math" w:hAnsi="Cambria Math"/>
                      </w:rPr>
                    </m:ctrlPr>
                  </m:dPr>
                  <m:e>
                    <m:r>
                      <w:rPr>
                        <w:rFonts w:ascii="Cambria Math" w:hAnsi="Cambria Math"/>
                      </w:rPr>
                      <m:t>t</m:t>
                    </m:r>
                  </m:e>
                </m:d>
                <m:r>
                  <m:rPr>
                    <m:sty m:val="p"/>
                  </m:rPr>
                  <w:rPr>
                    <w:rFonts w:ascii="Cambria Math" w:hAnsi="Cambria Math"/>
                  </w:rPr>
                  <m:t>∙</m:t>
                </m:r>
                <m:nary>
                  <m:naryPr>
                    <m:chr m:val="∑"/>
                    <m:limLoc m:val="subSup"/>
                    <m:supHide m:val="on"/>
                    <m:ctrlPr>
                      <w:rPr>
                        <w:rFonts w:ascii="Cambria Math" w:hAnsi="Cambria Math"/>
                      </w:rPr>
                    </m:ctrlPr>
                  </m:naryPr>
                  <m:sub>
                    <m:r>
                      <w:rPr>
                        <w:rFonts w:ascii="Cambria Math" w:hAnsi="Cambria Math"/>
                      </w:rPr>
                      <m:t>i</m:t>
                    </m:r>
                  </m:sub>
                  <m:sup/>
                  <m:e>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i</m:t>
                        </m:r>
                      </m:sub>
                    </m:sSub>
                    <m:r>
                      <m:rPr>
                        <m:sty m:val="p"/>
                      </m:rPr>
                      <w:rPr>
                        <w:rFonts w:ascii="Cambria Math" w:hAnsi="Cambria Math"/>
                      </w:rPr>
                      <m:t xml:space="preserve">∙ </m:t>
                    </m:r>
                    <m:sSup>
                      <m:sSupPr>
                        <m:ctrlPr>
                          <w:rPr>
                            <w:rFonts w:ascii="Cambria Math" w:hAnsi="Cambria Math"/>
                          </w:rPr>
                        </m:ctrlPr>
                      </m:sSupPr>
                      <m:e>
                        <m:r>
                          <w:rPr>
                            <w:rFonts w:ascii="Cambria Math" w:hAnsi="Cambria Math"/>
                          </w:rPr>
                          <m:t>e</m:t>
                        </m:r>
                      </m:e>
                      <m:sup>
                        <m:r>
                          <m:rPr>
                            <m:sty m:val="p"/>
                          </m:rPr>
                          <w:rPr>
                            <w:rFonts w:ascii="Cambria Math" w:hAnsi="Cambria Math"/>
                          </w:rPr>
                          <m:t>-</m:t>
                        </m:r>
                        <m:r>
                          <w:rPr>
                            <w:rFonts w:ascii="Cambria Math" w:hAnsi="Cambria Math"/>
                          </w:rPr>
                          <m:t>k</m:t>
                        </m:r>
                        <m:sSub>
                          <m:sSubPr>
                            <m:ctrlPr>
                              <w:rPr>
                                <w:rFonts w:ascii="Cambria Math" w:hAnsi="Cambria Math"/>
                              </w:rPr>
                            </m:ctrlPr>
                          </m:sSubPr>
                          <m:e>
                            <m:r>
                              <m:rPr>
                                <m:sty m:val="p"/>
                              </m:rPr>
                              <w:rPr>
                                <w:rFonts w:ascii="Cambria Math" w:hAnsi="Cambria Math"/>
                              </w:rPr>
                              <m:t>ϴ</m:t>
                            </m:r>
                          </m:e>
                          <m:sub>
                            <m:r>
                              <w:rPr>
                                <w:rFonts w:ascii="Cambria Math" w:hAnsi="Cambria Math"/>
                              </w:rPr>
                              <m:t>i</m:t>
                            </m:r>
                          </m:sub>
                        </m:sSub>
                      </m:sup>
                    </m:sSup>
                    <m:r>
                      <m:rPr>
                        <m:sty m:val="p"/>
                      </m:rPr>
                      <w:rPr>
                        <w:rFonts w:ascii="Cambria Math" w:hAnsi="Cambria Math"/>
                      </w:rPr>
                      <m:t>∙</m:t>
                    </m:r>
                    <m:sSub>
                      <m:sSubPr>
                        <m:ctrlPr>
                          <w:rPr>
                            <w:rFonts w:ascii="Cambria Math" w:hAnsi="Cambria Math"/>
                          </w:rPr>
                        </m:ctrlPr>
                      </m:sSubPr>
                      <m:e>
                        <m:r>
                          <w:rPr>
                            <w:rFonts w:ascii="Cambria Math" w:hAnsi="Cambria Math"/>
                          </w:rPr>
                          <m:t>W</m:t>
                        </m:r>
                      </m:e>
                      <m:sub>
                        <m:r>
                          <w:rPr>
                            <w:rFonts w:ascii="Cambria Math" w:hAnsi="Cambria Math"/>
                          </w:rPr>
                          <m:t>i</m:t>
                        </m:r>
                      </m:sub>
                    </m:sSub>
                    <m:r>
                      <m:rPr>
                        <m:sty m:val="p"/>
                      </m:rPr>
                      <w:rPr>
                        <w:rFonts w:ascii="Cambria Math" w:hAnsi="Cambria Math"/>
                      </w:rPr>
                      <m:t>)</m:t>
                    </m:r>
                  </m:e>
                </m:nary>
                <m:r>
                  <m:rPr>
                    <m:sty m:val="p"/>
                  </m:rPr>
                  <w:rPr>
                    <w:rFonts w:ascii="Cambria Math" w:hAnsi="Cambria Math"/>
                  </w:rPr>
                  <m:t xml:space="preserve">  </m:t>
                </m:r>
              </m:oMath>
            </m:oMathPara>
          </w:p>
        </w:tc>
        <w:tc>
          <w:tcPr>
            <w:tcW w:w="431" w:type="dxa"/>
            <w:vAlign w:val="center"/>
          </w:tcPr>
          <w:p w:rsidR="00F04133" w:rsidRPr="003030D2" w:rsidRDefault="00F04133" w:rsidP="00D63F7E">
            <w:pPr>
              <w:pStyle w:val="MDPI3aequationnumber"/>
              <w:spacing w:line="260" w:lineRule="atLeast"/>
            </w:pPr>
            <w:r w:rsidRPr="003030D2">
              <w:t>(1)</w:t>
            </w:r>
          </w:p>
        </w:tc>
      </w:tr>
    </w:tbl>
    <w:p w:rsidR="00F04133" w:rsidRDefault="00F04133" w:rsidP="00C940A9">
      <w:pPr>
        <w:pStyle w:val="MDPI31text"/>
      </w:pPr>
      <w:r>
        <w:t>Where C</w:t>
      </w:r>
      <w:r w:rsidRPr="00055C8D">
        <w:rPr>
          <w:vertAlign w:val="subscript"/>
        </w:rPr>
        <w:t>W</w:t>
      </w:r>
      <w:r>
        <w:t xml:space="preserve"> (t) is the measured concentration of SARS-CoV-2 RNA at the inlet of the WWTP [GC/L], Q</w:t>
      </w:r>
      <w:r w:rsidRPr="00055C8D">
        <w:rPr>
          <w:vertAlign w:val="subscript"/>
        </w:rPr>
        <w:t>W</w:t>
      </w:r>
      <w:r>
        <w:t xml:space="preserve"> (t) is the wastewater flow rate at the inlet of the WWTP [L/day] (C</w:t>
      </w:r>
      <w:r w:rsidRPr="00055C8D">
        <w:rPr>
          <w:vertAlign w:val="subscript"/>
        </w:rPr>
        <w:t>W</w:t>
      </w:r>
      <w:r>
        <w:t xml:space="preserve"> (t) multiplied by Q</w:t>
      </w:r>
      <w:r w:rsidRPr="00055C8D">
        <w:rPr>
          <w:vertAlign w:val="subscript"/>
        </w:rPr>
        <w:t>W</w:t>
      </w:r>
      <w:r>
        <w:t>(t) represents the daily load of SARS-CoV-2 RNA [GC/day</w:t>
      </w:r>
      <w:r w:rsidRPr="00CA4827">
        <w:t xml:space="preserve">] as derived in </w:t>
      </w:r>
      <w:r w:rsidR="00CA4827" w:rsidRPr="00CA4827">
        <w:t>Section 2</w:t>
      </w:r>
      <w:r w:rsidRPr="00CA4827">
        <w:t>.</w:t>
      </w:r>
      <w:r w:rsidR="00CA4827" w:rsidRPr="00CA4827">
        <w:t>2</w:t>
      </w:r>
      <w:r w:rsidRPr="00CA4827">
        <w:t>),</w:t>
      </w:r>
      <w:r>
        <w:t xml:space="preserve"> </w:t>
      </w:r>
      <w:proofErr w:type="spellStart"/>
      <w:r>
        <w:t>S</w:t>
      </w:r>
      <w:r w:rsidRPr="00055C8D">
        <w:rPr>
          <w:vertAlign w:val="subscript"/>
        </w:rPr>
        <w:t>h</w:t>
      </w:r>
      <w:proofErr w:type="spellEnd"/>
      <w:r>
        <w:t xml:space="preserve"> is the fecal shedding rate (i.e.</w:t>
      </w:r>
      <w:r w:rsidR="000B6171">
        <w:t>,</w:t>
      </w:r>
      <w:r>
        <w:t xml:space="preserve"> number of SARS-CoV-2 R</w:t>
      </w:r>
      <w:r w:rsidR="000B6171">
        <w:t>NA genomic copies per gram of f</w:t>
      </w:r>
      <w:r>
        <w:t>eces produced by each infected individual) [GC/g], M</w:t>
      </w:r>
      <w:r w:rsidRPr="00055C8D">
        <w:rPr>
          <w:vertAlign w:val="subscript"/>
        </w:rPr>
        <w:t>f</w:t>
      </w:r>
      <w:r>
        <w:t xml:space="preserve"> i</w:t>
      </w:r>
      <w:r w:rsidR="000B6171">
        <w:t>s the mass of f</w:t>
      </w:r>
      <w:r>
        <w:t xml:space="preserve">eces produced per inhabitant per day [g/(inhabitant </w:t>
      </w:r>
      <w:r w:rsidR="00EC1FE2">
        <w:t xml:space="preserve">· </w:t>
      </w:r>
      <w:r>
        <w:t xml:space="preserve">day], </w:t>
      </w:r>
      <w:proofErr w:type="spellStart"/>
      <w:r>
        <w:t>i</w:t>
      </w:r>
      <w:proofErr w:type="spellEnd"/>
      <w:r>
        <w:t xml:space="preserve"> </w:t>
      </w:r>
      <w:r w:rsidR="00B20394">
        <w:t>represents</w:t>
      </w:r>
      <w:r>
        <w:t xml:space="preserve"> </w:t>
      </w:r>
      <w:r w:rsidR="00B20394">
        <w:t xml:space="preserve">the </w:t>
      </w:r>
      <w:r>
        <w:t>area within municipality, P</w:t>
      </w:r>
      <w:r w:rsidRPr="00055C8D">
        <w:rPr>
          <w:vertAlign w:val="subscript"/>
        </w:rPr>
        <w:t>i</w:t>
      </w:r>
      <w:r w:rsidR="00B20394">
        <w:t xml:space="preserve"> is the population in the </w:t>
      </w:r>
      <w:r>
        <w:t xml:space="preserve">area </w:t>
      </w:r>
      <w:proofErr w:type="spellStart"/>
      <w:r w:rsidR="00B20394">
        <w:t>i</w:t>
      </w:r>
      <w:proofErr w:type="spellEnd"/>
      <w:r w:rsidR="00B20394">
        <w:t xml:space="preserve"> </w:t>
      </w:r>
      <w:r>
        <w:t>[inhabitant], k is the biodegradation co</w:t>
      </w:r>
      <w:r>
        <w:t>n</w:t>
      </w:r>
      <w:r>
        <w:t>stant [h</w:t>
      </w:r>
      <w:r w:rsidRPr="00EC1FE2">
        <w:rPr>
          <w:vertAlign w:val="superscript"/>
        </w:rPr>
        <w:t>-1</w:t>
      </w:r>
      <w:r>
        <w:t xml:space="preserve">], </w:t>
      </w:r>
      <w:r>
        <w:rPr>
          <w:rFonts w:ascii="Times New Roman" w:hAnsi="Times New Roman"/>
        </w:rPr>
        <w:t>ϴ</w:t>
      </w:r>
      <w:proofErr w:type="spellStart"/>
      <w:r w:rsidRPr="00055C8D">
        <w:rPr>
          <w:vertAlign w:val="subscript"/>
        </w:rPr>
        <w:t>i</w:t>
      </w:r>
      <w:proofErr w:type="spellEnd"/>
      <w:r>
        <w:t xml:space="preserve"> is the hyd</w:t>
      </w:r>
      <w:r w:rsidR="00B20394">
        <w:t xml:space="preserve">raulic residence time for the </w:t>
      </w:r>
      <w:r>
        <w:t>area</w:t>
      </w:r>
      <w:r w:rsidR="00B20394">
        <w:t xml:space="preserve"> </w:t>
      </w:r>
      <w:proofErr w:type="spellStart"/>
      <w:r w:rsidR="00B20394">
        <w:t>i</w:t>
      </w:r>
      <w:proofErr w:type="spellEnd"/>
      <w:r w:rsidR="00B20394">
        <w:t xml:space="preserve"> </w:t>
      </w:r>
      <w:r>
        <w:t xml:space="preserve">[h], </w:t>
      </w:r>
      <w:proofErr w:type="spellStart"/>
      <w:r>
        <w:t>W</w:t>
      </w:r>
      <w:r w:rsidRPr="00055C8D">
        <w:rPr>
          <w:vertAlign w:val="subscript"/>
        </w:rPr>
        <w:t>i</w:t>
      </w:r>
      <w:proofErr w:type="spellEnd"/>
      <w:r>
        <w:t xml:space="preserve"> is the population-based coeff</w:t>
      </w:r>
      <w:r w:rsidR="00B20394">
        <w:t xml:space="preserve">icient characteristic of each </w:t>
      </w:r>
      <w:r>
        <w:t xml:space="preserve">area </w:t>
      </w:r>
      <w:proofErr w:type="spellStart"/>
      <w:r w:rsidR="00B20394">
        <w:t>i</w:t>
      </w:r>
      <w:proofErr w:type="spellEnd"/>
      <w:r w:rsidR="00B20394">
        <w:t xml:space="preserve"> </w:t>
      </w:r>
      <w:r>
        <w:t>[</w:t>
      </w:r>
      <w:proofErr w:type="spellStart"/>
      <w:r>
        <w:t>adim</w:t>
      </w:r>
      <w:proofErr w:type="spellEnd"/>
      <w:r>
        <w:t>.] and IR(t) [</w:t>
      </w:r>
      <w:proofErr w:type="spellStart"/>
      <w:r>
        <w:t>adim</w:t>
      </w:r>
      <w:proofErr w:type="spellEnd"/>
      <w:r>
        <w:t>.] is the average infection rate (i.e.</w:t>
      </w:r>
      <w:r w:rsidR="000B6171">
        <w:t>,</w:t>
      </w:r>
      <w:r>
        <w:t xml:space="preserve"> number of cases divided by population) across the entire study area</w:t>
      </w:r>
      <w:r w:rsidR="000B6171">
        <w:t>,</w:t>
      </w:r>
      <w:r>
        <w:t xml:space="preserve"> and it is the unknown variable of the</w:t>
      </w:r>
      <w:r w:rsidR="009079A6">
        <w:t xml:space="preserve"> equation</w:t>
      </w:r>
      <w:r>
        <w:t xml:space="preserve"> (</w:t>
      </w:r>
      <w:r w:rsidR="00487181">
        <w:t>t</w:t>
      </w:r>
      <w:r w:rsidR="00C30A89" w:rsidRPr="009A63E8">
        <w:t xml:space="preserve">he methodology </w:t>
      </w:r>
      <w:r w:rsidR="00891508" w:rsidRPr="009A63E8">
        <w:t xml:space="preserve">followed </w:t>
      </w:r>
      <w:r w:rsidR="00C30A89" w:rsidRPr="009A63E8">
        <w:t xml:space="preserve">to derive the equation is detailed in </w:t>
      </w:r>
      <w:r w:rsidR="009A7257">
        <w:t xml:space="preserve">the </w:t>
      </w:r>
      <w:r w:rsidR="009A7257" w:rsidRPr="009A63E8">
        <w:t>Supplementary material</w:t>
      </w:r>
      <w:r w:rsidR="009A7257">
        <w:t xml:space="preserve">, </w:t>
      </w:r>
      <w:r w:rsidR="004D7ED4" w:rsidRPr="009A63E8">
        <w:t>Section S3</w:t>
      </w:r>
      <w:r w:rsidRPr="009A63E8">
        <w:t>)</w:t>
      </w:r>
      <w:r w:rsidR="00487C4E">
        <w:t xml:space="preserve">. </w:t>
      </w:r>
      <w:r w:rsidR="000B6171">
        <w:t>Once IR(t) wa</w:t>
      </w:r>
      <w:r>
        <w:t>s determined, the number of cases in each area over time (</w:t>
      </w:r>
      <w:proofErr w:type="spellStart"/>
      <w:r>
        <w:t>c</w:t>
      </w:r>
      <w:r w:rsidRPr="00EC1FE2">
        <w:rPr>
          <w:vertAlign w:val="subscript"/>
        </w:rPr>
        <w:t>i</w:t>
      </w:r>
      <w:proofErr w:type="spellEnd"/>
      <w:r>
        <w:t>) was derived (</w:t>
      </w:r>
      <w:r w:rsidR="00B20394">
        <w:t>Eq. 2</w:t>
      </w:r>
      <w:r>
        <w:t>).</w:t>
      </w:r>
    </w:p>
    <w:tbl>
      <w:tblPr>
        <w:tblW w:w="7859" w:type="dxa"/>
        <w:tblInd w:w="2608" w:type="dxa"/>
        <w:tblCellMar>
          <w:left w:w="0" w:type="dxa"/>
          <w:right w:w="0" w:type="dxa"/>
        </w:tblCellMar>
        <w:tblLook w:val="04A0"/>
      </w:tblPr>
      <w:tblGrid>
        <w:gridCol w:w="7428"/>
        <w:gridCol w:w="431"/>
      </w:tblGrid>
      <w:tr w:rsidR="00F04133" w:rsidRPr="006331AD" w:rsidTr="00D63F7E">
        <w:tc>
          <w:tcPr>
            <w:tcW w:w="7428" w:type="dxa"/>
          </w:tcPr>
          <w:p w:rsidR="00F04133" w:rsidRPr="003030D2" w:rsidRDefault="009F0FD2" w:rsidP="00D63F7E">
            <w:pPr>
              <w:pStyle w:val="MDPI39equation"/>
            </w:pPr>
            <m:oMathPara>
              <m:oMath>
                <m:sSub>
                  <m:sSubPr>
                    <m:ctrlPr>
                      <w:rPr>
                        <w:rFonts w:ascii="Cambria Math" w:hAnsi="Cambria Math"/>
                      </w:rPr>
                    </m:ctrlPr>
                  </m:sSubPr>
                  <m:e>
                    <m:r>
                      <w:rPr>
                        <w:rFonts w:ascii="Cambria Math" w:hAnsi="Cambria Math"/>
                      </w:rPr>
                      <m:t>c</m:t>
                    </m:r>
                  </m:e>
                  <m:sub>
                    <m:r>
                      <w:rPr>
                        <w:rFonts w:ascii="Cambria Math" w:hAnsi="Cambria Math"/>
                      </w:rPr>
                      <m:t>i</m:t>
                    </m:r>
                  </m:sub>
                </m:sSub>
                <m:r>
                  <m:rPr>
                    <m:sty m:val="p"/>
                  </m:rPr>
                  <w:rPr>
                    <w:rFonts w:ascii="Cambria Math" w:hAnsi="Cambria Math"/>
                  </w:rPr>
                  <m:t>(</m:t>
                </m:r>
                <m:r>
                  <w:rPr>
                    <w:rFonts w:ascii="Cambria Math" w:hAnsi="Cambria Math"/>
                  </w:rPr>
                  <m:t>t</m:t>
                </m:r>
                <m:r>
                  <m:rPr>
                    <m:sty m:val="p"/>
                  </m:rPr>
                  <w:rPr>
                    <w:rFonts w:ascii="Cambria Math" w:hAnsi="Cambria Math"/>
                  </w:rPr>
                  <m:t xml:space="preserve">)= </m:t>
                </m:r>
                <m:r>
                  <w:rPr>
                    <w:rFonts w:ascii="Cambria Math" w:hAnsi="Cambria Math"/>
                  </w:rPr>
                  <m:t>IR</m:t>
                </m:r>
                <m:d>
                  <m:dPr>
                    <m:ctrlPr>
                      <w:rPr>
                        <w:rFonts w:ascii="Cambria Math" w:hAnsi="Cambria Math"/>
                      </w:rPr>
                    </m:ctrlPr>
                  </m:dPr>
                  <m:e>
                    <m:r>
                      <w:rPr>
                        <w:rFonts w:ascii="Cambria Math" w:hAnsi="Cambria Math"/>
                      </w:rPr>
                      <m:t>t</m:t>
                    </m:r>
                  </m:e>
                </m:d>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W</m:t>
                    </m:r>
                  </m:e>
                  <m:sub>
                    <m:r>
                      <w:rPr>
                        <w:rFonts w:ascii="Cambria Math" w:hAnsi="Cambria Math"/>
                      </w:rPr>
                      <m:t>i</m:t>
                    </m:r>
                  </m:sub>
                </m:sSub>
                <m:r>
                  <m:rPr>
                    <m:sty m:val="p"/>
                  </m:rPr>
                  <w:rPr>
                    <w:rFonts w:ascii="Cambria Math" w:hAnsi="Cambria Math"/>
                  </w:rPr>
                  <m:t xml:space="preserve">  </m:t>
                </m:r>
              </m:oMath>
            </m:oMathPara>
          </w:p>
        </w:tc>
        <w:tc>
          <w:tcPr>
            <w:tcW w:w="431" w:type="dxa"/>
            <w:vAlign w:val="center"/>
          </w:tcPr>
          <w:p w:rsidR="00F04133" w:rsidRPr="003030D2" w:rsidRDefault="00F04133" w:rsidP="00F04133">
            <w:pPr>
              <w:pStyle w:val="MDPI3aequationnumber"/>
              <w:spacing w:line="260" w:lineRule="atLeast"/>
            </w:pPr>
            <w:r w:rsidRPr="003030D2">
              <w:t>(</w:t>
            </w:r>
            <w:r>
              <w:t>2</w:t>
            </w:r>
            <w:r w:rsidRPr="003030D2">
              <w:t>)</w:t>
            </w:r>
          </w:p>
        </w:tc>
      </w:tr>
    </w:tbl>
    <w:p w:rsidR="00F04133" w:rsidRDefault="00F04133" w:rsidP="00F04133">
      <w:pPr>
        <w:pStyle w:val="MDPI31text"/>
      </w:pPr>
      <w:r>
        <w:t xml:space="preserve">The model output consisted of </w:t>
      </w:r>
      <w:r w:rsidR="000B6171">
        <w:t>the</w:t>
      </w:r>
      <w:r>
        <w:t xml:space="preserve"> number of predicted cases per day for each ce</w:t>
      </w:r>
      <w:r>
        <w:t>n</w:t>
      </w:r>
      <w:r>
        <w:t xml:space="preserve">sus section or statistical area included in the study area. However, when comparing the predicted </w:t>
      </w:r>
      <w:r w:rsidR="000B6171">
        <w:t>and</w:t>
      </w:r>
      <w:r>
        <w:t xml:space="preserve"> reported cases, the results were aggregated in grouped areas</w:t>
      </w:r>
      <w:r w:rsidR="00C30A89">
        <w:t>.</w:t>
      </w:r>
      <w:r>
        <w:t xml:space="preserve"> The muni</w:t>
      </w:r>
      <w:r>
        <w:t>c</w:t>
      </w:r>
      <w:r>
        <w:t>ipal boundaries were used to g</w:t>
      </w:r>
      <w:r w:rsidR="000B6171">
        <w:t>roup the census sections, while</w:t>
      </w:r>
      <w:r>
        <w:t xml:space="preserve"> for Bologna, a proximity criterion was adopted to group </w:t>
      </w:r>
      <w:r w:rsidR="00C30A89">
        <w:t xml:space="preserve">some statistical areas together. </w:t>
      </w:r>
      <w:r>
        <w:t xml:space="preserve">This approach aimed to increase the population size within each comparison zone, thereby enhancing statistical significance when observing spatial variability in cases. The 88 statistical areas within the city of Bologna were therefore grouped into 59 areas, ensuring that none had fewer than 2000 residents, while the aggregation of census sections by municipality resulted in zones with </w:t>
      </w:r>
      <w:r w:rsidR="000B6171">
        <w:t>more than</w:t>
      </w:r>
      <w:r>
        <w:t xml:space="preserve"> 2700 inhabitants</w:t>
      </w:r>
      <w:r w:rsidR="009A7257">
        <w:t xml:space="preserve"> (Figure S1,Table S12)</w:t>
      </w:r>
      <w:r>
        <w:t xml:space="preserve">. </w:t>
      </w:r>
    </w:p>
    <w:p w:rsidR="00F04133" w:rsidRDefault="00F04133" w:rsidP="00F04133">
      <w:pPr>
        <w:pStyle w:val="MDPI31text"/>
      </w:pPr>
      <w:r>
        <w:t>The infection rate for each grouped area over</w:t>
      </w:r>
      <w:r w:rsidR="00B20394">
        <w:t xml:space="preserve"> time </w:t>
      </w:r>
      <w:proofErr w:type="spellStart"/>
      <w:r w:rsidR="00B20394">
        <w:t>IR</w:t>
      </w:r>
      <w:r w:rsidR="00B20394" w:rsidRPr="00884352">
        <w:rPr>
          <w:vertAlign w:val="subscript"/>
        </w:rPr>
        <w:t>j</w:t>
      </w:r>
      <w:proofErr w:type="spellEnd"/>
      <w:r w:rsidR="00B20394">
        <w:t xml:space="preserve">(t) was then obtained </w:t>
      </w:r>
      <w:r>
        <w:t>(</w:t>
      </w:r>
      <w:r w:rsidR="00B20394">
        <w:t>E</w:t>
      </w:r>
      <w:r>
        <w:t>q</w:t>
      </w:r>
      <w:r w:rsidR="00B20394">
        <w:t>. 3</w:t>
      </w:r>
      <w:r>
        <w:t>)</w:t>
      </w:r>
      <w:r w:rsidR="00B20394">
        <w:t>.</w:t>
      </w:r>
    </w:p>
    <w:tbl>
      <w:tblPr>
        <w:tblW w:w="7859" w:type="dxa"/>
        <w:tblInd w:w="2608" w:type="dxa"/>
        <w:tblCellMar>
          <w:left w:w="0" w:type="dxa"/>
          <w:right w:w="0" w:type="dxa"/>
        </w:tblCellMar>
        <w:tblLook w:val="04A0"/>
      </w:tblPr>
      <w:tblGrid>
        <w:gridCol w:w="7428"/>
        <w:gridCol w:w="431"/>
      </w:tblGrid>
      <w:tr w:rsidR="00F04133" w:rsidRPr="006331AD" w:rsidTr="00D63F7E">
        <w:tc>
          <w:tcPr>
            <w:tcW w:w="7428" w:type="dxa"/>
          </w:tcPr>
          <w:p w:rsidR="00F04133" w:rsidRPr="003030D2" w:rsidRDefault="009F0FD2" w:rsidP="00DD3E4D">
            <w:pPr>
              <w:pStyle w:val="MDPI39equation"/>
            </w:pPr>
            <m:oMathPara>
              <m:oMath>
                <m:sSub>
                  <m:sSubPr>
                    <m:ctrlPr>
                      <w:rPr>
                        <w:rFonts w:ascii="Cambria Math" w:hAnsi="Cambria Math"/>
                      </w:rPr>
                    </m:ctrlPr>
                  </m:sSubPr>
                  <m:e>
                    <m:r>
                      <w:rPr>
                        <w:rFonts w:ascii="Cambria Math" w:hAnsi="Cambria Math"/>
                      </w:rPr>
                      <m:t>IR</m:t>
                    </m:r>
                  </m:e>
                  <m:sub>
                    <m:r>
                      <w:rPr>
                        <w:rFonts w:ascii="Cambria Math" w:hAnsi="Cambria Math"/>
                      </w:rPr>
                      <m:t>j</m:t>
                    </m:r>
                  </m:sub>
                </m:sSub>
                <m:d>
                  <m:dPr>
                    <m:ctrlPr>
                      <w:rPr>
                        <w:rFonts w:ascii="Cambria Math" w:hAnsi="Cambria Math"/>
                      </w:rPr>
                    </m:ctrlPr>
                  </m:dPr>
                  <m:e>
                    <m:r>
                      <w:rPr>
                        <w:rFonts w:ascii="Cambria Math" w:hAnsi="Cambria Math"/>
                      </w:rPr>
                      <m:t>t</m:t>
                    </m:r>
                  </m:e>
                </m:d>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c</m:t>
                        </m:r>
                      </m:e>
                      <m:sub>
                        <m:r>
                          <w:rPr>
                            <w:rFonts w:ascii="Cambria Math" w:hAnsi="Cambria Math"/>
                          </w:rPr>
                          <m:t>j</m:t>
                        </m:r>
                      </m:sub>
                    </m:sSub>
                    <m:r>
                      <m:rPr>
                        <m:sty m:val="p"/>
                      </m:rPr>
                      <w:rPr>
                        <w:rFonts w:ascii="Cambria Math" w:hAnsi="Cambria Math"/>
                      </w:rPr>
                      <m:t>(</m:t>
                    </m:r>
                    <m:r>
                      <w:rPr>
                        <w:rFonts w:ascii="Cambria Math" w:hAnsi="Cambria Math"/>
                      </w:rPr>
                      <m:t>t</m:t>
                    </m:r>
                    <m:r>
                      <m:rPr>
                        <m:sty m:val="p"/>
                      </m:rPr>
                      <w:rPr>
                        <w:rFonts w:ascii="Cambria Math" w:hAnsi="Cambria Math"/>
                      </w:rPr>
                      <m:t>)</m:t>
                    </m:r>
                  </m:num>
                  <m:den>
                    <m:sSub>
                      <m:sSubPr>
                        <m:ctrlPr>
                          <w:rPr>
                            <w:rFonts w:ascii="Cambria Math" w:hAnsi="Cambria Math"/>
                          </w:rPr>
                        </m:ctrlPr>
                      </m:sSubPr>
                      <m:e>
                        <m:r>
                          <w:rPr>
                            <w:rFonts w:ascii="Cambria Math" w:hAnsi="Cambria Math"/>
                          </w:rPr>
                          <m:t>P</m:t>
                        </m:r>
                      </m:e>
                      <m:sub>
                        <m:r>
                          <w:rPr>
                            <w:rFonts w:ascii="Cambria Math" w:hAnsi="Cambria Math"/>
                          </w:rPr>
                          <m:t>j</m:t>
                        </m:r>
                      </m:sub>
                    </m:sSub>
                  </m:den>
                </m:f>
                <m:r>
                  <m:rPr>
                    <m:sty m:val="p"/>
                  </m:rPr>
                  <w:rPr>
                    <w:rFonts w:ascii="Cambria Math" w:hAnsi="Cambria Math"/>
                  </w:rPr>
                  <m:t xml:space="preserve">= </m:t>
                </m:r>
                <m:r>
                  <w:rPr>
                    <w:rFonts w:ascii="Cambria Math" w:hAnsi="Cambria Math"/>
                  </w:rPr>
                  <m:t>IR</m:t>
                </m:r>
                <m:d>
                  <m:dPr>
                    <m:ctrlPr>
                      <w:rPr>
                        <w:rFonts w:ascii="Cambria Math" w:hAnsi="Cambria Math"/>
                      </w:rPr>
                    </m:ctrlPr>
                  </m:dPr>
                  <m:e>
                    <m:r>
                      <w:rPr>
                        <w:rFonts w:ascii="Cambria Math" w:hAnsi="Cambria Math"/>
                      </w:rPr>
                      <m:t>t</m:t>
                    </m:r>
                  </m:e>
                </m:d>
                <m:r>
                  <m:rPr>
                    <m:sty m:val="p"/>
                  </m:rPr>
                  <w:rPr>
                    <w:rFonts w:ascii="Cambria Math" w:hAnsi="Cambria Math"/>
                  </w:rPr>
                  <m:t>∙</m:t>
                </m:r>
                <m:sSub>
                  <m:sSubPr>
                    <m:ctrlPr>
                      <w:rPr>
                        <w:rFonts w:ascii="Cambria Math" w:hAnsi="Cambria Math"/>
                      </w:rPr>
                    </m:ctrlPr>
                  </m:sSubPr>
                  <m:e>
                    <m:r>
                      <w:rPr>
                        <w:rFonts w:ascii="Cambria Math" w:hAnsi="Cambria Math"/>
                      </w:rPr>
                      <m:t>W</m:t>
                    </m:r>
                  </m:e>
                  <m:sub>
                    <m:r>
                      <w:rPr>
                        <w:rFonts w:ascii="Cambria Math" w:hAnsi="Cambria Math"/>
                      </w:rPr>
                      <m:t>j</m:t>
                    </m:r>
                  </m:sub>
                </m:sSub>
              </m:oMath>
            </m:oMathPara>
          </w:p>
        </w:tc>
        <w:tc>
          <w:tcPr>
            <w:tcW w:w="431" w:type="dxa"/>
            <w:vAlign w:val="center"/>
          </w:tcPr>
          <w:p w:rsidR="00F04133" w:rsidRPr="003030D2" w:rsidRDefault="00F04133" w:rsidP="00F04133">
            <w:pPr>
              <w:pStyle w:val="MDPI3aequationnumber"/>
              <w:spacing w:line="260" w:lineRule="atLeast"/>
            </w:pPr>
            <w:r w:rsidRPr="003030D2">
              <w:t>(</w:t>
            </w:r>
            <w:r>
              <w:t>3</w:t>
            </w:r>
            <w:r w:rsidRPr="003030D2">
              <w:t>)</w:t>
            </w:r>
          </w:p>
        </w:tc>
      </w:tr>
    </w:tbl>
    <w:p w:rsidR="00F04133" w:rsidRDefault="00F04133" w:rsidP="00F04133">
      <w:pPr>
        <w:pStyle w:val="MDPI31text"/>
      </w:pPr>
      <w:r w:rsidRPr="00F04133">
        <w:t xml:space="preserve">Where </w:t>
      </w:r>
      <w:proofErr w:type="spellStart"/>
      <w:r w:rsidRPr="00F04133">
        <w:t>c</w:t>
      </w:r>
      <w:r w:rsidRPr="00EC1FE2">
        <w:rPr>
          <w:vertAlign w:val="subscript"/>
        </w:rPr>
        <w:t>j</w:t>
      </w:r>
      <w:proofErr w:type="spellEnd"/>
      <w:r w:rsidRPr="00F04133">
        <w:t xml:space="preserve"> represents the number of cases in each grouped area, </w:t>
      </w:r>
      <w:proofErr w:type="spellStart"/>
      <w:r w:rsidRPr="00F04133">
        <w:t>P</w:t>
      </w:r>
      <w:r w:rsidRPr="00055C8D">
        <w:rPr>
          <w:vertAlign w:val="subscript"/>
        </w:rPr>
        <w:t>j</w:t>
      </w:r>
      <w:proofErr w:type="spellEnd"/>
      <w:r w:rsidRPr="00F04133">
        <w:t xml:space="preserve"> is the total popul</w:t>
      </w:r>
      <w:r w:rsidRPr="00F04133">
        <w:t>a</w:t>
      </w:r>
      <w:r w:rsidRPr="00F04133">
        <w:t xml:space="preserve">tion of the grouped area and </w:t>
      </w:r>
      <w:proofErr w:type="spellStart"/>
      <w:r w:rsidRPr="00F04133">
        <w:t>W</w:t>
      </w:r>
      <w:r w:rsidRPr="00055C8D">
        <w:rPr>
          <w:vertAlign w:val="subscript"/>
        </w:rPr>
        <w:t>j</w:t>
      </w:r>
      <w:proofErr w:type="spellEnd"/>
      <w:r w:rsidRPr="00F04133">
        <w:t xml:space="preserve"> is the population-based coefficient for grouped areas (weighted average of </w:t>
      </w:r>
      <w:proofErr w:type="spellStart"/>
      <w:r w:rsidRPr="00F04133">
        <w:t>W</w:t>
      </w:r>
      <w:r w:rsidRPr="00055C8D">
        <w:rPr>
          <w:vertAlign w:val="subscript"/>
        </w:rPr>
        <w:t>i</w:t>
      </w:r>
      <w:proofErr w:type="spellEnd"/>
      <w:r w:rsidRPr="00F04133">
        <w:t xml:space="preserve"> based on population size).</w:t>
      </w:r>
    </w:p>
    <w:p w:rsidR="00DD3E4D" w:rsidRDefault="00DD3E4D" w:rsidP="00DD3E4D">
      <w:pPr>
        <w:pStyle w:val="MDPI23heading3"/>
      </w:pPr>
      <w:r>
        <w:lastRenderedPageBreak/>
        <w:t>2.4.1 Population-based coefficient</w:t>
      </w:r>
    </w:p>
    <w:p w:rsidR="00DD3E4D" w:rsidRDefault="00DD3E4D" w:rsidP="00DD3E4D">
      <w:pPr>
        <w:pStyle w:val="MDPI31text"/>
      </w:pPr>
      <w:r>
        <w:t>The population-based coefficient (</w:t>
      </w:r>
      <w:proofErr w:type="spellStart"/>
      <w:r>
        <w:t>W</w:t>
      </w:r>
      <w:r w:rsidRPr="00055C8D">
        <w:rPr>
          <w:vertAlign w:val="subscript"/>
        </w:rPr>
        <w:t>i</w:t>
      </w:r>
      <w:proofErr w:type="spellEnd"/>
      <w:r w:rsidR="000B6171">
        <w:t>) allowed</w:t>
      </w:r>
      <w:r>
        <w:t xml:space="preserve"> to consider </w:t>
      </w:r>
      <w:r w:rsidR="00792EB7">
        <w:t xml:space="preserve">for each area </w:t>
      </w:r>
      <w:r>
        <w:t>the follo</w:t>
      </w:r>
      <w:r>
        <w:t>w</w:t>
      </w:r>
      <w:r>
        <w:t xml:space="preserve">ing population characteristics in the prediction of cases: age, </w:t>
      </w:r>
      <w:r w:rsidR="000B6171">
        <w:t>sex</w:t>
      </w:r>
      <w:r>
        <w:t xml:space="preserve">, family size </w:t>
      </w:r>
      <w:r w:rsidR="00D331C8">
        <w:t>[</w:t>
      </w:r>
      <w:hyperlink w:anchor="ISTAT" w:history="1">
        <w:r w:rsidR="00D331C8" w:rsidRPr="00D331C8">
          <w:rPr>
            <w:rStyle w:val="Collegamentoipertestuale"/>
          </w:rPr>
          <w:t>19</w:t>
        </w:r>
      </w:hyperlink>
      <w:r w:rsidR="001627A5">
        <w:t>,</w:t>
      </w:r>
      <w:hyperlink w:anchor="aree_stat_bologna" w:history="1">
        <w:r w:rsidR="001627A5" w:rsidRPr="008D41CD">
          <w:rPr>
            <w:rStyle w:val="Collegamentoipertestuale"/>
          </w:rPr>
          <w:t>20</w:t>
        </w:r>
      </w:hyperlink>
      <w:r w:rsidR="001627A5">
        <w:t>]</w:t>
      </w:r>
      <w:r w:rsidR="000B6171">
        <w:t xml:space="preserve"> and </w:t>
      </w:r>
      <w:proofErr w:type="spellStart"/>
      <w:r w:rsidR="000B6171" w:rsidRPr="000B6171">
        <w:t>comorbidities</w:t>
      </w:r>
      <w:proofErr w:type="spellEnd"/>
      <w:r>
        <w:t xml:space="preserve">. </w:t>
      </w:r>
      <w:proofErr w:type="spellStart"/>
      <w:r>
        <w:t>Comorbidity</w:t>
      </w:r>
      <w:proofErr w:type="spellEnd"/>
      <w:r>
        <w:t xml:space="preserve"> data were provided by the Local Health Authority of Bol</w:t>
      </w:r>
      <w:r>
        <w:t>o</w:t>
      </w:r>
      <w:r>
        <w:t xml:space="preserve">gna and </w:t>
      </w:r>
      <w:r w:rsidR="000B6171">
        <w:t>were obtained</w:t>
      </w:r>
      <w:r>
        <w:t xml:space="preserve"> from different databases r</w:t>
      </w:r>
      <w:r w:rsidR="000B6171">
        <w:t>elated to the years 2021-2022 (h</w:t>
      </w:r>
      <w:r w:rsidR="004714F9">
        <w:t>ospital discharge forms [</w:t>
      </w:r>
      <w:r w:rsidR="000B6171">
        <w:t>SDO</w:t>
      </w:r>
      <w:r w:rsidR="004714F9">
        <w:t>]</w:t>
      </w:r>
      <w:r w:rsidR="000B6171">
        <w:t>, t</w:t>
      </w:r>
      <w:r w:rsidR="004714F9">
        <w:t>erritorial pharmaceutical care [AFT]</w:t>
      </w:r>
      <w:r>
        <w:t xml:space="preserve">, </w:t>
      </w:r>
      <w:r w:rsidR="000B6171">
        <w:t>d</w:t>
      </w:r>
      <w:r w:rsidR="004714F9">
        <w:t>irect dispensing drugs [</w:t>
      </w:r>
      <w:r w:rsidR="000B6171">
        <w:t>FED</w:t>
      </w:r>
      <w:r w:rsidR="004714F9">
        <w:t>]</w:t>
      </w:r>
      <w:r w:rsidR="000B6171">
        <w:t xml:space="preserve"> and</w:t>
      </w:r>
      <w:r>
        <w:t xml:space="preserve"> specific pathology).</w:t>
      </w:r>
    </w:p>
    <w:p w:rsidR="00F04133" w:rsidRDefault="00DD3E4D" w:rsidP="00DD3E4D">
      <w:pPr>
        <w:pStyle w:val="MDPI31text"/>
      </w:pPr>
      <w:r>
        <w:t xml:space="preserve">The </w:t>
      </w:r>
      <w:proofErr w:type="spellStart"/>
      <w:r>
        <w:t>W</w:t>
      </w:r>
      <w:r w:rsidRPr="00055C8D">
        <w:rPr>
          <w:vertAlign w:val="subscript"/>
        </w:rPr>
        <w:t>i</w:t>
      </w:r>
      <w:proofErr w:type="spellEnd"/>
      <w:r>
        <w:t xml:space="preserve"> coefficient, </w:t>
      </w:r>
      <w:r w:rsidR="004714F9">
        <w:t xml:space="preserve">which is </w:t>
      </w:r>
      <w:r>
        <w:t>constant over time and variable across space, was d</w:t>
      </w:r>
      <w:r>
        <w:t>e</w:t>
      </w:r>
      <w:r>
        <w:t>fined as the ratio between a sp</w:t>
      </w:r>
      <w:r w:rsidR="004714F9">
        <w:t xml:space="preserve">ecific infection rate for </w:t>
      </w:r>
      <w:r>
        <w:t>area</w:t>
      </w:r>
      <w:r w:rsidR="004714F9">
        <w:t xml:space="preserve"> </w:t>
      </w:r>
      <w:proofErr w:type="spellStart"/>
      <w:r w:rsidR="004714F9">
        <w:t>i</w:t>
      </w:r>
      <w:proofErr w:type="spellEnd"/>
      <w:r>
        <w:t xml:space="preserve"> (A</w:t>
      </w:r>
      <w:r w:rsidRPr="00055C8D">
        <w:rPr>
          <w:vertAlign w:val="subscript"/>
        </w:rPr>
        <w:t>i</w:t>
      </w:r>
      <w:r>
        <w:t>) and the infection rate for the entire study area (A</w:t>
      </w:r>
      <w:r w:rsidRPr="00055C8D">
        <w:rPr>
          <w:vertAlign w:val="subscript"/>
        </w:rPr>
        <w:t>TOT</w:t>
      </w:r>
      <w:r>
        <w:t>)</w:t>
      </w:r>
      <w:r w:rsidR="009A7257">
        <w:t xml:space="preserve"> (Eq. 4).</w:t>
      </w:r>
      <w:r w:rsidR="009B2C30">
        <w:t xml:space="preserve"> </w:t>
      </w:r>
      <w:r>
        <w:t>To establish A</w:t>
      </w:r>
      <w:r w:rsidRPr="00B80928">
        <w:rPr>
          <w:vertAlign w:val="subscript"/>
        </w:rPr>
        <w:t>i</w:t>
      </w:r>
      <w:r>
        <w:t xml:space="preserve"> and A</w:t>
      </w:r>
      <w:r w:rsidRPr="00B80928">
        <w:rPr>
          <w:vertAlign w:val="subscript"/>
        </w:rPr>
        <w:t>TOT</w:t>
      </w:r>
      <w:r w:rsidR="00487181">
        <w:t xml:space="preserve">, </w:t>
      </w:r>
      <w:r>
        <w:t>Poisson regression was e</w:t>
      </w:r>
      <w:r>
        <w:t>m</w:t>
      </w:r>
      <w:r>
        <w:t>ployed</w:t>
      </w:r>
      <w:r w:rsidR="004714F9">
        <w:t>,</w:t>
      </w:r>
      <w:r>
        <w:t xml:space="preserve"> and the regression coefficients (β</w:t>
      </w:r>
      <w:r w:rsidRPr="00055C8D">
        <w:rPr>
          <w:sz w:val="18"/>
          <w:vertAlign w:val="subscript"/>
        </w:rPr>
        <w:t>0</w:t>
      </w:r>
      <w:r>
        <w:t>,β</w:t>
      </w:r>
      <w:r w:rsidRPr="00055C8D">
        <w:rPr>
          <w:vertAlign w:val="subscript"/>
        </w:rPr>
        <w:t>1</w:t>
      </w:r>
      <w:r>
        <w:t>,..</w:t>
      </w:r>
      <w:proofErr w:type="spellStart"/>
      <w:r>
        <w:t>β</w:t>
      </w:r>
      <w:r w:rsidRPr="00055C8D">
        <w:rPr>
          <w:vertAlign w:val="subscript"/>
        </w:rPr>
        <w:t>n</w:t>
      </w:r>
      <w:proofErr w:type="spellEnd"/>
      <w:r>
        <w:t xml:space="preserve">) were derived from a study conducted in the municipality of Bologna from </w:t>
      </w:r>
      <w:r w:rsidR="004657D7">
        <w:t>February 2020 to November 2021 [</w:t>
      </w:r>
      <w:hyperlink w:anchor="zeleke" w:history="1">
        <w:r w:rsidR="004657D7" w:rsidRPr="004657D7">
          <w:rPr>
            <w:rStyle w:val="Collegamentoipertestuale"/>
          </w:rPr>
          <w:t>30</w:t>
        </w:r>
      </w:hyperlink>
      <w:r w:rsidR="004657D7">
        <w:t>]</w:t>
      </w:r>
      <w:r>
        <w:t xml:space="preserve"> </w:t>
      </w:r>
      <w:r w:rsidR="009A7257">
        <w:t>(</w:t>
      </w:r>
      <w:r w:rsidR="00C30A89">
        <w:t>Table S4</w:t>
      </w:r>
      <w:r>
        <w:t>). The variables</w:t>
      </w:r>
      <w:r w:rsidR="004714F9">
        <w:t xml:space="preserve"> </w:t>
      </w:r>
      <w:r>
        <w:t>(x</w:t>
      </w:r>
      <w:r w:rsidRPr="004714F9">
        <w:rPr>
          <w:vertAlign w:val="subscript"/>
        </w:rPr>
        <w:t>1</w:t>
      </w:r>
      <w:r>
        <w:t>, x</w:t>
      </w:r>
      <w:r w:rsidRPr="004714F9">
        <w:rPr>
          <w:vertAlign w:val="subscript"/>
        </w:rPr>
        <w:t>2</w:t>
      </w:r>
      <w:r>
        <w:t xml:space="preserve">… </w:t>
      </w:r>
      <w:proofErr w:type="spellStart"/>
      <w:r>
        <w:t>x</w:t>
      </w:r>
      <w:r w:rsidRPr="004714F9">
        <w:rPr>
          <w:vertAlign w:val="subscript"/>
        </w:rPr>
        <w:t>n</w:t>
      </w:r>
      <w:proofErr w:type="spellEnd"/>
      <w:r>
        <w:t xml:space="preserve">) were calculated for each area and represent the fractions of the population belonging to the following classes: age (0-21, 21-65, &gt;65), </w:t>
      </w:r>
      <w:r w:rsidR="004714F9">
        <w:t>sex</w:t>
      </w:r>
      <w:r>
        <w:t xml:space="preserve"> (M/F), family size (1, 2, 3, &gt;3),</w:t>
      </w:r>
      <w:r w:rsidR="004714F9">
        <w:t xml:space="preserve"> and</w:t>
      </w:r>
      <w:r>
        <w:t xml:space="preserve"> </w:t>
      </w:r>
      <w:proofErr w:type="spellStart"/>
      <w:r>
        <w:t>comorbidities</w:t>
      </w:r>
      <w:proofErr w:type="spellEnd"/>
      <w:r>
        <w:t xml:space="preserve"> (</w:t>
      </w:r>
      <w:r w:rsidR="004657D7">
        <w:t>hypertension, diabetes and the “</w:t>
      </w:r>
      <w:r>
        <w:t xml:space="preserve">other </w:t>
      </w:r>
      <w:proofErr w:type="spellStart"/>
      <w:r>
        <w:t>co</w:t>
      </w:r>
      <w:r w:rsidR="004657D7">
        <w:t>morbidities</w:t>
      </w:r>
      <w:proofErr w:type="spellEnd"/>
      <w:r w:rsidR="004657D7">
        <w:t xml:space="preserve">” considered in the </w:t>
      </w:r>
      <w:r>
        <w:t>study</w:t>
      </w:r>
      <w:r w:rsidR="004657D7">
        <w:t xml:space="preserve"> [</w:t>
      </w:r>
      <w:hyperlink w:anchor="zeleke" w:history="1">
        <w:r w:rsidR="004657D7" w:rsidRPr="004657D7">
          <w:rPr>
            <w:rStyle w:val="Collegamentoipertestuale"/>
          </w:rPr>
          <w:t>30</w:t>
        </w:r>
      </w:hyperlink>
      <w:r w:rsidR="004657D7">
        <w:t>]</w:t>
      </w:r>
      <w:r>
        <w:t>).</w:t>
      </w:r>
    </w:p>
    <w:tbl>
      <w:tblPr>
        <w:tblW w:w="7859" w:type="dxa"/>
        <w:tblInd w:w="2608" w:type="dxa"/>
        <w:tblCellMar>
          <w:left w:w="0" w:type="dxa"/>
          <w:right w:w="0" w:type="dxa"/>
        </w:tblCellMar>
        <w:tblLook w:val="04A0"/>
      </w:tblPr>
      <w:tblGrid>
        <w:gridCol w:w="7428"/>
        <w:gridCol w:w="431"/>
      </w:tblGrid>
      <w:tr w:rsidR="00DD3E4D" w:rsidRPr="006331AD" w:rsidTr="00D63F7E">
        <w:tc>
          <w:tcPr>
            <w:tcW w:w="7428" w:type="dxa"/>
          </w:tcPr>
          <w:p w:rsidR="00DD3E4D" w:rsidRPr="003030D2" w:rsidRDefault="009F0FD2" w:rsidP="00DD3E4D">
            <m:oMathPara>
              <m:oMath>
                <m:sSub>
                  <m:sSubPr>
                    <m:ctrlPr>
                      <w:rPr>
                        <w:rFonts w:ascii="Cambria Math" w:hAnsi="Cambria Math"/>
                      </w:rPr>
                    </m:ctrlPr>
                  </m:sSubPr>
                  <m:e>
                    <m:r>
                      <m:rPr>
                        <m:sty m:val="p"/>
                      </m:rPr>
                      <w:rPr>
                        <w:rFonts w:ascii="Cambria Math" w:hAnsi="Cambria Math"/>
                      </w:rPr>
                      <m:t>W</m:t>
                    </m:r>
                  </m:e>
                  <m:sub>
                    <m:r>
                      <m:rPr>
                        <m:sty m:val="p"/>
                      </m:rPr>
                      <w:rPr>
                        <w:rFonts w:ascii="Cambria Math" w:hAnsi="Cambria Math"/>
                      </w:rPr>
                      <m:t>i</m:t>
                    </m:r>
                  </m:sub>
                </m:sSub>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m:rPr>
                            <m:sty m:val="p"/>
                          </m:rPr>
                          <w:rPr>
                            <w:rFonts w:ascii="Cambria Math" w:hAnsi="Cambria Math"/>
                          </w:rPr>
                          <m:t>A</m:t>
                        </m:r>
                      </m:e>
                      <m:sub>
                        <m:r>
                          <m:rPr>
                            <m:sty m:val="p"/>
                          </m:rPr>
                          <w:rPr>
                            <w:rFonts w:ascii="Cambria Math" w:hAnsi="Cambria Math"/>
                          </w:rPr>
                          <m:t>i</m:t>
                        </m:r>
                      </m:sub>
                    </m:sSub>
                  </m:num>
                  <m:den>
                    <m:sSub>
                      <m:sSubPr>
                        <m:ctrlPr>
                          <w:rPr>
                            <w:rFonts w:ascii="Cambria Math" w:hAnsi="Cambria Math"/>
                          </w:rPr>
                        </m:ctrlPr>
                      </m:sSubPr>
                      <m:e>
                        <m:r>
                          <m:rPr>
                            <m:sty m:val="p"/>
                          </m:rPr>
                          <w:rPr>
                            <w:rFonts w:ascii="Cambria Math" w:hAnsi="Cambria Math"/>
                          </w:rPr>
                          <m:t>A</m:t>
                        </m:r>
                      </m:e>
                      <m:sub>
                        <m:r>
                          <m:rPr>
                            <m:sty m:val="p"/>
                          </m:rPr>
                          <w:rPr>
                            <w:rFonts w:ascii="Cambria Math" w:hAnsi="Cambria Math"/>
                          </w:rPr>
                          <m:t>TOT</m:t>
                        </m:r>
                      </m:sub>
                    </m:sSub>
                  </m:den>
                </m:f>
                <m:r>
                  <m:rPr>
                    <m:sty m:val="p"/>
                  </m:rPr>
                  <w:rPr>
                    <w:rFonts w:ascii="Cambria Math" w:hAnsi="Cambria Math"/>
                  </w:rPr>
                  <m:t>=</m:t>
                </m:r>
                <m:f>
                  <m:fPr>
                    <m:ctrlPr>
                      <w:rPr>
                        <w:rFonts w:ascii="Cambria Math" w:hAnsi="Cambria Math"/>
                      </w:rPr>
                    </m:ctrlPr>
                  </m:fPr>
                  <m:num>
                    <m:sSup>
                      <m:sSupPr>
                        <m:ctrlPr>
                          <w:rPr>
                            <w:rFonts w:ascii="Cambria Math" w:hAnsi="Cambria Math"/>
                          </w:rPr>
                        </m:ctrlPr>
                      </m:sSupPr>
                      <m:e>
                        <m:r>
                          <m:rPr>
                            <m:sty m:val="p"/>
                          </m:rPr>
                          <w:rPr>
                            <w:rFonts w:ascii="Cambria Math" w:hAnsi="Cambria Math"/>
                          </w:rPr>
                          <m:t>e</m:t>
                        </m:r>
                      </m:e>
                      <m:sup>
                        <m:sSub>
                          <m:sSubPr>
                            <m:ctrlPr>
                              <w:rPr>
                                <w:rFonts w:ascii="Cambria Math" w:hAnsi="Cambria Math"/>
                              </w:rPr>
                            </m:ctrlPr>
                          </m:sSubPr>
                          <m:e>
                            <m:r>
                              <m:rPr>
                                <m:sty m:val="p"/>
                              </m:rPr>
                              <w:rPr>
                                <w:rFonts w:ascii="Cambria Math" w:hAnsi="Cambria Math"/>
                              </w:rPr>
                              <m:t>β</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β</m:t>
                            </m:r>
                          </m:e>
                          <m:sub>
                            <m:r>
                              <m:rPr>
                                <m:sty m:val="p"/>
                              </m:rPr>
                              <w:rPr>
                                <w:rFonts w:ascii="Cambria Math" w:hAnsi="Cambria Math"/>
                              </w:rPr>
                              <m:t>1</m:t>
                            </m:r>
                          </m:sub>
                        </m:sSub>
                        <m:sSub>
                          <m:sSubPr>
                            <m:ctrlPr>
                              <w:rPr>
                                <w:rFonts w:ascii="Cambria Math" w:hAnsi="Cambria Math"/>
                              </w:rPr>
                            </m:ctrlPr>
                          </m:sSubPr>
                          <m:e>
                            <m:r>
                              <m:rPr>
                                <m:sty m:val="p"/>
                              </m:rPr>
                              <w:rPr>
                                <w:rFonts w:ascii="Cambria Math" w:hAnsi="Cambria Math"/>
                              </w:rPr>
                              <m:t>x</m:t>
                            </m:r>
                          </m:e>
                          <m:sub>
                            <m:r>
                              <m:rPr>
                                <m:sty m:val="p"/>
                              </m:rPr>
                              <w:rPr>
                                <w:rFonts w:ascii="Cambria Math" w:hAnsi="Cambria Math"/>
                              </w:rPr>
                              <m:t>1i</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β</m:t>
                            </m:r>
                          </m:e>
                          <m:sub>
                            <m:r>
                              <m:rPr>
                                <m:sty m:val="p"/>
                              </m:rPr>
                              <w:rPr>
                                <w:rFonts w:ascii="Cambria Math" w:hAnsi="Cambria Math"/>
                              </w:rPr>
                              <m:t>2</m:t>
                            </m:r>
                          </m:sub>
                        </m:sSub>
                        <m:sSub>
                          <m:sSubPr>
                            <m:ctrlPr>
                              <w:rPr>
                                <w:rFonts w:ascii="Cambria Math" w:hAnsi="Cambria Math"/>
                              </w:rPr>
                            </m:ctrlPr>
                          </m:sSubPr>
                          <m:e>
                            <m:r>
                              <m:rPr>
                                <m:sty m:val="p"/>
                              </m:rPr>
                              <w:rPr>
                                <w:rFonts w:ascii="Cambria Math" w:hAnsi="Cambria Math"/>
                              </w:rPr>
                              <m:t>x</m:t>
                            </m:r>
                          </m:e>
                          <m:sub>
                            <m:r>
                              <m:rPr>
                                <m:sty m:val="p"/>
                              </m:rPr>
                              <w:rPr>
                                <w:rFonts w:ascii="Cambria Math" w:hAnsi="Cambria Math"/>
                              </w:rPr>
                              <m:t>2i</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β</m:t>
                            </m:r>
                          </m:e>
                          <m:sub>
                            <m:r>
                              <m:rPr>
                                <m:sty m:val="p"/>
                              </m:rPr>
                              <w:rPr>
                                <w:rFonts w:ascii="Cambria Math" w:hAnsi="Cambria Math"/>
                              </w:rPr>
                              <m:t>n</m:t>
                            </m:r>
                          </m:sub>
                        </m:sSub>
                        <m:sSub>
                          <m:sSubPr>
                            <m:ctrlPr>
                              <w:rPr>
                                <w:rFonts w:ascii="Cambria Math" w:hAnsi="Cambria Math"/>
                              </w:rPr>
                            </m:ctrlPr>
                          </m:sSubPr>
                          <m:e>
                            <m:r>
                              <m:rPr>
                                <m:sty m:val="p"/>
                              </m:rPr>
                              <w:rPr>
                                <w:rFonts w:ascii="Cambria Math" w:hAnsi="Cambria Math"/>
                              </w:rPr>
                              <m:t>x</m:t>
                            </m:r>
                          </m:e>
                          <m:sub>
                            <m:r>
                              <m:rPr>
                                <m:sty m:val="p"/>
                              </m:rPr>
                              <w:rPr>
                                <w:rFonts w:ascii="Cambria Math" w:hAnsi="Cambria Math"/>
                              </w:rPr>
                              <m:t>ni</m:t>
                            </m:r>
                          </m:sub>
                        </m:sSub>
                      </m:sup>
                    </m:sSup>
                  </m:num>
                  <m:den>
                    <m:sSup>
                      <m:sSupPr>
                        <m:ctrlPr>
                          <w:rPr>
                            <w:rFonts w:ascii="Cambria Math" w:hAnsi="Cambria Math"/>
                          </w:rPr>
                        </m:ctrlPr>
                      </m:sSupPr>
                      <m:e>
                        <m:r>
                          <m:rPr>
                            <m:sty m:val="p"/>
                          </m:rPr>
                          <w:rPr>
                            <w:rFonts w:ascii="Cambria Math" w:hAnsi="Cambria Math"/>
                          </w:rPr>
                          <m:t>e</m:t>
                        </m:r>
                      </m:e>
                      <m:sup>
                        <m:sSub>
                          <m:sSubPr>
                            <m:ctrlPr>
                              <w:rPr>
                                <w:rFonts w:ascii="Cambria Math" w:hAnsi="Cambria Math"/>
                              </w:rPr>
                            </m:ctrlPr>
                          </m:sSubPr>
                          <m:e>
                            <m:r>
                              <m:rPr>
                                <m:sty m:val="p"/>
                              </m:rPr>
                              <w:rPr>
                                <w:rFonts w:ascii="Cambria Math" w:hAnsi="Cambria Math"/>
                              </w:rPr>
                              <m:t>β</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β</m:t>
                            </m:r>
                          </m:e>
                          <m:sub>
                            <m:r>
                              <m:rPr>
                                <m:sty m:val="p"/>
                              </m:rPr>
                              <w:rPr>
                                <w:rFonts w:ascii="Cambria Math" w:hAnsi="Cambria Math"/>
                              </w:rPr>
                              <m:t>1</m:t>
                            </m:r>
                          </m:sub>
                        </m:sSub>
                        <m:sSub>
                          <m:sSubPr>
                            <m:ctrlPr>
                              <w:rPr>
                                <w:rFonts w:ascii="Cambria Math" w:hAnsi="Cambria Math"/>
                              </w:rPr>
                            </m:ctrlPr>
                          </m:sSubPr>
                          <m:e>
                            <m:r>
                              <m:rPr>
                                <m:sty m:val="p"/>
                              </m:rPr>
                              <w:rPr>
                                <w:rFonts w:ascii="Cambria Math" w:hAnsi="Cambria Math"/>
                              </w:rPr>
                              <m:t>x</m:t>
                            </m:r>
                          </m:e>
                          <m:sub>
                            <m:r>
                              <m:rPr>
                                <m:sty m:val="p"/>
                              </m:rPr>
                              <w:rPr>
                                <w:rFonts w:ascii="Cambria Math" w:hAnsi="Cambria Math"/>
                              </w:rPr>
                              <m:t>1TOT</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β</m:t>
                            </m:r>
                          </m:e>
                          <m:sub>
                            <m:r>
                              <m:rPr>
                                <m:sty m:val="p"/>
                              </m:rPr>
                              <w:rPr>
                                <w:rFonts w:ascii="Cambria Math" w:hAnsi="Cambria Math"/>
                              </w:rPr>
                              <m:t>2</m:t>
                            </m:r>
                          </m:sub>
                        </m:sSub>
                        <m:sSub>
                          <m:sSubPr>
                            <m:ctrlPr>
                              <w:rPr>
                                <w:rFonts w:ascii="Cambria Math" w:hAnsi="Cambria Math"/>
                              </w:rPr>
                            </m:ctrlPr>
                          </m:sSubPr>
                          <m:e>
                            <m:r>
                              <m:rPr>
                                <m:sty m:val="p"/>
                              </m:rPr>
                              <w:rPr>
                                <w:rFonts w:ascii="Cambria Math" w:hAnsi="Cambria Math"/>
                              </w:rPr>
                              <m:t>x</m:t>
                            </m:r>
                          </m:e>
                          <m:sub>
                            <m:r>
                              <m:rPr>
                                <m:sty m:val="p"/>
                              </m:rPr>
                              <w:rPr>
                                <w:rFonts w:ascii="Cambria Math" w:hAnsi="Cambria Math"/>
                              </w:rPr>
                              <m:t>2TOT</m:t>
                            </m:r>
                          </m:sub>
                        </m:s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β</m:t>
                            </m:r>
                          </m:e>
                          <m:sub>
                            <m:r>
                              <m:rPr>
                                <m:sty m:val="p"/>
                              </m:rPr>
                              <w:rPr>
                                <w:rFonts w:ascii="Cambria Math" w:hAnsi="Cambria Math"/>
                              </w:rPr>
                              <m:t>n</m:t>
                            </m:r>
                          </m:sub>
                        </m:sSub>
                        <m:sSub>
                          <m:sSubPr>
                            <m:ctrlPr>
                              <w:rPr>
                                <w:rFonts w:ascii="Cambria Math" w:hAnsi="Cambria Math"/>
                              </w:rPr>
                            </m:ctrlPr>
                          </m:sSubPr>
                          <m:e>
                            <m:r>
                              <m:rPr>
                                <m:sty m:val="p"/>
                              </m:rPr>
                              <w:rPr>
                                <w:rFonts w:ascii="Cambria Math" w:hAnsi="Cambria Math"/>
                              </w:rPr>
                              <m:t>x</m:t>
                            </m:r>
                          </m:e>
                          <m:sub>
                            <m:r>
                              <m:rPr>
                                <m:sty m:val="p"/>
                              </m:rPr>
                              <w:rPr>
                                <w:rFonts w:ascii="Cambria Math" w:hAnsi="Cambria Math"/>
                              </w:rPr>
                              <m:t>nTOT</m:t>
                            </m:r>
                          </m:sub>
                        </m:sSub>
                      </m:sup>
                    </m:sSup>
                  </m:den>
                </m:f>
              </m:oMath>
            </m:oMathPara>
          </w:p>
        </w:tc>
        <w:tc>
          <w:tcPr>
            <w:tcW w:w="431" w:type="dxa"/>
            <w:vAlign w:val="center"/>
          </w:tcPr>
          <w:p w:rsidR="00DD3E4D" w:rsidRPr="003030D2" w:rsidRDefault="00DD3E4D" w:rsidP="00D63F7E">
            <w:pPr>
              <w:pStyle w:val="MDPI3aequationnumber"/>
              <w:spacing w:line="260" w:lineRule="atLeast"/>
            </w:pPr>
            <w:r w:rsidRPr="003030D2">
              <w:t>(</w:t>
            </w:r>
            <w:r>
              <w:t>4</w:t>
            </w:r>
            <w:r w:rsidRPr="003030D2">
              <w:t>)</w:t>
            </w:r>
          </w:p>
        </w:tc>
      </w:tr>
    </w:tbl>
    <w:p w:rsidR="00B82082" w:rsidRDefault="00B82082" w:rsidP="00B82082">
      <w:pPr>
        <w:pStyle w:val="MDPI23heading3"/>
      </w:pPr>
      <w:r>
        <w:t>2.4.2 Fe</w:t>
      </w:r>
      <w:r w:rsidR="004714F9">
        <w:t>cal shedding rate and mass of f</w:t>
      </w:r>
      <w:r>
        <w:t>eces</w:t>
      </w:r>
    </w:p>
    <w:p w:rsidR="00B82082" w:rsidRDefault="00B20394" w:rsidP="00B82082">
      <w:pPr>
        <w:pStyle w:val="MDPI31text"/>
      </w:pPr>
      <w:r>
        <w:t>T</w:t>
      </w:r>
      <w:r w:rsidR="00B82082">
        <w:t xml:space="preserve">wo average values of </w:t>
      </w:r>
      <w:r w:rsidR="00D956F0">
        <w:t xml:space="preserve">the </w:t>
      </w:r>
      <w:r w:rsidR="00B82082">
        <w:t>fecal shedding rate (</w:t>
      </w:r>
      <w:proofErr w:type="spellStart"/>
      <w:r w:rsidR="00B82082">
        <w:t>S</w:t>
      </w:r>
      <w:r w:rsidR="00B82082" w:rsidRPr="00055C8D">
        <w:rPr>
          <w:vertAlign w:val="subscript"/>
        </w:rPr>
        <w:t>h</w:t>
      </w:r>
      <w:proofErr w:type="spellEnd"/>
      <w:r w:rsidR="00B82082">
        <w:t xml:space="preserve">) were calculated considering data from the Delta and Omicron variants across six different communities </w:t>
      </w:r>
      <w:r w:rsidR="00D454B4">
        <w:t>in the USA [</w:t>
      </w:r>
      <w:hyperlink w:anchor="prasek_2023" w:history="1">
        <w:r w:rsidR="00D454B4" w:rsidRPr="00D454B4">
          <w:rPr>
            <w:rStyle w:val="Collegamentoipertestuale"/>
          </w:rPr>
          <w:t>31</w:t>
        </w:r>
      </w:hyperlink>
      <w:r w:rsidR="00D454B4">
        <w:t xml:space="preserve">]. </w:t>
      </w:r>
      <w:r w:rsidR="00B82082">
        <w:t>The population-weighted average shedding rates for the Delta and Omicron variants incorporated into the model were 10</w:t>
      </w:r>
      <w:r w:rsidR="00B82082" w:rsidRPr="00464069">
        <w:rPr>
          <w:vertAlign w:val="superscript"/>
        </w:rPr>
        <w:t>8.658</w:t>
      </w:r>
      <w:r w:rsidR="00B82082">
        <w:t xml:space="preserve"> and 10</w:t>
      </w:r>
      <w:r w:rsidR="00B82082" w:rsidRPr="00464069">
        <w:rPr>
          <w:vertAlign w:val="superscript"/>
        </w:rPr>
        <w:t>7.813</w:t>
      </w:r>
      <w:r w:rsidR="00464069">
        <w:t>, respectively</w:t>
      </w:r>
      <w:r w:rsidR="00B82082">
        <w:t xml:space="preserve"> (</w:t>
      </w:r>
      <w:r w:rsidR="00464069">
        <w:t>Table S6</w:t>
      </w:r>
      <w:r w:rsidR="00B82082">
        <w:t>).</w:t>
      </w:r>
    </w:p>
    <w:p w:rsidR="00DD3E4D" w:rsidRDefault="00B82082" w:rsidP="00C60965">
      <w:pPr>
        <w:pStyle w:val="MDPI31text"/>
      </w:pPr>
      <w:r>
        <w:t>Considering the evolution of the virus from the Delta</w:t>
      </w:r>
      <w:r w:rsidR="00D956F0">
        <w:t xml:space="preserve"> </w:t>
      </w:r>
      <w:r w:rsidR="00487181">
        <w:t xml:space="preserve">variant </w:t>
      </w:r>
      <w:r>
        <w:t>to the Omicron variant in December 2021 (</w:t>
      </w:r>
      <w:r w:rsidR="004D7ED4">
        <w:t>Figure 7</w:t>
      </w:r>
      <w:r>
        <w:t xml:space="preserve">), the shedding rate for the Delta variant was applied until December 19th, while </w:t>
      </w:r>
      <w:r w:rsidR="00D956F0">
        <w:t xml:space="preserve">that </w:t>
      </w:r>
      <w:r>
        <w:t xml:space="preserve">for the Omicron variant </w:t>
      </w:r>
      <w:r w:rsidR="00D956F0">
        <w:t xml:space="preserve">was applied </w:t>
      </w:r>
      <w:r>
        <w:t>from January 3rd o</w:t>
      </w:r>
      <w:r>
        <w:t>n</w:t>
      </w:r>
      <w:r>
        <w:t xml:space="preserve">wards, and a combination of the two values </w:t>
      </w:r>
      <w:r w:rsidR="00D956F0">
        <w:t xml:space="preserve">was used </w:t>
      </w:r>
      <w:r>
        <w:t xml:space="preserve">for the last two weeks of December (Table </w:t>
      </w:r>
      <w:r w:rsidR="00B80928">
        <w:t>S8</w:t>
      </w:r>
      <w:r>
        <w:t>).</w:t>
      </w:r>
      <w:r w:rsidR="00C60965">
        <w:t xml:space="preserve"> </w:t>
      </w:r>
      <w:r w:rsidR="00D956F0">
        <w:t xml:space="preserve">The </w:t>
      </w:r>
      <w:r w:rsidR="00487181">
        <w:t xml:space="preserve">daily </w:t>
      </w:r>
      <w:r w:rsidR="00D956F0">
        <w:t>wet mass of f</w:t>
      </w:r>
      <w:r>
        <w:t>eces (M</w:t>
      </w:r>
      <w:r w:rsidRPr="00055C8D">
        <w:rPr>
          <w:vertAlign w:val="subscript"/>
        </w:rPr>
        <w:t>f</w:t>
      </w:r>
      <w:r>
        <w:t>) produced by each individual was assumed t</w:t>
      </w:r>
      <w:r w:rsidR="00C60965">
        <w:t xml:space="preserve">o be 128 [g/(inhabitant· </w:t>
      </w:r>
      <w:r w:rsidR="00EB6076">
        <w:t>day)] [</w:t>
      </w:r>
      <w:hyperlink w:anchor="rose_2015" w:history="1">
        <w:r w:rsidR="00EB6076" w:rsidRPr="00EB6076">
          <w:rPr>
            <w:rStyle w:val="Collegamentoipertestuale"/>
          </w:rPr>
          <w:t>32</w:t>
        </w:r>
      </w:hyperlink>
      <w:r w:rsidR="00EB6076">
        <w:t>].</w:t>
      </w:r>
    </w:p>
    <w:p w:rsidR="00B82082" w:rsidRDefault="00B82082" w:rsidP="00B82082">
      <w:pPr>
        <w:pStyle w:val="MDPI23heading3"/>
      </w:pPr>
      <w:r>
        <w:t>2.4.3 Biodegradation</w:t>
      </w:r>
    </w:p>
    <w:p w:rsidR="00B82082" w:rsidRDefault="00B82082" w:rsidP="00B82082">
      <w:pPr>
        <w:pStyle w:val="MDPI31text"/>
      </w:pPr>
      <w:r>
        <w:t xml:space="preserve">The biodegradation of the virus along the sewer network was </w:t>
      </w:r>
      <w:proofErr w:type="spellStart"/>
      <w:r>
        <w:t>modelled</w:t>
      </w:r>
      <w:proofErr w:type="spellEnd"/>
      <w:r>
        <w:t xml:space="preserve"> with a first-order kinetics (</w:t>
      </w:r>
      <w:r w:rsidR="00B80928">
        <w:t>Eq. S5</w:t>
      </w:r>
      <w:r w:rsidR="00884352">
        <w:t>) [</w:t>
      </w:r>
      <w:hyperlink w:anchor="bivins_2020" w:history="1">
        <w:r w:rsidR="00884352" w:rsidRPr="00884352">
          <w:rPr>
            <w:rStyle w:val="Collegamentoipertestuale"/>
          </w:rPr>
          <w:t>33</w:t>
        </w:r>
      </w:hyperlink>
      <w:r w:rsidR="00D352CD">
        <w:t>,</w:t>
      </w:r>
      <w:hyperlink w:anchor="yang_2022" w:history="1">
        <w:r w:rsidR="00D352CD" w:rsidRPr="00D352CD">
          <w:rPr>
            <w:rStyle w:val="Collegamentoipertestuale"/>
          </w:rPr>
          <w:t>34</w:t>
        </w:r>
      </w:hyperlink>
      <w:r w:rsidR="00636A20">
        <w:t>,</w:t>
      </w:r>
      <w:hyperlink w:anchor="silverman_2020" w:history="1">
        <w:r w:rsidR="00636A20" w:rsidRPr="00636A20">
          <w:rPr>
            <w:rStyle w:val="Collegamentoipertestuale"/>
          </w:rPr>
          <w:t>35</w:t>
        </w:r>
      </w:hyperlink>
      <w:r w:rsidR="00636A20">
        <w:t>]</w:t>
      </w:r>
      <w:r>
        <w:t xml:space="preserve">. The biodegradation constant (k) was calculated based on values found in experiments </w:t>
      </w:r>
      <w:r w:rsidR="00A360D5">
        <w:t>[</w:t>
      </w:r>
      <w:hyperlink w:anchor="weidhass_2021" w:history="1">
        <w:r w:rsidR="00A360D5" w:rsidRPr="00A360D5">
          <w:rPr>
            <w:rStyle w:val="Collegamentoipertestuale"/>
          </w:rPr>
          <w:t>4</w:t>
        </w:r>
      </w:hyperlink>
      <w:r w:rsidR="00A360D5">
        <w:t xml:space="preserve">] </w:t>
      </w:r>
      <w:r>
        <w:t>conducted under conditions most</w:t>
      </w:r>
      <w:r w:rsidR="00636719">
        <w:t xml:space="preserve"> similar to those of </w:t>
      </w:r>
      <w:r w:rsidR="00792EB7">
        <w:t>the present</w:t>
      </w:r>
      <w:r w:rsidR="00636719">
        <w:t xml:space="preserve"> study</w:t>
      </w:r>
      <w:r w:rsidR="00D956F0">
        <w:t xml:space="preserve">. </w:t>
      </w:r>
      <w:r>
        <w:t>The value</w:t>
      </w:r>
      <w:r w:rsidR="00487181">
        <w:t>s were</w:t>
      </w:r>
      <w:r>
        <w:t xml:space="preserve"> adjusted for the observed temperatures in the sewer network</w:t>
      </w:r>
      <w:r w:rsidR="008E0BAD">
        <w:t xml:space="preserve"> of Bologna (12°C, 16°C, 20°C) [</w:t>
      </w:r>
      <w:hyperlink w:anchor="cipolla_2014" w:history="1">
        <w:r w:rsidR="008E0BAD" w:rsidRPr="008E0BAD">
          <w:rPr>
            <w:rStyle w:val="Collegamentoipertestuale"/>
          </w:rPr>
          <w:t>36</w:t>
        </w:r>
      </w:hyperlink>
      <w:r w:rsidR="008E0BAD">
        <w:t>]</w:t>
      </w:r>
      <w:r w:rsidR="00D956F0">
        <w:t xml:space="preserve"> according to a</w:t>
      </w:r>
      <w:r>
        <w:t xml:space="preserve"> linear equation</w:t>
      </w:r>
      <w:r w:rsidR="003B1504">
        <w:t xml:space="preserve"> (Eq. 5)</w:t>
      </w:r>
      <w:r>
        <w:t xml:space="preserve"> </w:t>
      </w:r>
      <w:r w:rsidR="00BA2424">
        <w:t>[</w:t>
      </w:r>
      <w:hyperlink w:anchor="bivins_2020" w:history="1">
        <w:r w:rsidR="00BA2424" w:rsidRPr="00884352">
          <w:rPr>
            <w:rStyle w:val="Collegamentoipertestuale"/>
          </w:rPr>
          <w:t>33</w:t>
        </w:r>
      </w:hyperlink>
      <w:r>
        <w:t>,</w:t>
      </w:r>
      <w:hyperlink w:anchor="silverman_2020" w:history="1">
        <w:r w:rsidR="00636A20" w:rsidRPr="00636A20">
          <w:rPr>
            <w:rStyle w:val="Collegamentoipertestuale"/>
          </w:rPr>
          <w:t>35</w:t>
        </w:r>
      </w:hyperlink>
      <w:r w:rsidR="00636A20">
        <w:t>]</w:t>
      </w:r>
      <w:r>
        <w:t xml:space="preserve">. The linear coefficient (m) and intercept (q) were calculated based on </w:t>
      </w:r>
      <w:r w:rsidR="003E4610">
        <w:t xml:space="preserve">the </w:t>
      </w:r>
      <w:r>
        <w:t>literature values of k and temperature (T)</w:t>
      </w:r>
      <w:r w:rsidR="00A360D5">
        <w:t xml:space="preserve"> [</w:t>
      </w:r>
      <w:hyperlink w:anchor="weidhass_2021" w:history="1">
        <w:r w:rsidR="00A360D5" w:rsidRPr="00A360D5">
          <w:rPr>
            <w:rStyle w:val="Collegamentoipertestuale"/>
          </w:rPr>
          <w:t>4</w:t>
        </w:r>
      </w:hyperlink>
      <w:r w:rsidR="00A360D5">
        <w:t>]</w:t>
      </w:r>
      <w:r>
        <w:t xml:space="preserve">, </w:t>
      </w:r>
      <w:r w:rsidR="003E4610" w:rsidRPr="003E4610">
        <w:t xml:space="preserve">after which </w:t>
      </w:r>
      <w:r>
        <w:t>the k values corresponding to the o</w:t>
      </w:r>
      <w:r>
        <w:t>b</w:t>
      </w:r>
      <w:r>
        <w:t>served temperatures of Bologna were determined. The three derived k</w:t>
      </w:r>
      <w:r w:rsidR="00EC1FE2">
        <w:t xml:space="preserve"> values (0.097, 0.101,</w:t>
      </w:r>
      <w:r w:rsidR="003E4610">
        <w:t xml:space="preserve"> and</w:t>
      </w:r>
      <w:r w:rsidR="00EC1FE2">
        <w:t xml:space="preserve"> 0.104 [h</w:t>
      </w:r>
      <w:r w:rsidRPr="00EC1FE2">
        <w:rPr>
          <w:vertAlign w:val="superscript"/>
        </w:rPr>
        <w:t>-1</w:t>
      </w:r>
      <w:r>
        <w:t xml:space="preserve">]) were incorporated into the model, varying with the time of </w:t>
      </w:r>
      <w:r w:rsidR="00636719">
        <w:t xml:space="preserve">the </w:t>
      </w:r>
      <w:r>
        <w:t>year</w:t>
      </w:r>
      <w:r w:rsidR="003B1504">
        <w:t xml:space="preserve"> </w:t>
      </w:r>
      <w:r>
        <w:t>(</w:t>
      </w:r>
      <w:r w:rsidR="003B1504">
        <w:t>Table S9</w:t>
      </w:r>
      <w:r>
        <w:t>).</w:t>
      </w:r>
    </w:p>
    <w:tbl>
      <w:tblPr>
        <w:tblW w:w="7859" w:type="dxa"/>
        <w:tblInd w:w="2608" w:type="dxa"/>
        <w:tblCellMar>
          <w:left w:w="0" w:type="dxa"/>
          <w:right w:w="0" w:type="dxa"/>
        </w:tblCellMar>
        <w:tblLook w:val="04A0"/>
      </w:tblPr>
      <w:tblGrid>
        <w:gridCol w:w="7428"/>
        <w:gridCol w:w="431"/>
      </w:tblGrid>
      <w:tr w:rsidR="00B82082" w:rsidRPr="006331AD" w:rsidTr="008E0BAD">
        <w:tc>
          <w:tcPr>
            <w:tcW w:w="7428" w:type="dxa"/>
            <w:vAlign w:val="center"/>
          </w:tcPr>
          <w:p w:rsidR="00B82082" w:rsidRPr="003030D2" w:rsidRDefault="009F0FD2" w:rsidP="008E0BAD">
            <w:pPr>
              <w:jc w:val="center"/>
            </w:pPr>
            <m:oMathPara>
              <m:oMath>
                <m:sSub>
                  <m:sSubPr>
                    <m:ctrlPr>
                      <w:rPr>
                        <w:rFonts w:ascii="Cambria Math" w:hAnsi="Cambria Math"/>
                      </w:rPr>
                    </m:ctrlPr>
                  </m:sSubPr>
                  <m:e>
                    <m:r>
                      <w:rPr>
                        <w:rFonts w:ascii="Cambria Math" w:hAnsi="Cambria Math"/>
                      </w:rPr>
                      <m:t>log</m:t>
                    </m:r>
                  </m:e>
                  <m:sub>
                    <m:r>
                      <m:rPr>
                        <m:sty m:val="p"/>
                      </m:rPr>
                      <w:rPr>
                        <w:rFonts w:ascii="Cambria Math" w:hAnsi="Cambria Math"/>
                      </w:rPr>
                      <m:t>10</m:t>
                    </m:r>
                  </m:sub>
                </m:sSub>
                <m:r>
                  <w:rPr>
                    <w:rFonts w:ascii="Cambria Math" w:hAnsi="Cambria Math"/>
                  </w:rPr>
                  <m:t>k</m:t>
                </m:r>
                <m:r>
                  <m:rPr>
                    <m:sty m:val="p"/>
                  </m:rPr>
                  <w:rPr>
                    <w:rFonts w:ascii="Cambria Math" w:hAnsi="Cambria Math"/>
                  </w:rPr>
                  <m:t>=</m:t>
                </m:r>
                <m:r>
                  <w:rPr>
                    <w:rFonts w:ascii="Cambria Math" w:hAnsi="Cambria Math"/>
                  </w:rPr>
                  <m:t>m</m:t>
                </m:r>
                <m:r>
                  <m:rPr>
                    <m:sty m:val="p"/>
                  </m:rPr>
                  <w:rPr>
                    <w:rFonts w:ascii="Cambria Math" w:hAnsi="Cambria Math"/>
                  </w:rPr>
                  <m:t>∙</m:t>
                </m:r>
                <m:r>
                  <w:rPr>
                    <w:rFonts w:ascii="Cambria Math" w:hAnsi="Cambria Math"/>
                  </w:rPr>
                  <m:t>T</m:t>
                </m:r>
                <m:r>
                  <m:rPr>
                    <m:sty m:val="p"/>
                  </m:rPr>
                  <w:rPr>
                    <w:rFonts w:ascii="Cambria Math" w:hAnsi="Cambria Math"/>
                  </w:rPr>
                  <m:t>+</m:t>
                </m:r>
                <m:r>
                  <w:rPr>
                    <w:rFonts w:ascii="Cambria Math" w:hAnsi="Cambria Math"/>
                  </w:rPr>
                  <m:t>q</m:t>
                </m:r>
              </m:oMath>
            </m:oMathPara>
          </w:p>
        </w:tc>
        <w:tc>
          <w:tcPr>
            <w:tcW w:w="431" w:type="dxa"/>
            <w:vAlign w:val="center"/>
          </w:tcPr>
          <w:p w:rsidR="00B82082" w:rsidRPr="003030D2" w:rsidRDefault="00B82082" w:rsidP="008E0BAD">
            <w:pPr>
              <w:pStyle w:val="MDPI3aequationnumber"/>
              <w:spacing w:line="260" w:lineRule="atLeast"/>
              <w:jc w:val="center"/>
            </w:pPr>
            <w:r w:rsidRPr="003030D2">
              <w:t>(</w:t>
            </w:r>
            <w:r>
              <w:t>5</w:t>
            </w:r>
            <w:r w:rsidRPr="003030D2">
              <w:t>)</w:t>
            </w:r>
          </w:p>
        </w:tc>
      </w:tr>
    </w:tbl>
    <w:p w:rsidR="00B82082" w:rsidRDefault="00B82082" w:rsidP="00B82082">
      <w:pPr>
        <w:pStyle w:val="MDPI31text"/>
      </w:pPr>
      <w:r>
        <w:t>The hydraulic residence time (</w:t>
      </w:r>
      <w:r>
        <w:rPr>
          <w:rFonts w:ascii="Times New Roman" w:hAnsi="Times New Roman"/>
        </w:rPr>
        <w:t>ϴ</w:t>
      </w:r>
      <w:proofErr w:type="spellStart"/>
      <w:r w:rsidRPr="00D76468">
        <w:rPr>
          <w:vertAlign w:val="subscript"/>
        </w:rPr>
        <w:t>i</w:t>
      </w:r>
      <w:proofErr w:type="spellEnd"/>
      <w:r>
        <w:t xml:space="preserve">) for each area was estimated </w:t>
      </w:r>
      <w:r w:rsidR="003E4610">
        <w:t xml:space="preserve">by </w:t>
      </w:r>
      <w:r>
        <w:t>dividing the effe</w:t>
      </w:r>
      <w:r>
        <w:t>c</w:t>
      </w:r>
      <w:r>
        <w:t>tive d</w:t>
      </w:r>
      <w:r w:rsidR="003E4610">
        <w:t>istance (D</w:t>
      </w:r>
      <w:r w:rsidR="003E4610" w:rsidRPr="00D76468">
        <w:rPr>
          <w:vertAlign w:val="subscript"/>
        </w:rPr>
        <w:t>i</w:t>
      </w:r>
      <w:r w:rsidR="003E4610">
        <w:t xml:space="preserve">), </w:t>
      </w:r>
      <w:r>
        <w:t>i.e.</w:t>
      </w:r>
      <w:r w:rsidR="003E4610">
        <w:t>,</w:t>
      </w:r>
      <w:r>
        <w:t xml:space="preserve"> the distance calculated along the network from the </w:t>
      </w:r>
      <w:proofErr w:type="spellStart"/>
      <w:r>
        <w:t>cen</w:t>
      </w:r>
      <w:r w:rsidR="003E4610">
        <w:t>troid</w:t>
      </w:r>
      <w:proofErr w:type="spellEnd"/>
      <w:r w:rsidR="003E4610">
        <w:t xml:space="preserve"> of each area to the WWTP,</w:t>
      </w:r>
      <w:r>
        <w:t xml:space="preserve"> by the flow velocity of wastewater along the sewer network (v).</w:t>
      </w:r>
    </w:p>
    <w:p w:rsidR="00B82082" w:rsidRDefault="00B82082" w:rsidP="00B82082">
      <w:pPr>
        <w:pStyle w:val="MDPI31text"/>
      </w:pPr>
      <w:r>
        <w:t>D</w:t>
      </w:r>
      <w:r w:rsidRPr="00D76468">
        <w:rPr>
          <w:vertAlign w:val="subscript"/>
        </w:rPr>
        <w:t>i</w:t>
      </w:r>
      <w:r>
        <w:t xml:space="preserve"> was determined by a</w:t>
      </w:r>
      <w:r w:rsidR="008E0BAD">
        <w:t xml:space="preserve">pplying the </w:t>
      </w:r>
      <w:proofErr w:type="spellStart"/>
      <w:r w:rsidR="008E0BAD">
        <w:t>Dijkstra</w:t>
      </w:r>
      <w:proofErr w:type="spellEnd"/>
      <w:r w:rsidR="008E0BAD">
        <w:t xml:space="preserve"> algorithm [</w:t>
      </w:r>
      <w:hyperlink w:anchor="cormen" w:history="1">
        <w:r w:rsidR="008E0BAD" w:rsidRPr="008E0BAD">
          <w:rPr>
            <w:rStyle w:val="Collegamentoipertestuale"/>
          </w:rPr>
          <w:t>37</w:t>
        </w:r>
      </w:hyperlink>
      <w:r w:rsidR="008E0BAD">
        <w:t>]</w:t>
      </w:r>
      <w:r>
        <w:t xml:space="preserve"> to measure the shortest path along the sewer network from each area’s </w:t>
      </w:r>
      <w:proofErr w:type="spellStart"/>
      <w:r>
        <w:t>centroid</w:t>
      </w:r>
      <w:proofErr w:type="spellEnd"/>
      <w:r>
        <w:t xml:space="preserve"> to the WWTP (using the </w:t>
      </w:r>
      <w:proofErr w:type="spellStart"/>
      <w:r>
        <w:t>GeoPandas</w:t>
      </w:r>
      <w:proofErr w:type="spellEnd"/>
      <w:r>
        <w:t xml:space="preserve"> library (version 0.13.2) in Python).</w:t>
      </w:r>
    </w:p>
    <w:p w:rsidR="00B82082" w:rsidRDefault="00B82082" w:rsidP="00B82082">
      <w:pPr>
        <w:pStyle w:val="MDPI31text"/>
      </w:pPr>
      <w:r>
        <w:t xml:space="preserve">The value of v was assumed to be constant and equal to the </w:t>
      </w:r>
      <w:r w:rsidR="003E4610">
        <w:t>value</w:t>
      </w:r>
      <w:r>
        <w:t xml:space="preserve"> (0.8 [m/s]) used for the sewer network in</w:t>
      </w:r>
      <w:r w:rsidR="001C2398">
        <w:t xml:space="preserve"> Milan [</w:t>
      </w:r>
      <w:hyperlink w:anchor="compagni" w:history="1">
        <w:r w:rsidR="001C2398" w:rsidRPr="001C2398">
          <w:rPr>
            <w:rStyle w:val="Collegamentoipertestuale"/>
          </w:rPr>
          <w:t>38</w:t>
        </w:r>
      </w:hyperlink>
      <w:r w:rsidR="001C2398">
        <w:t>]</w:t>
      </w:r>
      <w:r>
        <w:t xml:space="preserve"> due to the similarities between the two sewer systems. This value falls within the typical range of average vel</w:t>
      </w:r>
      <w:r w:rsidR="003E4610">
        <w:t xml:space="preserve">ocity (0.3 - 0.91) in the cross </w:t>
      </w:r>
      <w:r w:rsidR="00DF001F">
        <w:t>section of combined sewers [</w:t>
      </w:r>
      <w:hyperlink w:anchor="bares_2008" w:history="1">
        <w:r w:rsidR="00DF001F" w:rsidRPr="00DF001F">
          <w:rPr>
            <w:rStyle w:val="Collegamentoipertestuale"/>
          </w:rPr>
          <w:t>39</w:t>
        </w:r>
      </w:hyperlink>
      <w:r w:rsidR="00DF001F">
        <w:t>]</w:t>
      </w:r>
      <w:r>
        <w:t>.</w:t>
      </w:r>
    </w:p>
    <w:p w:rsidR="00B82082" w:rsidRDefault="00B82082" w:rsidP="00B82082">
      <w:pPr>
        <w:pStyle w:val="MDPI22heading2"/>
        <w:spacing w:before="240"/>
      </w:pPr>
      <w:r>
        <w:lastRenderedPageBreak/>
        <w:t>2.5.</w:t>
      </w:r>
      <w:r>
        <w:tab/>
        <w:t>Uncertainty and Sensitivity Analysis</w:t>
      </w:r>
    </w:p>
    <w:p w:rsidR="00B82082" w:rsidRDefault="00B82082" w:rsidP="00B82082">
      <w:pPr>
        <w:pStyle w:val="MDPI31text"/>
      </w:pPr>
      <w:r>
        <w:t>To calculate</w:t>
      </w:r>
      <w:r w:rsidR="00695BCD">
        <w:t xml:space="preserve"> the model uncertainty, the Li </w:t>
      </w:r>
      <w:r>
        <w:t xml:space="preserve">et al. </w:t>
      </w:r>
      <w:r w:rsidR="00695BCD">
        <w:t>[</w:t>
      </w:r>
      <w:hyperlink w:anchor="Li_2021" w:history="1">
        <w:r w:rsidR="00695BCD" w:rsidRPr="00695BCD">
          <w:rPr>
            <w:rStyle w:val="Collegamentoipertestuale"/>
          </w:rPr>
          <w:t>3</w:t>
        </w:r>
      </w:hyperlink>
      <w:r w:rsidR="00695BCD">
        <w:t>]</w:t>
      </w:r>
      <w:r w:rsidR="00B20394">
        <w:t xml:space="preserve"> error propagation formula</w:t>
      </w:r>
      <w:r>
        <w:t xml:space="preserve"> was employed, where </w:t>
      </w:r>
      <w:r w:rsidR="003E4610">
        <w:t xml:space="preserve">the </w:t>
      </w:r>
      <w:r>
        <w:t xml:space="preserve">uncertainty is expressed as </w:t>
      </w:r>
      <w:r w:rsidR="003E4610">
        <w:t xml:space="preserve">the </w:t>
      </w:r>
      <w:r>
        <w:t>relative standard deviation</w:t>
      </w:r>
      <w:r w:rsidR="00792EB7">
        <w:t xml:space="preserve"> (RSD). The formula incorporates</w:t>
      </w:r>
      <w:r>
        <w:t xml:space="preserve"> the relative standard deviations of each model’s parameter. These uncertainty values </w:t>
      </w:r>
      <w:r w:rsidR="00792EB7">
        <w:t>were</w:t>
      </w:r>
      <w:r w:rsidR="003B1504">
        <w:t xml:space="preserve"> derived from </w:t>
      </w:r>
      <w:r w:rsidR="003E4610">
        <w:t xml:space="preserve">the </w:t>
      </w:r>
      <w:r w:rsidR="003B1504">
        <w:t xml:space="preserve">literature </w:t>
      </w:r>
      <w:r>
        <w:t>(</w:t>
      </w:r>
      <w:r w:rsidR="00B20394">
        <w:t>Section S4</w:t>
      </w:r>
      <w:r>
        <w:t>)</w:t>
      </w:r>
      <w:r w:rsidR="003B1504">
        <w:t>.</w:t>
      </w:r>
    </w:p>
    <w:p w:rsidR="00B82082" w:rsidRDefault="00B82082" w:rsidP="00B82082">
      <w:pPr>
        <w:pStyle w:val="MDPI31text"/>
      </w:pPr>
      <w:r>
        <w:t>The total number of cases is included in the formula because the uncertainty assoc</w:t>
      </w:r>
      <w:r>
        <w:t>i</w:t>
      </w:r>
      <w:r>
        <w:t xml:space="preserve">ated </w:t>
      </w:r>
      <w:r w:rsidR="003E4610">
        <w:t>with</w:t>
      </w:r>
      <w:r>
        <w:t xml:space="preserve"> the shedding rate and the mass of </w:t>
      </w:r>
      <w:r w:rsidR="003E4610">
        <w:t>faces</w:t>
      </w:r>
      <w:r>
        <w:t xml:space="preserve"> of each individual decreases as the number of infected individuals increases: beyond 10 cases, the impact of these unce</w:t>
      </w:r>
      <w:r>
        <w:t>r</w:t>
      </w:r>
      <w:r>
        <w:t>tainty values on the total uncertainty becomes limited</w:t>
      </w:r>
      <w:r w:rsidR="00695BCD">
        <w:t xml:space="preserve"> [</w:t>
      </w:r>
      <w:hyperlink w:anchor="Li_2021" w:history="1">
        <w:r w:rsidR="00695BCD" w:rsidRPr="00695BCD">
          <w:rPr>
            <w:rStyle w:val="Collegamentoipertestuale"/>
          </w:rPr>
          <w:t>3</w:t>
        </w:r>
      </w:hyperlink>
      <w:r w:rsidR="00695BCD">
        <w:t>]</w:t>
      </w:r>
      <w:r>
        <w:t>.</w:t>
      </w:r>
    </w:p>
    <w:p w:rsidR="00B82082" w:rsidRDefault="00B82082" w:rsidP="00B82082">
      <w:pPr>
        <w:pStyle w:val="MDPI31text"/>
      </w:pPr>
      <w:r>
        <w:t>The uncertainty a</w:t>
      </w:r>
      <w:r w:rsidR="003E4610">
        <w:t>ssociated with the model results</w:t>
      </w:r>
      <w:r>
        <w:t xml:space="preserve"> varied from 0.81 RSD to 0.33 RSD depending on the total number of inf</w:t>
      </w:r>
      <w:r w:rsidR="00B20394">
        <w:t>ected individuals in the area.</w:t>
      </w:r>
    </w:p>
    <w:p w:rsidR="00B82082" w:rsidRDefault="00B82082" w:rsidP="00B82082">
      <w:pPr>
        <w:pStyle w:val="MDPI31text"/>
      </w:pPr>
      <w:r>
        <w:t>The u</w:t>
      </w:r>
      <w:r w:rsidR="00792EB7">
        <w:t>nknown variable (IR(t)) exhibited</w:t>
      </w:r>
      <w:r>
        <w:t xml:space="preserve"> </w:t>
      </w:r>
      <w:r w:rsidR="003E4610">
        <w:t xml:space="preserve">a </w:t>
      </w:r>
      <w:r>
        <w:t>linear dependency on all model param</w:t>
      </w:r>
      <w:r>
        <w:t>e</w:t>
      </w:r>
      <w:r>
        <w:t xml:space="preserve">ters except k and </w:t>
      </w:r>
      <w:r>
        <w:rPr>
          <w:rFonts w:ascii="Times New Roman" w:hAnsi="Times New Roman"/>
        </w:rPr>
        <w:t>ϴ</w:t>
      </w:r>
      <w:r>
        <w:t>. Therefore</w:t>
      </w:r>
      <w:r w:rsidR="003E4610">
        <w:t>,</w:t>
      </w:r>
      <w:r>
        <w:t xml:space="preserve"> a 1% variation in one of the parameters result</w:t>
      </w:r>
      <w:r w:rsidR="00792EB7">
        <w:t>ed</w:t>
      </w:r>
      <w:r>
        <w:t xml:space="preserve"> in a co</w:t>
      </w:r>
      <w:r>
        <w:t>r</w:t>
      </w:r>
      <w:r>
        <w:t>responding variation in IR</w:t>
      </w:r>
      <w:r w:rsidR="00FA21D8">
        <w:t>(t)</w:t>
      </w:r>
      <w:r>
        <w:t xml:space="preserve"> of ±1%</w:t>
      </w:r>
      <w:r w:rsidR="003E4610">
        <w:t>,</w:t>
      </w:r>
      <w:r>
        <w:t xml:space="preserve"> while for a 1% increase in k or </w:t>
      </w:r>
      <w:r>
        <w:rPr>
          <w:rFonts w:ascii="Times New Roman" w:hAnsi="Times New Roman"/>
        </w:rPr>
        <w:t>ϴ</w:t>
      </w:r>
      <w:r>
        <w:t>, the corresponding increase in IR</w:t>
      </w:r>
      <w:r w:rsidR="00FA21D8">
        <w:t>(t)</w:t>
      </w:r>
      <w:r>
        <w:t xml:space="preserve"> </w:t>
      </w:r>
      <w:r w:rsidR="00792EB7">
        <w:t>was</w:t>
      </w:r>
      <w:r>
        <w:t xml:space="preserve"> 0.35%. (</w:t>
      </w:r>
      <w:r w:rsidR="003B1504">
        <w:t>Eq. S9</w:t>
      </w:r>
      <w:r>
        <w:t>)</w:t>
      </w:r>
    </w:p>
    <w:p w:rsidR="00522304" w:rsidRPr="001F31D1" w:rsidRDefault="00522304" w:rsidP="00D81521">
      <w:pPr>
        <w:pStyle w:val="MDPI21heading1"/>
      </w:pPr>
      <w:r w:rsidRPr="001F31D1">
        <w:t>3. Results</w:t>
      </w:r>
    </w:p>
    <w:p w:rsidR="00B82082" w:rsidRDefault="00B82082" w:rsidP="00183AB8">
      <w:pPr>
        <w:pStyle w:val="MDPI22heading2"/>
        <w:spacing w:before="240"/>
      </w:pPr>
      <w:r w:rsidRPr="00B82082">
        <w:t>3.1.</w:t>
      </w:r>
      <w:r w:rsidRPr="00B82082">
        <w:tab/>
        <w:t>Effect of Biodegradation</w:t>
      </w:r>
    </w:p>
    <w:p w:rsidR="00B82082" w:rsidRPr="00B82082" w:rsidRDefault="00B82082" w:rsidP="00B82082">
      <w:pPr>
        <w:pStyle w:val="MDPI31text"/>
      </w:pPr>
      <w:r w:rsidRPr="00B82082">
        <w:t xml:space="preserve">More than half of the considered areas were </w:t>
      </w:r>
      <w:r w:rsidR="00287267">
        <w:t>located</w:t>
      </w:r>
      <w:r w:rsidRPr="00B82082">
        <w:t xml:space="preserve"> within an effective distance range of 10 to 18 km from the WWTP (corresponding hydraulic residence time: 3.5 - 6 h)</w:t>
      </w:r>
      <w:r w:rsidR="00287267">
        <w:t>. T</w:t>
      </w:r>
      <w:r w:rsidRPr="00B82082">
        <w:t xml:space="preserve">he virus load produced in these areas </w:t>
      </w:r>
      <w:r w:rsidR="003E4610" w:rsidRPr="003E4610">
        <w:t>decreased by</w:t>
      </w:r>
      <w:r w:rsidRPr="00B82082">
        <w:t xml:space="preserve"> 30 - 45% along the path in the sewer network</w:t>
      </w:r>
      <w:r w:rsidR="00287267">
        <w:t xml:space="preserve"> due to biodegradation</w:t>
      </w:r>
      <w:r w:rsidRPr="00B82082">
        <w:t xml:space="preserve">. </w:t>
      </w:r>
      <w:r w:rsidR="00287267">
        <w:t>Virus loss</w:t>
      </w:r>
      <w:r w:rsidRPr="00B82082">
        <w:t xml:space="preserve"> </w:t>
      </w:r>
      <w:r w:rsidR="003E4610">
        <w:t>was</w:t>
      </w:r>
      <w:r w:rsidRPr="00B82082">
        <w:t xml:space="preserve"> highly signif</w:t>
      </w:r>
      <w:r w:rsidR="009C735C">
        <w:t>icant (60 - 70%) for the areas wi</w:t>
      </w:r>
      <w:r w:rsidRPr="00B82082">
        <w:t>t</w:t>
      </w:r>
      <w:r w:rsidR="009C735C">
        <w:t>h</w:t>
      </w:r>
      <w:r w:rsidRPr="00B82082">
        <w:t xml:space="preserve"> the greatest effective distance</w:t>
      </w:r>
      <w:r w:rsidR="00287267">
        <w:t xml:space="preserve"> (&gt;</w:t>
      </w:r>
      <w:r w:rsidR="00487181">
        <w:t xml:space="preserve"> </w:t>
      </w:r>
      <w:r w:rsidR="00287267">
        <w:t>30km)</w:t>
      </w:r>
      <w:r w:rsidRPr="00B82082">
        <w:t xml:space="preserve"> from the WWTP</w:t>
      </w:r>
      <w:r w:rsidR="00E64463">
        <w:t xml:space="preserve"> </w:t>
      </w:r>
      <w:r w:rsidR="00E64463" w:rsidRPr="00B82082">
        <w:t>(Table</w:t>
      </w:r>
      <w:r w:rsidR="00E64463">
        <w:t xml:space="preserve"> 1,Figure 2</w:t>
      </w:r>
      <w:r w:rsidR="00E64463" w:rsidRPr="00B82082">
        <w:t>)</w:t>
      </w:r>
      <w:r w:rsidRPr="00B82082">
        <w:t>. Howe</w:t>
      </w:r>
      <w:r w:rsidRPr="00B82082">
        <w:t>v</w:t>
      </w:r>
      <w:r w:rsidRPr="00B82082">
        <w:t xml:space="preserve">er, in these areas, the </w:t>
      </w:r>
      <w:r w:rsidR="00287267">
        <w:t>population density wa</w:t>
      </w:r>
      <w:r w:rsidR="00E64463">
        <w:t>s very low.</w:t>
      </w:r>
    </w:p>
    <w:p w:rsidR="00B82082" w:rsidRDefault="00B82082" w:rsidP="00B82082">
      <w:pPr>
        <w:pStyle w:val="MDPI31text"/>
      </w:pPr>
      <w:r w:rsidRPr="00B82082">
        <w:t>The ratio between the SARS-CoV-2 RNA load measured at the WWTP and that generated in the areas of the basin before being i</w:t>
      </w:r>
      <w:r w:rsidR="00F5675A">
        <w:t>ntroduced into the sewer system and thus biodegraded</w:t>
      </w:r>
      <w:r w:rsidRPr="00B82082">
        <w:t xml:space="preserve"> is independent o</w:t>
      </w:r>
      <w:r w:rsidR="00F47272">
        <w:t xml:space="preserve">f time and can be expressed as </w:t>
      </w:r>
      <w:r w:rsidR="00F47272" w:rsidRPr="00B82082">
        <w:t>(</w:t>
      </w:r>
      <w:r w:rsidR="00F47272">
        <w:t>Eq. 6</w:t>
      </w:r>
      <w:r w:rsidR="00F47272" w:rsidRPr="00B82082">
        <w:t>)</w:t>
      </w:r>
      <w:r w:rsidR="00F47272">
        <w:t>:</w:t>
      </w:r>
    </w:p>
    <w:tbl>
      <w:tblPr>
        <w:tblW w:w="7859" w:type="dxa"/>
        <w:tblInd w:w="2608" w:type="dxa"/>
        <w:tblCellMar>
          <w:left w:w="0" w:type="dxa"/>
          <w:right w:w="0" w:type="dxa"/>
        </w:tblCellMar>
        <w:tblLook w:val="04A0"/>
      </w:tblPr>
      <w:tblGrid>
        <w:gridCol w:w="7428"/>
        <w:gridCol w:w="431"/>
      </w:tblGrid>
      <w:tr w:rsidR="00B82082" w:rsidRPr="006331AD" w:rsidTr="00D63F7E">
        <w:tc>
          <w:tcPr>
            <w:tcW w:w="7428" w:type="dxa"/>
          </w:tcPr>
          <w:p w:rsidR="00B82082" w:rsidRPr="00B82082" w:rsidRDefault="009F0FD2" w:rsidP="00D63F7E">
            <w:pPr>
              <w:rPr>
                <w:rFonts w:eastAsiaTheme="minorEastAsia"/>
              </w:rPr>
            </w:pPr>
            <m:oMathPara>
              <m:oMath>
                <m:f>
                  <m:fPr>
                    <m:ctrlPr>
                      <w:rPr>
                        <w:rFonts w:ascii="Cambria Math" w:hAnsi="Cambria Math"/>
                      </w:rPr>
                    </m:ctrlPr>
                  </m:fPr>
                  <m:num>
                    <m:nary>
                      <m:naryPr>
                        <m:chr m:val="∑"/>
                        <m:supHide m:val="on"/>
                        <m:ctrlPr>
                          <w:rPr>
                            <w:rFonts w:ascii="Cambria Math" w:hAnsi="Cambria Math"/>
                          </w:rPr>
                        </m:ctrlPr>
                      </m:naryPr>
                      <m:sub>
                        <m:r>
                          <w:rPr>
                            <w:rFonts w:ascii="Cambria Math" w:hAnsi="Cambria Math"/>
                          </w:rPr>
                          <m:t>i</m:t>
                        </m:r>
                      </m:sub>
                      <m:sup/>
                      <m:e>
                        <m:sSub>
                          <m:sSubPr>
                            <m:ctrlPr>
                              <w:rPr>
                                <w:rFonts w:ascii="Cambria Math" w:hAnsi="Cambria Math"/>
                              </w:rPr>
                            </m:ctrlPr>
                          </m:sSubPr>
                          <m:e>
                            <m:r>
                              <w:rPr>
                                <w:rFonts w:ascii="Cambria Math" w:hAnsi="Cambria Math"/>
                              </w:rPr>
                              <m:t>P</m:t>
                            </m:r>
                          </m:e>
                          <m:sub>
                            <m:r>
                              <w:rPr>
                                <w:rFonts w:ascii="Cambria Math" w:hAnsi="Cambria Math"/>
                              </w:rPr>
                              <m:t>i</m:t>
                            </m:r>
                          </m:sub>
                        </m:sSub>
                        <m:sSup>
                          <m:sSupPr>
                            <m:ctrlPr>
                              <w:rPr>
                                <w:rFonts w:ascii="Cambria Math" w:hAnsi="Cambria Math"/>
                              </w:rPr>
                            </m:ctrlPr>
                          </m:sSupPr>
                          <m:e>
                            <m:r>
                              <m:rPr>
                                <m:sty m:val="p"/>
                              </m:rPr>
                              <w:rPr>
                                <w:rFonts w:ascii="Cambria Math" w:hAnsi="Cambria Math"/>
                              </w:rPr>
                              <m:t>∙</m:t>
                            </m:r>
                            <m:r>
                              <w:rPr>
                                <w:rFonts w:ascii="Cambria Math" w:hAnsi="Cambria Math"/>
                              </w:rPr>
                              <m:t>e</m:t>
                            </m:r>
                          </m:e>
                          <m:sup>
                            <m:r>
                              <m:rPr>
                                <m:sty m:val="p"/>
                              </m:rPr>
                              <w:rPr>
                                <w:rFonts w:ascii="Cambria Math" w:hAnsi="Cambria Math"/>
                              </w:rPr>
                              <m:t>-</m:t>
                            </m:r>
                            <m:r>
                              <w:rPr>
                                <w:rFonts w:ascii="Cambria Math" w:hAnsi="Cambria Math"/>
                              </w:rPr>
                              <m:t>k</m:t>
                            </m:r>
                            <m:sSub>
                              <m:sSubPr>
                                <m:ctrlPr>
                                  <w:rPr>
                                    <w:rFonts w:ascii="Cambria Math" w:hAnsi="Cambria Math"/>
                                  </w:rPr>
                                </m:ctrlPr>
                              </m:sSubPr>
                              <m:e>
                                <m:r>
                                  <w:rPr>
                                    <w:rFonts w:ascii="Cambria Math" w:hAnsi="Cambria Math"/>
                                  </w:rPr>
                                  <m:t>ϴ</m:t>
                                </m:r>
                              </m:e>
                              <m:sub>
                                <m:r>
                                  <w:rPr>
                                    <w:rFonts w:ascii="Cambria Math" w:hAnsi="Cambria Math"/>
                                  </w:rPr>
                                  <m:t>i</m:t>
                                </m:r>
                              </m:sub>
                            </m:sSub>
                          </m:sup>
                        </m:sSup>
                        <m:r>
                          <m:rPr>
                            <m:sty m:val="p"/>
                          </m:rPr>
                          <w:rPr>
                            <w:rFonts w:ascii="Cambria Math" w:hAnsi="Cambria Math"/>
                          </w:rPr>
                          <m:t>∙</m:t>
                        </m:r>
                        <m:sSub>
                          <m:sSubPr>
                            <m:ctrlPr>
                              <w:rPr>
                                <w:rFonts w:ascii="Cambria Math" w:hAnsi="Cambria Math"/>
                              </w:rPr>
                            </m:ctrlPr>
                          </m:sSubPr>
                          <m:e>
                            <m:r>
                              <w:rPr>
                                <w:rFonts w:ascii="Cambria Math" w:hAnsi="Cambria Math"/>
                              </w:rPr>
                              <m:t>W</m:t>
                            </m:r>
                          </m:e>
                          <m:sub>
                            <m:r>
                              <w:rPr>
                                <w:rFonts w:ascii="Cambria Math" w:hAnsi="Cambria Math"/>
                              </w:rPr>
                              <m:t>i</m:t>
                            </m:r>
                          </m:sub>
                        </m:sSub>
                      </m:e>
                    </m:nary>
                  </m:num>
                  <m:den>
                    <m:nary>
                      <m:naryPr>
                        <m:chr m:val="∑"/>
                        <m:supHide m:val="on"/>
                        <m:ctrlPr>
                          <w:rPr>
                            <w:rFonts w:ascii="Cambria Math" w:hAnsi="Cambria Math"/>
                          </w:rPr>
                        </m:ctrlPr>
                      </m:naryPr>
                      <m:sub>
                        <m:r>
                          <w:rPr>
                            <w:rFonts w:ascii="Cambria Math" w:hAnsi="Cambria Math"/>
                          </w:rPr>
                          <m:t>i</m:t>
                        </m:r>
                      </m:sub>
                      <m:sup/>
                      <m:e>
                        <m:sSub>
                          <m:sSubPr>
                            <m:ctrlPr>
                              <w:rPr>
                                <w:rFonts w:ascii="Cambria Math" w:hAnsi="Cambria Math"/>
                              </w:rPr>
                            </m:ctrlPr>
                          </m:sSubPr>
                          <m:e>
                            <m:r>
                              <w:rPr>
                                <w:rFonts w:ascii="Cambria Math" w:hAnsi="Cambria Math"/>
                              </w:rPr>
                              <m:t>P</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W</m:t>
                            </m:r>
                          </m:e>
                          <m:sub>
                            <m:r>
                              <w:rPr>
                                <w:rFonts w:ascii="Cambria Math" w:hAnsi="Cambria Math"/>
                              </w:rPr>
                              <m:t>i</m:t>
                            </m:r>
                          </m:sub>
                        </m:sSub>
                      </m:e>
                    </m:nary>
                  </m:den>
                </m:f>
              </m:oMath>
            </m:oMathPara>
          </w:p>
        </w:tc>
        <w:tc>
          <w:tcPr>
            <w:tcW w:w="431" w:type="dxa"/>
            <w:vAlign w:val="center"/>
          </w:tcPr>
          <w:p w:rsidR="00B82082" w:rsidRPr="003030D2" w:rsidRDefault="00B82082" w:rsidP="00B82082">
            <w:pPr>
              <w:pStyle w:val="MDPI3aequationnumber"/>
              <w:spacing w:line="260" w:lineRule="atLeast"/>
            </w:pPr>
            <w:r w:rsidRPr="003030D2">
              <w:t>(</w:t>
            </w:r>
            <w:r>
              <w:t>6</w:t>
            </w:r>
            <w:r w:rsidRPr="003030D2">
              <w:t>)</w:t>
            </w:r>
          </w:p>
        </w:tc>
      </w:tr>
    </w:tbl>
    <w:p w:rsidR="00B82082" w:rsidRDefault="00F5675A" w:rsidP="00B82082">
      <w:pPr>
        <w:pStyle w:val="MDPI31text"/>
      </w:pPr>
      <w:r>
        <w:t>At</w:t>
      </w:r>
      <w:r w:rsidR="00B82082">
        <w:t xml:space="preserve"> 16 °C, the ratio </w:t>
      </w:r>
      <w:r>
        <w:t>was</w:t>
      </w:r>
      <w:r w:rsidR="00B82082">
        <w:t xml:space="preserve"> 0.694, a</w:t>
      </w:r>
      <w:r>
        <w:t>nd this value slightly decreased</w:t>
      </w:r>
      <w:r w:rsidR="00B82082">
        <w:t xml:space="preserve"> as</w:t>
      </w:r>
      <w:r>
        <w:t xml:space="preserve"> k increased</w:t>
      </w:r>
      <w:r w:rsidR="00B82082">
        <w:t>.</w:t>
      </w:r>
      <w:r w:rsidR="009A63E8">
        <w:t xml:space="preserve"> </w:t>
      </w:r>
      <w:r w:rsidR="00B82082">
        <w:t xml:space="preserve">Therefore, the </w:t>
      </w:r>
      <w:r w:rsidR="009C735C">
        <w:t xml:space="preserve">virus load </w:t>
      </w:r>
      <w:r w:rsidR="00B82082">
        <w:t xml:space="preserve">detected at the WWTP </w:t>
      </w:r>
      <w:r>
        <w:t>was</w:t>
      </w:r>
      <w:r w:rsidR="00B82082">
        <w:t xml:space="preserve"> approximately 70% of </w:t>
      </w:r>
      <w:r>
        <w:t>that</w:t>
      </w:r>
      <w:r w:rsidR="00B82082">
        <w:t xml:space="preserve"> actually produced in the study area.</w:t>
      </w:r>
    </w:p>
    <w:p w:rsidR="00461F43" w:rsidRPr="00461F43" w:rsidRDefault="0092538A" w:rsidP="00461F43">
      <w:pPr>
        <w:pStyle w:val="MDPI41tablecaption"/>
        <w:rPr>
          <w:b/>
        </w:rPr>
      </w:pPr>
      <w:r w:rsidRPr="00461F43">
        <w:rPr>
          <w:b/>
        </w:rPr>
        <w:t>Table</w:t>
      </w:r>
      <w:r w:rsidR="00461F43" w:rsidRPr="00461F43">
        <w:rPr>
          <w:b/>
        </w:rPr>
        <w:t xml:space="preserve"> </w:t>
      </w:r>
      <w:r w:rsidR="009F0FD2" w:rsidRPr="00461F43">
        <w:rPr>
          <w:b/>
        </w:rPr>
        <w:fldChar w:fldCharType="begin"/>
      </w:r>
      <w:r w:rsidR="00461F43" w:rsidRPr="00461F43">
        <w:rPr>
          <w:b/>
        </w:rPr>
        <w:instrText xml:space="preserve"> SEQ Tabella \* ARABIC </w:instrText>
      </w:r>
      <w:r w:rsidR="009F0FD2" w:rsidRPr="00461F43">
        <w:rPr>
          <w:b/>
        </w:rPr>
        <w:fldChar w:fldCharType="separate"/>
      </w:r>
      <w:r w:rsidR="00135BAB">
        <w:rPr>
          <w:b/>
          <w:noProof/>
        </w:rPr>
        <w:t>1</w:t>
      </w:r>
      <w:r w:rsidR="009F0FD2" w:rsidRPr="00461F43">
        <w:rPr>
          <w:b/>
        </w:rPr>
        <w:fldChar w:fldCharType="end"/>
      </w:r>
      <w:r w:rsidR="00461F43" w:rsidRPr="00461F43">
        <w:rPr>
          <w:b/>
        </w:rPr>
        <w:t xml:space="preserve"> </w:t>
      </w:r>
      <w:r w:rsidR="00461F43" w:rsidRPr="00461F43">
        <w:t>Maximum, minimum, median, standard deviation, 25th percentile and 75th perce</w:t>
      </w:r>
      <w:r w:rsidR="00F5675A">
        <w:t>ntile values of the following: l</w:t>
      </w:r>
      <w:r w:rsidR="00461F43" w:rsidRPr="00461F43">
        <w:t xml:space="preserve">inear distance of </w:t>
      </w:r>
      <w:proofErr w:type="spellStart"/>
      <w:r w:rsidR="00461F43" w:rsidRPr="00461F43">
        <w:t>centroids</w:t>
      </w:r>
      <w:proofErr w:type="spellEnd"/>
      <w:r w:rsidR="00461F43" w:rsidRPr="00461F43">
        <w:t xml:space="preserve"> from the WWTP [km], effective distance (ca</w:t>
      </w:r>
      <w:r w:rsidR="00461F43" w:rsidRPr="00461F43">
        <w:t>l</w:t>
      </w:r>
      <w:r w:rsidR="00461F43" w:rsidRPr="00461F43">
        <w:t>culated along the sewer network) of centroids from the WWTP (Di [km]), hydraulic residence time (</w:t>
      </w:r>
      <w:r w:rsidR="00F5675A" w:rsidRPr="00F5675A">
        <w:rPr>
          <w:rFonts w:ascii="Times New Roman" w:hAnsi="Times New Roman" w:cs="Times New Roman"/>
        </w:rPr>
        <w:t>ϴ</w:t>
      </w:r>
      <w:proofErr w:type="spellStart"/>
      <w:r w:rsidR="00461F43" w:rsidRPr="00F5675A">
        <w:rPr>
          <w:vertAlign w:val="subscript"/>
        </w:rPr>
        <w:t>i</w:t>
      </w:r>
      <w:proofErr w:type="spellEnd"/>
      <w:r w:rsidR="00461F43" w:rsidRPr="00461F43">
        <w:t xml:space="preserve"> [h]), </w:t>
      </w:r>
      <w:r w:rsidR="00F5675A">
        <w:t xml:space="preserve">and </w:t>
      </w:r>
      <w:r w:rsidR="00461F43" w:rsidRPr="00461F43">
        <w:t>biodegradation (1- e</w:t>
      </w:r>
      <w:r w:rsidR="00461F43" w:rsidRPr="00EC1FE2">
        <w:rPr>
          <w:vertAlign w:val="superscript"/>
        </w:rPr>
        <w:t>-</w:t>
      </w:r>
      <w:proofErr w:type="spellStart"/>
      <w:r w:rsidR="00461F43" w:rsidRPr="00EC1FE2">
        <w:rPr>
          <w:vertAlign w:val="superscript"/>
        </w:rPr>
        <w:t>k</w:t>
      </w:r>
      <w:r w:rsidR="00EC1FE2" w:rsidRPr="00EC1FE2">
        <w:rPr>
          <w:rFonts w:ascii="Times New Roman" w:hAnsi="Times New Roman" w:cs="Times New Roman"/>
          <w:vertAlign w:val="superscript"/>
        </w:rPr>
        <w:t>ϴ</w:t>
      </w:r>
      <w:r w:rsidR="00461F43" w:rsidRPr="00EC1FE2">
        <w:rPr>
          <w:vertAlign w:val="superscript"/>
        </w:rPr>
        <w:t>i</w:t>
      </w:r>
      <w:proofErr w:type="spellEnd"/>
      <w:r w:rsidR="00461F43" w:rsidRPr="00461F43">
        <w:t xml:space="preserve"> [%]) varying with the biodegradation constant k.</w:t>
      </w:r>
    </w:p>
    <w:tbl>
      <w:tblPr>
        <w:tblW w:w="7747" w:type="dxa"/>
        <w:tblInd w:w="2608" w:type="dxa"/>
        <w:tblBorders>
          <w:top w:val="single" w:sz="4" w:space="0" w:color="auto"/>
        </w:tblBorders>
        <w:tblLayout w:type="fixed"/>
        <w:tblCellMar>
          <w:left w:w="0" w:type="dxa"/>
          <w:right w:w="0" w:type="dxa"/>
        </w:tblCellMar>
        <w:tblLook w:val="04A0"/>
      </w:tblPr>
      <w:tblGrid>
        <w:gridCol w:w="2619"/>
        <w:gridCol w:w="874"/>
        <w:gridCol w:w="850"/>
        <w:gridCol w:w="851"/>
        <w:gridCol w:w="851"/>
        <w:gridCol w:w="851"/>
        <w:gridCol w:w="851"/>
      </w:tblGrid>
      <w:tr w:rsidR="00461F43" w:rsidRPr="006331AD" w:rsidTr="00461F43">
        <w:tc>
          <w:tcPr>
            <w:tcW w:w="2619" w:type="dxa"/>
            <w:tcBorders>
              <w:top w:val="single" w:sz="4" w:space="0" w:color="auto"/>
              <w:bottom w:val="single" w:sz="4" w:space="0" w:color="auto"/>
            </w:tcBorders>
            <w:shd w:val="clear" w:color="auto" w:fill="auto"/>
            <w:vAlign w:val="center"/>
          </w:tcPr>
          <w:p w:rsidR="00461F43" w:rsidRPr="007F7C8C" w:rsidRDefault="00461F43" w:rsidP="00D63F7E">
            <w:pPr>
              <w:pStyle w:val="MDPI42tablebody"/>
              <w:spacing w:line="240" w:lineRule="auto"/>
              <w:rPr>
                <w:b/>
                <w:snapToGrid/>
              </w:rPr>
            </w:pPr>
          </w:p>
        </w:tc>
        <w:tc>
          <w:tcPr>
            <w:tcW w:w="874" w:type="dxa"/>
            <w:tcBorders>
              <w:top w:val="single" w:sz="4" w:space="0" w:color="auto"/>
              <w:bottom w:val="single" w:sz="4" w:space="0" w:color="auto"/>
            </w:tcBorders>
            <w:shd w:val="clear" w:color="auto" w:fill="auto"/>
            <w:vAlign w:val="center"/>
          </w:tcPr>
          <w:p w:rsidR="00461F43" w:rsidRPr="007F7C8C" w:rsidRDefault="00461F43" w:rsidP="00461F43">
            <w:pPr>
              <w:pStyle w:val="MDPI42tablebody"/>
              <w:spacing w:line="240" w:lineRule="auto"/>
              <w:rPr>
                <w:b/>
                <w:snapToGrid/>
              </w:rPr>
            </w:pPr>
            <w:r>
              <w:rPr>
                <w:b/>
                <w:snapToGrid/>
              </w:rPr>
              <w:t>max</w:t>
            </w:r>
          </w:p>
        </w:tc>
        <w:tc>
          <w:tcPr>
            <w:tcW w:w="850" w:type="dxa"/>
            <w:tcBorders>
              <w:top w:val="single" w:sz="4" w:space="0" w:color="auto"/>
              <w:bottom w:val="single" w:sz="4" w:space="0" w:color="auto"/>
            </w:tcBorders>
            <w:shd w:val="clear" w:color="auto" w:fill="auto"/>
            <w:vAlign w:val="center"/>
          </w:tcPr>
          <w:p w:rsidR="00461F43" w:rsidRPr="007F7C8C" w:rsidRDefault="00461F43" w:rsidP="00461F43">
            <w:pPr>
              <w:pStyle w:val="MDPI42tablebody"/>
              <w:spacing w:line="240" w:lineRule="auto"/>
              <w:rPr>
                <w:b/>
                <w:snapToGrid/>
              </w:rPr>
            </w:pPr>
            <w:r>
              <w:rPr>
                <w:b/>
                <w:snapToGrid/>
              </w:rPr>
              <w:t>min</w:t>
            </w:r>
          </w:p>
        </w:tc>
        <w:tc>
          <w:tcPr>
            <w:tcW w:w="851" w:type="dxa"/>
            <w:tcBorders>
              <w:top w:val="single" w:sz="4" w:space="0" w:color="auto"/>
              <w:bottom w:val="single" w:sz="4" w:space="0" w:color="auto"/>
            </w:tcBorders>
            <w:vAlign w:val="center"/>
          </w:tcPr>
          <w:p w:rsidR="00461F43" w:rsidRDefault="00461F43" w:rsidP="00461F43">
            <w:pPr>
              <w:pStyle w:val="MDPI42tablebody"/>
              <w:spacing w:line="240" w:lineRule="auto"/>
              <w:rPr>
                <w:b/>
                <w:snapToGrid/>
              </w:rPr>
            </w:pPr>
            <w:r w:rsidRPr="00461F43">
              <w:rPr>
                <w:b/>
                <w:snapToGrid/>
              </w:rPr>
              <w:t>median</w:t>
            </w:r>
          </w:p>
        </w:tc>
        <w:tc>
          <w:tcPr>
            <w:tcW w:w="851" w:type="dxa"/>
            <w:tcBorders>
              <w:top w:val="single" w:sz="4" w:space="0" w:color="auto"/>
              <w:bottom w:val="single" w:sz="4" w:space="0" w:color="auto"/>
            </w:tcBorders>
            <w:vAlign w:val="center"/>
          </w:tcPr>
          <w:p w:rsidR="00461F43" w:rsidRPr="00461F43" w:rsidRDefault="00461F43" w:rsidP="00461F43">
            <w:pPr>
              <w:pStyle w:val="MDPI42tablebody"/>
              <w:spacing w:line="240" w:lineRule="auto"/>
              <w:rPr>
                <w:b/>
                <w:snapToGrid/>
              </w:rPr>
            </w:pPr>
            <w:r w:rsidRPr="00461F43">
              <w:rPr>
                <w:b/>
                <w:snapToGrid/>
              </w:rPr>
              <w:t>s</w:t>
            </w:r>
            <w:r>
              <w:rPr>
                <w:b/>
                <w:snapToGrid/>
              </w:rPr>
              <w:t>t.</w:t>
            </w:r>
            <w:r w:rsidRPr="00461F43">
              <w:rPr>
                <w:b/>
                <w:snapToGrid/>
              </w:rPr>
              <w:t>dev.</w:t>
            </w:r>
          </w:p>
        </w:tc>
        <w:tc>
          <w:tcPr>
            <w:tcW w:w="851" w:type="dxa"/>
            <w:tcBorders>
              <w:top w:val="single" w:sz="4" w:space="0" w:color="auto"/>
              <w:bottom w:val="single" w:sz="4" w:space="0" w:color="auto"/>
            </w:tcBorders>
            <w:vAlign w:val="center"/>
          </w:tcPr>
          <w:p w:rsidR="00461F43" w:rsidRPr="00461F43" w:rsidRDefault="00461F43" w:rsidP="00461F43">
            <w:pPr>
              <w:jc w:val="center"/>
              <w:rPr>
                <w:rFonts w:eastAsia="Times New Roman"/>
                <w:b/>
                <w:noProof w:val="0"/>
                <w:lang w:eastAsia="de-DE" w:bidi="en-US"/>
              </w:rPr>
            </w:pPr>
            <w:r w:rsidRPr="00461F43">
              <w:rPr>
                <w:rFonts w:eastAsia="Times New Roman"/>
                <w:b/>
                <w:noProof w:val="0"/>
                <w:lang w:eastAsia="de-DE" w:bidi="en-US"/>
              </w:rPr>
              <w:t>25%</w:t>
            </w:r>
          </w:p>
        </w:tc>
        <w:tc>
          <w:tcPr>
            <w:tcW w:w="851" w:type="dxa"/>
            <w:tcBorders>
              <w:top w:val="single" w:sz="4" w:space="0" w:color="auto"/>
              <w:bottom w:val="single" w:sz="4" w:space="0" w:color="auto"/>
            </w:tcBorders>
            <w:vAlign w:val="center"/>
          </w:tcPr>
          <w:p w:rsidR="00461F43" w:rsidRPr="00461F43" w:rsidRDefault="00461F43" w:rsidP="00461F43">
            <w:pPr>
              <w:jc w:val="center"/>
              <w:rPr>
                <w:rFonts w:eastAsia="Times New Roman"/>
                <w:b/>
                <w:noProof w:val="0"/>
                <w:lang w:eastAsia="de-DE" w:bidi="en-US"/>
              </w:rPr>
            </w:pPr>
            <w:r w:rsidRPr="00461F43">
              <w:rPr>
                <w:rFonts w:eastAsia="Times New Roman"/>
                <w:b/>
                <w:noProof w:val="0"/>
                <w:lang w:eastAsia="de-DE" w:bidi="en-US"/>
              </w:rPr>
              <w:t>75%</w:t>
            </w:r>
          </w:p>
        </w:tc>
      </w:tr>
      <w:tr w:rsidR="00461F43" w:rsidRPr="006331AD" w:rsidTr="00461F43">
        <w:tc>
          <w:tcPr>
            <w:tcW w:w="2619" w:type="dxa"/>
            <w:tcBorders>
              <w:top w:val="single" w:sz="4" w:space="0" w:color="auto"/>
            </w:tcBorders>
            <w:shd w:val="clear" w:color="auto" w:fill="auto"/>
            <w:vAlign w:val="center"/>
          </w:tcPr>
          <w:p w:rsidR="00461F43" w:rsidRPr="00F220D4" w:rsidRDefault="00461F43" w:rsidP="00D63F7E">
            <w:pPr>
              <w:pStyle w:val="MDPI42tablebody"/>
              <w:spacing w:line="240" w:lineRule="auto"/>
            </w:pPr>
            <w:r w:rsidRPr="00F47293">
              <w:rPr>
                <w:b/>
              </w:rPr>
              <w:t xml:space="preserve">Linear distance </w:t>
            </w:r>
            <w:proofErr w:type="spellStart"/>
            <w:r w:rsidRPr="00F47293">
              <w:rPr>
                <w:b/>
              </w:rPr>
              <w:t>i</w:t>
            </w:r>
            <w:proofErr w:type="spellEnd"/>
            <w:r w:rsidRPr="00D63F7E">
              <w:t xml:space="preserve"> [km]</w:t>
            </w:r>
          </w:p>
        </w:tc>
        <w:tc>
          <w:tcPr>
            <w:tcW w:w="874" w:type="dxa"/>
            <w:tcBorders>
              <w:top w:val="single" w:sz="4" w:space="0" w:color="auto"/>
            </w:tcBorders>
            <w:shd w:val="clear" w:color="auto" w:fill="auto"/>
            <w:vAlign w:val="center"/>
          </w:tcPr>
          <w:p w:rsidR="00461F43" w:rsidRPr="00471AAA" w:rsidRDefault="00461F43" w:rsidP="00461F43">
            <w:pPr>
              <w:pStyle w:val="MDPI42tablebody"/>
              <w:spacing w:line="240" w:lineRule="auto"/>
            </w:pPr>
            <w:r w:rsidRPr="00471AAA">
              <w:t>26.7</w:t>
            </w:r>
          </w:p>
        </w:tc>
        <w:tc>
          <w:tcPr>
            <w:tcW w:w="850" w:type="dxa"/>
            <w:tcBorders>
              <w:top w:val="single" w:sz="4" w:space="0" w:color="auto"/>
            </w:tcBorders>
            <w:shd w:val="clear" w:color="auto" w:fill="auto"/>
            <w:vAlign w:val="center"/>
          </w:tcPr>
          <w:p w:rsidR="00461F43" w:rsidRPr="00471AAA" w:rsidRDefault="00461F43" w:rsidP="00461F43">
            <w:pPr>
              <w:pStyle w:val="MDPI42tablebody"/>
              <w:spacing w:line="240" w:lineRule="auto"/>
            </w:pPr>
            <w:r w:rsidRPr="00471AAA">
              <w:t>0.5</w:t>
            </w:r>
          </w:p>
        </w:tc>
        <w:tc>
          <w:tcPr>
            <w:tcW w:w="851" w:type="dxa"/>
            <w:tcBorders>
              <w:top w:val="single" w:sz="4" w:space="0" w:color="auto"/>
            </w:tcBorders>
            <w:vAlign w:val="center"/>
          </w:tcPr>
          <w:p w:rsidR="00461F43" w:rsidRPr="00471AAA" w:rsidRDefault="00461F43" w:rsidP="00461F43">
            <w:pPr>
              <w:pStyle w:val="MDPI42tablebody"/>
              <w:spacing w:line="240" w:lineRule="auto"/>
            </w:pPr>
            <w:r w:rsidRPr="00471AAA">
              <w:t>10.9</w:t>
            </w:r>
          </w:p>
        </w:tc>
        <w:tc>
          <w:tcPr>
            <w:tcW w:w="851" w:type="dxa"/>
            <w:tcBorders>
              <w:top w:val="single" w:sz="4" w:space="0" w:color="auto"/>
            </w:tcBorders>
            <w:vAlign w:val="center"/>
          </w:tcPr>
          <w:p w:rsidR="00461F43" w:rsidRPr="00471AAA" w:rsidRDefault="00461F43" w:rsidP="00461F43">
            <w:pPr>
              <w:pStyle w:val="MDPI42tablebody"/>
              <w:spacing w:line="240" w:lineRule="auto"/>
            </w:pPr>
            <w:r w:rsidRPr="00471AAA">
              <w:t>4.7</w:t>
            </w:r>
          </w:p>
        </w:tc>
        <w:tc>
          <w:tcPr>
            <w:tcW w:w="851" w:type="dxa"/>
            <w:tcBorders>
              <w:top w:val="single" w:sz="4" w:space="0" w:color="auto"/>
            </w:tcBorders>
            <w:vAlign w:val="center"/>
          </w:tcPr>
          <w:p w:rsidR="00461F43" w:rsidRPr="00471AAA" w:rsidRDefault="00461F43" w:rsidP="00461F43">
            <w:pPr>
              <w:pStyle w:val="MDPI42tablebody"/>
              <w:spacing w:line="240" w:lineRule="auto"/>
            </w:pPr>
            <w:r w:rsidRPr="00471AAA">
              <w:t>8.7</w:t>
            </w:r>
          </w:p>
        </w:tc>
        <w:tc>
          <w:tcPr>
            <w:tcW w:w="851" w:type="dxa"/>
            <w:tcBorders>
              <w:top w:val="single" w:sz="4" w:space="0" w:color="auto"/>
            </w:tcBorders>
            <w:vAlign w:val="center"/>
          </w:tcPr>
          <w:p w:rsidR="00461F43" w:rsidRPr="00471AAA" w:rsidRDefault="00461F43" w:rsidP="00461F43">
            <w:pPr>
              <w:pStyle w:val="MDPI42tablebody"/>
              <w:spacing w:line="240" w:lineRule="auto"/>
            </w:pPr>
            <w:r w:rsidRPr="00471AAA">
              <w:t>13.3</w:t>
            </w:r>
          </w:p>
        </w:tc>
      </w:tr>
      <w:tr w:rsidR="00461F43" w:rsidRPr="006331AD" w:rsidTr="00461F43">
        <w:tc>
          <w:tcPr>
            <w:tcW w:w="2619" w:type="dxa"/>
            <w:tcBorders>
              <w:top w:val="nil"/>
            </w:tcBorders>
            <w:shd w:val="clear" w:color="auto" w:fill="auto"/>
            <w:vAlign w:val="center"/>
          </w:tcPr>
          <w:p w:rsidR="00461F43" w:rsidRPr="00F220D4" w:rsidRDefault="00461F43" w:rsidP="00D63F7E">
            <w:pPr>
              <w:pStyle w:val="MDPI42tablebody"/>
              <w:spacing w:line="240" w:lineRule="auto"/>
            </w:pPr>
            <w:r w:rsidRPr="00F47293">
              <w:rPr>
                <w:b/>
              </w:rPr>
              <w:t>Di</w:t>
            </w:r>
            <w:r w:rsidRPr="00D63F7E">
              <w:t xml:space="preserve"> [km]</w:t>
            </w:r>
          </w:p>
        </w:tc>
        <w:tc>
          <w:tcPr>
            <w:tcW w:w="874" w:type="dxa"/>
            <w:tcBorders>
              <w:top w:val="nil"/>
            </w:tcBorders>
            <w:shd w:val="clear" w:color="auto" w:fill="auto"/>
            <w:vAlign w:val="center"/>
          </w:tcPr>
          <w:p w:rsidR="00461F43" w:rsidRPr="00471AAA" w:rsidRDefault="00461F43" w:rsidP="00461F43">
            <w:pPr>
              <w:pStyle w:val="MDPI42tablebody"/>
              <w:spacing w:line="240" w:lineRule="auto"/>
            </w:pPr>
            <w:r w:rsidRPr="00471AAA">
              <w:t>34.4</w:t>
            </w:r>
          </w:p>
        </w:tc>
        <w:tc>
          <w:tcPr>
            <w:tcW w:w="850" w:type="dxa"/>
            <w:tcBorders>
              <w:top w:val="nil"/>
            </w:tcBorders>
            <w:shd w:val="clear" w:color="auto" w:fill="auto"/>
            <w:vAlign w:val="center"/>
          </w:tcPr>
          <w:p w:rsidR="00461F43" w:rsidRPr="00471AAA" w:rsidRDefault="00461F43" w:rsidP="00461F43">
            <w:pPr>
              <w:pStyle w:val="MDPI42tablebody"/>
              <w:spacing w:line="240" w:lineRule="auto"/>
            </w:pPr>
            <w:r w:rsidRPr="00471AAA">
              <w:t>0.8</w:t>
            </w:r>
          </w:p>
        </w:tc>
        <w:tc>
          <w:tcPr>
            <w:tcW w:w="851" w:type="dxa"/>
            <w:tcBorders>
              <w:top w:val="nil"/>
            </w:tcBorders>
            <w:vAlign w:val="center"/>
          </w:tcPr>
          <w:p w:rsidR="00461F43" w:rsidRPr="00471AAA" w:rsidRDefault="00461F43" w:rsidP="00461F43">
            <w:pPr>
              <w:pStyle w:val="MDPI42tablebody"/>
              <w:spacing w:line="240" w:lineRule="auto"/>
            </w:pPr>
            <w:r w:rsidRPr="00471AAA">
              <w:t>14.5</w:t>
            </w:r>
          </w:p>
        </w:tc>
        <w:tc>
          <w:tcPr>
            <w:tcW w:w="851" w:type="dxa"/>
            <w:tcBorders>
              <w:top w:val="nil"/>
            </w:tcBorders>
            <w:vAlign w:val="center"/>
          </w:tcPr>
          <w:p w:rsidR="00461F43" w:rsidRPr="00471AAA" w:rsidRDefault="00461F43" w:rsidP="00461F43">
            <w:pPr>
              <w:pStyle w:val="MDPI42tablebody"/>
              <w:spacing w:line="240" w:lineRule="auto"/>
            </w:pPr>
            <w:r w:rsidRPr="00471AAA">
              <w:t>6.6</w:t>
            </w:r>
          </w:p>
        </w:tc>
        <w:tc>
          <w:tcPr>
            <w:tcW w:w="851" w:type="dxa"/>
            <w:tcBorders>
              <w:top w:val="nil"/>
            </w:tcBorders>
            <w:vAlign w:val="center"/>
          </w:tcPr>
          <w:p w:rsidR="00461F43" w:rsidRPr="00471AAA" w:rsidRDefault="00461F43" w:rsidP="00461F43">
            <w:pPr>
              <w:pStyle w:val="MDPI42tablebody"/>
              <w:spacing w:line="240" w:lineRule="auto"/>
            </w:pPr>
            <w:r w:rsidRPr="00471AAA">
              <w:t>11.8</w:t>
            </w:r>
          </w:p>
        </w:tc>
        <w:tc>
          <w:tcPr>
            <w:tcW w:w="851" w:type="dxa"/>
            <w:tcBorders>
              <w:top w:val="nil"/>
            </w:tcBorders>
            <w:vAlign w:val="center"/>
          </w:tcPr>
          <w:p w:rsidR="00461F43" w:rsidRPr="00471AAA" w:rsidRDefault="00461F43" w:rsidP="00461F43">
            <w:pPr>
              <w:pStyle w:val="MDPI42tablebody"/>
              <w:spacing w:line="240" w:lineRule="auto"/>
            </w:pPr>
            <w:r w:rsidRPr="00471AAA">
              <w:t>18.8</w:t>
            </w:r>
          </w:p>
        </w:tc>
      </w:tr>
      <w:tr w:rsidR="00461F43" w:rsidRPr="006331AD" w:rsidTr="00461F43">
        <w:tc>
          <w:tcPr>
            <w:tcW w:w="2619" w:type="dxa"/>
            <w:tcBorders>
              <w:top w:val="nil"/>
            </w:tcBorders>
            <w:shd w:val="clear" w:color="auto" w:fill="auto"/>
            <w:vAlign w:val="center"/>
          </w:tcPr>
          <w:p w:rsidR="00461F43" w:rsidRPr="00F220D4" w:rsidRDefault="00461F43" w:rsidP="00D63F7E">
            <w:pPr>
              <w:pStyle w:val="MDPI42tablebody"/>
              <w:spacing w:line="240" w:lineRule="auto"/>
            </w:pPr>
            <w:r w:rsidRPr="00F47293">
              <w:rPr>
                <w:rFonts w:ascii="Times New Roman" w:hAnsi="Times New Roman"/>
                <w:b/>
              </w:rPr>
              <w:t>ϴ</w:t>
            </w:r>
            <w:proofErr w:type="spellStart"/>
            <w:r w:rsidRPr="00F47293">
              <w:rPr>
                <w:b/>
              </w:rPr>
              <w:t>i</w:t>
            </w:r>
            <w:proofErr w:type="spellEnd"/>
            <w:r w:rsidRPr="00D63F7E">
              <w:t xml:space="preserve"> [h]</w:t>
            </w:r>
          </w:p>
        </w:tc>
        <w:tc>
          <w:tcPr>
            <w:tcW w:w="874" w:type="dxa"/>
            <w:tcBorders>
              <w:top w:val="nil"/>
            </w:tcBorders>
            <w:shd w:val="clear" w:color="auto" w:fill="auto"/>
            <w:vAlign w:val="center"/>
          </w:tcPr>
          <w:p w:rsidR="00461F43" w:rsidRPr="00471AAA" w:rsidRDefault="00461F43" w:rsidP="00461F43">
            <w:pPr>
              <w:pStyle w:val="MDPI42tablebody"/>
              <w:spacing w:line="240" w:lineRule="auto"/>
            </w:pPr>
            <w:r w:rsidRPr="00471AAA">
              <w:t>11.9</w:t>
            </w:r>
          </w:p>
        </w:tc>
        <w:tc>
          <w:tcPr>
            <w:tcW w:w="850" w:type="dxa"/>
            <w:tcBorders>
              <w:top w:val="nil"/>
            </w:tcBorders>
            <w:shd w:val="clear" w:color="auto" w:fill="auto"/>
            <w:vAlign w:val="center"/>
          </w:tcPr>
          <w:p w:rsidR="00461F43" w:rsidRPr="00471AAA" w:rsidRDefault="00461F43" w:rsidP="00461F43">
            <w:pPr>
              <w:pStyle w:val="MDPI42tablebody"/>
              <w:spacing w:line="240" w:lineRule="auto"/>
            </w:pPr>
            <w:r w:rsidRPr="00471AAA">
              <w:t>0.3</w:t>
            </w:r>
          </w:p>
        </w:tc>
        <w:tc>
          <w:tcPr>
            <w:tcW w:w="851" w:type="dxa"/>
            <w:tcBorders>
              <w:top w:val="nil"/>
            </w:tcBorders>
            <w:vAlign w:val="center"/>
          </w:tcPr>
          <w:p w:rsidR="00461F43" w:rsidRPr="00471AAA" w:rsidRDefault="00461F43" w:rsidP="00461F43">
            <w:pPr>
              <w:pStyle w:val="MDPI42tablebody"/>
              <w:spacing w:line="240" w:lineRule="auto"/>
            </w:pPr>
            <w:r w:rsidRPr="00471AAA">
              <w:t>5.0</w:t>
            </w:r>
          </w:p>
        </w:tc>
        <w:tc>
          <w:tcPr>
            <w:tcW w:w="851" w:type="dxa"/>
            <w:tcBorders>
              <w:top w:val="nil"/>
            </w:tcBorders>
            <w:vAlign w:val="center"/>
          </w:tcPr>
          <w:p w:rsidR="00461F43" w:rsidRPr="00471AAA" w:rsidRDefault="00461F43" w:rsidP="00461F43">
            <w:pPr>
              <w:pStyle w:val="MDPI42tablebody"/>
              <w:spacing w:line="240" w:lineRule="auto"/>
            </w:pPr>
            <w:r w:rsidRPr="00471AAA">
              <w:t>2.3</w:t>
            </w:r>
          </w:p>
        </w:tc>
        <w:tc>
          <w:tcPr>
            <w:tcW w:w="851" w:type="dxa"/>
            <w:tcBorders>
              <w:top w:val="nil"/>
            </w:tcBorders>
            <w:vAlign w:val="center"/>
          </w:tcPr>
          <w:p w:rsidR="00461F43" w:rsidRPr="00471AAA" w:rsidRDefault="00461F43" w:rsidP="00461F43">
            <w:pPr>
              <w:pStyle w:val="MDPI42tablebody"/>
              <w:spacing w:line="240" w:lineRule="auto"/>
            </w:pPr>
            <w:r w:rsidRPr="00471AAA">
              <w:t>4.1</w:t>
            </w:r>
          </w:p>
        </w:tc>
        <w:tc>
          <w:tcPr>
            <w:tcW w:w="851" w:type="dxa"/>
            <w:tcBorders>
              <w:top w:val="nil"/>
            </w:tcBorders>
            <w:vAlign w:val="center"/>
          </w:tcPr>
          <w:p w:rsidR="00461F43" w:rsidRPr="00471AAA" w:rsidRDefault="00461F43" w:rsidP="00461F43">
            <w:pPr>
              <w:pStyle w:val="MDPI42tablebody"/>
              <w:spacing w:line="240" w:lineRule="auto"/>
            </w:pPr>
            <w:r w:rsidRPr="00471AAA">
              <w:t>6.5</w:t>
            </w:r>
          </w:p>
        </w:tc>
      </w:tr>
      <w:tr w:rsidR="00461F43" w:rsidRPr="006331AD" w:rsidTr="00461F43">
        <w:tc>
          <w:tcPr>
            <w:tcW w:w="2619" w:type="dxa"/>
            <w:tcBorders>
              <w:top w:val="nil"/>
            </w:tcBorders>
            <w:shd w:val="clear" w:color="auto" w:fill="auto"/>
            <w:vAlign w:val="center"/>
          </w:tcPr>
          <w:p w:rsidR="00461F43" w:rsidRPr="00F220D4" w:rsidRDefault="00461F43" w:rsidP="00D63F7E">
            <w:pPr>
              <w:pStyle w:val="MDPI42tablebody"/>
              <w:spacing w:line="240" w:lineRule="auto"/>
            </w:pPr>
            <w:r w:rsidRPr="00F47293">
              <w:rPr>
                <w:b/>
              </w:rPr>
              <w:t>1- e</w:t>
            </w:r>
            <w:r w:rsidRPr="00F47293">
              <w:rPr>
                <w:b/>
                <w:vertAlign w:val="superscript"/>
              </w:rPr>
              <w:t>-</w:t>
            </w:r>
            <w:proofErr w:type="spellStart"/>
            <w:r w:rsidRPr="00F47293">
              <w:rPr>
                <w:b/>
                <w:vertAlign w:val="superscript"/>
              </w:rPr>
              <w:t>k</w:t>
            </w:r>
            <w:r w:rsidRPr="00F47293">
              <w:rPr>
                <w:rFonts w:ascii="Times New Roman" w:hAnsi="Times New Roman"/>
                <w:b/>
                <w:vertAlign w:val="superscript"/>
              </w:rPr>
              <w:t>ϴ</w:t>
            </w:r>
            <w:r w:rsidRPr="00F47293">
              <w:rPr>
                <w:b/>
                <w:vertAlign w:val="superscript"/>
              </w:rPr>
              <w:t>i</w:t>
            </w:r>
            <w:proofErr w:type="spellEnd"/>
            <w:r w:rsidR="00F47293">
              <w:t xml:space="preserve"> [%], </w:t>
            </w:r>
            <w:r w:rsidRPr="00F47293">
              <w:rPr>
                <w:b/>
              </w:rPr>
              <w:t>k = 0.097</w:t>
            </w:r>
            <w:r w:rsidRPr="00D63F7E">
              <w:t>[h</w:t>
            </w:r>
            <w:r w:rsidRPr="00EC1FE2">
              <w:rPr>
                <w:vertAlign w:val="superscript"/>
              </w:rPr>
              <w:t>-1</w:t>
            </w:r>
            <w:r w:rsidRPr="00D63F7E">
              <w:t>]</w:t>
            </w:r>
          </w:p>
        </w:tc>
        <w:tc>
          <w:tcPr>
            <w:tcW w:w="874" w:type="dxa"/>
            <w:tcBorders>
              <w:top w:val="nil"/>
            </w:tcBorders>
            <w:shd w:val="clear" w:color="auto" w:fill="auto"/>
            <w:vAlign w:val="center"/>
          </w:tcPr>
          <w:p w:rsidR="00461F43" w:rsidRPr="00471AAA" w:rsidRDefault="00461F43" w:rsidP="00461F43">
            <w:pPr>
              <w:pStyle w:val="MDPI42tablebody"/>
              <w:spacing w:line="240" w:lineRule="auto"/>
            </w:pPr>
            <w:r w:rsidRPr="00471AAA">
              <w:t>68.6</w:t>
            </w:r>
          </w:p>
        </w:tc>
        <w:tc>
          <w:tcPr>
            <w:tcW w:w="850" w:type="dxa"/>
            <w:tcBorders>
              <w:top w:val="nil"/>
            </w:tcBorders>
            <w:shd w:val="clear" w:color="auto" w:fill="auto"/>
            <w:vAlign w:val="center"/>
          </w:tcPr>
          <w:p w:rsidR="00461F43" w:rsidRPr="00471AAA" w:rsidRDefault="00461F43" w:rsidP="00461F43">
            <w:pPr>
              <w:pStyle w:val="MDPI42tablebody"/>
              <w:spacing w:line="240" w:lineRule="auto"/>
            </w:pPr>
            <w:r w:rsidRPr="00471AAA">
              <w:t>2.8</w:t>
            </w:r>
          </w:p>
        </w:tc>
        <w:tc>
          <w:tcPr>
            <w:tcW w:w="851" w:type="dxa"/>
            <w:tcBorders>
              <w:top w:val="nil"/>
            </w:tcBorders>
            <w:vAlign w:val="center"/>
          </w:tcPr>
          <w:p w:rsidR="00461F43" w:rsidRPr="00471AAA" w:rsidRDefault="00461F43" w:rsidP="00461F43">
            <w:pPr>
              <w:pStyle w:val="MDPI42tablebody"/>
              <w:spacing w:line="240" w:lineRule="auto"/>
            </w:pPr>
            <w:r w:rsidRPr="00471AAA">
              <w:t>38.6</w:t>
            </w:r>
          </w:p>
        </w:tc>
        <w:tc>
          <w:tcPr>
            <w:tcW w:w="851" w:type="dxa"/>
            <w:tcBorders>
              <w:top w:val="nil"/>
            </w:tcBorders>
            <w:vAlign w:val="center"/>
          </w:tcPr>
          <w:p w:rsidR="00461F43" w:rsidRPr="00471AAA" w:rsidRDefault="00461F43" w:rsidP="00461F43">
            <w:pPr>
              <w:pStyle w:val="MDPI42tablebody"/>
              <w:spacing w:line="240" w:lineRule="auto"/>
            </w:pPr>
            <w:r w:rsidRPr="00471AAA">
              <w:t>13.0</w:t>
            </w:r>
          </w:p>
        </w:tc>
        <w:tc>
          <w:tcPr>
            <w:tcW w:w="851" w:type="dxa"/>
            <w:tcBorders>
              <w:top w:val="nil"/>
            </w:tcBorders>
            <w:vAlign w:val="center"/>
          </w:tcPr>
          <w:p w:rsidR="00461F43" w:rsidRPr="00471AAA" w:rsidRDefault="00461F43" w:rsidP="00461F43">
            <w:pPr>
              <w:pStyle w:val="MDPI42tablebody"/>
              <w:spacing w:line="240" w:lineRule="auto"/>
            </w:pPr>
            <w:r w:rsidRPr="00471AAA">
              <w:t>32.8</w:t>
            </w:r>
          </w:p>
        </w:tc>
        <w:tc>
          <w:tcPr>
            <w:tcW w:w="851" w:type="dxa"/>
            <w:tcBorders>
              <w:top w:val="nil"/>
            </w:tcBorders>
            <w:vAlign w:val="center"/>
          </w:tcPr>
          <w:p w:rsidR="00461F43" w:rsidRPr="00471AAA" w:rsidRDefault="00461F43" w:rsidP="00461F43">
            <w:pPr>
              <w:pStyle w:val="MDPI42tablebody"/>
              <w:spacing w:line="240" w:lineRule="auto"/>
            </w:pPr>
            <w:r w:rsidRPr="00471AAA">
              <w:t>46.9</w:t>
            </w:r>
          </w:p>
        </w:tc>
      </w:tr>
      <w:tr w:rsidR="00461F43" w:rsidRPr="006331AD" w:rsidTr="00461F43">
        <w:tc>
          <w:tcPr>
            <w:tcW w:w="2619" w:type="dxa"/>
            <w:tcBorders>
              <w:top w:val="nil"/>
            </w:tcBorders>
            <w:shd w:val="clear" w:color="auto" w:fill="auto"/>
            <w:vAlign w:val="center"/>
          </w:tcPr>
          <w:p w:rsidR="00461F43" w:rsidRPr="00F220D4" w:rsidRDefault="00461F43" w:rsidP="00D63F7E">
            <w:pPr>
              <w:pStyle w:val="MDPI42tablebody"/>
              <w:spacing w:line="240" w:lineRule="auto"/>
            </w:pPr>
            <w:r w:rsidRPr="00F47293">
              <w:rPr>
                <w:b/>
              </w:rPr>
              <w:t>1- e</w:t>
            </w:r>
            <w:r w:rsidRPr="00F47293">
              <w:rPr>
                <w:b/>
                <w:vertAlign w:val="superscript"/>
              </w:rPr>
              <w:t>-</w:t>
            </w:r>
            <w:proofErr w:type="spellStart"/>
            <w:r w:rsidRPr="00F47293">
              <w:rPr>
                <w:b/>
                <w:vertAlign w:val="superscript"/>
              </w:rPr>
              <w:t>k</w:t>
            </w:r>
            <w:r w:rsidRPr="00F47293">
              <w:rPr>
                <w:rFonts w:ascii="Times New Roman" w:hAnsi="Times New Roman"/>
                <w:b/>
                <w:vertAlign w:val="superscript"/>
              </w:rPr>
              <w:t>ϴ</w:t>
            </w:r>
            <w:r w:rsidRPr="00F47293">
              <w:rPr>
                <w:b/>
                <w:vertAlign w:val="superscript"/>
              </w:rPr>
              <w:t>i</w:t>
            </w:r>
            <w:proofErr w:type="spellEnd"/>
            <w:r w:rsidRPr="00D63F7E">
              <w:t xml:space="preserve"> [%],</w:t>
            </w:r>
            <w:r w:rsidR="00F47293">
              <w:t xml:space="preserve"> </w:t>
            </w:r>
            <w:r w:rsidRPr="00F47293">
              <w:rPr>
                <w:b/>
              </w:rPr>
              <w:t>k = 0.101</w:t>
            </w:r>
            <w:r w:rsidRPr="00D63F7E">
              <w:t xml:space="preserve"> [h</w:t>
            </w:r>
            <w:r w:rsidRPr="00EC1FE2">
              <w:rPr>
                <w:vertAlign w:val="superscript"/>
              </w:rPr>
              <w:t>-1</w:t>
            </w:r>
            <w:r w:rsidRPr="00D63F7E">
              <w:t>]</w:t>
            </w:r>
          </w:p>
        </w:tc>
        <w:tc>
          <w:tcPr>
            <w:tcW w:w="874" w:type="dxa"/>
            <w:tcBorders>
              <w:top w:val="nil"/>
            </w:tcBorders>
            <w:shd w:val="clear" w:color="auto" w:fill="auto"/>
            <w:vAlign w:val="center"/>
          </w:tcPr>
          <w:p w:rsidR="00461F43" w:rsidRPr="00471AAA" w:rsidRDefault="00461F43" w:rsidP="00461F43">
            <w:pPr>
              <w:pStyle w:val="MDPI42tablebody"/>
              <w:spacing w:line="240" w:lineRule="auto"/>
            </w:pPr>
            <w:r w:rsidRPr="00471AAA">
              <w:t>70.0</w:t>
            </w:r>
          </w:p>
        </w:tc>
        <w:tc>
          <w:tcPr>
            <w:tcW w:w="850" w:type="dxa"/>
            <w:tcBorders>
              <w:top w:val="nil"/>
            </w:tcBorders>
            <w:shd w:val="clear" w:color="auto" w:fill="auto"/>
            <w:vAlign w:val="center"/>
          </w:tcPr>
          <w:p w:rsidR="00461F43" w:rsidRPr="00471AAA" w:rsidRDefault="00461F43" w:rsidP="00461F43">
            <w:pPr>
              <w:pStyle w:val="MDPI42tablebody"/>
              <w:spacing w:line="240" w:lineRule="auto"/>
            </w:pPr>
            <w:r w:rsidRPr="00471AAA">
              <w:t>2.9</w:t>
            </w:r>
          </w:p>
        </w:tc>
        <w:tc>
          <w:tcPr>
            <w:tcW w:w="851" w:type="dxa"/>
            <w:tcBorders>
              <w:top w:val="nil"/>
            </w:tcBorders>
            <w:vAlign w:val="center"/>
          </w:tcPr>
          <w:p w:rsidR="00461F43" w:rsidRPr="00471AAA" w:rsidRDefault="00461F43" w:rsidP="00461F43">
            <w:pPr>
              <w:pStyle w:val="MDPI42tablebody"/>
              <w:spacing w:line="240" w:lineRule="auto"/>
            </w:pPr>
            <w:r w:rsidRPr="00471AAA">
              <w:t>39.8</w:t>
            </w:r>
          </w:p>
        </w:tc>
        <w:tc>
          <w:tcPr>
            <w:tcW w:w="851" w:type="dxa"/>
            <w:tcBorders>
              <w:top w:val="nil"/>
            </w:tcBorders>
            <w:vAlign w:val="center"/>
          </w:tcPr>
          <w:p w:rsidR="00461F43" w:rsidRPr="00471AAA" w:rsidRDefault="00461F43" w:rsidP="00461F43">
            <w:pPr>
              <w:pStyle w:val="MDPI42tablebody"/>
              <w:spacing w:line="240" w:lineRule="auto"/>
            </w:pPr>
            <w:r w:rsidRPr="00471AAA">
              <w:t>13.2</w:t>
            </w:r>
          </w:p>
        </w:tc>
        <w:tc>
          <w:tcPr>
            <w:tcW w:w="851" w:type="dxa"/>
            <w:tcBorders>
              <w:top w:val="nil"/>
            </w:tcBorders>
            <w:vAlign w:val="center"/>
          </w:tcPr>
          <w:p w:rsidR="00461F43" w:rsidRPr="00471AAA" w:rsidRDefault="00461F43" w:rsidP="00461F43">
            <w:pPr>
              <w:pStyle w:val="MDPI42tablebody"/>
              <w:spacing w:line="240" w:lineRule="auto"/>
            </w:pPr>
            <w:r w:rsidRPr="00471AAA">
              <w:t>33.8</w:t>
            </w:r>
          </w:p>
        </w:tc>
        <w:tc>
          <w:tcPr>
            <w:tcW w:w="851" w:type="dxa"/>
            <w:tcBorders>
              <w:top w:val="nil"/>
            </w:tcBorders>
            <w:vAlign w:val="center"/>
          </w:tcPr>
          <w:p w:rsidR="00461F43" w:rsidRPr="00471AAA" w:rsidRDefault="00461F43" w:rsidP="00461F43">
            <w:pPr>
              <w:pStyle w:val="MDPI42tablebody"/>
              <w:spacing w:line="240" w:lineRule="auto"/>
            </w:pPr>
            <w:r w:rsidRPr="00471AAA">
              <w:t>48.3</w:t>
            </w:r>
          </w:p>
        </w:tc>
      </w:tr>
      <w:tr w:rsidR="00461F43" w:rsidRPr="006331AD" w:rsidTr="00461F43">
        <w:tc>
          <w:tcPr>
            <w:tcW w:w="2619" w:type="dxa"/>
            <w:tcBorders>
              <w:top w:val="nil"/>
              <w:bottom w:val="single" w:sz="4" w:space="0" w:color="auto"/>
            </w:tcBorders>
            <w:shd w:val="clear" w:color="auto" w:fill="auto"/>
            <w:vAlign w:val="center"/>
          </w:tcPr>
          <w:p w:rsidR="00461F43" w:rsidRPr="00D63F7E" w:rsidRDefault="00461F43" w:rsidP="00461F43">
            <w:pPr>
              <w:pStyle w:val="MDPI42tablebody"/>
              <w:spacing w:line="240" w:lineRule="auto"/>
            </w:pPr>
            <w:r w:rsidRPr="00F47293">
              <w:rPr>
                <w:b/>
              </w:rPr>
              <w:t>1- e</w:t>
            </w:r>
            <w:r w:rsidRPr="00F47293">
              <w:rPr>
                <w:b/>
                <w:vertAlign w:val="superscript"/>
              </w:rPr>
              <w:t>-</w:t>
            </w:r>
            <w:proofErr w:type="spellStart"/>
            <w:r w:rsidRPr="00F47293">
              <w:rPr>
                <w:b/>
                <w:vertAlign w:val="superscript"/>
              </w:rPr>
              <w:t>k</w:t>
            </w:r>
            <w:r w:rsidRPr="00F47293">
              <w:rPr>
                <w:rFonts w:ascii="Times New Roman" w:hAnsi="Times New Roman"/>
                <w:b/>
                <w:vertAlign w:val="superscript"/>
              </w:rPr>
              <w:t>ϴ</w:t>
            </w:r>
            <w:r w:rsidRPr="00F47293">
              <w:rPr>
                <w:b/>
                <w:vertAlign w:val="superscript"/>
              </w:rPr>
              <w:t>i</w:t>
            </w:r>
            <w:proofErr w:type="spellEnd"/>
            <w:r w:rsidRPr="00D63F7E">
              <w:t xml:space="preserve"> [%],</w:t>
            </w:r>
            <w:r w:rsidR="00F47293">
              <w:t xml:space="preserve"> </w:t>
            </w:r>
            <w:r w:rsidRPr="00F47293">
              <w:rPr>
                <w:b/>
              </w:rPr>
              <w:t>k = 0.104</w:t>
            </w:r>
            <w:r w:rsidRPr="00D63F7E">
              <w:t xml:space="preserve"> [h</w:t>
            </w:r>
            <w:r w:rsidRPr="00EC1FE2">
              <w:rPr>
                <w:vertAlign w:val="superscript"/>
              </w:rPr>
              <w:t>-1</w:t>
            </w:r>
            <w:r w:rsidRPr="00D63F7E">
              <w:t>]</w:t>
            </w:r>
          </w:p>
        </w:tc>
        <w:tc>
          <w:tcPr>
            <w:tcW w:w="874" w:type="dxa"/>
            <w:tcBorders>
              <w:top w:val="nil"/>
              <w:bottom w:val="single" w:sz="4" w:space="0" w:color="auto"/>
            </w:tcBorders>
            <w:shd w:val="clear" w:color="auto" w:fill="auto"/>
            <w:vAlign w:val="center"/>
          </w:tcPr>
          <w:p w:rsidR="00461F43" w:rsidRPr="00471AAA" w:rsidRDefault="00461F43" w:rsidP="00461F43">
            <w:pPr>
              <w:pStyle w:val="MDPI42tablebody"/>
              <w:spacing w:line="240" w:lineRule="auto"/>
            </w:pPr>
            <w:r w:rsidRPr="00471AAA">
              <w:t>71.1</w:t>
            </w:r>
          </w:p>
        </w:tc>
        <w:tc>
          <w:tcPr>
            <w:tcW w:w="850" w:type="dxa"/>
            <w:tcBorders>
              <w:top w:val="nil"/>
              <w:bottom w:val="single" w:sz="4" w:space="0" w:color="auto"/>
            </w:tcBorders>
            <w:shd w:val="clear" w:color="auto" w:fill="auto"/>
            <w:vAlign w:val="center"/>
          </w:tcPr>
          <w:p w:rsidR="00461F43" w:rsidRPr="00471AAA" w:rsidRDefault="00461F43" w:rsidP="00461F43">
            <w:pPr>
              <w:pStyle w:val="MDPI42tablebody"/>
              <w:spacing w:line="240" w:lineRule="auto"/>
            </w:pPr>
            <w:r w:rsidRPr="00471AAA">
              <w:t>3.0</w:t>
            </w:r>
          </w:p>
        </w:tc>
        <w:tc>
          <w:tcPr>
            <w:tcW w:w="851" w:type="dxa"/>
            <w:tcBorders>
              <w:top w:val="nil"/>
              <w:bottom w:val="single" w:sz="4" w:space="0" w:color="auto"/>
            </w:tcBorders>
            <w:vAlign w:val="center"/>
          </w:tcPr>
          <w:p w:rsidR="00461F43" w:rsidRPr="00471AAA" w:rsidRDefault="00461F43" w:rsidP="00461F43">
            <w:pPr>
              <w:pStyle w:val="MDPI42tablebody"/>
              <w:spacing w:line="240" w:lineRule="auto"/>
            </w:pPr>
            <w:r w:rsidRPr="00471AAA">
              <w:t>40.7</w:t>
            </w:r>
          </w:p>
        </w:tc>
        <w:tc>
          <w:tcPr>
            <w:tcW w:w="851" w:type="dxa"/>
            <w:tcBorders>
              <w:top w:val="nil"/>
              <w:bottom w:val="single" w:sz="4" w:space="0" w:color="auto"/>
            </w:tcBorders>
            <w:vAlign w:val="center"/>
          </w:tcPr>
          <w:p w:rsidR="00461F43" w:rsidRPr="00471AAA" w:rsidRDefault="00461F43" w:rsidP="00461F43">
            <w:pPr>
              <w:pStyle w:val="MDPI42tablebody"/>
              <w:spacing w:line="240" w:lineRule="auto"/>
            </w:pPr>
            <w:r w:rsidRPr="00471AAA">
              <w:t>13.4</w:t>
            </w:r>
          </w:p>
        </w:tc>
        <w:tc>
          <w:tcPr>
            <w:tcW w:w="851" w:type="dxa"/>
            <w:tcBorders>
              <w:top w:val="nil"/>
              <w:bottom w:val="single" w:sz="4" w:space="0" w:color="auto"/>
            </w:tcBorders>
            <w:vAlign w:val="center"/>
          </w:tcPr>
          <w:p w:rsidR="00461F43" w:rsidRPr="00471AAA" w:rsidRDefault="00461F43" w:rsidP="00461F43">
            <w:pPr>
              <w:pStyle w:val="MDPI42tablebody"/>
              <w:spacing w:line="240" w:lineRule="auto"/>
            </w:pPr>
            <w:r w:rsidRPr="00471AAA">
              <w:t>34.6</w:t>
            </w:r>
          </w:p>
        </w:tc>
        <w:tc>
          <w:tcPr>
            <w:tcW w:w="851" w:type="dxa"/>
            <w:tcBorders>
              <w:top w:val="nil"/>
              <w:bottom w:val="single" w:sz="4" w:space="0" w:color="auto"/>
            </w:tcBorders>
            <w:vAlign w:val="center"/>
          </w:tcPr>
          <w:p w:rsidR="00461F43" w:rsidRPr="00471AAA" w:rsidRDefault="00461F43" w:rsidP="00461F43">
            <w:pPr>
              <w:pStyle w:val="MDPI42tablebody"/>
              <w:spacing w:line="240" w:lineRule="auto"/>
            </w:pPr>
            <w:r w:rsidRPr="00471AAA">
              <w:t>49.3</w:t>
            </w:r>
          </w:p>
        </w:tc>
      </w:tr>
    </w:tbl>
    <w:p w:rsidR="0092538A" w:rsidRDefault="0092538A" w:rsidP="0092538A">
      <w:pPr>
        <w:pStyle w:val="MDPI31text"/>
        <w:keepNext/>
        <w:spacing w:before="240"/>
      </w:pPr>
      <w:r w:rsidRPr="0092538A">
        <w:rPr>
          <w:noProof/>
          <w:lang w:val="it-IT" w:eastAsia="it-IT" w:bidi="ar-SA"/>
        </w:rPr>
        <w:lastRenderedPageBreak/>
        <w:drawing>
          <wp:inline distT="0" distB="0" distL="0" distR="0">
            <wp:extent cx="4928736" cy="2294819"/>
            <wp:effectExtent l="19050" t="0" r="5214" b="0"/>
            <wp:docPr id="4" name="Immagine 19" descr="distribuzione biodegradazio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magine 19" descr="distribuzione biodegradazione.png"/>
                    <pic:cNvPicPr>
                      <a:picLocks noChangeAspect="1" noChangeArrowheads="1"/>
                    </pic:cNvPicPr>
                  </pic:nvPicPr>
                  <pic:blipFill>
                    <a:blip r:embed="rId10" cstate="print"/>
                    <a:srcRect t="3460"/>
                    <a:stretch>
                      <a:fillRect/>
                    </a:stretch>
                  </pic:blipFill>
                  <pic:spPr bwMode="auto">
                    <a:xfrm>
                      <a:off x="0" y="0"/>
                      <a:ext cx="4926646" cy="2293846"/>
                    </a:xfrm>
                    <a:prstGeom prst="rect">
                      <a:avLst/>
                    </a:prstGeom>
                  </pic:spPr>
                </pic:pic>
              </a:graphicData>
            </a:graphic>
          </wp:inline>
        </w:drawing>
      </w:r>
    </w:p>
    <w:p w:rsidR="0092538A" w:rsidRPr="0092538A" w:rsidRDefault="0092538A" w:rsidP="0092538A">
      <w:pPr>
        <w:pStyle w:val="MDPI51figurecaption"/>
        <w:rPr>
          <w:b/>
        </w:rPr>
      </w:pPr>
      <w:r w:rsidRPr="0092538A">
        <w:rPr>
          <w:b/>
        </w:rPr>
        <w:t>Figur</w:t>
      </w:r>
      <w:r w:rsidR="00107A5E">
        <w:rPr>
          <w:b/>
        </w:rPr>
        <w:t>e</w:t>
      </w:r>
      <w:r w:rsidRPr="0092538A">
        <w:rPr>
          <w:b/>
        </w:rPr>
        <w:t xml:space="preserve"> </w:t>
      </w:r>
      <w:r w:rsidR="009F0FD2" w:rsidRPr="0092538A">
        <w:rPr>
          <w:b/>
        </w:rPr>
        <w:fldChar w:fldCharType="begin"/>
      </w:r>
      <w:r w:rsidRPr="0092538A">
        <w:rPr>
          <w:b/>
        </w:rPr>
        <w:instrText xml:space="preserve"> SEQ Figura \* ARABIC </w:instrText>
      </w:r>
      <w:r w:rsidR="009F0FD2" w:rsidRPr="0092538A">
        <w:rPr>
          <w:b/>
        </w:rPr>
        <w:fldChar w:fldCharType="separate"/>
      </w:r>
      <w:r w:rsidR="00F05728">
        <w:rPr>
          <w:b/>
          <w:noProof/>
        </w:rPr>
        <w:t>2</w:t>
      </w:r>
      <w:r w:rsidR="009F0FD2" w:rsidRPr="0092538A">
        <w:rPr>
          <w:b/>
        </w:rPr>
        <w:fldChar w:fldCharType="end"/>
      </w:r>
      <w:r w:rsidRPr="0092538A">
        <w:rPr>
          <w:b/>
        </w:rPr>
        <w:t xml:space="preserve"> </w:t>
      </w:r>
      <w:r w:rsidRPr="00135BAB">
        <w:rPr>
          <w:b/>
        </w:rPr>
        <w:t>A)</w:t>
      </w:r>
      <w:r w:rsidRPr="0092538A">
        <w:t xml:space="preserve"> Map of biodegradation in the study area, WWTP (red triangle). </w:t>
      </w:r>
      <w:r w:rsidRPr="00135BAB">
        <w:rPr>
          <w:b/>
        </w:rPr>
        <w:t>B)</w:t>
      </w:r>
      <w:r w:rsidRPr="0092538A">
        <w:t xml:space="preserve"> Frequency distrib</w:t>
      </w:r>
      <w:r w:rsidRPr="0092538A">
        <w:t>u</w:t>
      </w:r>
      <w:r w:rsidRPr="0092538A">
        <w:t>tion of biodegradation in the study area. Biodegradation is expressed as</w:t>
      </w:r>
      <w:r w:rsidR="00F5675A">
        <w:t xml:space="preserve"> a</w:t>
      </w:r>
      <w:r w:rsidRPr="0092538A">
        <w:t xml:space="preserve"> 1-e</w:t>
      </w:r>
      <w:r w:rsidRPr="00EC1FE2">
        <w:rPr>
          <w:vertAlign w:val="superscript"/>
        </w:rPr>
        <w:t>-k</w:t>
      </w:r>
      <w:r w:rsidR="00EC1FE2" w:rsidRPr="00EC1FE2">
        <w:rPr>
          <w:rFonts w:ascii="Times New Roman" w:hAnsi="Times New Roman"/>
          <w:vertAlign w:val="superscript"/>
        </w:rPr>
        <w:t>ϴ</w:t>
      </w:r>
      <w:r w:rsidR="00EC1FE2" w:rsidRPr="00EC1FE2">
        <w:rPr>
          <w:vertAlign w:val="superscript"/>
        </w:rPr>
        <w:t>i</w:t>
      </w:r>
      <w:r w:rsidRPr="0092538A">
        <w:t xml:space="preserve"> percentage, ca</w:t>
      </w:r>
      <w:r w:rsidRPr="0092538A">
        <w:t>l</w:t>
      </w:r>
      <w:r w:rsidRPr="0092538A">
        <w:t>culated with k = 0.101 (T= 16°C)</w:t>
      </w:r>
    </w:p>
    <w:p w:rsidR="00796611" w:rsidRDefault="00796611" w:rsidP="00796611">
      <w:pPr>
        <w:pStyle w:val="MDPI31text"/>
      </w:pPr>
      <w:r>
        <w:t>Starting from the estimation of biodegradation, the contribution of each area to the virus load detected at the WWTP was evaluated</w:t>
      </w:r>
      <w:r w:rsidR="00F50014">
        <w:t>,</w:t>
      </w:r>
      <w:r>
        <w:t xml:space="preserve"> and indicators were created to better understand the significance of biodegradation and virus production in </w:t>
      </w:r>
      <w:r w:rsidR="009C735C">
        <w:t xml:space="preserve">the </w:t>
      </w:r>
      <w:r>
        <w:t>different areas</w:t>
      </w:r>
      <w:r w:rsidR="00DC2E3C">
        <w:t xml:space="preserve"> </w:t>
      </w:r>
      <w:r>
        <w:t>(</w:t>
      </w:r>
      <w:r w:rsidR="00F47272">
        <w:t>Section</w:t>
      </w:r>
      <w:r w:rsidR="003B1504">
        <w:t xml:space="preserve"> S5</w:t>
      </w:r>
      <w:r w:rsidR="00F47272">
        <w:t>.1</w:t>
      </w:r>
      <w:r>
        <w:t>)</w:t>
      </w:r>
      <w:r w:rsidR="00DC2E3C">
        <w:t>.</w:t>
      </w:r>
    </w:p>
    <w:p w:rsidR="00B82082" w:rsidRDefault="00796611" w:rsidP="00796611">
      <w:pPr>
        <w:pStyle w:val="MDPI31text"/>
      </w:pPr>
      <w:r>
        <w:t xml:space="preserve">The contribution of hospitals in terms of </w:t>
      </w:r>
      <w:r w:rsidR="00F50014">
        <w:t xml:space="preserve">the </w:t>
      </w:r>
      <w:r>
        <w:t xml:space="preserve">viral load discharged into the sewer system and detected at the WWTP during the study period was evaluated based on the number of hospitalized individuals. While the ratio of COVID-19 patients hospitalized </w:t>
      </w:r>
      <w:r w:rsidR="00F50014">
        <w:t xml:space="preserve">to </w:t>
      </w:r>
      <w:r>
        <w:t xml:space="preserve">the total number of cases reported in the entire study area was very low (0.03), this value </w:t>
      </w:r>
      <w:r w:rsidR="00F50014">
        <w:t>was</w:t>
      </w:r>
      <w:r>
        <w:t xml:space="preserve"> much </w:t>
      </w:r>
      <w:r w:rsidR="00F50014">
        <w:t>greater</w:t>
      </w:r>
      <w:r>
        <w:t xml:space="preserve"> (i.e.</w:t>
      </w:r>
      <w:r w:rsidR="00F50014">
        <w:t>,</w:t>
      </w:r>
      <w:r>
        <w:t xml:space="preserve"> 42, 14 and 4) when referring only to the cases reported in the three statistical areas of Bologna where hospitals </w:t>
      </w:r>
      <w:r w:rsidR="009C735C">
        <w:t>were</w:t>
      </w:r>
      <w:r>
        <w:t xml:space="preserve"> located. From these coefficients, the v</w:t>
      </w:r>
      <w:r>
        <w:t>i</w:t>
      </w:r>
      <w:r>
        <w:t xml:space="preserve">rus load generated in each area with hospitals and contributing to the virus load detected at the WWTP was estimated, </w:t>
      </w:r>
      <w:r w:rsidR="009C735C">
        <w:t>considering</w:t>
      </w:r>
      <w:r>
        <w:t xml:space="preserve"> biodegradation. For the area where the hospital with the highest number of COVID-19 patients was located, this pre</w:t>
      </w:r>
      <w:r w:rsidR="00F50014">
        <w:t>dicted contribution ranged</w:t>
      </w:r>
      <w:r>
        <w:t xml:space="preserve"> from 0.014% without considering hospitalized subjects to 1% considering hosp</w:t>
      </w:r>
      <w:r>
        <w:t>i</w:t>
      </w:r>
      <w:r>
        <w:t>tal</w:t>
      </w:r>
      <w:r w:rsidR="003B1504">
        <w:t>ized subjects (Table S13).</w:t>
      </w:r>
    </w:p>
    <w:p w:rsidR="00107A5E" w:rsidRPr="00107A5E" w:rsidRDefault="00107A5E" w:rsidP="00107A5E">
      <w:pPr>
        <w:pStyle w:val="MDPI22heading2"/>
        <w:spacing w:before="240"/>
      </w:pPr>
      <w:r w:rsidRPr="00107A5E">
        <w:t>3.2.</w:t>
      </w:r>
      <w:r w:rsidRPr="00107A5E">
        <w:tab/>
        <w:t>Predicted and reported infection rate</w:t>
      </w:r>
      <w:r w:rsidR="00721712">
        <w:t>s</w:t>
      </w:r>
      <w:r w:rsidRPr="00107A5E">
        <w:t xml:space="preserve"> </w:t>
      </w:r>
      <w:r w:rsidR="00721712">
        <w:t>in</w:t>
      </w:r>
      <w:r w:rsidRPr="00107A5E">
        <w:t xml:space="preserve"> the study area</w:t>
      </w:r>
    </w:p>
    <w:p w:rsidR="00107A5E" w:rsidRDefault="00107A5E" w:rsidP="00107A5E">
      <w:pPr>
        <w:pStyle w:val="MDPI31text"/>
      </w:pPr>
      <w:r>
        <w:t>The predicted and reported daily IR(t) trend</w:t>
      </w:r>
      <w:r w:rsidR="00721712">
        <w:t>s</w:t>
      </w:r>
      <w:r>
        <w:t xml:space="preserve"> over the study area were compared throughout the entire study peri</w:t>
      </w:r>
      <w:r w:rsidR="00047950">
        <w:t>od (Figure 3</w:t>
      </w:r>
      <w:r>
        <w:t xml:space="preserve">). The </w:t>
      </w:r>
      <w:r w:rsidR="00F47272">
        <w:t>reported</w:t>
      </w:r>
      <w:r>
        <w:t xml:space="preserve"> IR(t) was obtained </w:t>
      </w:r>
      <w:r w:rsidR="00721712">
        <w:t>as the</w:t>
      </w:r>
      <w:r>
        <w:t xml:space="preserve"> daily sum of the repo</w:t>
      </w:r>
      <w:r w:rsidR="00721712">
        <w:t>rted COVID-19 cases in the area</w:t>
      </w:r>
      <w:r>
        <w:t xml:space="preserve"> relative </w:t>
      </w:r>
      <w:r w:rsidR="00721712">
        <w:t xml:space="preserve">to the date of symptom onset or the date of the </w:t>
      </w:r>
      <w:r>
        <w:t>swab</w:t>
      </w:r>
      <w:r w:rsidR="00721712">
        <w:t xml:space="preserve"> test (</w:t>
      </w:r>
      <w:r w:rsidR="00047950">
        <w:t>Section 2.3</w:t>
      </w:r>
      <w:r w:rsidR="00721712">
        <w:t>),</w:t>
      </w:r>
      <w:r>
        <w:t xml:space="preserve"> smoothed with a simple moving average over 7 days and divided by the total population within the study area.</w:t>
      </w:r>
      <w:r w:rsidR="008416DF">
        <w:t xml:space="preserve"> </w:t>
      </w:r>
      <w:r w:rsidR="0059163B">
        <w:t>The m</w:t>
      </w:r>
      <w:r>
        <w:t xml:space="preserve">ean </w:t>
      </w:r>
      <w:r w:rsidR="0059163B">
        <w:t>absolute e</w:t>
      </w:r>
      <w:r>
        <w:t xml:space="preserve">rror between </w:t>
      </w:r>
      <w:r w:rsidR="0059163B">
        <w:t xml:space="preserve">the </w:t>
      </w:r>
      <w:r>
        <w:t>predicted and reported IR(t) over the entire study period was 54</w:t>
      </w:r>
      <w:r w:rsidR="00404014">
        <w:t xml:space="preserve"> cases over 100000 inhabitants and the </w:t>
      </w:r>
      <w:r>
        <w:t>Spearman correlation</w:t>
      </w:r>
      <w:r w:rsidR="007E7652">
        <w:t xml:space="preserve"> coefficient</w:t>
      </w:r>
      <w:r>
        <w:t xml:space="preserve"> </w:t>
      </w:r>
      <w:r w:rsidR="00404014">
        <w:t>was</w:t>
      </w:r>
      <w:r>
        <w:t xml:space="preserve"> 0.599. </w:t>
      </w:r>
    </w:p>
    <w:p w:rsidR="00107A5E" w:rsidRDefault="007E7652" w:rsidP="00107A5E">
      <w:pPr>
        <w:pStyle w:val="MDPI31text"/>
      </w:pPr>
      <w:r>
        <w:t>The time period was divided based on the trend of the reported cases t</w:t>
      </w:r>
      <w:r w:rsidR="00107A5E">
        <w:t xml:space="preserve">o better </w:t>
      </w:r>
      <w:r>
        <w:t>compare</w:t>
      </w:r>
      <w:r w:rsidR="00107A5E">
        <w:t xml:space="preserve"> </w:t>
      </w:r>
      <w:r w:rsidR="0059163B">
        <w:t xml:space="preserve">the </w:t>
      </w:r>
      <w:r>
        <w:t>predicted and reported data</w:t>
      </w:r>
      <w:r w:rsidR="00107A5E">
        <w:t>. The transition dates were chosen to correspond to the relative minima of reported cases, with the exception of the beginning of the first wave, for which the shift between the Delta and Omicron variant</w:t>
      </w:r>
      <w:r w:rsidR="0059163B">
        <w:t>s</w:t>
      </w:r>
      <w:r w:rsidR="00107A5E">
        <w:t xml:space="preserve"> was chosen. This a</w:t>
      </w:r>
      <w:r w:rsidR="00107A5E">
        <w:t>p</w:t>
      </w:r>
      <w:r w:rsidR="00107A5E">
        <w:t>proach defined three waves and an 'off-waves' pe</w:t>
      </w:r>
      <w:r w:rsidR="00DC2E3C">
        <w:t>riod</w:t>
      </w:r>
      <w:r w:rsidR="00A72F9D">
        <w:t xml:space="preserve"> (</w:t>
      </w:r>
      <w:r w:rsidR="00107A5E">
        <w:t>Table</w:t>
      </w:r>
      <w:r w:rsidR="00A72F9D">
        <w:t xml:space="preserve"> 2</w:t>
      </w:r>
      <w:r w:rsidR="00107A5E">
        <w:t>)</w:t>
      </w:r>
      <w:r w:rsidR="00DC2E3C">
        <w:t>.</w:t>
      </w:r>
    </w:p>
    <w:p w:rsidR="00B82082" w:rsidRDefault="0059163B" w:rsidP="00107A5E">
      <w:pPr>
        <w:pStyle w:val="MDPI31text"/>
      </w:pPr>
      <w:r>
        <w:t>The c</w:t>
      </w:r>
      <w:r w:rsidR="00107A5E">
        <w:t>orrelation was consistently high across the three waves but notably lower during the 'off-waves' period. During the first wave</w:t>
      </w:r>
      <w:r>
        <w:t>,</w:t>
      </w:r>
      <w:r w:rsidR="00107A5E">
        <w:t xml:space="preserve"> the predicted and repo</w:t>
      </w:r>
      <w:r>
        <w:t>rted cases were qui</w:t>
      </w:r>
      <w:r w:rsidR="00107A5E">
        <w:t>t</w:t>
      </w:r>
      <w:r>
        <w:t>e</w:t>
      </w:r>
      <w:r w:rsidR="00107A5E">
        <w:t xml:space="preserve"> similar, with an underestimation falling</w:t>
      </w:r>
      <w:r>
        <w:t xml:space="preserve"> within the uncertainty range (mean a</w:t>
      </w:r>
      <w:r w:rsidR="00107A5E">
        <w:t xml:space="preserve">bsolute </w:t>
      </w:r>
      <w:r>
        <w:t>p</w:t>
      </w:r>
      <w:r w:rsidR="00107A5E">
        <w:t xml:space="preserve">ercentage </w:t>
      </w:r>
      <w:r>
        <w:t>e</w:t>
      </w:r>
      <w:r w:rsidR="00107A5E">
        <w:t xml:space="preserve">rror </w:t>
      </w:r>
      <w:r>
        <w:t xml:space="preserve">of </w:t>
      </w:r>
      <w:r w:rsidR="00107A5E">
        <w:t xml:space="preserve">0.3), while an overestimation by the model was observed in the subsequent </w:t>
      </w:r>
      <w:r w:rsidR="00404014">
        <w:t>waves</w:t>
      </w:r>
      <w:r w:rsidR="00107A5E">
        <w:t>.</w:t>
      </w:r>
    </w:p>
    <w:p w:rsidR="00107A5E" w:rsidRDefault="00107A5E" w:rsidP="00107A5E">
      <w:pPr>
        <w:pStyle w:val="MDPI31text"/>
        <w:keepNext/>
      </w:pPr>
      <w:r w:rsidRPr="00107A5E">
        <w:rPr>
          <w:noProof/>
          <w:lang w:val="it-IT" w:eastAsia="it-IT" w:bidi="ar-SA"/>
        </w:rPr>
        <w:lastRenderedPageBreak/>
        <w:drawing>
          <wp:inline distT="0" distB="0" distL="0" distR="0">
            <wp:extent cx="4242399" cy="2810590"/>
            <wp:effectExtent l="19050" t="0" r="5751" b="0"/>
            <wp:docPr id="7" name="Immagine 2" descr="IR riferito a popolazio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 riferito a popolazione.png"/>
                    <pic:cNvPicPr/>
                  </pic:nvPicPr>
                  <pic:blipFill>
                    <a:blip r:embed="rId11" cstate="print"/>
                    <a:srcRect b="5310"/>
                    <a:stretch>
                      <a:fillRect/>
                    </a:stretch>
                  </pic:blipFill>
                  <pic:spPr>
                    <a:xfrm>
                      <a:off x="0" y="0"/>
                      <a:ext cx="4245683" cy="2812766"/>
                    </a:xfrm>
                    <a:prstGeom prst="rect">
                      <a:avLst/>
                    </a:prstGeom>
                  </pic:spPr>
                </pic:pic>
              </a:graphicData>
            </a:graphic>
          </wp:inline>
        </w:drawing>
      </w:r>
    </w:p>
    <w:p w:rsidR="00107A5E" w:rsidRPr="00107A5E" w:rsidRDefault="00107A5E" w:rsidP="00107A5E">
      <w:pPr>
        <w:pStyle w:val="MDPI51figurecaption"/>
      </w:pPr>
      <w:r w:rsidRPr="00107A5E">
        <w:rPr>
          <w:b/>
        </w:rPr>
        <w:t>Figur</w:t>
      </w:r>
      <w:r>
        <w:rPr>
          <w:b/>
        </w:rPr>
        <w:t>e</w:t>
      </w:r>
      <w:r w:rsidRPr="00107A5E">
        <w:rPr>
          <w:b/>
        </w:rPr>
        <w:t xml:space="preserve"> </w:t>
      </w:r>
      <w:r w:rsidR="009F0FD2" w:rsidRPr="00107A5E">
        <w:rPr>
          <w:b/>
        </w:rPr>
        <w:fldChar w:fldCharType="begin"/>
      </w:r>
      <w:r w:rsidRPr="00107A5E">
        <w:rPr>
          <w:b/>
        </w:rPr>
        <w:instrText xml:space="preserve"> SEQ Figura \* ARABIC </w:instrText>
      </w:r>
      <w:r w:rsidR="009F0FD2" w:rsidRPr="00107A5E">
        <w:rPr>
          <w:b/>
        </w:rPr>
        <w:fldChar w:fldCharType="separate"/>
      </w:r>
      <w:r w:rsidR="00F05728">
        <w:rPr>
          <w:b/>
          <w:noProof/>
        </w:rPr>
        <w:t>3</w:t>
      </w:r>
      <w:r w:rsidR="009F0FD2" w:rsidRPr="00107A5E">
        <w:rPr>
          <w:b/>
        </w:rPr>
        <w:fldChar w:fldCharType="end"/>
      </w:r>
      <w:r w:rsidRPr="00107A5E">
        <w:rPr>
          <w:b/>
        </w:rPr>
        <w:t xml:space="preserve"> </w:t>
      </w:r>
      <w:r w:rsidRPr="00107A5E">
        <w:t xml:space="preserve">Predicted (blue) and reported (orange) infection rate IR(t) across the entire study area and the uncertainty interval (RSD) (light blue) associated </w:t>
      </w:r>
      <w:r w:rsidR="0059163B">
        <w:t>with</w:t>
      </w:r>
      <w:r w:rsidRPr="00107A5E">
        <w:t xml:space="preserve"> the predicted IR(t)</w:t>
      </w:r>
    </w:p>
    <w:p w:rsidR="00135BAB" w:rsidRPr="00135BAB" w:rsidRDefault="00135BAB" w:rsidP="00135BAB">
      <w:pPr>
        <w:pStyle w:val="MDPI41tablecaption"/>
        <w:rPr>
          <w:b/>
        </w:rPr>
      </w:pPr>
      <w:r w:rsidRPr="00135BAB">
        <w:rPr>
          <w:b/>
        </w:rPr>
        <w:t xml:space="preserve">Table </w:t>
      </w:r>
      <w:r w:rsidR="009F0FD2" w:rsidRPr="00135BAB">
        <w:rPr>
          <w:b/>
        </w:rPr>
        <w:fldChar w:fldCharType="begin"/>
      </w:r>
      <w:r w:rsidRPr="00135BAB">
        <w:rPr>
          <w:b/>
        </w:rPr>
        <w:instrText xml:space="preserve"> SEQ Tabella \* ARABIC </w:instrText>
      </w:r>
      <w:r w:rsidR="009F0FD2" w:rsidRPr="00135BAB">
        <w:rPr>
          <w:b/>
        </w:rPr>
        <w:fldChar w:fldCharType="separate"/>
      </w:r>
      <w:r w:rsidRPr="00135BAB">
        <w:rPr>
          <w:b/>
        </w:rPr>
        <w:t>2</w:t>
      </w:r>
      <w:r w:rsidR="009F0FD2" w:rsidRPr="00135BAB">
        <w:rPr>
          <w:b/>
        </w:rPr>
        <w:fldChar w:fldCharType="end"/>
      </w:r>
      <w:r w:rsidR="0059163B">
        <w:t xml:space="preserve"> Mean a</w:t>
      </w:r>
      <w:r w:rsidRPr="00135BAB">
        <w:t xml:space="preserve">bsolute </w:t>
      </w:r>
      <w:r w:rsidR="0059163B">
        <w:t>error (MAE), m</w:t>
      </w:r>
      <w:r w:rsidRPr="00135BAB">
        <w:t xml:space="preserve">ean </w:t>
      </w:r>
      <w:r w:rsidR="0059163B">
        <w:t>a</w:t>
      </w:r>
      <w:r w:rsidRPr="00135BAB">
        <w:t xml:space="preserve">bsolute </w:t>
      </w:r>
      <w:r w:rsidR="0059163B">
        <w:t>p</w:t>
      </w:r>
      <w:r w:rsidRPr="00135BAB">
        <w:t xml:space="preserve">ercentage </w:t>
      </w:r>
      <w:r w:rsidR="0059163B">
        <w:t>e</w:t>
      </w:r>
      <w:r w:rsidRPr="00135BAB">
        <w:t>rror (MAPE) and Spearman co</w:t>
      </w:r>
      <w:r w:rsidRPr="00135BAB">
        <w:t>r</w:t>
      </w:r>
      <w:r w:rsidRPr="00135BAB">
        <w:t>relation coefficient between predicted and reported IR(t) in different time intervals (first, s</w:t>
      </w:r>
      <w:r w:rsidR="0059163B">
        <w:t>econd and third waves, off-waves</w:t>
      </w:r>
      <w:r w:rsidRPr="00135BAB">
        <w:t xml:space="preserve"> period and entire study period)</w:t>
      </w:r>
      <w:r w:rsidRPr="00135BAB">
        <w:rPr>
          <w:b/>
        </w:rPr>
        <w:t xml:space="preserve">    </w:t>
      </w:r>
    </w:p>
    <w:tbl>
      <w:tblPr>
        <w:tblW w:w="7882" w:type="dxa"/>
        <w:tblInd w:w="2608" w:type="dxa"/>
        <w:tblBorders>
          <w:top w:val="single" w:sz="4" w:space="0" w:color="auto"/>
          <w:bottom w:val="single" w:sz="4" w:space="0" w:color="auto"/>
        </w:tblBorders>
        <w:tblLayout w:type="fixed"/>
        <w:tblCellMar>
          <w:left w:w="0" w:type="dxa"/>
          <w:right w:w="0" w:type="dxa"/>
        </w:tblCellMar>
        <w:tblLook w:val="04A0"/>
      </w:tblPr>
      <w:tblGrid>
        <w:gridCol w:w="1391"/>
        <w:gridCol w:w="1299"/>
        <w:gridCol w:w="1298"/>
        <w:gridCol w:w="1298"/>
        <w:gridCol w:w="1298"/>
        <w:gridCol w:w="1298"/>
      </w:tblGrid>
      <w:tr w:rsidR="00107A5E" w:rsidRPr="006331AD" w:rsidTr="00135BAB">
        <w:tc>
          <w:tcPr>
            <w:tcW w:w="1391" w:type="dxa"/>
            <w:tcBorders>
              <w:bottom w:val="single" w:sz="4" w:space="0" w:color="auto"/>
            </w:tcBorders>
            <w:shd w:val="clear" w:color="auto" w:fill="auto"/>
            <w:vAlign w:val="center"/>
          </w:tcPr>
          <w:p w:rsidR="00107A5E" w:rsidRPr="007F7C8C" w:rsidRDefault="00107A5E" w:rsidP="00F05728">
            <w:pPr>
              <w:pStyle w:val="MDPI42tablebody"/>
              <w:spacing w:line="240" w:lineRule="auto"/>
              <w:rPr>
                <w:b/>
                <w:snapToGrid/>
              </w:rPr>
            </w:pPr>
          </w:p>
        </w:tc>
        <w:tc>
          <w:tcPr>
            <w:tcW w:w="1299" w:type="dxa"/>
            <w:tcBorders>
              <w:bottom w:val="single" w:sz="4" w:space="0" w:color="auto"/>
            </w:tcBorders>
            <w:shd w:val="clear" w:color="auto" w:fill="auto"/>
            <w:vAlign w:val="center"/>
          </w:tcPr>
          <w:p w:rsidR="00107A5E" w:rsidRPr="007F7C8C" w:rsidRDefault="00107A5E" w:rsidP="00F05728">
            <w:pPr>
              <w:pStyle w:val="MDPI42tablebody"/>
              <w:spacing w:line="240" w:lineRule="auto"/>
              <w:rPr>
                <w:b/>
                <w:snapToGrid/>
              </w:rPr>
            </w:pPr>
            <w:r w:rsidRPr="00107A5E">
              <w:rPr>
                <w:b/>
                <w:snapToGrid/>
              </w:rPr>
              <w:t>1° wave (2021-12-19 - 2022-02-28)</w:t>
            </w:r>
          </w:p>
        </w:tc>
        <w:tc>
          <w:tcPr>
            <w:tcW w:w="1298" w:type="dxa"/>
            <w:tcBorders>
              <w:bottom w:val="single" w:sz="4" w:space="0" w:color="auto"/>
            </w:tcBorders>
            <w:shd w:val="clear" w:color="auto" w:fill="auto"/>
            <w:vAlign w:val="center"/>
          </w:tcPr>
          <w:p w:rsidR="00107A5E" w:rsidRPr="007F7C8C" w:rsidRDefault="00107A5E" w:rsidP="00F05728">
            <w:pPr>
              <w:pStyle w:val="MDPI42tablebody"/>
              <w:spacing w:line="240" w:lineRule="auto"/>
              <w:rPr>
                <w:b/>
                <w:snapToGrid/>
              </w:rPr>
            </w:pPr>
            <w:r w:rsidRPr="00107A5E">
              <w:rPr>
                <w:b/>
                <w:snapToGrid/>
              </w:rPr>
              <w:t>2° wave (2022-03-01 -  2022-06-02)</w:t>
            </w:r>
          </w:p>
        </w:tc>
        <w:tc>
          <w:tcPr>
            <w:tcW w:w="1298" w:type="dxa"/>
            <w:tcBorders>
              <w:bottom w:val="single" w:sz="4" w:space="0" w:color="auto"/>
            </w:tcBorders>
            <w:vAlign w:val="center"/>
          </w:tcPr>
          <w:p w:rsidR="00107A5E" w:rsidRDefault="00107A5E" w:rsidP="00F05728">
            <w:pPr>
              <w:pStyle w:val="MDPI42tablebody"/>
              <w:spacing w:line="240" w:lineRule="auto"/>
              <w:rPr>
                <w:b/>
                <w:snapToGrid/>
              </w:rPr>
            </w:pPr>
            <w:r w:rsidRPr="00107A5E">
              <w:rPr>
                <w:b/>
                <w:snapToGrid/>
              </w:rPr>
              <w:t>3° wave (2022-06-03 - 2022-08-15)</w:t>
            </w:r>
          </w:p>
        </w:tc>
        <w:tc>
          <w:tcPr>
            <w:tcW w:w="1298" w:type="dxa"/>
            <w:tcBorders>
              <w:bottom w:val="single" w:sz="4" w:space="0" w:color="auto"/>
            </w:tcBorders>
            <w:vAlign w:val="center"/>
          </w:tcPr>
          <w:p w:rsidR="00107A5E" w:rsidRPr="00461F43" w:rsidRDefault="00107A5E" w:rsidP="00F05728">
            <w:pPr>
              <w:pStyle w:val="MDPI42tablebody"/>
              <w:spacing w:line="240" w:lineRule="auto"/>
              <w:rPr>
                <w:b/>
                <w:snapToGrid/>
              </w:rPr>
            </w:pPr>
            <w:r w:rsidRPr="00107A5E">
              <w:rPr>
                <w:b/>
                <w:snapToGrid/>
              </w:rPr>
              <w:t>off-waves (2021-10-13 - 2021-12-19 and 2022-08-15- 2023-05-24)</w:t>
            </w:r>
          </w:p>
        </w:tc>
        <w:tc>
          <w:tcPr>
            <w:tcW w:w="1298" w:type="dxa"/>
            <w:tcBorders>
              <w:bottom w:val="single" w:sz="4" w:space="0" w:color="auto"/>
            </w:tcBorders>
            <w:vAlign w:val="center"/>
          </w:tcPr>
          <w:p w:rsidR="00107A5E" w:rsidRPr="00461F43" w:rsidRDefault="00107A5E" w:rsidP="00F05728">
            <w:pPr>
              <w:jc w:val="center"/>
              <w:rPr>
                <w:rFonts w:eastAsia="Times New Roman"/>
                <w:b/>
                <w:noProof w:val="0"/>
                <w:lang w:eastAsia="de-DE" w:bidi="en-US"/>
              </w:rPr>
            </w:pPr>
            <w:r w:rsidRPr="00107A5E">
              <w:rPr>
                <w:rFonts w:eastAsia="Times New Roman"/>
                <w:b/>
                <w:noProof w:val="0"/>
                <w:lang w:eastAsia="de-DE" w:bidi="en-US"/>
              </w:rPr>
              <w:t>Entire study period (2021-10-13 - 2023-05-24)</w:t>
            </w:r>
          </w:p>
        </w:tc>
      </w:tr>
      <w:tr w:rsidR="00107A5E" w:rsidRPr="006331AD" w:rsidTr="00135BAB">
        <w:tc>
          <w:tcPr>
            <w:tcW w:w="1391" w:type="dxa"/>
            <w:tcBorders>
              <w:top w:val="single" w:sz="4" w:space="0" w:color="auto"/>
              <w:bottom w:val="nil"/>
            </w:tcBorders>
            <w:shd w:val="clear" w:color="auto" w:fill="auto"/>
            <w:vAlign w:val="center"/>
          </w:tcPr>
          <w:p w:rsidR="00107A5E" w:rsidRPr="00F47293" w:rsidRDefault="00107A5E" w:rsidP="00107A5E">
            <w:pPr>
              <w:pStyle w:val="MDPI42tablebody"/>
              <w:spacing w:line="240" w:lineRule="auto"/>
              <w:rPr>
                <w:b/>
              </w:rPr>
            </w:pPr>
            <w:r w:rsidRPr="00F47293">
              <w:rPr>
                <w:b/>
              </w:rPr>
              <w:t>MAE</w:t>
            </w:r>
          </w:p>
        </w:tc>
        <w:tc>
          <w:tcPr>
            <w:tcW w:w="1299" w:type="dxa"/>
            <w:tcBorders>
              <w:top w:val="single" w:sz="4" w:space="0" w:color="auto"/>
              <w:bottom w:val="nil"/>
            </w:tcBorders>
            <w:shd w:val="clear" w:color="auto" w:fill="auto"/>
            <w:vAlign w:val="center"/>
          </w:tcPr>
          <w:p w:rsidR="00107A5E" w:rsidRPr="00107A5E" w:rsidRDefault="00107A5E" w:rsidP="00107A5E">
            <w:pPr>
              <w:pStyle w:val="MDPI42tablebody"/>
              <w:spacing w:line="240" w:lineRule="auto"/>
            </w:pPr>
            <w:r w:rsidRPr="00B8133E">
              <w:t>47</w:t>
            </w:r>
          </w:p>
        </w:tc>
        <w:tc>
          <w:tcPr>
            <w:tcW w:w="1298" w:type="dxa"/>
            <w:tcBorders>
              <w:top w:val="single" w:sz="4" w:space="0" w:color="auto"/>
              <w:bottom w:val="nil"/>
            </w:tcBorders>
            <w:shd w:val="clear" w:color="auto" w:fill="auto"/>
            <w:vAlign w:val="center"/>
          </w:tcPr>
          <w:p w:rsidR="00107A5E" w:rsidRPr="00107A5E" w:rsidRDefault="00107A5E" w:rsidP="00107A5E">
            <w:pPr>
              <w:pStyle w:val="MDPI42tablebody"/>
              <w:spacing w:line="240" w:lineRule="auto"/>
            </w:pPr>
            <w:r w:rsidRPr="00B8133E">
              <w:t>120</w:t>
            </w:r>
          </w:p>
        </w:tc>
        <w:tc>
          <w:tcPr>
            <w:tcW w:w="1298" w:type="dxa"/>
            <w:tcBorders>
              <w:top w:val="single" w:sz="4" w:space="0" w:color="auto"/>
              <w:bottom w:val="nil"/>
            </w:tcBorders>
            <w:vAlign w:val="center"/>
          </w:tcPr>
          <w:p w:rsidR="00107A5E" w:rsidRPr="00107A5E" w:rsidRDefault="00107A5E" w:rsidP="00107A5E">
            <w:pPr>
              <w:pStyle w:val="MDPI42tablebody"/>
              <w:spacing w:line="240" w:lineRule="auto"/>
            </w:pPr>
            <w:r w:rsidRPr="00B8133E">
              <w:t>109</w:t>
            </w:r>
          </w:p>
        </w:tc>
        <w:tc>
          <w:tcPr>
            <w:tcW w:w="1298" w:type="dxa"/>
            <w:tcBorders>
              <w:top w:val="single" w:sz="4" w:space="0" w:color="auto"/>
              <w:bottom w:val="nil"/>
            </w:tcBorders>
            <w:vAlign w:val="center"/>
          </w:tcPr>
          <w:p w:rsidR="00107A5E" w:rsidRPr="00107A5E" w:rsidRDefault="00107A5E" w:rsidP="00107A5E">
            <w:pPr>
              <w:pStyle w:val="MDPI42tablebody"/>
              <w:spacing w:line="240" w:lineRule="auto"/>
            </w:pPr>
            <w:r w:rsidRPr="00B8133E">
              <w:t>26</w:t>
            </w:r>
          </w:p>
        </w:tc>
        <w:tc>
          <w:tcPr>
            <w:tcW w:w="1298" w:type="dxa"/>
            <w:tcBorders>
              <w:top w:val="single" w:sz="4" w:space="0" w:color="auto"/>
              <w:bottom w:val="nil"/>
            </w:tcBorders>
            <w:vAlign w:val="center"/>
          </w:tcPr>
          <w:p w:rsidR="00107A5E" w:rsidRPr="00107A5E" w:rsidRDefault="00107A5E" w:rsidP="00107A5E">
            <w:pPr>
              <w:pStyle w:val="MDPI42tablebody"/>
              <w:spacing w:line="240" w:lineRule="auto"/>
            </w:pPr>
            <w:r w:rsidRPr="00B8133E">
              <w:t>54</w:t>
            </w:r>
          </w:p>
        </w:tc>
      </w:tr>
      <w:tr w:rsidR="00107A5E" w:rsidRPr="006331AD" w:rsidTr="00135BAB">
        <w:tc>
          <w:tcPr>
            <w:tcW w:w="1391" w:type="dxa"/>
            <w:tcBorders>
              <w:top w:val="nil"/>
              <w:bottom w:val="nil"/>
            </w:tcBorders>
            <w:shd w:val="clear" w:color="auto" w:fill="auto"/>
            <w:vAlign w:val="center"/>
          </w:tcPr>
          <w:p w:rsidR="00107A5E" w:rsidRPr="00F47293" w:rsidRDefault="00107A5E" w:rsidP="00107A5E">
            <w:pPr>
              <w:pStyle w:val="MDPI42tablebody"/>
              <w:spacing w:line="240" w:lineRule="auto"/>
              <w:rPr>
                <w:b/>
              </w:rPr>
            </w:pPr>
            <w:r w:rsidRPr="00F47293">
              <w:rPr>
                <w:b/>
              </w:rPr>
              <w:t>MAPE</w:t>
            </w:r>
          </w:p>
        </w:tc>
        <w:tc>
          <w:tcPr>
            <w:tcW w:w="1299" w:type="dxa"/>
            <w:tcBorders>
              <w:top w:val="nil"/>
              <w:bottom w:val="nil"/>
            </w:tcBorders>
            <w:shd w:val="clear" w:color="auto" w:fill="auto"/>
            <w:vAlign w:val="center"/>
          </w:tcPr>
          <w:p w:rsidR="00107A5E" w:rsidRPr="00107A5E" w:rsidRDefault="00107A5E" w:rsidP="00107A5E">
            <w:pPr>
              <w:pStyle w:val="MDPI42tablebody"/>
              <w:spacing w:line="240" w:lineRule="auto"/>
            </w:pPr>
            <w:r w:rsidRPr="00B8133E">
              <w:t>0.3</w:t>
            </w:r>
          </w:p>
        </w:tc>
        <w:tc>
          <w:tcPr>
            <w:tcW w:w="1298" w:type="dxa"/>
            <w:tcBorders>
              <w:top w:val="nil"/>
              <w:bottom w:val="nil"/>
            </w:tcBorders>
            <w:shd w:val="clear" w:color="auto" w:fill="auto"/>
            <w:vAlign w:val="center"/>
          </w:tcPr>
          <w:p w:rsidR="00107A5E" w:rsidRPr="00107A5E" w:rsidRDefault="00107A5E" w:rsidP="00107A5E">
            <w:pPr>
              <w:pStyle w:val="MDPI42tablebody"/>
              <w:spacing w:line="240" w:lineRule="auto"/>
            </w:pPr>
            <w:r w:rsidRPr="00B8133E">
              <w:t>1.5</w:t>
            </w:r>
          </w:p>
        </w:tc>
        <w:tc>
          <w:tcPr>
            <w:tcW w:w="1298" w:type="dxa"/>
            <w:tcBorders>
              <w:top w:val="nil"/>
              <w:bottom w:val="nil"/>
            </w:tcBorders>
            <w:vAlign w:val="center"/>
          </w:tcPr>
          <w:p w:rsidR="00107A5E" w:rsidRPr="00107A5E" w:rsidRDefault="00107A5E" w:rsidP="00107A5E">
            <w:pPr>
              <w:pStyle w:val="MDPI42tablebody"/>
              <w:spacing w:line="240" w:lineRule="auto"/>
            </w:pPr>
            <w:r w:rsidRPr="00B8133E">
              <w:t>1.3</w:t>
            </w:r>
          </w:p>
        </w:tc>
        <w:tc>
          <w:tcPr>
            <w:tcW w:w="1298" w:type="dxa"/>
            <w:tcBorders>
              <w:top w:val="nil"/>
              <w:bottom w:val="nil"/>
            </w:tcBorders>
            <w:vAlign w:val="center"/>
          </w:tcPr>
          <w:p w:rsidR="00107A5E" w:rsidRPr="00107A5E" w:rsidRDefault="00107A5E" w:rsidP="00107A5E">
            <w:pPr>
              <w:pStyle w:val="MDPI42tablebody"/>
              <w:spacing w:line="240" w:lineRule="auto"/>
            </w:pPr>
            <w:r w:rsidRPr="00B8133E">
              <w:t>3.6</w:t>
            </w:r>
          </w:p>
        </w:tc>
        <w:tc>
          <w:tcPr>
            <w:tcW w:w="1298" w:type="dxa"/>
            <w:tcBorders>
              <w:top w:val="nil"/>
              <w:bottom w:val="nil"/>
            </w:tcBorders>
            <w:vAlign w:val="center"/>
          </w:tcPr>
          <w:p w:rsidR="00107A5E" w:rsidRPr="00107A5E" w:rsidRDefault="00107A5E" w:rsidP="00107A5E">
            <w:pPr>
              <w:pStyle w:val="MDPI42tablebody"/>
              <w:spacing w:line="240" w:lineRule="auto"/>
            </w:pPr>
            <w:r w:rsidRPr="00B8133E">
              <w:t>2.5</w:t>
            </w:r>
          </w:p>
        </w:tc>
      </w:tr>
      <w:tr w:rsidR="00107A5E" w:rsidRPr="006331AD" w:rsidTr="00135BAB">
        <w:tc>
          <w:tcPr>
            <w:tcW w:w="1391" w:type="dxa"/>
            <w:tcBorders>
              <w:top w:val="nil"/>
              <w:bottom w:val="single" w:sz="4" w:space="0" w:color="auto"/>
            </w:tcBorders>
            <w:shd w:val="clear" w:color="auto" w:fill="auto"/>
            <w:vAlign w:val="center"/>
          </w:tcPr>
          <w:p w:rsidR="00107A5E" w:rsidRPr="00F47293" w:rsidRDefault="00107A5E" w:rsidP="00107A5E">
            <w:pPr>
              <w:pStyle w:val="MDPI42tablebody"/>
              <w:spacing w:line="240" w:lineRule="auto"/>
              <w:rPr>
                <w:b/>
              </w:rPr>
            </w:pPr>
            <w:r w:rsidRPr="00F47293">
              <w:rPr>
                <w:b/>
              </w:rPr>
              <w:t>Spearman</w:t>
            </w:r>
          </w:p>
        </w:tc>
        <w:tc>
          <w:tcPr>
            <w:tcW w:w="1299" w:type="dxa"/>
            <w:tcBorders>
              <w:top w:val="nil"/>
              <w:bottom w:val="single" w:sz="4" w:space="0" w:color="auto"/>
            </w:tcBorders>
            <w:shd w:val="clear" w:color="auto" w:fill="auto"/>
            <w:vAlign w:val="center"/>
          </w:tcPr>
          <w:p w:rsidR="00107A5E" w:rsidRPr="00107A5E" w:rsidRDefault="00107A5E" w:rsidP="00107A5E">
            <w:pPr>
              <w:pStyle w:val="MDPI42tablebody"/>
              <w:spacing w:line="240" w:lineRule="auto"/>
            </w:pPr>
            <w:r w:rsidRPr="00B8133E">
              <w:t>0.858</w:t>
            </w:r>
          </w:p>
        </w:tc>
        <w:tc>
          <w:tcPr>
            <w:tcW w:w="1298" w:type="dxa"/>
            <w:tcBorders>
              <w:top w:val="nil"/>
              <w:bottom w:val="single" w:sz="4" w:space="0" w:color="auto"/>
            </w:tcBorders>
            <w:shd w:val="clear" w:color="auto" w:fill="auto"/>
            <w:vAlign w:val="center"/>
          </w:tcPr>
          <w:p w:rsidR="00107A5E" w:rsidRPr="00107A5E" w:rsidRDefault="00107A5E" w:rsidP="00107A5E">
            <w:pPr>
              <w:pStyle w:val="MDPI42tablebody"/>
              <w:spacing w:line="240" w:lineRule="auto"/>
            </w:pPr>
            <w:r w:rsidRPr="00B8133E">
              <w:t>0.954</w:t>
            </w:r>
          </w:p>
        </w:tc>
        <w:tc>
          <w:tcPr>
            <w:tcW w:w="1298" w:type="dxa"/>
            <w:tcBorders>
              <w:top w:val="nil"/>
              <w:bottom w:val="single" w:sz="4" w:space="0" w:color="auto"/>
            </w:tcBorders>
            <w:vAlign w:val="center"/>
          </w:tcPr>
          <w:p w:rsidR="00107A5E" w:rsidRPr="00107A5E" w:rsidRDefault="00107A5E" w:rsidP="00107A5E">
            <w:pPr>
              <w:pStyle w:val="MDPI42tablebody"/>
              <w:spacing w:line="240" w:lineRule="auto"/>
            </w:pPr>
            <w:r w:rsidRPr="00B8133E">
              <w:t>0.897</w:t>
            </w:r>
          </w:p>
        </w:tc>
        <w:tc>
          <w:tcPr>
            <w:tcW w:w="1298" w:type="dxa"/>
            <w:tcBorders>
              <w:top w:val="nil"/>
              <w:bottom w:val="single" w:sz="4" w:space="0" w:color="auto"/>
            </w:tcBorders>
            <w:vAlign w:val="center"/>
          </w:tcPr>
          <w:p w:rsidR="00107A5E" w:rsidRPr="00107A5E" w:rsidRDefault="00107A5E" w:rsidP="00107A5E">
            <w:pPr>
              <w:pStyle w:val="MDPI42tablebody"/>
              <w:spacing w:line="240" w:lineRule="auto"/>
            </w:pPr>
            <w:r w:rsidRPr="00B8133E">
              <w:t>-0.223</w:t>
            </w:r>
          </w:p>
        </w:tc>
        <w:tc>
          <w:tcPr>
            <w:tcW w:w="1298" w:type="dxa"/>
            <w:tcBorders>
              <w:top w:val="nil"/>
              <w:bottom w:val="single" w:sz="4" w:space="0" w:color="auto"/>
            </w:tcBorders>
            <w:vAlign w:val="center"/>
          </w:tcPr>
          <w:p w:rsidR="00107A5E" w:rsidRPr="00107A5E" w:rsidRDefault="00107A5E" w:rsidP="00107A5E">
            <w:pPr>
              <w:pStyle w:val="MDPI42tablebody"/>
              <w:spacing w:line="240" w:lineRule="auto"/>
            </w:pPr>
            <w:r w:rsidRPr="00B8133E">
              <w:t>0.599</w:t>
            </w:r>
          </w:p>
        </w:tc>
      </w:tr>
    </w:tbl>
    <w:p w:rsidR="00135BAB" w:rsidRDefault="00135BAB" w:rsidP="00107A5E">
      <w:pPr>
        <w:pStyle w:val="MDPI31text"/>
      </w:pPr>
    </w:p>
    <w:p w:rsidR="00107A5E" w:rsidRDefault="00135BAB" w:rsidP="00107A5E">
      <w:pPr>
        <w:pStyle w:val="MDPI31text"/>
      </w:pPr>
      <w:r w:rsidRPr="00135BAB">
        <w:t xml:space="preserve">The temporal trends of total tests and reported cases were very similar, showing a high correlation (Spearman 0.87). For both tests and cases, the values during the first wave were significantly </w:t>
      </w:r>
      <w:r w:rsidR="0059163B" w:rsidRPr="0059163B">
        <w:t xml:space="preserve">greater </w:t>
      </w:r>
      <w:r w:rsidRPr="00135BAB">
        <w:t>than those observed in the subsequent waves, whereas the positivity rate (i.e.</w:t>
      </w:r>
      <w:r w:rsidR="0059163B">
        <w:t>,</w:t>
      </w:r>
      <w:r w:rsidRPr="00135BAB">
        <w:t xml:space="preserve"> the proportion of positive cases among tests conducted) showed a less pronounced difference between the first and subsequent waves</w:t>
      </w:r>
      <w:r w:rsidR="0059163B">
        <w:t>,</w:t>
      </w:r>
      <w:r w:rsidRPr="00135BAB">
        <w:t xml:space="preserve"> and its trend was more similar to that of the hospitalizations. (</w:t>
      </w:r>
      <w:r w:rsidR="00A72F9D">
        <w:t>Figure 4</w:t>
      </w:r>
      <w:r w:rsidRPr="00135BAB">
        <w:t>)</w:t>
      </w:r>
    </w:p>
    <w:p w:rsidR="00135BAB" w:rsidRDefault="00135BAB" w:rsidP="00135BAB">
      <w:pPr>
        <w:pStyle w:val="MDPI31text"/>
        <w:keepNext/>
      </w:pPr>
      <w:r w:rsidRPr="00135BAB">
        <w:rPr>
          <w:noProof/>
          <w:lang w:val="it-IT" w:eastAsia="it-IT" w:bidi="ar-SA"/>
        </w:rPr>
        <w:lastRenderedPageBreak/>
        <w:drawing>
          <wp:inline distT="0" distB="0" distL="0" distR="0">
            <wp:extent cx="4893369" cy="2907102"/>
            <wp:effectExtent l="19050" t="0" r="2481" b="0"/>
            <wp:docPr id="8" name="Immagine 6" descr="tamponi-casi-ricove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mponi-casi-ricoveri.png"/>
                    <pic:cNvPicPr/>
                  </pic:nvPicPr>
                  <pic:blipFill>
                    <a:blip r:embed="rId12" cstate="print"/>
                    <a:stretch>
                      <a:fillRect/>
                    </a:stretch>
                  </pic:blipFill>
                  <pic:spPr>
                    <a:xfrm>
                      <a:off x="0" y="0"/>
                      <a:ext cx="4901232" cy="2911773"/>
                    </a:xfrm>
                    <a:prstGeom prst="rect">
                      <a:avLst/>
                    </a:prstGeom>
                  </pic:spPr>
                </pic:pic>
              </a:graphicData>
            </a:graphic>
          </wp:inline>
        </w:drawing>
      </w:r>
    </w:p>
    <w:p w:rsidR="00135BAB" w:rsidRPr="00135BAB" w:rsidRDefault="00135BAB" w:rsidP="00135BAB">
      <w:pPr>
        <w:pStyle w:val="MDPI51figurecaption"/>
      </w:pPr>
      <w:r>
        <w:rPr>
          <w:b/>
        </w:rPr>
        <w:t>Figure</w:t>
      </w:r>
      <w:r w:rsidRPr="00135BAB">
        <w:rPr>
          <w:b/>
        </w:rPr>
        <w:t xml:space="preserve"> </w:t>
      </w:r>
      <w:r w:rsidR="009F0FD2" w:rsidRPr="00135BAB">
        <w:rPr>
          <w:b/>
        </w:rPr>
        <w:fldChar w:fldCharType="begin"/>
      </w:r>
      <w:r w:rsidRPr="00135BAB">
        <w:rPr>
          <w:b/>
        </w:rPr>
        <w:instrText xml:space="preserve"> SEQ Figura \* ARABIC </w:instrText>
      </w:r>
      <w:r w:rsidR="009F0FD2" w:rsidRPr="00135BAB">
        <w:rPr>
          <w:b/>
        </w:rPr>
        <w:fldChar w:fldCharType="separate"/>
      </w:r>
      <w:r w:rsidR="00F05728">
        <w:rPr>
          <w:b/>
          <w:noProof/>
        </w:rPr>
        <w:t>4</w:t>
      </w:r>
      <w:r w:rsidR="009F0FD2" w:rsidRPr="00135BAB">
        <w:rPr>
          <w:b/>
        </w:rPr>
        <w:fldChar w:fldCharType="end"/>
      </w:r>
      <w:r w:rsidRPr="00135BAB">
        <w:rPr>
          <w:b/>
        </w:rPr>
        <w:t xml:space="preserve"> </w:t>
      </w:r>
      <w:r w:rsidRPr="00135BAB">
        <w:t>Tests: Daily reported tests across the entire study area per 100000 inhabitants averaged with a simple moving average (SMA) over 7 days. Positivity rate: Weekly average of positive cases among tests conducted. To calculate the positivity rate, the date on which the test was conducted was taken as the reference date for both tests and cases.</w:t>
      </w:r>
      <w:r>
        <w:t xml:space="preserve"> </w:t>
      </w:r>
      <w:r w:rsidRPr="00135BAB">
        <w:t>Reported cases: reported daily COVID-19 cases over 100000 inhabitants averaged with a simple moving average (SMA) over 7 days (reported IR(t))</w:t>
      </w:r>
      <w:r>
        <w:t xml:space="preserve">. </w:t>
      </w:r>
      <w:r w:rsidRPr="00135BAB">
        <w:t>Hospitalizations: weekly sum of COVID-19 hospitalizations. Both reported cases and ho</w:t>
      </w:r>
      <w:r w:rsidRPr="00135BAB">
        <w:t>s</w:t>
      </w:r>
      <w:r w:rsidRPr="00135BAB">
        <w:t>pitalizations are represented based on the symptom onset date if symptomatic or the date of the test in asymptomatic</w:t>
      </w:r>
      <w:r w:rsidR="0059163B">
        <w:t xml:space="preserve"> cases</w:t>
      </w:r>
      <w:r w:rsidRPr="00135BAB">
        <w:t>.</w:t>
      </w:r>
    </w:p>
    <w:p w:rsidR="00E762A5" w:rsidRDefault="00135BAB" w:rsidP="00B82082">
      <w:pPr>
        <w:pStyle w:val="MDPI31text"/>
      </w:pPr>
      <w:r w:rsidRPr="00135BAB">
        <w:t xml:space="preserve">Furthermore, </w:t>
      </w:r>
      <w:r w:rsidR="003441F3">
        <w:t xml:space="preserve">to evaluate the early warning capacity of the system, </w:t>
      </w:r>
      <w:r w:rsidRPr="00135BAB">
        <w:t>the time lag b</w:t>
      </w:r>
      <w:r w:rsidRPr="00135BAB">
        <w:t>e</w:t>
      </w:r>
      <w:r w:rsidRPr="00135BAB">
        <w:t xml:space="preserve">tween the virus load at the WWTP and the number of active cases </w:t>
      </w:r>
      <w:r w:rsidR="003441F3">
        <w:t>reported</w:t>
      </w:r>
      <w:r w:rsidRPr="00135BAB">
        <w:t xml:space="preserve"> over time was investigated. The diagnosis date was considered the reference date for active cases, co</w:t>
      </w:r>
      <w:r w:rsidRPr="00135BAB">
        <w:t>r</w:t>
      </w:r>
      <w:r w:rsidRPr="00135BAB">
        <w:t>responding to</w:t>
      </w:r>
      <w:r w:rsidR="0059163B">
        <w:t xml:space="preserve"> the date when a positive case wa</w:t>
      </w:r>
      <w:r w:rsidRPr="00135BAB">
        <w:t xml:space="preserve">s officially recorded in the healthcare system. </w:t>
      </w:r>
      <w:r w:rsidR="00E762A5" w:rsidRPr="00E762A5">
        <w:t xml:space="preserve">The maximum correlation (Spearman coefficient = 0.70) was observed when comparing the virus load </w:t>
      </w:r>
      <w:r w:rsidR="00487181">
        <w:t xml:space="preserve">data </w:t>
      </w:r>
      <w:r w:rsidR="00E762A5" w:rsidRPr="00E762A5">
        <w:t xml:space="preserve">with the curve of the active cases recorded 9 days </w:t>
      </w:r>
      <w:r w:rsidR="00E762A5">
        <w:t>later</w:t>
      </w:r>
      <w:r w:rsidR="00E762A5" w:rsidRPr="00E762A5">
        <w:t>, suggesting a time lag of 9 days</w:t>
      </w:r>
      <w:r w:rsidR="00E762A5">
        <w:t>.</w:t>
      </w:r>
    </w:p>
    <w:p w:rsidR="00CB6573" w:rsidRPr="00CB6573" w:rsidRDefault="00CB6573" w:rsidP="00CB6573">
      <w:pPr>
        <w:pStyle w:val="MDPI22heading2"/>
        <w:spacing w:before="240"/>
      </w:pPr>
      <w:r w:rsidRPr="00CB6573">
        <w:t>3.3.</w:t>
      </w:r>
      <w:r w:rsidRPr="00CB6573">
        <w:tab/>
        <w:t xml:space="preserve">Spatial comparison of </w:t>
      </w:r>
      <w:r w:rsidR="0059163B">
        <w:t xml:space="preserve">the </w:t>
      </w:r>
      <w:r w:rsidRPr="00CB6573">
        <w:t>predicted and reported cases in each grouped area</w:t>
      </w:r>
    </w:p>
    <w:p w:rsidR="00B82082" w:rsidRDefault="00CB6573" w:rsidP="00B82082">
      <w:pPr>
        <w:pStyle w:val="MDPI31text"/>
      </w:pPr>
      <w:r w:rsidRPr="00CB6573">
        <w:t xml:space="preserve">The comparison between </w:t>
      </w:r>
      <w:r w:rsidR="0059163B">
        <w:t xml:space="preserve">the </w:t>
      </w:r>
      <w:r w:rsidRPr="00CB6573">
        <w:t xml:space="preserve">predicted and reported cases in the grouped areas </w:t>
      </w:r>
      <w:r w:rsidR="0059163B">
        <w:t>r</w:t>
      </w:r>
      <w:r w:rsidR="0059163B">
        <w:t>e</w:t>
      </w:r>
      <w:r w:rsidR="0059163B">
        <w:t>vealed</w:t>
      </w:r>
      <w:r w:rsidR="0059163B" w:rsidRPr="005F6554">
        <w:t xml:space="preserve"> </w:t>
      </w:r>
      <w:r w:rsidRPr="00CB6573">
        <w:t>a medium/high accuracy of the model in estimating the spatial distribution of</w:t>
      </w:r>
      <w:r w:rsidR="0059163B">
        <w:t xml:space="preserve"> the</w:t>
      </w:r>
      <w:r w:rsidRPr="00CB6573">
        <w:t xml:space="preserve"> cases (</w:t>
      </w:r>
      <w:r w:rsidR="00A72F9D">
        <w:t>Figure 5</w:t>
      </w:r>
      <w:r w:rsidRPr="00CB6573">
        <w:t>). Particularly, in the first wave</w:t>
      </w:r>
      <w:r w:rsidR="0059163B">
        <w:t>,</w:t>
      </w:r>
      <w:r w:rsidRPr="00CB6573">
        <w:t xml:space="preserve"> the error rate was low, with an av</w:t>
      </w:r>
      <w:r w:rsidR="0059163B">
        <w:t>erage mean absolute p</w:t>
      </w:r>
      <w:r w:rsidRPr="00CB6573">
        <w:t xml:space="preserve">ercentage </w:t>
      </w:r>
      <w:r w:rsidR="0059163B">
        <w:t>e</w:t>
      </w:r>
      <w:r w:rsidRPr="00CB6573">
        <w:t>rror across all the areas of 0.18 (min: 0.01, max: 0.20), while in subsequent waves</w:t>
      </w:r>
      <w:r w:rsidR="0059163B">
        <w:t>,</w:t>
      </w:r>
      <w:r w:rsidRPr="00CB6573">
        <w:t xml:space="preserve"> the error rate increased due to the </w:t>
      </w:r>
      <w:r w:rsidR="0059163B">
        <w:t>greater</w:t>
      </w:r>
      <w:r w:rsidRPr="00CB6573">
        <w:t xml:space="preserve"> gap between</w:t>
      </w:r>
      <w:r w:rsidR="0059163B">
        <w:t xml:space="preserve"> the</w:t>
      </w:r>
      <w:r w:rsidRPr="00CB6573">
        <w:t xml:space="preserve"> predicted </w:t>
      </w:r>
      <w:r w:rsidR="003B1504">
        <w:t>and reported daily IR(t) trend</w:t>
      </w:r>
      <w:r w:rsidR="0059163B">
        <w:t>s</w:t>
      </w:r>
      <w:r w:rsidR="003B1504">
        <w:t xml:space="preserve"> </w:t>
      </w:r>
      <w:r w:rsidRPr="00CB6573">
        <w:t>(</w:t>
      </w:r>
      <w:r w:rsidR="003B1504">
        <w:t>Table S12</w:t>
      </w:r>
      <w:r w:rsidRPr="00CB6573">
        <w:t>)</w:t>
      </w:r>
      <w:r w:rsidR="003B1504">
        <w:t>.</w:t>
      </w:r>
    </w:p>
    <w:p w:rsidR="00CB6573" w:rsidRPr="00DF270C" w:rsidRDefault="00CB6573" w:rsidP="0014604B">
      <w:pPr>
        <w:pStyle w:val="MDPI31text"/>
        <w:keepNext/>
        <w:spacing w:before="240" w:after="240"/>
      </w:pPr>
      <w:r w:rsidRPr="00CB6573">
        <w:rPr>
          <w:noProof/>
          <w:lang w:val="it-IT" w:eastAsia="it-IT" w:bidi="ar-SA"/>
        </w:rPr>
        <w:lastRenderedPageBreak/>
        <w:drawing>
          <wp:inline distT="0" distB="0" distL="0" distR="0">
            <wp:extent cx="4704025" cy="2091193"/>
            <wp:effectExtent l="19050" t="0" r="1325" b="0"/>
            <wp:docPr id="27" name="Immagine 8" descr="CASI STIMATI-REGISTRATI-MAPPE-1 ONDA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SI STIMATI-REGISTRATI-MAPPE-1 ONDATA.png"/>
                    <pic:cNvPicPr/>
                  </pic:nvPicPr>
                  <pic:blipFill>
                    <a:blip r:embed="rId13" cstate="print"/>
                    <a:srcRect t="3663"/>
                    <a:stretch>
                      <a:fillRect/>
                    </a:stretch>
                  </pic:blipFill>
                  <pic:spPr>
                    <a:xfrm>
                      <a:off x="0" y="0"/>
                      <a:ext cx="4704025" cy="2091193"/>
                    </a:xfrm>
                    <a:prstGeom prst="rect">
                      <a:avLst/>
                    </a:prstGeom>
                  </pic:spPr>
                </pic:pic>
              </a:graphicData>
            </a:graphic>
          </wp:inline>
        </w:drawing>
      </w:r>
      <w:r w:rsidR="00DF270C" w:rsidRPr="00DF270C">
        <w:rPr>
          <w:b/>
          <w:snapToGrid/>
          <w:sz w:val="18"/>
          <w:szCs w:val="20"/>
        </w:rPr>
        <w:t>Figure</w:t>
      </w:r>
      <w:r w:rsidRPr="00DF270C">
        <w:rPr>
          <w:b/>
          <w:snapToGrid/>
          <w:sz w:val="18"/>
          <w:szCs w:val="20"/>
        </w:rPr>
        <w:t xml:space="preserve"> </w:t>
      </w:r>
      <w:r w:rsidR="009F0FD2" w:rsidRPr="00DF270C">
        <w:rPr>
          <w:b/>
          <w:snapToGrid/>
          <w:sz w:val="18"/>
          <w:szCs w:val="20"/>
        </w:rPr>
        <w:fldChar w:fldCharType="begin"/>
      </w:r>
      <w:r w:rsidRPr="00DF270C">
        <w:rPr>
          <w:b/>
          <w:snapToGrid/>
          <w:sz w:val="18"/>
          <w:szCs w:val="20"/>
        </w:rPr>
        <w:instrText xml:space="preserve"> SEQ Figura \* ARABIC </w:instrText>
      </w:r>
      <w:r w:rsidR="009F0FD2" w:rsidRPr="00DF270C">
        <w:rPr>
          <w:b/>
          <w:snapToGrid/>
          <w:sz w:val="18"/>
          <w:szCs w:val="20"/>
        </w:rPr>
        <w:fldChar w:fldCharType="separate"/>
      </w:r>
      <w:r w:rsidR="00F05728">
        <w:rPr>
          <w:b/>
          <w:noProof/>
          <w:snapToGrid/>
          <w:sz w:val="18"/>
          <w:szCs w:val="20"/>
        </w:rPr>
        <w:t>5</w:t>
      </w:r>
      <w:r w:rsidR="009F0FD2" w:rsidRPr="00DF270C">
        <w:rPr>
          <w:b/>
          <w:snapToGrid/>
          <w:sz w:val="18"/>
          <w:szCs w:val="20"/>
        </w:rPr>
        <w:fldChar w:fldCharType="end"/>
      </w:r>
      <w:r w:rsidRPr="00DF270C">
        <w:rPr>
          <w:b/>
          <w:snapToGrid/>
          <w:sz w:val="18"/>
          <w:szCs w:val="20"/>
        </w:rPr>
        <w:t xml:space="preserve"> </w:t>
      </w:r>
      <w:r w:rsidRPr="0014604B">
        <w:rPr>
          <w:snapToGrid/>
          <w:sz w:val="18"/>
          <w:szCs w:val="20"/>
        </w:rPr>
        <w:t>Maps of predicted total cases (</w:t>
      </w:r>
      <w:r w:rsidRPr="00A72F9D">
        <w:rPr>
          <w:b/>
          <w:snapToGrid/>
          <w:sz w:val="18"/>
          <w:szCs w:val="20"/>
        </w:rPr>
        <w:t>A</w:t>
      </w:r>
      <w:r w:rsidRPr="0014604B">
        <w:rPr>
          <w:snapToGrid/>
          <w:sz w:val="18"/>
          <w:szCs w:val="20"/>
        </w:rPr>
        <w:t>) and reported total cases (</w:t>
      </w:r>
      <w:r w:rsidRPr="00A72F9D">
        <w:rPr>
          <w:b/>
          <w:snapToGrid/>
          <w:sz w:val="18"/>
          <w:szCs w:val="20"/>
        </w:rPr>
        <w:t>B</w:t>
      </w:r>
      <w:r w:rsidRPr="0014604B">
        <w:rPr>
          <w:snapToGrid/>
          <w:sz w:val="18"/>
          <w:szCs w:val="20"/>
        </w:rPr>
        <w:t>) during the first wave in different grouped areas</w:t>
      </w:r>
    </w:p>
    <w:p w:rsidR="00DF270C" w:rsidRDefault="00DF270C" w:rsidP="00DF270C">
      <w:pPr>
        <w:pStyle w:val="MDPI31text"/>
      </w:pPr>
      <w:r>
        <w:t xml:space="preserve">However, the model failed to accurately </w:t>
      </w:r>
      <w:r w:rsidR="0059163B">
        <w:t>capture the spatial variation in</w:t>
      </w:r>
      <w:r>
        <w:t xml:space="preserve"> </w:t>
      </w:r>
      <w:proofErr w:type="spellStart"/>
      <w:r>
        <w:t>IR</w:t>
      </w:r>
      <w:r w:rsidRPr="00363E1E">
        <w:rPr>
          <w:vertAlign w:val="subscript"/>
        </w:rPr>
        <w:t>j</w:t>
      </w:r>
      <w:proofErr w:type="spellEnd"/>
      <w:r>
        <w:t>(t)</w:t>
      </w:r>
      <w:r w:rsidR="00F47272">
        <w:t xml:space="preserve"> (Figure 6)</w:t>
      </w:r>
      <w:r>
        <w:t xml:space="preserve">. In fact, the standard deviation of the predicted </w:t>
      </w:r>
      <w:proofErr w:type="spellStart"/>
      <w:r>
        <w:t>IR</w:t>
      </w:r>
      <w:r w:rsidRPr="00363E1E">
        <w:rPr>
          <w:vertAlign w:val="subscript"/>
        </w:rPr>
        <w:t>j</w:t>
      </w:r>
      <w:proofErr w:type="spellEnd"/>
      <w:r>
        <w:t xml:space="preserve">(t) among different areas </w:t>
      </w:r>
      <w:r w:rsidR="0059163B">
        <w:t>was</w:t>
      </w:r>
      <w:r>
        <w:t xml:space="preserve"> an order of magnitude lower than </w:t>
      </w:r>
      <w:r w:rsidR="0059163B">
        <w:t>that</w:t>
      </w:r>
      <w:r>
        <w:t xml:space="preserve"> associated </w:t>
      </w:r>
      <w:r w:rsidR="0059163B">
        <w:t>with</w:t>
      </w:r>
      <w:r>
        <w:t xml:space="preserve"> the reported </w:t>
      </w:r>
      <w:proofErr w:type="spellStart"/>
      <w:r>
        <w:t>IR</w:t>
      </w:r>
      <w:r w:rsidRPr="00363E1E">
        <w:rPr>
          <w:vertAlign w:val="subscript"/>
        </w:rPr>
        <w:t>j</w:t>
      </w:r>
      <w:proofErr w:type="spellEnd"/>
      <w:r w:rsidR="003B1504">
        <w:t>(t)</w:t>
      </w:r>
      <w:r>
        <w:t xml:space="preserve">. </w:t>
      </w:r>
      <w:r w:rsidR="0059163B">
        <w:t>The minimal variations in</w:t>
      </w:r>
      <w:r>
        <w:t xml:space="preserve"> the predicted </w:t>
      </w:r>
      <w:proofErr w:type="spellStart"/>
      <w:r>
        <w:t>IR</w:t>
      </w:r>
      <w:r w:rsidRPr="00363E1E">
        <w:rPr>
          <w:vertAlign w:val="subscript"/>
        </w:rPr>
        <w:t>j</w:t>
      </w:r>
      <w:proofErr w:type="spellEnd"/>
      <w:r>
        <w:t xml:space="preserve">(t) across different grouped areas are due to the similarity in the values of the population-based coefficient </w:t>
      </w:r>
      <w:proofErr w:type="spellStart"/>
      <w:r>
        <w:t>W</w:t>
      </w:r>
      <w:r w:rsidRPr="00055C8D">
        <w:rPr>
          <w:vertAlign w:val="subscript"/>
        </w:rPr>
        <w:t>j</w:t>
      </w:r>
      <w:proofErr w:type="spellEnd"/>
      <w:r w:rsidR="00055C8D">
        <w:t xml:space="preserve"> </w:t>
      </w:r>
      <w:r>
        <w:t>(max =1.024, min = 0.983, standard d</w:t>
      </w:r>
      <w:r>
        <w:t>e</w:t>
      </w:r>
      <w:r>
        <w:t>viation= 0.009)</w:t>
      </w:r>
      <w:r w:rsidR="003B1504">
        <w:t xml:space="preserve"> (Table S14)</w:t>
      </w:r>
      <w:r>
        <w:t xml:space="preserve">. </w:t>
      </w:r>
    </w:p>
    <w:p w:rsidR="00DF270C" w:rsidRDefault="00DF270C" w:rsidP="00DF270C">
      <w:pPr>
        <w:pStyle w:val="MDPI31text"/>
      </w:pPr>
      <w:r>
        <w:t xml:space="preserve">The standard deviation of </w:t>
      </w:r>
      <w:proofErr w:type="spellStart"/>
      <w:r>
        <w:t>W</w:t>
      </w:r>
      <w:r w:rsidRPr="00055C8D">
        <w:rPr>
          <w:vertAlign w:val="subscript"/>
        </w:rPr>
        <w:t>j</w:t>
      </w:r>
      <w:proofErr w:type="spellEnd"/>
      <w:r>
        <w:t xml:space="preserve"> was low since the regression coefficients used to d</w:t>
      </w:r>
      <w:r>
        <w:t>e</w:t>
      </w:r>
      <w:r>
        <w:t xml:space="preserve">termine </w:t>
      </w:r>
      <w:proofErr w:type="spellStart"/>
      <w:r>
        <w:t>W</w:t>
      </w:r>
      <w:r w:rsidRPr="00055C8D">
        <w:rPr>
          <w:vertAlign w:val="subscript"/>
        </w:rPr>
        <w:t>j</w:t>
      </w:r>
      <w:proofErr w:type="spellEnd"/>
      <w:r>
        <w:t xml:space="preserve"> were ve</w:t>
      </w:r>
      <w:r w:rsidR="00B92BB9">
        <w:t>ry low (max = 0.329, min = -0.00</w:t>
      </w:r>
      <w:r>
        <w:t>8)</w:t>
      </w:r>
      <w:r w:rsidR="00322655">
        <w:t xml:space="preserve"> (Table S4)</w:t>
      </w:r>
      <w:r>
        <w:t>. In addition</w:t>
      </w:r>
      <w:r w:rsidR="0059163B">
        <w:t>,</w:t>
      </w:r>
      <w:r>
        <w:t xml:space="preserve"> population characteristics </w:t>
      </w:r>
      <w:r w:rsidR="0059163B">
        <w:t>were</w:t>
      </w:r>
      <w:r>
        <w:t xml:space="preserve"> very similar among the different areas (</w:t>
      </w:r>
      <w:r w:rsidR="003B1504">
        <w:t>Table S5</w:t>
      </w:r>
      <w:r>
        <w:t>).</w:t>
      </w:r>
    </w:p>
    <w:p w:rsidR="00DF270C" w:rsidRDefault="00DF270C" w:rsidP="00DF270C">
      <w:pPr>
        <w:pStyle w:val="MDPI31text"/>
      </w:pPr>
      <w:r>
        <w:t xml:space="preserve">The uncertainty associated with the daily estimation of </w:t>
      </w:r>
      <w:proofErr w:type="spellStart"/>
      <w:r>
        <w:t>IR</w:t>
      </w:r>
      <w:r w:rsidRPr="00363E1E">
        <w:rPr>
          <w:vertAlign w:val="subscript"/>
        </w:rPr>
        <w:t>j</w:t>
      </w:r>
      <w:proofErr w:type="spellEnd"/>
      <w:r>
        <w:t>(t) in each area was ca</w:t>
      </w:r>
      <w:r>
        <w:t>l</w:t>
      </w:r>
      <w:r>
        <w:t>culated (</w:t>
      </w:r>
      <w:r w:rsidR="00A72F9D">
        <w:t>Section 2.5</w:t>
      </w:r>
      <w:r>
        <w:t xml:space="preserve">). Since the uncertainty depends on </w:t>
      </w:r>
      <w:r w:rsidR="0059163B">
        <w:t xml:space="preserve">the number of cases (the lower </w:t>
      </w:r>
      <w:r>
        <w:t>the number of cases</w:t>
      </w:r>
      <w:r w:rsidR="0059163B">
        <w:t xml:space="preserve"> is,</w:t>
      </w:r>
      <w:r>
        <w:t xml:space="preserve"> the greater </w:t>
      </w:r>
      <w:r w:rsidR="0059163B">
        <w:t>the</w:t>
      </w:r>
      <w:r>
        <w:t xml:space="preserve"> uncertainty</w:t>
      </w:r>
      <w:r w:rsidR="0059163B">
        <w:t xml:space="preserve"> is</w:t>
      </w:r>
      <w:r>
        <w:t>), its value varied from one area to a</w:t>
      </w:r>
      <w:r>
        <w:t>n</w:t>
      </w:r>
      <w:r>
        <w:t xml:space="preserve">other and was </w:t>
      </w:r>
      <w:r w:rsidR="0059163B">
        <w:t>greater</w:t>
      </w:r>
      <w:r>
        <w:t xml:space="preserve"> than </w:t>
      </w:r>
      <w:r w:rsidR="0059163B">
        <w:t>that</w:t>
      </w:r>
      <w:r>
        <w:t xml:space="preserve"> calculated in the temporal analysis. Starting from the uncertainty value, </w:t>
      </w:r>
      <w:r w:rsidR="0059163B">
        <w:t xml:space="preserve">the </w:t>
      </w:r>
      <w:r>
        <w:t xml:space="preserve">upper and lower limits associated with the estimation of </w:t>
      </w:r>
      <w:proofErr w:type="spellStart"/>
      <w:r>
        <w:t>IR</w:t>
      </w:r>
      <w:r w:rsidRPr="00363E1E">
        <w:rPr>
          <w:vertAlign w:val="subscript"/>
        </w:rPr>
        <w:t>j</w:t>
      </w:r>
      <w:proofErr w:type="spellEnd"/>
      <w:r>
        <w:t>(t) in each area were computed (</w:t>
      </w:r>
      <w:r w:rsidR="003B1504">
        <w:t>Figure 6</w:t>
      </w:r>
      <w:r>
        <w:t>).</w:t>
      </w:r>
    </w:p>
    <w:p w:rsidR="00B82082" w:rsidRDefault="00E762A5" w:rsidP="00DF270C">
      <w:pPr>
        <w:pStyle w:val="MDPI31text"/>
      </w:pPr>
      <w:r>
        <w:t>Only t</w:t>
      </w:r>
      <w:r w:rsidR="00DF270C">
        <w:t xml:space="preserve">hroughout the first wave and off-wave periods, the reported values of </w:t>
      </w:r>
      <w:proofErr w:type="spellStart"/>
      <w:r w:rsidR="00DF270C">
        <w:t>IR</w:t>
      </w:r>
      <w:r w:rsidR="00DF270C" w:rsidRPr="00363E1E">
        <w:rPr>
          <w:vertAlign w:val="subscript"/>
        </w:rPr>
        <w:t>j</w:t>
      </w:r>
      <w:proofErr w:type="spellEnd"/>
      <w:r w:rsidR="00DF270C">
        <w:t xml:space="preserve">(t) remained within the range of uncertainty associated with the predicted </w:t>
      </w:r>
      <w:proofErr w:type="spellStart"/>
      <w:r w:rsidR="00DF270C">
        <w:t>IR</w:t>
      </w:r>
      <w:r w:rsidR="00DF270C" w:rsidRPr="00363E1E">
        <w:rPr>
          <w:vertAlign w:val="subscript"/>
        </w:rPr>
        <w:t>j</w:t>
      </w:r>
      <w:proofErr w:type="spellEnd"/>
      <w:r>
        <w:t xml:space="preserve">(t), while </w:t>
      </w:r>
      <w:r w:rsidR="00DF270C">
        <w:t xml:space="preserve">during the second and third waves, the </w:t>
      </w:r>
      <w:r w:rsidR="00F47272">
        <w:t>reported</w:t>
      </w:r>
      <w:r w:rsidR="00DF270C">
        <w:t xml:space="preserve"> </w:t>
      </w:r>
      <w:proofErr w:type="spellStart"/>
      <w:r w:rsidR="00DF270C">
        <w:t>IR</w:t>
      </w:r>
      <w:r w:rsidR="00DF270C" w:rsidRPr="00363E1E">
        <w:rPr>
          <w:vertAlign w:val="subscript"/>
        </w:rPr>
        <w:t>j</w:t>
      </w:r>
      <w:proofErr w:type="spellEnd"/>
      <w:r w:rsidR="00DF270C">
        <w:t>(t) only partially overlapped with the uncertainty range.</w:t>
      </w:r>
    </w:p>
    <w:p w:rsidR="00DF270C" w:rsidRDefault="00DF270C" w:rsidP="0014604B">
      <w:pPr>
        <w:pStyle w:val="MDPI31text"/>
        <w:keepNext/>
        <w:spacing w:before="240" w:after="240"/>
        <w:rPr>
          <w:snapToGrid/>
          <w:sz w:val="18"/>
          <w:szCs w:val="20"/>
        </w:rPr>
      </w:pPr>
      <w:r w:rsidRPr="00DF270C">
        <w:rPr>
          <w:noProof/>
          <w:lang w:val="it-IT" w:eastAsia="it-IT" w:bidi="ar-SA"/>
        </w:rPr>
        <w:drawing>
          <wp:inline distT="0" distB="0" distL="0" distR="0">
            <wp:extent cx="4870750" cy="2576284"/>
            <wp:effectExtent l="19050" t="0" r="6050" b="0"/>
            <wp:docPr id="9" name="Immagine 2" descr="box plot con incertezza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x plot con incertezza 1.png"/>
                    <pic:cNvPicPr/>
                  </pic:nvPicPr>
                  <pic:blipFill>
                    <a:blip r:embed="rId14" cstate="print"/>
                    <a:stretch>
                      <a:fillRect/>
                    </a:stretch>
                  </pic:blipFill>
                  <pic:spPr>
                    <a:xfrm>
                      <a:off x="0" y="0"/>
                      <a:ext cx="4868995" cy="2575356"/>
                    </a:xfrm>
                    <a:prstGeom prst="rect">
                      <a:avLst/>
                    </a:prstGeom>
                  </pic:spPr>
                </pic:pic>
              </a:graphicData>
            </a:graphic>
          </wp:inline>
        </w:drawing>
      </w:r>
      <w:r w:rsidR="0014604B" w:rsidRPr="0014604B">
        <w:rPr>
          <w:b/>
          <w:snapToGrid/>
          <w:sz w:val="18"/>
          <w:szCs w:val="20"/>
        </w:rPr>
        <w:t>Figure</w:t>
      </w:r>
      <w:r w:rsidRPr="0014604B">
        <w:rPr>
          <w:b/>
          <w:snapToGrid/>
          <w:sz w:val="18"/>
          <w:szCs w:val="20"/>
        </w:rPr>
        <w:t xml:space="preserve"> </w:t>
      </w:r>
      <w:r w:rsidR="009F0FD2" w:rsidRPr="0014604B">
        <w:rPr>
          <w:b/>
          <w:snapToGrid/>
          <w:sz w:val="18"/>
          <w:szCs w:val="20"/>
        </w:rPr>
        <w:fldChar w:fldCharType="begin"/>
      </w:r>
      <w:r w:rsidRPr="0014604B">
        <w:rPr>
          <w:b/>
          <w:snapToGrid/>
          <w:sz w:val="18"/>
          <w:szCs w:val="20"/>
        </w:rPr>
        <w:instrText xml:space="preserve"> SEQ Figura \* ARABIC </w:instrText>
      </w:r>
      <w:r w:rsidR="009F0FD2" w:rsidRPr="0014604B">
        <w:rPr>
          <w:b/>
          <w:snapToGrid/>
          <w:sz w:val="18"/>
          <w:szCs w:val="20"/>
        </w:rPr>
        <w:fldChar w:fldCharType="separate"/>
      </w:r>
      <w:r w:rsidR="00F05728">
        <w:rPr>
          <w:b/>
          <w:noProof/>
          <w:snapToGrid/>
          <w:sz w:val="18"/>
          <w:szCs w:val="20"/>
        </w:rPr>
        <w:t>6</w:t>
      </w:r>
      <w:r w:rsidR="009F0FD2" w:rsidRPr="0014604B">
        <w:rPr>
          <w:b/>
          <w:snapToGrid/>
          <w:sz w:val="18"/>
          <w:szCs w:val="20"/>
        </w:rPr>
        <w:fldChar w:fldCharType="end"/>
      </w:r>
      <w:r w:rsidRPr="0014604B">
        <w:rPr>
          <w:b/>
          <w:snapToGrid/>
          <w:sz w:val="18"/>
          <w:szCs w:val="20"/>
        </w:rPr>
        <w:t xml:space="preserve"> </w:t>
      </w:r>
      <w:r w:rsidRPr="0014604B">
        <w:rPr>
          <w:snapToGrid/>
          <w:sz w:val="18"/>
          <w:szCs w:val="20"/>
        </w:rPr>
        <w:t>Box plot of the daily average reported and predicted infection rate</w:t>
      </w:r>
      <w:r w:rsidR="0059163B">
        <w:rPr>
          <w:snapToGrid/>
          <w:sz w:val="18"/>
          <w:szCs w:val="20"/>
        </w:rPr>
        <w:t>s</w:t>
      </w:r>
      <w:r w:rsidRPr="0014604B">
        <w:rPr>
          <w:snapToGrid/>
          <w:sz w:val="18"/>
          <w:szCs w:val="20"/>
        </w:rPr>
        <w:t xml:space="preserve"> (</w:t>
      </w:r>
      <w:proofErr w:type="spellStart"/>
      <w:r w:rsidRPr="0014604B">
        <w:rPr>
          <w:snapToGrid/>
          <w:sz w:val="18"/>
          <w:szCs w:val="20"/>
        </w:rPr>
        <w:t>IR</w:t>
      </w:r>
      <w:r w:rsidRPr="00363E1E">
        <w:rPr>
          <w:snapToGrid/>
          <w:sz w:val="18"/>
          <w:szCs w:val="20"/>
          <w:vertAlign w:val="subscript"/>
        </w:rPr>
        <w:t>j</w:t>
      </w:r>
      <w:proofErr w:type="spellEnd"/>
      <w:r w:rsidRPr="0014604B">
        <w:rPr>
          <w:snapToGrid/>
          <w:sz w:val="18"/>
          <w:szCs w:val="20"/>
        </w:rPr>
        <w:t>), along with the lower and upper uncertainty bounds associated with the daily average predicted IR</w:t>
      </w:r>
      <w:r w:rsidRPr="00363E1E">
        <w:rPr>
          <w:snapToGrid/>
          <w:sz w:val="18"/>
          <w:szCs w:val="20"/>
          <w:vertAlign w:val="subscript"/>
        </w:rPr>
        <w:t>j</w:t>
      </w:r>
      <w:r w:rsidRPr="0014604B">
        <w:rPr>
          <w:snapToGrid/>
          <w:sz w:val="18"/>
          <w:szCs w:val="20"/>
        </w:rPr>
        <w:t>. The IR</w:t>
      </w:r>
      <w:r w:rsidRPr="00363E1E">
        <w:rPr>
          <w:snapToGrid/>
          <w:sz w:val="18"/>
          <w:szCs w:val="20"/>
          <w:vertAlign w:val="subscript"/>
        </w:rPr>
        <w:t>j</w:t>
      </w:r>
      <w:r w:rsidRPr="0014604B">
        <w:rPr>
          <w:snapToGrid/>
          <w:sz w:val="18"/>
          <w:szCs w:val="20"/>
        </w:rPr>
        <w:t xml:space="preserve"> is e</w:t>
      </w:r>
      <w:r w:rsidRPr="0014604B">
        <w:rPr>
          <w:snapToGrid/>
          <w:sz w:val="18"/>
          <w:szCs w:val="20"/>
        </w:rPr>
        <w:t>x</w:t>
      </w:r>
      <w:r w:rsidRPr="0014604B">
        <w:rPr>
          <w:snapToGrid/>
          <w:sz w:val="18"/>
          <w:szCs w:val="20"/>
        </w:rPr>
        <w:lastRenderedPageBreak/>
        <w:t>pressed as daily average cases per 1000 inhabitants over the wave and in the</w:t>
      </w:r>
      <w:r w:rsidR="002260B7">
        <w:rPr>
          <w:snapToGrid/>
          <w:sz w:val="18"/>
          <w:szCs w:val="20"/>
        </w:rPr>
        <w:t xml:space="preserve"> grouped</w:t>
      </w:r>
      <w:r w:rsidRPr="0014604B">
        <w:rPr>
          <w:snapToGrid/>
          <w:sz w:val="18"/>
          <w:szCs w:val="20"/>
        </w:rPr>
        <w:t xml:space="preserve"> area (for each box plot</w:t>
      </w:r>
      <w:r w:rsidR="0059163B">
        <w:rPr>
          <w:snapToGrid/>
          <w:sz w:val="18"/>
          <w:szCs w:val="20"/>
        </w:rPr>
        <w:t>,</w:t>
      </w:r>
      <w:r w:rsidRPr="0014604B">
        <w:rPr>
          <w:snapToGrid/>
          <w:sz w:val="18"/>
          <w:szCs w:val="20"/>
        </w:rPr>
        <w:t xml:space="preserve"> one data point for each </w:t>
      </w:r>
      <w:r w:rsidR="002260B7">
        <w:rPr>
          <w:snapToGrid/>
          <w:sz w:val="18"/>
          <w:szCs w:val="20"/>
        </w:rPr>
        <w:t xml:space="preserve">grouped </w:t>
      </w:r>
      <w:r w:rsidRPr="0014604B">
        <w:rPr>
          <w:snapToGrid/>
          <w:sz w:val="18"/>
          <w:szCs w:val="20"/>
        </w:rPr>
        <w:t>area and for each wave is represented).</w:t>
      </w:r>
    </w:p>
    <w:p w:rsidR="0014604B" w:rsidRPr="0014604B" w:rsidRDefault="0059163B" w:rsidP="0014604B">
      <w:pPr>
        <w:pStyle w:val="MDPI31text"/>
      </w:pPr>
      <w:r>
        <w:t>T</w:t>
      </w:r>
      <w:r w:rsidR="0014604B" w:rsidRPr="0014604B">
        <w:t xml:space="preserve">he spatial variation </w:t>
      </w:r>
      <w:r>
        <w:t>in the</w:t>
      </w:r>
      <w:r w:rsidR="0014604B" w:rsidRPr="0014604B">
        <w:t xml:space="preserve"> reported </w:t>
      </w:r>
      <w:proofErr w:type="spellStart"/>
      <w:r w:rsidR="0014604B" w:rsidRPr="0014604B">
        <w:t>IR</w:t>
      </w:r>
      <w:r w:rsidR="0014604B" w:rsidRPr="00363E1E">
        <w:rPr>
          <w:vertAlign w:val="subscript"/>
        </w:rPr>
        <w:t>j</w:t>
      </w:r>
      <w:proofErr w:type="spellEnd"/>
      <w:r w:rsidR="0014604B" w:rsidRPr="0014604B">
        <w:t>(t) did not exhibit consistency over time</w:t>
      </w:r>
      <w:r>
        <w:t>;</w:t>
      </w:r>
      <w:r w:rsidR="0014604B" w:rsidRPr="0014604B">
        <w:t xml:space="preserve"> across different areas, </w:t>
      </w:r>
      <w:r>
        <w:t xml:space="preserve">the </w:t>
      </w:r>
      <w:proofErr w:type="spellStart"/>
      <w:r w:rsidR="0014604B" w:rsidRPr="0014604B">
        <w:t>IR</w:t>
      </w:r>
      <w:r w:rsidR="0014604B" w:rsidRPr="00363E1E">
        <w:rPr>
          <w:vertAlign w:val="subscript"/>
        </w:rPr>
        <w:t>j</w:t>
      </w:r>
      <w:proofErr w:type="spellEnd"/>
      <w:r w:rsidR="0014604B" w:rsidRPr="0014604B">
        <w:t>(t) values deviated differently from the mean, displaying both higher and lower values over time (</w:t>
      </w:r>
      <w:r w:rsidR="003B1504">
        <w:t>Figure S7</w:t>
      </w:r>
      <w:r w:rsidR="0014604B" w:rsidRPr="0014604B">
        <w:t>). Indeed, across the three distinct waves and in the off-waves period, only 21 out of 67 areas (31%) demon</w:t>
      </w:r>
      <w:r>
        <w:t>strated</w:t>
      </w:r>
      <w:r w:rsidR="0014604B" w:rsidRPr="0014604B">
        <w:t xml:space="preserve"> consistent temporal variation</w:t>
      </w:r>
      <w:r>
        <w:t>s</w:t>
      </w:r>
      <w:r w:rsidR="0014604B" w:rsidRPr="0014604B">
        <w:t xml:space="preserve">. Of these, 11 areas consistently exhibited </w:t>
      </w:r>
      <w:proofErr w:type="spellStart"/>
      <w:r w:rsidR="0014604B" w:rsidRPr="0014604B">
        <w:t>IR</w:t>
      </w:r>
      <w:r w:rsidR="0014604B" w:rsidRPr="00363E1E">
        <w:rPr>
          <w:vertAlign w:val="subscript"/>
        </w:rPr>
        <w:t>j</w:t>
      </w:r>
      <w:proofErr w:type="spellEnd"/>
      <w:r w:rsidR="0014604B" w:rsidRPr="0014604B">
        <w:t xml:space="preserve">(t) values </w:t>
      </w:r>
      <w:r w:rsidR="00487181">
        <w:t>above</w:t>
      </w:r>
      <w:r w:rsidR="0014604B" w:rsidRPr="0014604B">
        <w:t xml:space="preserve"> the mean, while 10 areas consistently </w:t>
      </w:r>
      <w:r w:rsidRPr="0059163B">
        <w:t xml:space="preserve">exhibited </w:t>
      </w:r>
      <w:r w:rsidR="0014604B" w:rsidRPr="0014604B">
        <w:t>values below the mean. However, for 46 a</w:t>
      </w:r>
      <w:r w:rsidR="0014604B" w:rsidRPr="0014604B">
        <w:t>r</w:t>
      </w:r>
      <w:r w:rsidR="0014604B" w:rsidRPr="0014604B">
        <w:t>eas</w:t>
      </w:r>
      <w:r>
        <w:t>,</w:t>
      </w:r>
      <w:r w:rsidR="0014604B" w:rsidRPr="0014604B">
        <w:t xml:space="preserve"> the variation was not consistent over time.</w:t>
      </w:r>
    </w:p>
    <w:p w:rsidR="00DF270C" w:rsidRDefault="0014604B" w:rsidP="0014604B">
      <w:pPr>
        <w:pStyle w:val="MDPI31text"/>
      </w:pPr>
      <w:r w:rsidRPr="0014604B">
        <w:t>Upon comprehensive analysis of the three waves and the off-wave</w:t>
      </w:r>
      <w:r w:rsidR="0059163B">
        <w:t>s</w:t>
      </w:r>
      <w:r w:rsidRPr="0014604B">
        <w:t xml:space="preserve">, considering the variation </w:t>
      </w:r>
      <w:r w:rsidR="0059163B">
        <w:t>in</w:t>
      </w:r>
      <w:r w:rsidRPr="0014604B">
        <w:t xml:space="preserve"> </w:t>
      </w:r>
      <w:proofErr w:type="spellStart"/>
      <w:r w:rsidRPr="0014604B">
        <w:t>IR</w:t>
      </w:r>
      <w:r w:rsidRPr="00363E1E">
        <w:rPr>
          <w:vertAlign w:val="subscript"/>
        </w:rPr>
        <w:t>j</w:t>
      </w:r>
      <w:proofErr w:type="spellEnd"/>
      <w:r w:rsidRPr="0014604B">
        <w:t xml:space="preserve">(t) relative to the mean, 31 areas (46%) demonstrated concordance between </w:t>
      </w:r>
      <w:r w:rsidR="00E16DB1">
        <w:t xml:space="preserve">the </w:t>
      </w:r>
      <w:r w:rsidRPr="0014604B">
        <w:t xml:space="preserve">predicted and reported variations </w:t>
      </w:r>
      <w:r w:rsidR="00E16DB1">
        <w:t>in</w:t>
      </w:r>
      <w:r w:rsidRPr="0014604B">
        <w:t xml:space="preserve"> </w:t>
      </w:r>
      <w:proofErr w:type="spellStart"/>
      <w:r w:rsidRPr="0014604B">
        <w:t>IR</w:t>
      </w:r>
      <w:r w:rsidRPr="00363E1E">
        <w:rPr>
          <w:vertAlign w:val="subscript"/>
        </w:rPr>
        <w:t>j</w:t>
      </w:r>
      <w:proofErr w:type="spellEnd"/>
      <w:r w:rsidRPr="0014604B">
        <w:t xml:space="preserve">(t), while </w:t>
      </w:r>
      <w:r w:rsidR="00E16DB1">
        <w:t xml:space="preserve">this </w:t>
      </w:r>
      <w:r w:rsidRPr="0014604B">
        <w:t>was</w:t>
      </w:r>
      <w:r w:rsidR="00E16DB1">
        <w:t xml:space="preserve"> not</w:t>
      </w:r>
      <w:r w:rsidRPr="0014604B">
        <w:t xml:space="preserve"> observed in 36 areas.</w:t>
      </w:r>
    </w:p>
    <w:p w:rsidR="00522304" w:rsidRDefault="00522304" w:rsidP="00522304">
      <w:pPr>
        <w:pStyle w:val="MDPI21heading1"/>
      </w:pPr>
      <w:r w:rsidRPr="00325902">
        <w:t>4. Discussion</w:t>
      </w:r>
    </w:p>
    <w:p w:rsidR="00F05728" w:rsidRPr="00325902" w:rsidRDefault="00F05728" w:rsidP="00F05728">
      <w:pPr>
        <w:pStyle w:val="MDPI22heading2"/>
        <w:spacing w:before="240"/>
      </w:pPr>
      <w:r w:rsidRPr="00F05728">
        <w:t>4.1.</w:t>
      </w:r>
      <w:r w:rsidRPr="00F05728">
        <w:tab/>
        <w:t>Model Parameters</w:t>
      </w:r>
    </w:p>
    <w:p w:rsidR="00F05728" w:rsidRDefault="00C82B61" w:rsidP="00F05728">
      <w:pPr>
        <w:pStyle w:val="MDPI31text"/>
      </w:pPr>
      <w:r>
        <w:t>T</w:t>
      </w:r>
      <w:r w:rsidR="00F05728">
        <w:t>he</w:t>
      </w:r>
      <w:r>
        <w:t xml:space="preserve"> </w:t>
      </w:r>
      <w:proofErr w:type="spellStart"/>
      <w:r>
        <w:t>faecal</w:t>
      </w:r>
      <w:proofErr w:type="spellEnd"/>
      <w:r w:rsidR="00F05728">
        <w:t xml:space="preserve"> shedding rate (</w:t>
      </w:r>
      <w:proofErr w:type="spellStart"/>
      <w:r w:rsidR="00F05728">
        <w:t>S</w:t>
      </w:r>
      <w:r w:rsidR="00F05728" w:rsidRPr="00055C8D">
        <w:rPr>
          <w:vertAlign w:val="subscript"/>
        </w:rPr>
        <w:t>h</w:t>
      </w:r>
      <w:proofErr w:type="spellEnd"/>
      <w:r w:rsidR="006A705D">
        <w:t xml:space="preserve">), the wet mass of </w:t>
      </w:r>
      <w:proofErr w:type="spellStart"/>
      <w:r w:rsidR="006A705D">
        <w:t>f</w:t>
      </w:r>
      <w:r w:rsidR="00487181">
        <w:t>a</w:t>
      </w:r>
      <w:r w:rsidR="00F05728">
        <w:t>eces</w:t>
      </w:r>
      <w:proofErr w:type="spellEnd"/>
      <w:r w:rsidR="00F05728">
        <w:t xml:space="preserve"> (M</w:t>
      </w:r>
      <w:r w:rsidR="00F05728" w:rsidRPr="00055C8D">
        <w:rPr>
          <w:vertAlign w:val="subscript"/>
        </w:rPr>
        <w:t>f</w:t>
      </w:r>
      <w:r w:rsidR="00F05728">
        <w:t xml:space="preserve">) and the biodegradation constant (k) were assumed from </w:t>
      </w:r>
      <w:r w:rsidR="006A705D">
        <w:t xml:space="preserve">the </w:t>
      </w:r>
      <w:r w:rsidR="00F05728">
        <w:t>literature since site-specific data for these parameters were not available.</w:t>
      </w:r>
      <w:r w:rsidR="00B11714">
        <w:t xml:space="preserve"> </w:t>
      </w:r>
      <w:r w:rsidR="00F05728">
        <w:t xml:space="preserve">The </w:t>
      </w:r>
      <w:r>
        <w:t>shedding rate exhibited</w:t>
      </w:r>
      <w:r w:rsidR="00F05728">
        <w:t xml:space="preserve"> significant variability, ranging from 10</w:t>
      </w:r>
      <w:r w:rsidR="00F05728" w:rsidRPr="006A705D">
        <w:rPr>
          <w:vertAlign w:val="superscript"/>
        </w:rPr>
        <w:t>3</w:t>
      </w:r>
      <w:r w:rsidR="00F05728">
        <w:t xml:space="preserve"> to 10</w:t>
      </w:r>
      <w:r w:rsidR="00F05728" w:rsidRPr="006A705D">
        <w:rPr>
          <w:vertAlign w:val="superscript"/>
        </w:rPr>
        <w:t>9</w:t>
      </w:r>
      <w:r w:rsidR="006A705D">
        <w:t xml:space="preserve"> </w:t>
      </w:r>
      <w:r w:rsidR="00F05728">
        <w:t xml:space="preserve">[GC/g] </w:t>
      </w:r>
      <w:r w:rsidR="002847C1">
        <w:t>[</w:t>
      </w:r>
      <w:hyperlink w:anchor="Li_2021" w:history="1">
        <w:r w:rsidR="00695BCD" w:rsidRPr="00695BCD">
          <w:rPr>
            <w:rStyle w:val="Collegamentoipertestuale"/>
          </w:rPr>
          <w:t>3</w:t>
        </w:r>
      </w:hyperlink>
      <w:r w:rsidR="00695BCD">
        <w:t>,</w:t>
      </w:r>
      <w:hyperlink w:anchor="schimtz_2021" w:history="1">
        <w:r w:rsidR="00E0768D" w:rsidRPr="00E0768D">
          <w:rPr>
            <w:rStyle w:val="Collegamentoipertestuale"/>
          </w:rPr>
          <w:t>16</w:t>
        </w:r>
      </w:hyperlink>
      <w:r w:rsidR="00E0768D">
        <w:t>,</w:t>
      </w:r>
      <w:hyperlink w:anchor="foladori_2020" w:history="1">
        <w:r w:rsidR="002847C1" w:rsidRPr="002847C1">
          <w:rPr>
            <w:rStyle w:val="Collegamentoipertestuale"/>
          </w:rPr>
          <w:t>29</w:t>
        </w:r>
      </w:hyperlink>
      <w:r w:rsidR="002847C1">
        <w:t>,</w:t>
      </w:r>
      <w:hyperlink w:anchor="prasek_2023" w:history="1">
        <w:r w:rsidR="00D454B4" w:rsidRPr="00D454B4">
          <w:rPr>
            <w:rStyle w:val="Collegamentoipertestuale"/>
          </w:rPr>
          <w:t>31</w:t>
        </w:r>
      </w:hyperlink>
      <w:r w:rsidR="00D454B4">
        <w:t xml:space="preserve">]. </w:t>
      </w:r>
      <w:r w:rsidR="00F05728">
        <w:t xml:space="preserve">This variability </w:t>
      </w:r>
      <w:r>
        <w:t>wa</w:t>
      </w:r>
      <w:r w:rsidR="00F05728">
        <w:t>s attributed to the estimation method</w:t>
      </w:r>
      <w:r w:rsidR="006A705D">
        <w:t>,</w:t>
      </w:r>
      <w:r w:rsidR="00F05728">
        <w:t xml:space="preserve"> which can be at </w:t>
      </w:r>
      <w:r w:rsidR="006A705D">
        <w:t xml:space="preserve">the individual level </w:t>
      </w:r>
      <w:r w:rsidR="00695BCD">
        <w:t>[</w:t>
      </w:r>
      <w:hyperlink w:anchor="Li_2021" w:history="1">
        <w:r w:rsidR="002847C1" w:rsidRPr="00695BCD">
          <w:rPr>
            <w:rStyle w:val="Collegamentoipertestuale"/>
          </w:rPr>
          <w:t>3</w:t>
        </w:r>
      </w:hyperlink>
      <w:r w:rsidR="00F05728">
        <w:t>,</w:t>
      </w:r>
      <w:hyperlink w:anchor="zhang_2021" w:history="1">
        <w:r w:rsidR="00EA580C" w:rsidRPr="00EA580C">
          <w:rPr>
            <w:rStyle w:val="Collegamentoipertestuale"/>
          </w:rPr>
          <w:t>40</w:t>
        </w:r>
      </w:hyperlink>
      <w:r w:rsidR="00EA580C">
        <w:t>]</w:t>
      </w:r>
      <w:r w:rsidR="00F05728">
        <w:t xml:space="preserve"> or at </w:t>
      </w:r>
      <w:r w:rsidR="006A705D">
        <w:t xml:space="preserve">the </w:t>
      </w:r>
      <w:r w:rsidR="00F05728">
        <w:t xml:space="preserve">population level </w:t>
      </w:r>
      <w:r w:rsidR="006A705D">
        <w:t>(</w:t>
      </w:r>
      <w:r w:rsidR="00F05728">
        <w:t>retrospectively determined based on observed concentrations at WWTP</w:t>
      </w:r>
      <w:r w:rsidR="006A705D">
        <w:t>s</w:t>
      </w:r>
      <w:r w:rsidR="00F05728">
        <w:t xml:space="preserve"> and positive cases</w:t>
      </w:r>
      <w:r w:rsidR="006A705D">
        <w:t>)</w:t>
      </w:r>
      <w:r w:rsidR="00E0768D">
        <w:t xml:space="preserve"> [</w:t>
      </w:r>
      <w:hyperlink w:anchor="schimtz_2021" w:history="1">
        <w:r w:rsidR="00E0768D" w:rsidRPr="00E0768D">
          <w:rPr>
            <w:rStyle w:val="Collegamentoipertestuale"/>
          </w:rPr>
          <w:t>16</w:t>
        </w:r>
      </w:hyperlink>
      <w:r w:rsidR="00E0768D">
        <w:t>,</w:t>
      </w:r>
      <w:hyperlink w:anchor="prasek_2023" w:history="1">
        <w:r w:rsidR="00D454B4" w:rsidRPr="00D454B4">
          <w:rPr>
            <w:rStyle w:val="Collegamentoipertestuale"/>
          </w:rPr>
          <w:t>31</w:t>
        </w:r>
      </w:hyperlink>
      <w:r w:rsidR="00D454B4">
        <w:t>]</w:t>
      </w:r>
      <w:r w:rsidR="00F05728">
        <w:t>. Additionally, shedding depends on factors such as population characteristics (e.g.</w:t>
      </w:r>
      <w:r w:rsidR="006A705D">
        <w:t>,</w:t>
      </w:r>
      <w:r w:rsidR="00F05728">
        <w:t xml:space="preserve"> </w:t>
      </w:r>
      <w:r w:rsidR="006A705D">
        <w:t>sex</w:t>
      </w:r>
      <w:r w:rsidR="00D454B4">
        <w:t>, age, ethnic group [</w:t>
      </w:r>
      <w:hyperlink w:anchor="prasek_2023" w:history="1">
        <w:r w:rsidR="00D454B4" w:rsidRPr="00D454B4">
          <w:rPr>
            <w:rStyle w:val="Collegamentoipertestuale"/>
          </w:rPr>
          <w:t>31</w:t>
        </w:r>
      </w:hyperlink>
      <w:r w:rsidR="00D454B4">
        <w:t xml:space="preserve">] </w:t>
      </w:r>
      <w:r w:rsidR="00F05728">
        <w:t xml:space="preserve">and health status </w:t>
      </w:r>
      <w:r w:rsidR="00695BCD">
        <w:t>[</w:t>
      </w:r>
      <w:hyperlink w:anchor="Li_2021" w:history="1">
        <w:r w:rsidR="00695BCD" w:rsidRPr="00695BCD">
          <w:rPr>
            <w:rStyle w:val="Collegamentoipertestuale"/>
          </w:rPr>
          <w:t>3</w:t>
        </w:r>
      </w:hyperlink>
      <w:r w:rsidR="00695BCD">
        <w:t>]</w:t>
      </w:r>
      <w:r w:rsidR="00F05728">
        <w:t>), viral variant</w:t>
      </w:r>
      <w:r w:rsidR="006A705D">
        <w:t>s</w:t>
      </w:r>
      <w:r w:rsidR="00F05728">
        <w:t xml:space="preserve"> or </w:t>
      </w:r>
      <w:proofErr w:type="spellStart"/>
      <w:r w:rsidR="00F05728">
        <w:t>subvariant</w:t>
      </w:r>
      <w:r w:rsidR="006A705D">
        <w:t>s</w:t>
      </w:r>
      <w:proofErr w:type="spellEnd"/>
      <w:r w:rsidR="00D454B4">
        <w:t xml:space="preserve"> [</w:t>
      </w:r>
      <w:hyperlink w:anchor="prasek_2023" w:history="1">
        <w:r w:rsidR="00D454B4" w:rsidRPr="00D454B4">
          <w:rPr>
            <w:rStyle w:val="Collegamentoipertestuale"/>
          </w:rPr>
          <w:t>31</w:t>
        </w:r>
      </w:hyperlink>
      <w:r w:rsidR="00D454B4">
        <w:t>]</w:t>
      </w:r>
      <w:r w:rsidR="00F05728">
        <w:t>, sympto</w:t>
      </w:r>
      <w:r w:rsidR="00EA580C">
        <w:t>ms exhibited and disease stage [</w:t>
      </w:r>
      <w:hyperlink w:anchor="natarajan" w:history="1">
        <w:r w:rsidR="00EA580C" w:rsidRPr="00EA580C">
          <w:rPr>
            <w:rStyle w:val="Collegamentoipertestuale"/>
          </w:rPr>
          <w:t>41</w:t>
        </w:r>
      </w:hyperlink>
      <w:r w:rsidR="00EA580C">
        <w:t>,</w:t>
      </w:r>
      <w:hyperlink w:anchor="cheung" w:history="1">
        <w:r w:rsidR="00EA580C" w:rsidRPr="00EA580C">
          <w:rPr>
            <w:rStyle w:val="Collegamentoipertestuale"/>
          </w:rPr>
          <w:t>42</w:t>
        </w:r>
      </w:hyperlink>
      <w:r w:rsidR="00EA580C">
        <w:t>]</w:t>
      </w:r>
      <w:r w:rsidR="00F05728">
        <w:t>.</w:t>
      </w:r>
    </w:p>
    <w:p w:rsidR="00F05728" w:rsidRDefault="00F05728" w:rsidP="00F05728">
      <w:pPr>
        <w:pStyle w:val="MDPI31text"/>
      </w:pPr>
      <w:r>
        <w:t>Given the considerable variability in shedding values, two values</w:t>
      </w:r>
      <w:r w:rsidR="00C82B61">
        <w:t xml:space="preserve"> were selected</w:t>
      </w:r>
      <w:r>
        <w:t xml:space="preserve"> specifically for the variants prevalent during </w:t>
      </w:r>
      <w:r w:rsidR="00C82B61">
        <w:t>the</w:t>
      </w:r>
      <w:r>
        <w:t xml:space="preserve"> study period (Delta and Omicron)</w:t>
      </w:r>
      <w:r w:rsidR="00D454B4">
        <w:t xml:space="preserve"> [</w:t>
      </w:r>
      <w:hyperlink w:anchor="prasek_2023" w:history="1">
        <w:r w:rsidR="00D454B4" w:rsidRPr="00D454B4">
          <w:rPr>
            <w:rStyle w:val="Collegamentoipertestuale"/>
          </w:rPr>
          <w:t>31</w:t>
        </w:r>
      </w:hyperlink>
      <w:r w:rsidR="00D454B4">
        <w:t>]</w:t>
      </w:r>
      <w:r>
        <w:t xml:space="preserve">. </w:t>
      </w:r>
      <w:r w:rsidR="00C82B61">
        <w:t>Moreover</w:t>
      </w:r>
      <w:r>
        <w:t xml:space="preserve">, we </w:t>
      </w:r>
      <w:r w:rsidR="006A705D">
        <w:t>averaged</w:t>
      </w:r>
      <w:r>
        <w:t xml:space="preserve"> the shedding values calculated across diverse and numerous populations to account for </w:t>
      </w:r>
      <w:proofErr w:type="spellStart"/>
      <w:r w:rsidR="006A705D" w:rsidRPr="006A705D">
        <w:t>interindividual</w:t>
      </w:r>
      <w:proofErr w:type="spellEnd"/>
      <w:r w:rsidR="006A705D" w:rsidRPr="006A705D">
        <w:t xml:space="preserve"> </w:t>
      </w:r>
      <w:r>
        <w:t>shedding variability.</w:t>
      </w:r>
    </w:p>
    <w:p w:rsidR="00F05728" w:rsidRDefault="00502571" w:rsidP="0032363A">
      <w:pPr>
        <w:pStyle w:val="MDPI31text"/>
      </w:pPr>
      <w:proofErr w:type="spellStart"/>
      <w:r>
        <w:t>Prasek</w:t>
      </w:r>
      <w:proofErr w:type="spellEnd"/>
      <w:r>
        <w:t xml:space="preserve"> et al. [</w:t>
      </w:r>
      <w:hyperlink w:anchor="prasek_2023" w:history="1">
        <w:r w:rsidRPr="00D454B4">
          <w:rPr>
            <w:rStyle w:val="Collegamentoipertestuale"/>
          </w:rPr>
          <w:t>31</w:t>
        </w:r>
      </w:hyperlink>
      <w:r>
        <w:t xml:space="preserve">] </w:t>
      </w:r>
      <w:r w:rsidRPr="00502571">
        <w:t>considered a six-day sum of re</w:t>
      </w:r>
      <w:r>
        <w:t xml:space="preserve">ported cases appropriate </w:t>
      </w:r>
      <w:r w:rsidR="00487181">
        <w:t>for</w:t>
      </w:r>
      <w:r>
        <w:t xml:space="preserve"> rep</w:t>
      </w:r>
      <w:r w:rsidRPr="00502571">
        <w:t>r</w:t>
      </w:r>
      <w:r w:rsidRPr="00502571">
        <w:t>e</w:t>
      </w:r>
      <w:r w:rsidRPr="00502571">
        <w:t>sent</w:t>
      </w:r>
      <w:r w:rsidR="00487181">
        <w:t>ing</w:t>
      </w:r>
      <w:r w:rsidRPr="00502571">
        <w:t xml:space="preserve"> the number of infected i</w:t>
      </w:r>
      <w:r>
        <w:t xml:space="preserve">ndividuals contributing to the </w:t>
      </w:r>
      <w:r w:rsidRPr="00502571">
        <w:t>daily virus load in wastewater.</w:t>
      </w:r>
      <w:r w:rsidR="00B11714">
        <w:t xml:space="preserve"> </w:t>
      </w:r>
      <w:r w:rsidR="00F05728">
        <w:t>Therefore</w:t>
      </w:r>
      <w:r w:rsidR="006A705D">
        <w:t>,</w:t>
      </w:r>
      <w:r w:rsidR="00F05728">
        <w:t xml:space="preserve"> the shedding co</w:t>
      </w:r>
      <w:r w:rsidR="006A705D">
        <w:t xml:space="preserve">efficients derived from </w:t>
      </w:r>
      <w:proofErr w:type="spellStart"/>
      <w:r w:rsidR="006A705D">
        <w:t>Prasek</w:t>
      </w:r>
      <w:proofErr w:type="spellEnd"/>
      <w:r w:rsidR="006A705D">
        <w:t xml:space="preserve"> </w:t>
      </w:r>
      <w:r w:rsidR="00F05728">
        <w:t xml:space="preserve">et al. </w:t>
      </w:r>
      <w:r w:rsidR="00D454B4">
        <w:t>[</w:t>
      </w:r>
      <w:hyperlink w:anchor="prasek_2023" w:history="1">
        <w:r w:rsidR="00D454B4" w:rsidRPr="00D454B4">
          <w:rPr>
            <w:rStyle w:val="Collegamentoipertestuale"/>
          </w:rPr>
          <w:t>31</w:t>
        </w:r>
      </w:hyperlink>
      <w:r w:rsidR="00D454B4">
        <w:t xml:space="preserve">] </w:t>
      </w:r>
      <w:r w:rsidR="00F05728">
        <w:t xml:space="preserve">were </w:t>
      </w:r>
      <w:r>
        <w:t>i</w:t>
      </w:r>
      <w:r>
        <w:t>n</w:t>
      </w:r>
      <w:r>
        <w:t>cluded</w:t>
      </w:r>
      <w:r w:rsidR="00F05728">
        <w:t xml:space="preserve"> in the model as daily average values</w:t>
      </w:r>
      <w:r w:rsidR="006A705D">
        <w:t xml:space="preserve">. </w:t>
      </w:r>
      <w:r>
        <w:t>This</w:t>
      </w:r>
      <w:r w:rsidR="006A705D">
        <w:t xml:space="preserve"> allowed to consider</w:t>
      </w:r>
      <w:r w:rsidR="00F05728">
        <w:t xml:space="preserve"> that the cases co</w:t>
      </w:r>
      <w:r w:rsidR="00F05728">
        <w:t>n</w:t>
      </w:r>
      <w:r w:rsidR="00F05728">
        <w:t>tributing to</w:t>
      </w:r>
      <w:r w:rsidR="006A705D">
        <w:t xml:space="preserve"> the concentration at the WWTP </w:t>
      </w:r>
      <w:r>
        <w:t>we</w:t>
      </w:r>
      <w:r w:rsidR="00F05728">
        <w:t>re not only</w:t>
      </w:r>
      <w:r>
        <w:t xml:space="preserve"> </w:t>
      </w:r>
      <w:r w:rsidR="00F05728">
        <w:t>new daily cases but also active c</w:t>
      </w:r>
      <w:r w:rsidR="006A705D">
        <w:t xml:space="preserve">ases with a high shedding rate, </w:t>
      </w:r>
      <w:r w:rsidR="00F05728">
        <w:t>i.e.</w:t>
      </w:r>
      <w:r w:rsidR="006A705D">
        <w:t>,</w:t>
      </w:r>
      <w:r w:rsidR="00F05728">
        <w:t xml:space="preserve"> cases occurring within the six days surrounding the day of the meas</w:t>
      </w:r>
      <w:r w:rsidR="006A705D">
        <w:t>ured value</w:t>
      </w:r>
      <w:r w:rsidR="00F05728">
        <w:t xml:space="preserve"> </w:t>
      </w:r>
      <w:r w:rsidR="00E0768D">
        <w:t>[</w:t>
      </w:r>
      <w:hyperlink w:anchor="prasek_2022" w:history="1">
        <w:r w:rsidR="00E0768D" w:rsidRPr="00524369">
          <w:rPr>
            <w:rStyle w:val="Collegamentoipertestuale"/>
          </w:rPr>
          <w:t>15</w:t>
        </w:r>
      </w:hyperlink>
      <w:r w:rsidR="00F05728">
        <w:t>,</w:t>
      </w:r>
      <w:hyperlink w:anchor="cavany" w:history="1">
        <w:r w:rsidR="00EA580C" w:rsidRPr="00EA580C">
          <w:rPr>
            <w:rStyle w:val="Collegamentoipertestuale"/>
          </w:rPr>
          <w:t>43</w:t>
        </w:r>
      </w:hyperlink>
      <w:r w:rsidR="00EA580C">
        <w:t>]</w:t>
      </w:r>
      <w:r w:rsidR="00F05728">
        <w:t>.</w:t>
      </w:r>
      <w:r w:rsidR="00F71A55">
        <w:t xml:space="preserve"> </w:t>
      </w:r>
      <w:r w:rsidR="0032363A">
        <w:t>The value chosen for the daily wet mass of feces produced by each individual re</w:t>
      </w:r>
      <w:r w:rsidR="0032363A">
        <w:t>p</w:t>
      </w:r>
      <w:r w:rsidR="0032363A">
        <w:t>resents the median of the data collected across various communities in many countries over an extended period</w:t>
      </w:r>
      <w:r w:rsidR="00EB6076">
        <w:t xml:space="preserve"> (1934-2011) [</w:t>
      </w:r>
      <w:hyperlink w:anchor="rose_2015" w:history="1">
        <w:r w:rsidR="00EB6076" w:rsidRPr="00EB6076">
          <w:rPr>
            <w:rStyle w:val="Collegamentoipertestuale"/>
          </w:rPr>
          <w:t>32</w:t>
        </w:r>
      </w:hyperlink>
      <w:r w:rsidR="00EB6076">
        <w:t>].</w:t>
      </w:r>
    </w:p>
    <w:p w:rsidR="00F05728" w:rsidRDefault="006A705D" w:rsidP="00F05728">
      <w:pPr>
        <w:pStyle w:val="MDPI31text"/>
      </w:pPr>
      <w:r>
        <w:t>The</w:t>
      </w:r>
      <w:r w:rsidR="00F05728">
        <w:t xml:space="preserve"> </w:t>
      </w:r>
      <w:r w:rsidR="0032363A">
        <w:t xml:space="preserve">value of the </w:t>
      </w:r>
      <w:r w:rsidR="00F05728">
        <w:t>biodegradation constant varies depending on</w:t>
      </w:r>
      <w:r>
        <w:t xml:space="preserve"> the</w:t>
      </w:r>
      <w:r w:rsidR="00F05728">
        <w:t xml:space="preserve"> sewer network type (combined or separate system), wastewater te</w:t>
      </w:r>
      <w:r w:rsidR="004E6E22">
        <w:t>mperature and pressure [</w:t>
      </w:r>
      <w:hyperlink w:anchor="mc_call_2022" w:history="1">
        <w:r w:rsidR="004E6E22" w:rsidRPr="004E6E22">
          <w:rPr>
            <w:rStyle w:val="Collegamentoipertestuale"/>
          </w:rPr>
          <w:t>18</w:t>
        </w:r>
      </w:hyperlink>
      <w:r w:rsidR="004E6E22">
        <w:t>,</w:t>
      </w:r>
      <w:hyperlink w:anchor="ahmed_2020_b" w:history="1">
        <w:r w:rsidR="00240692" w:rsidRPr="00240692">
          <w:rPr>
            <w:rStyle w:val="Collegamentoipertestuale"/>
          </w:rPr>
          <w:t>23</w:t>
        </w:r>
      </w:hyperlink>
      <w:r w:rsidR="00240692">
        <w:t>,</w:t>
      </w:r>
      <w:hyperlink w:anchor="hart" w:history="1">
        <w:r w:rsidR="005C4FD0" w:rsidRPr="005C4FD0">
          <w:rPr>
            <w:rStyle w:val="Collegamentoipertestuale"/>
          </w:rPr>
          <w:t>44</w:t>
        </w:r>
      </w:hyperlink>
      <w:r w:rsidR="00240692">
        <w:t>]</w:t>
      </w:r>
      <w:r w:rsidR="004E6E22">
        <w:t>, initial virus concentration [</w:t>
      </w:r>
      <w:hyperlink w:anchor="mc_call_2022" w:history="1">
        <w:r w:rsidR="004E6E22" w:rsidRPr="004E6E22">
          <w:rPr>
            <w:rStyle w:val="Collegamentoipertestuale"/>
          </w:rPr>
          <w:t>18</w:t>
        </w:r>
      </w:hyperlink>
      <w:r w:rsidR="004E6E22">
        <w:t>,</w:t>
      </w:r>
      <w:r w:rsidR="00BA2424" w:rsidRPr="00BA2424">
        <w:t xml:space="preserve"> </w:t>
      </w:r>
      <w:hyperlink w:anchor="bivins_2020" w:history="1">
        <w:r w:rsidR="00BA2424" w:rsidRPr="00884352">
          <w:rPr>
            <w:rStyle w:val="Collegamentoipertestuale"/>
          </w:rPr>
          <w:t>33</w:t>
        </w:r>
      </w:hyperlink>
      <w:r w:rsidR="00BA2424">
        <w:t xml:space="preserve">] </w:t>
      </w:r>
      <w:r w:rsidR="00F05728">
        <w:t>and structure</w:t>
      </w:r>
      <w:r w:rsidR="00D352CD">
        <w:t xml:space="preserve"> [</w:t>
      </w:r>
      <w:hyperlink w:anchor="yang_2022" w:history="1">
        <w:r w:rsidR="00D352CD" w:rsidRPr="00D352CD">
          <w:rPr>
            <w:rStyle w:val="Collegamentoipertestuale"/>
          </w:rPr>
          <w:t>34</w:t>
        </w:r>
      </w:hyperlink>
      <w:r w:rsidR="00D352CD">
        <w:t>]</w:t>
      </w:r>
      <w:r w:rsidR="00F05728">
        <w:t>, and other effluent parameters</w:t>
      </w:r>
      <w:r>
        <w:t>,</w:t>
      </w:r>
      <w:r w:rsidR="00F05728">
        <w:t xml:space="preserve"> such as sus</w:t>
      </w:r>
      <w:r w:rsidR="005C4FD0">
        <w:t>pended solids [</w:t>
      </w:r>
      <w:hyperlink w:anchor="petala" w:history="1">
        <w:r w:rsidR="005C4FD0" w:rsidRPr="005C4FD0">
          <w:rPr>
            <w:rStyle w:val="Collegamentoipertestuale"/>
          </w:rPr>
          <w:t>45</w:t>
        </w:r>
      </w:hyperlink>
      <w:r w:rsidR="005C4FD0">
        <w:t>]</w:t>
      </w:r>
      <w:r w:rsidR="00F05728">
        <w:t xml:space="preserve">, </w:t>
      </w:r>
      <w:proofErr w:type="spellStart"/>
      <w:r w:rsidR="00F05728">
        <w:t>biofilm</w:t>
      </w:r>
      <w:proofErr w:type="spellEnd"/>
      <w:r w:rsidR="005C4FD0">
        <w:t xml:space="preserve"> [</w:t>
      </w:r>
      <w:hyperlink w:anchor="Li_2023" w:history="1">
        <w:r w:rsidR="005C4FD0" w:rsidRPr="005C4FD0">
          <w:rPr>
            <w:rStyle w:val="Collegamentoipertestuale"/>
          </w:rPr>
          <w:t>46</w:t>
        </w:r>
      </w:hyperlink>
      <w:r w:rsidR="005C4FD0">
        <w:t>]</w:t>
      </w:r>
      <w:r>
        <w:t xml:space="preserve">, BOD and </w:t>
      </w:r>
      <w:proofErr w:type="spellStart"/>
      <w:r>
        <w:t>pH.</w:t>
      </w:r>
      <w:proofErr w:type="spellEnd"/>
      <w:r>
        <w:t xml:space="preserve"> The v</w:t>
      </w:r>
      <w:r w:rsidR="00F05728">
        <w:t xml:space="preserve">alues of k in </w:t>
      </w:r>
      <w:r>
        <w:t xml:space="preserve">the </w:t>
      </w:r>
      <w:r w:rsidR="00F05728">
        <w:t xml:space="preserve">literature range from 0.004 </w:t>
      </w:r>
      <w:r w:rsidR="00A360D5">
        <w:t>[h</w:t>
      </w:r>
      <w:r w:rsidR="00A360D5" w:rsidRPr="00EC1FE2">
        <w:rPr>
          <w:vertAlign w:val="superscript"/>
        </w:rPr>
        <w:t>-1</w:t>
      </w:r>
      <w:r w:rsidR="00A360D5">
        <w:t xml:space="preserve">] </w:t>
      </w:r>
      <w:r w:rsidR="00BA2424">
        <w:t>[</w:t>
      </w:r>
      <w:hyperlink w:anchor="bivins_2020" w:history="1">
        <w:r w:rsidR="00BA2424" w:rsidRPr="00884352">
          <w:rPr>
            <w:rStyle w:val="Collegamentoipertestuale"/>
          </w:rPr>
          <w:t>33</w:t>
        </w:r>
      </w:hyperlink>
      <w:r w:rsidR="00BA2424">
        <w:t>]</w:t>
      </w:r>
      <w:r w:rsidR="00F05728">
        <w:t xml:space="preserve"> to 0.120</w:t>
      </w:r>
      <w:r w:rsidR="00A360D5">
        <w:t xml:space="preserve"> [h</w:t>
      </w:r>
      <w:r w:rsidR="00A360D5" w:rsidRPr="00EC1FE2">
        <w:rPr>
          <w:vertAlign w:val="superscript"/>
        </w:rPr>
        <w:t>-1</w:t>
      </w:r>
      <w:r w:rsidR="00A360D5">
        <w:t>] [</w:t>
      </w:r>
      <w:hyperlink w:anchor="weidhass_2021" w:history="1">
        <w:r w:rsidR="00A360D5" w:rsidRPr="00A360D5">
          <w:rPr>
            <w:rStyle w:val="Collegamentoipertestuale"/>
          </w:rPr>
          <w:t>4</w:t>
        </w:r>
      </w:hyperlink>
      <w:r w:rsidR="00A360D5">
        <w:t>],</w:t>
      </w:r>
      <w:r>
        <w:t xml:space="preserve">as </w:t>
      </w:r>
      <w:r w:rsidR="00F05728">
        <w:t>determined through experiments conducted under specific conditions.</w:t>
      </w:r>
      <w:r w:rsidR="00B11714">
        <w:t xml:space="preserve"> </w:t>
      </w:r>
      <w:r w:rsidR="00F05728">
        <w:t xml:space="preserve">In </w:t>
      </w:r>
      <w:r w:rsidR="0032363A">
        <w:t>the present</w:t>
      </w:r>
      <w:r w:rsidR="00F05728">
        <w:t xml:space="preserve"> study, </w:t>
      </w:r>
      <w:r w:rsidR="00ED5CC1">
        <w:t xml:space="preserve">the value for the biodegradation constant was derived from </w:t>
      </w:r>
      <w:r w:rsidR="00F05728">
        <w:t>an</w:t>
      </w:r>
      <w:r w:rsidR="00A360D5">
        <w:t xml:space="preserve"> article [</w:t>
      </w:r>
      <w:hyperlink w:anchor="weidhass_2021" w:history="1">
        <w:r w:rsidR="00A360D5" w:rsidRPr="00A360D5">
          <w:rPr>
            <w:rStyle w:val="Collegamentoipertestuale"/>
          </w:rPr>
          <w:t>4</w:t>
        </w:r>
      </w:hyperlink>
      <w:r w:rsidR="00A360D5">
        <w:t>]</w:t>
      </w:r>
      <w:r w:rsidR="00F05728">
        <w:t xml:space="preserve"> that closely matched our conditions: the k value was dete</w:t>
      </w:r>
      <w:r w:rsidR="00F05728">
        <w:t>r</w:t>
      </w:r>
      <w:r w:rsidR="00F05728">
        <w:t xml:space="preserve">mined by </w:t>
      </w:r>
      <w:proofErr w:type="spellStart"/>
      <w:r w:rsidR="005204CD" w:rsidRPr="000E430E">
        <w:t>analysing</w:t>
      </w:r>
      <w:proofErr w:type="spellEnd"/>
      <w:r w:rsidR="005204CD" w:rsidRPr="000E430E">
        <w:t xml:space="preserve"> </w:t>
      </w:r>
      <w:r w:rsidR="00F05728">
        <w:t>fluctuations in virus concentration over short intervals of time</w:t>
      </w:r>
      <w:r w:rsidR="005204CD">
        <w:t>,</w:t>
      </w:r>
      <w:r w:rsidR="00F05728">
        <w:t xml:space="preserve"> and the virus was naturally present in the collected wastewater without any additional i</w:t>
      </w:r>
      <w:r w:rsidR="00F05728">
        <w:t>n</w:t>
      </w:r>
      <w:r w:rsidR="00F05728">
        <w:t xml:space="preserve">troduction. In fact, SARS-CoV-2 shed in feces may contain intact virus, compromised </w:t>
      </w:r>
      <w:proofErr w:type="spellStart"/>
      <w:r w:rsidR="00F05728">
        <w:t>capsid</w:t>
      </w:r>
      <w:proofErr w:type="spellEnd"/>
      <w:r w:rsidR="00F05728">
        <w:t xml:space="preserve"> virus, and free nucleic acids</w:t>
      </w:r>
      <w:r w:rsidR="005204CD">
        <w:t>;</w:t>
      </w:r>
      <w:r w:rsidR="00F05728">
        <w:t xml:space="preserve"> thus</w:t>
      </w:r>
      <w:r w:rsidR="005204CD">
        <w:t>,</w:t>
      </w:r>
      <w:r w:rsidR="00F05728">
        <w:t xml:space="preserve"> the rapid decay of SARS-CoV-2 RNA </w:t>
      </w:r>
      <w:r w:rsidR="005204CD">
        <w:t xml:space="preserve">observed </w:t>
      </w:r>
      <w:r w:rsidR="00F05728">
        <w:t>in the study</w:t>
      </w:r>
      <w:r w:rsidR="00A360D5">
        <w:t xml:space="preserve"> [</w:t>
      </w:r>
      <w:hyperlink w:anchor="weidhass_2021" w:history="1">
        <w:r w:rsidR="00A360D5" w:rsidRPr="00A360D5">
          <w:rPr>
            <w:rStyle w:val="Collegamentoipertestuale"/>
          </w:rPr>
          <w:t>4</w:t>
        </w:r>
      </w:hyperlink>
      <w:r w:rsidR="00A360D5">
        <w:t>]</w:t>
      </w:r>
      <w:r w:rsidR="00F05728">
        <w:t xml:space="preserve"> reflects the decay of all three of these viral RNA sources typically found in naturally contaminated wastewater. </w:t>
      </w:r>
      <w:r w:rsidR="002F11AD">
        <w:t>Notably</w:t>
      </w:r>
      <w:r w:rsidR="00F05728">
        <w:t>, an improvement and potential future development of the model</w:t>
      </w:r>
      <w:r w:rsidR="002F11AD">
        <w:t xml:space="preserve"> will</w:t>
      </w:r>
      <w:r w:rsidR="00F05728">
        <w:t xml:space="preserve"> involve deriving site-specific values </w:t>
      </w:r>
      <w:r w:rsidR="002F11AD">
        <w:t>for the described parameters</w:t>
      </w:r>
      <w:r w:rsidR="00F05728">
        <w:t>.</w:t>
      </w:r>
    </w:p>
    <w:p w:rsidR="00F05728" w:rsidRDefault="005204CD" w:rsidP="00F05728">
      <w:pPr>
        <w:pStyle w:val="MDPI22heading2"/>
        <w:spacing w:before="240"/>
      </w:pPr>
      <w:r>
        <w:lastRenderedPageBreak/>
        <w:t>4.2.</w:t>
      </w:r>
      <w:r>
        <w:tab/>
        <w:t>Effect of the b</w:t>
      </w:r>
      <w:r w:rsidR="00F05728" w:rsidRPr="00F05728">
        <w:t>iodegradation and contribution of each area</w:t>
      </w:r>
    </w:p>
    <w:p w:rsidR="0050641B" w:rsidRDefault="0050641B" w:rsidP="00F05728">
      <w:pPr>
        <w:pStyle w:val="MDPI31text"/>
      </w:pPr>
      <w:r>
        <w:t>The impact of biodegradation on reducing the viral load reaching the WWTP was assessed by estimating the reduction between the viral load generated from each area and that detected at the WWTP. The maximum reduction reached 70%, with an aver</w:t>
      </w:r>
      <w:r w:rsidR="00ED33AD">
        <w:t>age reduction of approximately 3</w:t>
      </w:r>
      <w:r>
        <w:t xml:space="preserve">0%, indicating the substantial influence of biodegradation on reducing the virus load </w:t>
      </w:r>
      <w:r w:rsidR="007D0C01">
        <w:t>in</w:t>
      </w:r>
      <w:r>
        <w:t xml:space="preserve"> the sewer network.</w:t>
      </w:r>
    </w:p>
    <w:p w:rsidR="00F05728" w:rsidRDefault="0050641B" w:rsidP="00F05728">
      <w:pPr>
        <w:pStyle w:val="MDPI31text"/>
      </w:pPr>
      <w:r>
        <w:t>In addition</w:t>
      </w:r>
      <w:r w:rsidR="007D0C01">
        <w:t>,</w:t>
      </w:r>
      <w:r>
        <w:t xml:space="preserve"> t</w:t>
      </w:r>
      <w:r w:rsidR="00F05728">
        <w:t xml:space="preserve">he virus load [GC/day] produced in the entire study area over time, removing the effects of biodegradation and </w:t>
      </w:r>
      <w:r w:rsidR="00BD5E17">
        <w:t xml:space="preserve">the </w:t>
      </w:r>
      <w:r w:rsidR="00F05728">
        <w:t xml:space="preserve">geographic distribution of </w:t>
      </w:r>
      <w:r w:rsidR="00BD5E17">
        <w:t xml:space="preserve">the </w:t>
      </w:r>
      <w:r w:rsidR="00F05728">
        <w:t>popul</w:t>
      </w:r>
      <w:r w:rsidR="00F05728">
        <w:t>a</w:t>
      </w:r>
      <w:r w:rsidR="00F05728">
        <w:t>tion</w:t>
      </w:r>
      <w:r w:rsidR="00BD5E17">
        <w:t>,</w:t>
      </w:r>
      <w:r w:rsidR="00F05728">
        <w:t xml:space="preserve"> was </w:t>
      </w:r>
      <w:r w:rsidR="00BD5E17">
        <w:t>determined</w:t>
      </w:r>
      <w:r w:rsidR="00D428B2">
        <w:t xml:space="preserve"> (Eq. 6)</w:t>
      </w:r>
      <w:r>
        <w:t xml:space="preserve"> to allow the comparison of this parameter across different cities</w:t>
      </w:r>
      <w:r w:rsidR="00F05728">
        <w:t xml:space="preserve">. </w:t>
      </w:r>
      <w:r w:rsidR="00BD5E17">
        <w:t xml:space="preserve">According to </w:t>
      </w:r>
      <w:r w:rsidR="00F05728">
        <w:t xml:space="preserve">the literature, </w:t>
      </w:r>
      <w:r>
        <w:t>the normalized value at WWTP can be obtained by</w:t>
      </w:r>
      <w:r w:rsidR="00F05728">
        <w:t xml:space="preserve"> d</w:t>
      </w:r>
      <w:r w:rsidR="00F05728">
        <w:t>i</w:t>
      </w:r>
      <w:r w:rsidR="00F05728">
        <w:t xml:space="preserve">viding the measured load by the total </w:t>
      </w:r>
      <w:r w:rsidR="00DA6781">
        <w:t>population served by the plant [</w:t>
      </w:r>
      <w:hyperlink w:anchor="verani" w:history="1">
        <w:r w:rsidR="00DA6781" w:rsidRPr="00DA6781">
          <w:rPr>
            <w:rStyle w:val="Collegamentoipertestuale"/>
          </w:rPr>
          <w:t>47</w:t>
        </w:r>
      </w:hyperlink>
      <w:r w:rsidR="00DA6781">
        <w:t>]</w:t>
      </w:r>
      <w:r w:rsidR="00F05728">
        <w:t>. Our approach offers a more precise normalization method, considering the actual distance of the po</w:t>
      </w:r>
      <w:r w:rsidR="00F05728">
        <w:t>p</w:t>
      </w:r>
      <w:r w:rsidR="00F05728">
        <w:t>ulation from the WWTP.</w:t>
      </w:r>
    </w:p>
    <w:p w:rsidR="00F05728" w:rsidRDefault="0050641B" w:rsidP="00F05728">
      <w:pPr>
        <w:pStyle w:val="MDPI31text"/>
      </w:pPr>
      <w:r>
        <w:t>Furthermore, i</w:t>
      </w:r>
      <w:r w:rsidR="00F05728">
        <w:t>n pursuit of monitoring and early warning goals</w:t>
      </w:r>
      <w:r w:rsidR="0045191B">
        <w:t>,</w:t>
      </w:r>
      <w:r w:rsidR="00F05728">
        <w:t xml:space="preserve"> indicators </w:t>
      </w:r>
      <w:r w:rsidR="00632D12">
        <w:t>were developed that assess the impact of population density and biodegradation on the virus load detected at the WWTP</w:t>
      </w:r>
      <w:r w:rsidR="00F05728">
        <w:t xml:space="preserve">. These indicators revealed that densely populated areas, even those </w:t>
      </w:r>
      <w:r w:rsidR="0045191B">
        <w:t>located</w:t>
      </w:r>
      <w:r w:rsidR="00F05728">
        <w:t xml:space="preserve"> far from the WWTP, </w:t>
      </w:r>
      <w:r w:rsidR="00632D12">
        <w:t xml:space="preserve">substantially contributed to </w:t>
      </w:r>
      <w:r w:rsidR="00F05728">
        <w:t xml:space="preserve">the virus load at the WWTP. However, </w:t>
      </w:r>
      <w:r w:rsidR="00632D12">
        <w:t>the contribution</w:t>
      </w:r>
      <w:r w:rsidR="00F05728">
        <w:t xml:space="preserve"> of distant </w:t>
      </w:r>
      <w:r w:rsidR="00502571">
        <w:t>areas</w:t>
      </w:r>
      <w:r w:rsidR="00F05728">
        <w:t xml:space="preserve"> was mitigated by elevated biode</w:t>
      </w:r>
      <w:r w:rsidR="00F05728">
        <w:t>g</w:t>
      </w:r>
      <w:r w:rsidR="00F05728">
        <w:t>radation values</w:t>
      </w:r>
      <w:r w:rsidR="00502571">
        <w:t xml:space="preserve">. </w:t>
      </w:r>
      <w:r w:rsidR="00502571" w:rsidRPr="00502571">
        <w:t>This led to the identification of potential monitoring points.</w:t>
      </w:r>
      <w:r w:rsidR="00F05728">
        <w:t xml:space="preserve"> </w:t>
      </w:r>
    </w:p>
    <w:p w:rsidR="00632D12" w:rsidRDefault="00632D12" w:rsidP="00F05728">
      <w:pPr>
        <w:pStyle w:val="MDPI31text"/>
      </w:pPr>
      <w:r>
        <w:t>Moreover, the hospital co</w:t>
      </w:r>
      <w:r w:rsidR="00B87F5F">
        <w:t xml:space="preserve">ntributions to the viral load </w:t>
      </w:r>
      <w:r w:rsidR="00AA032F">
        <w:t xml:space="preserve">during the study period </w:t>
      </w:r>
      <w:r w:rsidR="00B87F5F">
        <w:t>were</w:t>
      </w:r>
      <w:r>
        <w:t xml:space="preserve"> retrospectively calculated. Indeed, </w:t>
      </w:r>
      <w:r w:rsidR="007D0C01">
        <w:t xml:space="preserve">the </w:t>
      </w:r>
      <w:r w:rsidR="009E13F0">
        <w:t>contribution of each area estimated by the model relies on the population domiciled within the area, thus not accounting for the possibility that infected individuals may be located in different areas.</w:t>
      </w:r>
      <w:r w:rsidR="00805579">
        <w:t xml:space="preserve"> </w:t>
      </w:r>
      <w:r>
        <w:t>The contribution of each ho</w:t>
      </w:r>
      <w:r>
        <w:t>s</w:t>
      </w:r>
      <w:r>
        <w:t>pital to the total viral load at the WWTP was deemed negligible, whereas the individual contribution of each hospital was significant</w:t>
      </w:r>
      <w:r w:rsidR="009E13F0">
        <w:t xml:space="preserve"> </w:t>
      </w:r>
      <w:r>
        <w:t>compared to the contribution of the area in which it is located</w:t>
      </w:r>
    </w:p>
    <w:p w:rsidR="00F05728" w:rsidRPr="00F05728" w:rsidRDefault="00F05728" w:rsidP="00F05728">
      <w:pPr>
        <w:pStyle w:val="MDPI22heading2"/>
        <w:spacing w:before="240"/>
        <w:rPr>
          <w:lang w:val="en-GB"/>
        </w:rPr>
      </w:pPr>
      <w:r w:rsidRPr="00F05728">
        <w:t>4.3.</w:t>
      </w:r>
      <w:r w:rsidRPr="00F05728">
        <w:tab/>
        <w:t xml:space="preserve">Health variables analysis to </w:t>
      </w:r>
      <w:r w:rsidR="0045191B">
        <w:t>compare</w:t>
      </w:r>
      <w:r w:rsidRPr="00F05728">
        <w:t xml:space="preserve"> the predicted and reported infection rate</w:t>
      </w:r>
      <w:r w:rsidR="0045191B">
        <w:t>s</w:t>
      </w:r>
    </w:p>
    <w:p w:rsidR="00F05728" w:rsidRDefault="00F05728" w:rsidP="00F05728">
      <w:pPr>
        <w:pStyle w:val="MDPI31text"/>
      </w:pPr>
      <w:r>
        <w:t xml:space="preserve">In interpreting the results </w:t>
      </w:r>
      <w:r w:rsidR="00633B00">
        <w:t>of</w:t>
      </w:r>
      <w:r>
        <w:t xml:space="preserve"> the comparison between reported and predicted COVID-19 cases, it is crucial to consider that the reported number of positive cases in the health surveillance system was affected by an error arising from the presence of nume</w:t>
      </w:r>
      <w:r>
        <w:t>r</w:t>
      </w:r>
      <w:r>
        <w:t>ous positive individuals who were not identified. This number of unreported cases va</w:t>
      </w:r>
      <w:r>
        <w:t>r</w:t>
      </w:r>
      <w:r>
        <w:t>ied over the study period d</w:t>
      </w:r>
      <w:r w:rsidR="002704A2">
        <w:t xml:space="preserve">ue to a combination of factors, </w:t>
      </w:r>
      <w:r>
        <w:t>e.g.</w:t>
      </w:r>
      <w:r w:rsidR="002704A2">
        <w:t>,</w:t>
      </w:r>
      <w:r>
        <w:t xml:space="preserve"> changes in the number of tests conducted and in isolation protocols, vaccine efficacy in reducing symptoms, milder variants and the psychological impact on individuals</w:t>
      </w:r>
      <w:r w:rsidR="00762BF4">
        <w:t xml:space="preserve"> [</w:t>
      </w:r>
      <w:hyperlink w:anchor="baldovin_2023" w:history="1">
        <w:r w:rsidR="00762BF4" w:rsidRPr="00762BF4">
          <w:rPr>
            <w:rStyle w:val="Collegamentoipertestuale"/>
          </w:rPr>
          <w:t>6</w:t>
        </w:r>
      </w:hyperlink>
      <w:r w:rsidR="00762BF4">
        <w:t>].</w:t>
      </w:r>
    </w:p>
    <w:p w:rsidR="00F05728" w:rsidRDefault="00F05728" w:rsidP="00F05728">
      <w:pPr>
        <w:pStyle w:val="MDPI31text"/>
      </w:pPr>
      <w:r>
        <w:t>Identifying an appropriate period for comparing predicted and</w:t>
      </w:r>
      <w:r w:rsidR="00633B00">
        <w:t xml:space="preserve"> reported cases was challenging. I</w:t>
      </w:r>
      <w:r>
        <w:t>deally, validation should be performed when the number of unreported cases is as low as possible. However, no quantitative data about underreporting were available. Hence, a qualitative analysis of health variables that may have influenced the number of reported and predicted cases over time was conducted to better understand the comparison between them: time trends in vac</w:t>
      </w:r>
      <w:r w:rsidR="002704A2">
        <w:t xml:space="preserve">cination rates, testing and </w:t>
      </w:r>
      <w:proofErr w:type="spellStart"/>
      <w:r w:rsidR="002704A2">
        <w:t>sub</w:t>
      </w:r>
      <w:r>
        <w:t>variants</w:t>
      </w:r>
      <w:proofErr w:type="spellEnd"/>
      <w:r>
        <w:t xml:space="preserve"> were examined across the entire population of the study area.</w:t>
      </w:r>
    </w:p>
    <w:p w:rsidR="00F05728" w:rsidRDefault="00F05728" w:rsidP="00F05728">
      <w:pPr>
        <w:pStyle w:val="MDPI31text"/>
      </w:pPr>
      <w:r>
        <w:t xml:space="preserve">From October 2021 to March 2022, </w:t>
      </w:r>
      <w:r w:rsidR="002704A2">
        <w:t xml:space="preserve">the number of </w:t>
      </w:r>
      <w:r>
        <w:t>individuals who received the third dose increased from 0% to 60% of the total resident population, peaking in</w:t>
      </w:r>
      <w:r w:rsidR="00F51CD5">
        <w:t xml:space="preserve"> December 2021 and January 2022.</w:t>
      </w:r>
      <w:r>
        <w:t xml:space="preserve"> The increase in individuals receiving the third dose might have played a role in the </w:t>
      </w:r>
      <w:r w:rsidR="002704A2">
        <w:t>decrease</w:t>
      </w:r>
      <w:r>
        <w:t xml:space="preserve"> </w:t>
      </w:r>
      <w:r w:rsidR="002704A2">
        <w:t xml:space="preserve">in the number of </w:t>
      </w:r>
      <w:r>
        <w:t>reported cases in the waves following the first</w:t>
      </w:r>
      <w:r w:rsidR="002704A2">
        <w:t xml:space="preserve"> wave</w:t>
      </w:r>
      <w:r>
        <w:t>. Indeed, approximately 15 days after the administration of the third dose, i</w:t>
      </w:r>
      <w:r>
        <w:t>n</w:t>
      </w:r>
      <w:r>
        <w:t>dividuals might have been less susceptible to severe outcomes, potentially impacting the detection of cases.</w:t>
      </w:r>
    </w:p>
    <w:p w:rsidR="00F05728" w:rsidRDefault="00F05728" w:rsidP="00F05728">
      <w:pPr>
        <w:pStyle w:val="MDPI31text"/>
      </w:pPr>
      <w:r>
        <w:t>The decrease in the number of tests r</w:t>
      </w:r>
      <w:r w:rsidR="00FC6370">
        <w:t>ecorded since late January 2022</w:t>
      </w:r>
      <w:r>
        <w:t xml:space="preserve"> (</w:t>
      </w:r>
      <w:r w:rsidR="00433F0C">
        <w:t>Figure 4</w:t>
      </w:r>
      <w:r>
        <w:t>)</w:t>
      </w:r>
      <w:r w:rsidR="00FC6370">
        <w:t xml:space="preserve"> </w:t>
      </w:r>
      <w:r>
        <w:t xml:space="preserve">could be attributed in part to the introduction of rapid self-diagnostic tests, implemented starting </w:t>
      </w:r>
      <w:r w:rsidR="00FC6370">
        <w:t>on</w:t>
      </w:r>
      <w:r>
        <w:t xml:space="preserve"> January 19 in </w:t>
      </w:r>
      <w:r w:rsidR="00FC6370">
        <w:t xml:space="preserve">the </w:t>
      </w:r>
      <w:r>
        <w:t xml:space="preserve">Emilia Romagna region. </w:t>
      </w:r>
      <w:r w:rsidR="00FC6370">
        <w:t>According to</w:t>
      </w:r>
      <w:r>
        <w:t xml:space="preserve"> the positivity rate, it is evident that if the number of tests conducted during the three waves </w:t>
      </w:r>
      <w:r w:rsidR="00633B00">
        <w:t>had been</w:t>
      </w:r>
      <w:r>
        <w:t xml:space="preserve"> equiv</w:t>
      </w:r>
      <w:r>
        <w:t>a</w:t>
      </w:r>
      <w:r>
        <w:lastRenderedPageBreak/>
        <w:t xml:space="preserve">lent, </w:t>
      </w:r>
      <w:r w:rsidR="00633B00" w:rsidRPr="00633B00">
        <w:t xml:space="preserve">there would likely have been </w:t>
      </w:r>
      <w:r>
        <w:t xml:space="preserve">more reported cases than those actually recorded in the second and third waves. This supports the hypothesis that </w:t>
      </w:r>
      <w:r w:rsidR="00633B00">
        <w:t xml:space="preserve">underreporting was </w:t>
      </w:r>
      <w:r w:rsidR="007D0C01">
        <w:t>greater</w:t>
      </w:r>
      <w:r w:rsidR="00633B00">
        <w:t xml:space="preserve"> during these waves. </w:t>
      </w:r>
      <w:r w:rsidR="00D428B2" w:rsidRPr="00433F0C">
        <w:t xml:space="preserve">This hypothesis seems to </w:t>
      </w:r>
      <w:r w:rsidR="007D0C01">
        <w:t xml:space="preserve">also </w:t>
      </w:r>
      <w:r w:rsidR="00D428B2" w:rsidRPr="00433F0C">
        <w:t>be supported by the hospita</w:t>
      </w:r>
      <w:r w:rsidR="00D428B2" w:rsidRPr="00433F0C">
        <w:t>l</w:t>
      </w:r>
      <w:r w:rsidR="00D428B2" w:rsidRPr="00433F0C">
        <w:t>ization curve. In fact, the ratio between hospitalizations and new cases during January 2022 was the lowest of the entire period (2%), suggesting a greater number of unreported cases in the other waves.</w:t>
      </w:r>
    </w:p>
    <w:p w:rsidR="00F05728" w:rsidRDefault="00633B00" w:rsidP="00F05728">
      <w:pPr>
        <w:pStyle w:val="MDPI31text"/>
      </w:pPr>
      <w:r>
        <w:t xml:space="preserve">Moreover, </w:t>
      </w:r>
      <w:r w:rsidR="00F05728">
        <w:t xml:space="preserve">a transition from </w:t>
      </w:r>
      <w:r w:rsidR="00FC6370">
        <w:t xml:space="preserve">the </w:t>
      </w:r>
      <w:r w:rsidR="00F05728">
        <w:t>Delta</w:t>
      </w:r>
      <w:r w:rsidR="00FC6370">
        <w:t xml:space="preserve"> variant</w:t>
      </w:r>
      <w:r w:rsidR="00F05728">
        <w:t xml:space="preserve"> to </w:t>
      </w:r>
      <w:r w:rsidR="00FC6370">
        <w:t xml:space="preserve">the </w:t>
      </w:r>
      <w:r w:rsidR="00F05728">
        <w:t>Omicron variant (BA.1) was observed</w:t>
      </w:r>
      <w:r>
        <w:t xml:space="preserve"> during the study period</w:t>
      </w:r>
      <w:r w:rsidR="00F05728">
        <w:t>. According to rapid</w:t>
      </w:r>
      <w:r w:rsidR="00FC6370">
        <w:t xml:space="preserve"> regional</w:t>
      </w:r>
      <w:r w:rsidR="00F05728">
        <w:t xml:space="preserve"> surveys</w:t>
      </w:r>
      <w:r w:rsidR="00A838FF">
        <w:t xml:space="preserve"> [</w:t>
      </w:r>
      <w:hyperlink w:anchor="ISS" w:history="1">
        <w:r w:rsidR="00A838FF" w:rsidRPr="00A838FF">
          <w:rPr>
            <w:rStyle w:val="Collegamentoipertestuale"/>
          </w:rPr>
          <w:t>48</w:t>
        </w:r>
      </w:hyperlink>
      <w:r w:rsidR="00A838FF">
        <w:t>]</w:t>
      </w:r>
      <w:r w:rsidR="00F05728">
        <w:t xml:space="preserve">, the presence of the Omicron variant in the population increased exponentially in December 2021, </w:t>
      </w:r>
      <w:r w:rsidR="00FC6370">
        <w:t>overtaking</w:t>
      </w:r>
      <w:r w:rsidR="00F05728">
        <w:t xml:space="preserve"> the Delta variant between the penultimate </w:t>
      </w:r>
      <w:r w:rsidR="00FC6370">
        <w:t xml:space="preserve">week </w:t>
      </w:r>
      <w:r w:rsidR="00F05728">
        <w:t>and last week of the month. This transition was followed by further variations within the Omicron lineage (BA.2, BA.</w:t>
      </w:r>
      <w:r w:rsidR="00433F0C">
        <w:t>4, BA.5, BA.2.75, BQ1, and XBB)</w:t>
      </w:r>
      <w:r w:rsidR="00A838FF">
        <w:t xml:space="preserve"> [</w:t>
      </w:r>
      <w:hyperlink w:anchor="ISS" w:history="1">
        <w:r w:rsidR="00A838FF" w:rsidRPr="00A838FF">
          <w:rPr>
            <w:rStyle w:val="Collegamentoipertestuale"/>
          </w:rPr>
          <w:t>48</w:t>
        </w:r>
      </w:hyperlink>
      <w:r w:rsidR="00A838FF">
        <w:t>]</w:t>
      </w:r>
      <w:r w:rsidR="00433F0C">
        <w:t xml:space="preserve"> (Figure 7</w:t>
      </w:r>
      <w:r w:rsidR="00A838FF">
        <w:t xml:space="preserve">). </w:t>
      </w:r>
      <w:r w:rsidR="00F05728">
        <w:t>An increase in COVID-19 cases was observed concurrently with variant or lineage variations</w:t>
      </w:r>
      <w:r w:rsidR="002A2E68">
        <w:t xml:space="preserve"> (Figure 3, Figure 7)</w:t>
      </w:r>
      <w:r w:rsidR="00F05728">
        <w:t>, in agre</w:t>
      </w:r>
      <w:r w:rsidR="00F05728">
        <w:t>e</w:t>
      </w:r>
      <w:r w:rsidR="00F05728">
        <w:t>ment with other stud</w:t>
      </w:r>
      <w:r w:rsidR="00762BF4">
        <w:t>ies [</w:t>
      </w:r>
      <w:hyperlink w:anchor="baldovin_2023" w:history="1">
        <w:r w:rsidR="00762BF4" w:rsidRPr="00762BF4">
          <w:rPr>
            <w:rStyle w:val="Collegamentoipertestuale"/>
          </w:rPr>
          <w:t>6</w:t>
        </w:r>
      </w:hyperlink>
      <w:r w:rsidR="00762BF4">
        <w:t>,</w:t>
      </w:r>
      <w:hyperlink w:anchor="rector" w:history="1">
        <w:r w:rsidR="00E01087" w:rsidRPr="00E01087">
          <w:rPr>
            <w:rStyle w:val="Collegamentoipertestuale"/>
          </w:rPr>
          <w:t>49</w:t>
        </w:r>
      </w:hyperlink>
      <w:r w:rsidR="00E01087">
        <w:t>]</w:t>
      </w:r>
      <w:r w:rsidR="00F05728">
        <w:t>. Furthermore, milder fluctuations in predicted and r</w:t>
      </w:r>
      <w:r w:rsidR="00F05728">
        <w:t>e</w:t>
      </w:r>
      <w:r w:rsidR="00F05728">
        <w:t>ported cases in the month</w:t>
      </w:r>
      <w:r w:rsidR="00FC6370">
        <w:t>s from October to December 2022</w:t>
      </w:r>
      <w:r w:rsidR="00F05728">
        <w:t xml:space="preserve"> coincided with minor vari</w:t>
      </w:r>
      <w:r w:rsidR="00F05728">
        <w:t>a</w:t>
      </w:r>
      <w:r w:rsidR="00F05728">
        <w:t xml:space="preserve">tions in Omicron lineages. </w:t>
      </w:r>
    </w:p>
    <w:p w:rsidR="00F05728" w:rsidRDefault="00F05728" w:rsidP="00F05728">
      <w:pPr>
        <w:pStyle w:val="MDPI31text"/>
      </w:pPr>
      <w:r>
        <w:t xml:space="preserve">It is important to </w:t>
      </w:r>
      <w:r w:rsidR="00FC6370" w:rsidRPr="00FC6370">
        <w:t xml:space="preserve">emphasize </w:t>
      </w:r>
      <w:r>
        <w:t>that the shedding values e</w:t>
      </w:r>
      <w:r w:rsidR="00D454B4">
        <w:t>mployed in the model [</w:t>
      </w:r>
      <w:hyperlink w:anchor="prasek_2023" w:history="1">
        <w:r w:rsidR="00D454B4" w:rsidRPr="00D454B4">
          <w:rPr>
            <w:rStyle w:val="Collegamentoipertestuale"/>
          </w:rPr>
          <w:t>31</w:t>
        </w:r>
      </w:hyperlink>
      <w:r w:rsidR="00D454B4">
        <w:t>]</w:t>
      </w:r>
      <w:r>
        <w:t xml:space="preserve"> were related only to Delta and Omicron variants (mainly BA.1). Therefore, the model overestimation in the second and third waves might also be attributed to a change in </w:t>
      </w:r>
      <w:r w:rsidR="00FC6370">
        <w:t>shedding</w:t>
      </w:r>
      <w:r>
        <w:t xml:space="preserve"> due to the shift from Omicron BA.1 to BA.2</w:t>
      </w:r>
      <w:r w:rsidR="00FC6370">
        <w:t xml:space="preserve"> and from Omicron BA.2 to BA.4/</w:t>
      </w:r>
      <w:r>
        <w:t>BA.5</w:t>
      </w:r>
      <w:r w:rsidR="00FC6370">
        <w:t>,</w:t>
      </w:r>
      <w:r>
        <w:t xml:space="preserve"> respectively. In fact, the s</w:t>
      </w:r>
      <w:r w:rsidR="00925384">
        <w:t xml:space="preserve">hedding related to the BA.1 </w:t>
      </w:r>
      <w:proofErr w:type="spellStart"/>
      <w:r w:rsidR="00925384">
        <w:t>sub</w:t>
      </w:r>
      <w:r>
        <w:t>variant</w:t>
      </w:r>
      <w:proofErr w:type="spellEnd"/>
      <w:r>
        <w:t xml:space="preserve"> is likely lower than </w:t>
      </w:r>
      <w:r w:rsidR="00925384">
        <w:t>that</w:t>
      </w:r>
      <w:r>
        <w:t xml:space="preserve"> related to Delta, Omicron BA.2 and BA.5 </w:t>
      </w:r>
      <w:r w:rsidR="00E01087">
        <w:t>[</w:t>
      </w:r>
      <w:hyperlink w:anchor="rector" w:history="1">
        <w:r w:rsidR="00E01087" w:rsidRPr="00E01087">
          <w:rPr>
            <w:rStyle w:val="Collegamentoipertestuale"/>
          </w:rPr>
          <w:t>49</w:t>
        </w:r>
      </w:hyperlink>
      <w:r w:rsidR="00E01087">
        <w:t>]</w:t>
      </w:r>
      <w:r>
        <w:t>. However, this overestim</w:t>
      </w:r>
      <w:r>
        <w:t>a</w:t>
      </w:r>
      <w:r>
        <w:t xml:space="preserve">tion does not </w:t>
      </w:r>
      <w:r w:rsidR="002A2E68">
        <w:t xml:space="preserve">fully </w:t>
      </w:r>
      <w:r>
        <w:t xml:space="preserve">justify the magnitude of the difference observed between </w:t>
      </w:r>
      <w:r w:rsidR="00925384">
        <w:t xml:space="preserve">the </w:t>
      </w:r>
      <w:r>
        <w:t>pr</w:t>
      </w:r>
      <w:r>
        <w:t>e</w:t>
      </w:r>
      <w:r>
        <w:t>dicted and reported cases.</w:t>
      </w:r>
    </w:p>
    <w:p w:rsidR="00AF6448" w:rsidRDefault="00F05728" w:rsidP="00F05728">
      <w:pPr>
        <w:pStyle w:val="MDPI31text"/>
      </w:pPr>
      <w:r w:rsidRPr="00433F0C">
        <w:t xml:space="preserve">In conclusion, the most reliable period for accurate validation of the model could be </w:t>
      </w:r>
      <w:r w:rsidR="002A2E68">
        <w:t xml:space="preserve">from October 2021 </w:t>
      </w:r>
      <w:r w:rsidRPr="00433F0C">
        <w:t>until the end of February</w:t>
      </w:r>
      <w:r w:rsidR="00925384" w:rsidRPr="00433F0C">
        <w:t xml:space="preserve"> 2022, when</w:t>
      </w:r>
      <w:r w:rsidRPr="00433F0C">
        <w:t xml:space="preserve"> the </w:t>
      </w:r>
      <w:r w:rsidR="00925384" w:rsidRPr="00433F0C">
        <w:t xml:space="preserve">number of </w:t>
      </w:r>
      <w:r w:rsidRPr="00433F0C">
        <w:t>cases underr</w:t>
      </w:r>
      <w:r w:rsidRPr="00433F0C">
        <w:t>e</w:t>
      </w:r>
      <w:r w:rsidRPr="00433F0C">
        <w:t>port</w:t>
      </w:r>
      <w:r w:rsidR="00925384" w:rsidRPr="00433F0C">
        <w:t>ed</w:t>
      </w:r>
      <w:r w:rsidRPr="00433F0C">
        <w:t xml:space="preserve"> was likely the lowest. </w:t>
      </w:r>
      <w:r w:rsidR="007D0C01">
        <w:t>According to</w:t>
      </w:r>
      <w:r w:rsidR="00B57E35" w:rsidRPr="00B57E35">
        <w:t xml:space="preserve"> the </w:t>
      </w:r>
      <w:r w:rsidR="00BA2090">
        <w:t>rep</w:t>
      </w:r>
      <w:r w:rsidR="00B57E35" w:rsidRPr="00B57E35">
        <w:t>or</w:t>
      </w:r>
      <w:r w:rsidR="00BA2090">
        <w:t>t</w:t>
      </w:r>
      <w:r w:rsidR="00B57E35" w:rsidRPr="00B57E35">
        <w:t xml:space="preserve">ed </w:t>
      </w:r>
      <w:r w:rsidR="00BA2090">
        <w:t xml:space="preserve">and predicted </w:t>
      </w:r>
      <w:r w:rsidR="00B57E35" w:rsidRPr="00B57E35">
        <w:t xml:space="preserve">cases during </w:t>
      </w:r>
      <w:r w:rsidR="00D428B2">
        <w:t>this</w:t>
      </w:r>
      <w:r w:rsidR="00BA2090">
        <w:t xml:space="preserve"> pe</w:t>
      </w:r>
      <w:r w:rsidR="007D0C01">
        <w:t>riod,</w:t>
      </w:r>
      <w:r w:rsidR="00B57E35" w:rsidRPr="00B57E35">
        <w:t xml:space="preserve"> the model underes</w:t>
      </w:r>
      <w:r w:rsidR="00BA2090">
        <w:t>timated</w:t>
      </w:r>
      <w:r w:rsidR="00B57E35" w:rsidRPr="00B57E35">
        <w:t xml:space="preserve"> the</w:t>
      </w:r>
      <w:r w:rsidR="00BA2090">
        <w:t xml:space="preserve"> number of</w:t>
      </w:r>
      <w:r w:rsidR="00B57E35" w:rsidRPr="00B57E35">
        <w:t xml:space="preserve"> cases reported by the healthcare sy</w:t>
      </w:r>
      <w:r w:rsidR="00B57E35" w:rsidRPr="00B57E35">
        <w:t>s</w:t>
      </w:r>
      <w:r w:rsidR="00B57E35" w:rsidRPr="00B57E35">
        <w:t xml:space="preserve">tem. </w:t>
      </w:r>
      <w:r w:rsidR="00AF6448" w:rsidRPr="00AF6448">
        <w:t>This discrepancy, although within the uncertainty interval, is still noteworthy and may be attributable to the use of parameters from the literature, such as the fecal she</w:t>
      </w:r>
      <w:r w:rsidR="00AF6448" w:rsidRPr="00AF6448">
        <w:t>d</w:t>
      </w:r>
      <w:r w:rsidR="00AF6448" w:rsidRPr="00AF6448">
        <w:t>ding rate.</w:t>
      </w:r>
    </w:p>
    <w:p w:rsidR="00F05728" w:rsidRDefault="00F05728" w:rsidP="00877F43">
      <w:pPr>
        <w:pStyle w:val="MDPI31text"/>
        <w:keepNext/>
        <w:spacing w:after="240"/>
        <w:rPr>
          <w:snapToGrid/>
          <w:sz w:val="18"/>
          <w:szCs w:val="20"/>
        </w:rPr>
      </w:pPr>
      <w:r w:rsidRPr="00F05728">
        <w:rPr>
          <w:noProof/>
          <w:lang w:val="it-IT" w:eastAsia="it-IT" w:bidi="ar-SA"/>
        </w:rPr>
        <w:drawing>
          <wp:inline distT="0" distB="0" distL="0" distR="0">
            <wp:extent cx="4691321" cy="1926747"/>
            <wp:effectExtent l="19050" t="0" r="0" b="0"/>
            <wp:docPr id="31" name="Immagin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1"/>
                    <pic:cNvPicPr>
                      <a:picLocks noChangeAspect="1" noChangeArrowheads="1"/>
                    </pic:cNvPicPr>
                  </pic:nvPicPr>
                  <pic:blipFill>
                    <a:blip r:embed="rId15" cstate="print"/>
                    <a:srcRect b="5418"/>
                    <a:stretch>
                      <a:fillRect/>
                    </a:stretch>
                  </pic:blipFill>
                  <pic:spPr bwMode="auto">
                    <a:xfrm>
                      <a:off x="0" y="0"/>
                      <a:ext cx="4694120" cy="1927897"/>
                    </a:xfrm>
                    <a:prstGeom prst="rect">
                      <a:avLst/>
                    </a:prstGeom>
                  </pic:spPr>
                </pic:pic>
              </a:graphicData>
            </a:graphic>
          </wp:inline>
        </w:drawing>
      </w:r>
      <w:r w:rsidR="004D7ED4" w:rsidRPr="00F05728">
        <w:rPr>
          <w:b/>
          <w:snapToGrid/>
          <w:sz w:val="18"/>
          <w:szCs w:val="20"/>
        </w:rPr>
        <w:t>Figure</w:t>
      </w:r>
      <w:r w:rsidRPr="00F05728">
        <w:rPr>
          <w:b/>
          <w:snapToGrid/>
          <w:sz w:val="18"/>
          <w:szCs w:val="20"/>
        </w:rPr>
        <w:t xml:space="preserve"> </w:t>
      </w:r>
      <w:r w:rsidR="009F0FD2" w:rsidRPr="00F05728">
        <w:rPr>
          <w:b/>
          <w:snapToGrid/>
          <w:sz w:val="18"/>
          <w:szCs w:val="20"/>
        </w:rPr>
        <w:fldChar w:fldCharType="begin"/>
      </w:r>
      <w:r w:rsidRPr="00F05728">
        <w:rPr>
          <w:b/>
          <w:snapToGrid/>
          <w:sz w:val="18"/>
          <w:szCs w:val="20"/>
        </w:rPr>
        <w:instrText xml:space="preserve"> SEQ Figura \* ARABIC </w:instrText>
      </w:r>
      <w:r w:rsidR="009F0FD2" w:rsidRPr="00F05728">
        <w:rPr>
          <w:b/>
          <w:snapToGrid/>
          <w:sz w:val="18"/>
          <w:szCs w:val="20"/>
        </w:rPr>
        <w:fldChar w:fldCharType="separate"/>
      </w:r>
      <w:r w:rsidR="004D7ED4">
        <w:rPr>
          <w:b/>
          <w:noProof/>
          <w:snapToGrid/>
          <w:sz w:val="18"/>
          <w:szCs w:val="20"/>
        </w:rPr>
        <w:t>7</w:t>
      </w:r>
      <w:r w:rsidR="009F0FD2" w:rsidRPr="00F05728">
        <w:rPr>
          <w:b/>
          <w:snapToGrid/>
          <w:sz w:val="18"/>
          <w:szCs w:val="20"/>
        </w:rPr>
        <w:fldChar w:fldCharType="end"/>
      </w:r>
      <w:r w:rsidRPr="00F05728">
        <w:rPr>
          <w:b/>
          <w:snapToGrid/>
          <w:sz w:val="18"/>
          <w:szCs w:val="20"/>
        </w:rPr>
        <w:t xml:space="preserve"> </w:t>
      </w:r>
      <w:r w:rsidRPr="00F05728">
        <w:rPr>
          <w:snapToGrid/>
          <w:sz w:val="18"/>
          <w:szCs w:val="20"/>
        </w:rPr>
        <w:t>Percentage of SARS-CoV-2 variant lineages over time obtained from regional sur</w:t>
      </w:r>
      <w:r w:rsidR="00A838FF">
        <w:rPr>
          <w:snapToGrid/>
          <w:sz w:val="18"/>
          <w:szCs w:val="20"/>
        </w:rPr>
        <w:t xml:space="preserve">veys </w:t>
      </w:r>
      <w:r w:rsidR="00A838FF">
        <w:t>[</w:t>
      </w:r>
      <w:hyperlink w:anchor="ISS" w:history="1">
        <w:r w:rsidR="00A838FF" w:rsidRPr="00A838FF">
          <w:rPr>
            <w:rStyle w:val="Collegamentoipertestuale"/>
          </w:rPr>
          <w:t>48</w:t>
        </w:r>
      </w:hyperlink>
      <w:r w:rsidR="00A838FF">
        <w:t>]</w:t>
      </w:r>
    </w:p>
    <w:p w:rsidR="00F05728" w:rsidRPr="00877F43" w:rsidRDefault="00F05728" w:rsidP="00877F43">
      <w:pPr>
        <w:pStyle w:val="MDPI22heading2"/>
        <w:spacing w:before="240"/>
      </w:pPr>
      <w:r w:rsidRPr="00877F43">
        <w:t>4.4.</w:t>
      </w:r>
      <w:r w:rsidRPr="00877F43">
        <w:tab/>
        <w:t xml:space="preserve">Spatial comparison of </w:t>
      </w:r>
      <w:r w:rsidR="00925384">
        <w:t xml:space="preserve">the </w:t>
      </w:r>
      <w:r w:rsidRPr="00877F43">
        <w:t>predicted and reported cases in each grouped area</w:t>
      </w:r>
    </w:p>
    <w:p w:rsidR="00F05728" w:rsidRDefault="00877F43" w:rsidP="008416DF">
      <w:pPr>
        <w:pStyle w:val="MDPI31text"/>
      </w:pPr>
      <w:r>
        <w:t xml:space="preserve">The temporal </w:t>
      </w:r>
      <w:r w:rsidR="00925384">
        <w:t>inconsistency in the variation in</w:t>
      </w:r>
      <w:r>
        <w:t xml:space="preserve"> the reported </w:t>
      </w:r>
      <w:proofErr w:type="spellStart"/>
      <w:r>
        <w:t>IR</w:t>
      </w:r>
      <w:r w:rsidRPr="00055C8D">
        <w:rPr>
          <w:vertAlign w:val="subscript"/>
        </w:rPr>
        <w:t>j</w:t>
      </w:r>
      <w:proofErr w:type="spellEnd"/>
      <w:r>
        <w:t xml:space="preserve"> within the same area indicates that a random effect</w:t>
      </w:r>
      <w:r w:rsidR="00966418">
        <w:t xml:space="preserve"> could</w:t>
      </w:r>
      <w:r w:rsidR="009B4121">
        <w:t xml:space="preserve"> have caused</w:t>
      </w:r>
      <w:r>
        <w:t xml:space="preserve"> the increase in cases in one area rath</w:t>
      </w:r>
      <w:r w:rsidR="009B4121">
        <w:t>er than another. Furthermore, in</w:t>
      </w:r>
      <w:r>
        <w:t xml:space="preserve"> </w:t>
      </w:r>
      <w:r w:rsidR="002A2E68">
        <w:t xml:space="preserve">the </w:t>
      </w:r>
      <w:r>
        <w:t xml:space="preserve">areas where the variation </w:t>
      </w:r>
      <w:r w:rsidR="00925384">
        <w:t>in</w:t>
      </w:r>
      <w:r>
        <w:t xml:space="preserve"> the reported </w:t>
      </w:r>
      <w:proofErr w:type="spellStart"/>
      <w:r>
        <w:t>IR</w:t>
      </w:r>
      <w:r w:rsidRPr="00055C8D">
        <w:rPr>
          <w:vertAlign w:val="subscript"/>
        </w:rPr>
        <w:t>j</w:t>
      </w:r>
      <w:proofErr w:type="spellEnd"/>
      <w:r>
        <w:t xml:space="preserve"> </w:t>
      </w:r>
      <w:r w:rsidR="009B4121">
        <w:t>remained</w:t>
      </w:r>
      <w:r>
        <w:t xml:space="preserve"> consistent over time</w:t>
      </w:r>
      <w:r w:rsidR="009B4121">
        <w:t xml:space="preserve">, </w:t>
      </w:r>
      <w:r w:rsidR="009B4121" w:rsidRPr="009B4121">
        <w:t xml:space="preserve">other factors such as deprivation and obesity indices </w:t>
      </w:r>
      <w:r w:rsidR="009B4121">
        <w:t>[</w:t>
      </w:r>
      <w:hyperlink w:anchor="Ho_2020" w:history="1">
        <w:r w:rsidR="009B4121" w:rsidRPr="00023778">
          <w:rPr>
            <w:rStyle w:val="Collegamentoipertestuale"/>
          </w:rPr>
          <w:t>50</w:t>
        </w:r>
      </w:hyperlink>
      <w:r w:rsidR="009B4121">
        <w:t xml:space="preserve">] </w:t>
      </w:r>
      <w:r w:rsidR="009B4121" w:rsidRPr="009B4121">
        <w:t>may need to be considered to e</w:t>
      </w:r>
      <w:r w:rsidR="007D0C01">
        <w:t>xplain the variability in</w:t>
      </w:r>
      <w:r w:rsidR="009B4121">
        <w:t xml:space="preserve"> </w:t>
      </w:r>
      <w:proofErr w:type="spellStart"/>
      <w:r>
        <w:t>IR</w:t>
      </w:r>
      <w:r w:rsidR="00055C8D" w:rsidRPr="00055C8D">
        <w:rPr>
          <w:vertAlign w:val="subscript"/>
        </w:rPr>
        <w:t>j</w:t>
      </w:r>
      <w:proofErr w:type="spellEnd"/>
      <w:r w:rsidR="00023778">
        <w:t xml:space="preserve">. </w:t>
      </w:r>
      <w:r w:rsidR="002A2E68">
        <w:t>Additionally</w:t>
      </w:r>
      <w:r w:rsidR="00925384">
        <w:t>,</w:t>
      </w:r>
      <w:r w:rsidR="002A2E68">
        <w:t xml:space="preserve"> </w:t>
      </w:r>
      <w:r w:rsidR="002A2E68" w:rsidRPr="002A2E68">
        <w:t>a limitation of the pr</w:t>
      </w:r>
      <w:r w:rsidR="002A2E68" w:rsidRPr="002A2E68">
        <w:t>o</w:t>
      </w:r>
      <w:r w:rsidR="002A2E68" w:rsidRPr="002A2E68">
        <w:t xml:space="preserve">posed approach is the use of an estimate </w:t>
      </w:r>
      <w:r w:rsidR="002A2E68">
        <w:t xml:space="preserve">of </w:t>
      </w:r>
      <w:r w:rsidR="002A2E68" w:rsidRPr="002A2E68">
        <w:t>the popu</w:t>
      </w:r>
      <w:r w:rsidR="002A2E68">
        <w:t>lation</w:t>
      </w:r>
      <w:r w:rsidR="00376358">
        <w:t xml:space="preserve"> </w:t>
      </w:r>
      <w:r w:rsidR="00376358" w:rsidRPr="002A2E68">
        <w:t>domiciled</w:t>
      </w:r>
      <w:r w:rsidR="002A2E68">
        <w:t xml:space="preserve"> in each area </w:t>
      </w:r>
      <w:r w:rsidR="002A2E68" w:rsidRPr="002A2E68">
        <w:t>(Se</w:t>
      </w:r>
      <w:r w:rsidR="002A2E68" w:rsidRPr="002A2E68">
        <w:t>c</w:t>
      </w:r>
      <w:r w:rsidR="002A2E68" w:rsidRPr="002A2E68">
        <w:t>tion 2.1)</w:t>
      </w:r>
      <w:r w:rsidR="002A2E68">
        <w:t xml:space="preserve"> for calculating </w:t>
      </w:r>
      <w:r>
        <w:t xml:space="preserve">the reported </w:t>
      </w:r>
      <w:proofErr w:type="spellStart"/>
      <w:r>
        <w:t>IR</w:t>
      </w:r>
      <w:r w:rsidRPr="00D428B2">
        <w:rPr>
          <w:vertAlign w:val="subscript"/>
        </w:rPr>
        <w:t>j</w:t>
      </w:r>
      <w:proofErr w:type="spellEnd"/>
      <w:r w:rsidR="00023778">
        <w:t>.</w:t>
      </w:r>
      <w:r w:rsidR="00F71A55">
        <w:t xml:space="preserve"> </w:t>
      </w:r>
      <w:r w:rsidR="00925384">
        <w:t>In summary, the model</w:t>
      </w:r>
      <w:r>
        <w:t xml:space="preserve"> accurately predicted the spatial distribution of cases because the reported </w:t>
      </w:r>
      <w:proofErr w:type="spellStart"/>
      <w:r>
        <w:t>IR</w:t>
      </w:r>
      <w:r w:rsidRPr="00D428B2">
        <w:rPr>
          <w:vertAlign w:val="subscript"/>
        </w:rPr>
        <w:t>j</w:t>
      </w:r>
      <w:proofErr w:type="spellEnd"/>
      <w:r>
        <w:t xml:space="preserve"> exhibited minimal variations among </w:t>
      </w:r>
      <w:r>
        <w:lastRenderedPageBreak/>
        <w:t>the different grouped areas. Co</w:t>
      </w:r>
      <w:r>
        <w:t>n</w:t>
      </w:r>
      <w:r>
        <w:t>sequently, the distribution of reported cases across the areas was primarily influenced by the population size of each area, which also dete</w:t>
      </w:r>
      <w:r>
        <w:t>r</w:t>
      </w:r>
      <w:r>
        <w:t>mines the distribution of predicted cases.</w:t>
      </w:r>
    </w:p>
    <w:p w:rsidR="00522304" w:rsidRPr="00325902" w:rsidRDefault="00522304" w:rsidP="002019E5">
      <w:pPr>
        <w:pStyle w:val="MDPI21heading1"/>
      </w:pPr>
      <w:r>
        <w:t>5. Conclusions</w:t>
      </w:r>
    </w:p>
    <w:p w:rsidR="00877F43" w:rsidRDefault="00877F43" w:rsidP="00877F43">
      <w:pPr>
        <w:pStyle w:val="MDPI31text"/>
      </w:pPr>
      <w:r>
        <w:t>The</w:t>
      </w:r>
      <w:r w:rsidR="0031364F">
        <w:t xml:space="preserve"> presented</w:t>
      </w:r>
      <w:r>
        <w:t xml:space="preserve"> model aimed to correlate </w:t>
      </w:r>
      <w:r w:rsidR="007D0C01">
        <w:t xml:space="preserve">the </w:t>
      </w:r>
      <w:r>
        <w:t xml:space="preserve">virus concentration at </w:t>
      </w:r>
      <w:r w:rsidR="007D0C01">
        <w:t xml:space="preserve">the </w:t>
      </w:r>
      <w:r>
        <w:t xml:space="preserve">WWTP with </w:t>
      </w:r>
      <w:r w:rsidR="007D0C01">
        <w:t xml:space="preserve">the number of </w:t>
      </w:r>
      <w:r>
        <w:t xml:space="preserve">COVID-19 cases in </w:t>
      </w:r>
      <w:r w:rsidR="009A6E45">
        <w:t xml:space="preserve">the respective catchment area. </w:t>
      </w:r>
      <w:r w:rsidR="009A6E45" w:rsidRPr="009A6E45">
        <w:t>This approach</w:t>
      </w:r>
      <w:r>
        <w:t xml:space="preserve"> was based on previous models</w:t>
      </w:r>
      <w:r w:rsidR="00524369">
        <w:t xml:space="preserve"> </w:t>
      </w:r>
      <w:r w:rsidR="007D0C01">
        <w:t>that</w:t>
      </w:r>
      <w:r w:rsidR="00966418">
        <w:t xml:space="preserve"> </w:t>
      </w:r>
      <w:r w:rsidR="00524369">
        <w:t>either omitted biodegradation [</w:t>
      </w:r>
      <w:hyperlink w:anchor="ahmed_2020_A" w:history="1">
        <w:r w:rsidR="00524369" w:rsidRPr="00524369">
          <w:rPr>
            <w:rStyle w:val="Collegamentoipertestuale"/>
          </w:rPr>
          <w:t>14</w:t>
        </w:r>
      </w:hyperlink>
      <w:r w:rsidR="00E0768D">
        <w:t>,</w:t>
      </w:r>
      <w:hyperlink w:anchor="prasek_2022" w:history="1">
        <w:r w:rsidR="00E0768D" w:rsidRPr="00524369">
          <w:rPr>
            <w:rStyle w:val="Collegamentoipertestuale"/>
          </w:rPr>
          <w:t>15</w:t>
        </w:r>
      </w:hyperlink>
      <w:r w:rsidR="00E0768D">
        <w:t>,</w:t>
      </w:r>
      <w:hyperlink w:anchor="schimtz_2021" w:history="1">
        <w:r w:rsidR="00E0768D" w:rsidRPr="00E0768D">
          <w:rPr>
            <w:rStyle w:val="Collegamentoipertestuale"/>
          </w:rPr>
          <w:t>16</w:t>
        </w:r>
      </w:hyperlink>
      <w:r w:rsidR="00EA0CAF">
        <w:t>,</w:t>
      </w:r>
      <w:hyperlink w:anchor="wani_2023" w:history="1">
        <w:r w:rsidR="004E6E22" w:rsidRPr="004E6E22">
          <w:rPr>
            <w:rStyle w:val="Collegamentoipertestuale"/>
          </w:rPr>
          <w:t>17</w:t>
        </w:r>
      </w:hyperlink>
      <w:r w:rsidR="004E6E22">
        <w:t>]</w:t>
      </w:r>
      <w:r>
        <w:t xml:space="preserve"> or treated it as a uniform factor across the catchment area</w:t>
      </w:r>
      <w:r w:rsidR="009A6E45">
        <w:t xml:space="preserve"> </w:t>
      </w:r>
      <w:r w:rsidR="00695BCD">
        <w:t>[</w:t>
      </w:r>
      <w:hyperlink w:anchor="Li_2021" w:history="1">
        <w:r w:rsidR="00695BCD" w:rsidRPr="00695BCD">
          <w:rPr>
            <w:rStyle w:val="Collegamentoipertestuale"/>
          </w:rPr>
          <w:t>3</w:t>
        </w:r>
      </w:hyperlink>
      <w:r w:rsidR="00695BCD">
        <w:t>].</w:t>
      </w:r>
      <w:r>
        <w:t xml:space="preserve"> Our approach involved a detailed co</w:t>
      </w:r>
      <w:r>
        <w:t>n</w:t>
      </w:r>
      <w:r>
        <w:t xml:space="preserve">sideration of biodegradation along the sewer system, with a similar approach to </w:t>
      </w:r>
      <w:r w:rsidR="007D0C01">
        <w:t>that of McCall</w:t>
      </w:r>
      <w:r>
        <w:t xml:space="preserve"> </w:t>
      </w:r>
      <w:r w:rsidR="00CA4827">
        <w:t xml:space="preserve">et al. </w:t>
      </w:r>
      <w:r w:rsidR="004E6E22">
        <w:t>[</w:t>
      </w:r>
      <w:hyperlink w:anchor="mc_call_2022" w:history="1">
        <w:r w:rsidR="004E6E22" w:rsidRPr="004E6E22">
          <w:rPr>
            <w:rStyle w:val="Collegamentoipertestuale"/>
          </w:rPr>
          <w:t>18</w:t>
        </w:r>
      </w:hyperlink>
      <w:r w:rsidR="004E6E22">
        <w:t xml:space="preserve">] </w:t>
      </w:r>
      <w:r>
        <w:t>but with an additional step: associating the biodegradation factor with population distribution and characteristics.</w:t>
      </w:r>
    </w:p>
    <w:p w:rsidR="00877F43" w:rsidRDefault="00877F43" w:rsidP="00877F43">
      <w:pPr>
        <w:pStyle w:val="MDPI31text"/>
      </w:pPr>
      <w:r>
        <w:t xml:space="preserve">By applying the model to data </w:t>
      </w:r>
      <w:r w:rsidR="0031364F">
        <w:t xml:space="preserve">from </w:t>
      </w:r>
      <w:r>
        <w:t xml:space="preserve">the main WWTP of Bologna, </w:t>
      </w:r>
      <w:r w:rsidR="009A6E45">
        <w:t xml:space="preserve">daily </w:t>
      </w:r>
      <w:r>
        <w:t>COVID-19 cases for each census section or statistical area served by the WWTP</w:t>
      </w:r>
      <w:r w:rsidR="00A42DB8">
        <w:t xml:space="preserve"> were estimated</w:t>
      </w:r>
      <w:r>
        <w:t xml:space="preserve">. To assess the model's performance, </w:t>
      </w:r>
      <w:r w:rsidR="009A6E45">
        <w:t xml:space="preserve">the </w:t>
      </w:r>
      <w:r>
        <w:t xml:space="preserve">predicted cases were compared with those reported by the healthcare system. </w:t>
      </w:r>
      <w:r w:rsidR="009A6E45">
        <w:t xml:space="preserve">The results were first </w:t>
      </w:r>
      <w:proofErr w:type="spellStart"/>
      <w:r w:rsidR="009A6E45">
        <w:t>analys</w:t>
      </w:r>
      <w:r>
        <w:t>ed</w:t>
      </w:r>
      <w:proofErr w:type="spellEnd"/>
      <w:r>
        <w:t xml:space="preserve"> by comparing the predicted and reported in</w:t>
      </w:r>
      <w:r w:rsidR="009A6E45">
        <w:t>fection rates over time</w:t>
      </w:r>
      <w:r>
        <w:t xml:space="preserve"> and then by examining the variation </w:t>
      </w:r>
      <w:r w:rsidR="00B54505">
        <w:t>in</w:t>
      </w:r>
      <w:r w:rsidR="00D428B2">
        <w:t xml:space="preserve"> report</w:t>
      </w:r>
      <w:r>
        <w:t xml:space="preserve">ed and </w:t>
      </w:r>
      <w:r w:rsidR="00B54505">
        <w:t>predicted</w:t>
      </w:r>
      <w:r>
        <w:t xml:space="preserve"> cases in different areas. </w:t>
      </w:r>
    </w:p>
    <w:p w:rsidR="00877F43" w:rsidRDefault="00877F43" w:rsidP="00D428B2">
      <w:pPr>
        <w:pStyle w:val="MDPI31text"/>
      </w:pPr>
      <w:r>
        <w:t xml:space="preserve">The model </w:t>
      </w:r>
      <w:r w:rsidR="0031364F" w:rsidRPr="0031364F">
        <w:t>demonstrated satisfactory results</w:t>
      </w:r>
      <w:r>
        <w:t>, predicting the trend of reported cases over time and space</w:t>
      </w:r>
      <w:r w:rsidR="007D0C01">
        <w:t xml:space="preserve"> well</w:t>
      </w:r>
      <w:r>
        <w:t xml:space="preserve">. </w:t>
      </w:r>
      <w:r w:rsidR="00B54505">
        <w:t>The model</w:t>
      </w:r>
      <w:r>
        <w:t xml:space="preserve"> slightly underestimated </w:t>
      </w:r>
      <w:r w:rsidR="007D0C01">
        <w:t xml:space="preserve">the </w:t>
      </w:r>
      <w:r>
        <w:t>reported cases during t</w:t>
      </w:r>
      <w:r w:rsidR="00A42DB8">
        <w:t xml:space="preserve">he first COVID-19 wave </w:t>
      </w:r>
      <w:proofErr w:type="spellStart"/>
      <w:r w:rsidR="00A42DB8">
        <w:t>analysed</w:t>
      </w:r>
      <w:proofErr w:type="spellEnd"/>
      <w:r w:rsidR="00A42DB8">
        <w:t xml:space="preserve"> and overestimated the number of reported cases during </w:t>
      </w:r>
      <w:r>
        <w:t>subse</w:t>
      </w:r>
      <w:r w:rsidR="00A42DB8">
        <w:t>quent waves</w:t>
      </w:r>
      <w:r>
        <w:t>.</w:t>
      </w:r>
      <w:r w:rsidR="00D428B2">
        <w:t xml:space="preserve"> </w:t>
      </w:r>
      <w:r>
        <w:t>Nevertheless, the correlation between the two datasets was consisten</w:t>
      </w:r>
      <w:r w:rsidR="0031364F">
        <w:t>tly high across the three waves, demonstrating</w:t>
      </w:r>
      <w:r>
        <w:t xml:space="preserve"> the model's capacity to predict the relevant waves and the </w:t>
      </w:r>
      <w:r w:rsidR="00A42DB8">
        <w:t xml:space="preserve">significant </w:t>
      </w:r>
      <w:r>
        <w:t>increase</w:t>
      </w:r>
      <w:r w:rsidR="00A42DB8">
        <w:t>s</w:t>
      </w:r>
      <w:r>
        <w:t xml:space="preserve"> in</w:t>
      </w:r>
      <w:r w:rsidR="00B54505">
        <w:t xml:space="preserve"> the number of</w:t>
      </w:r>
      <w:r>
        <w:t xml:space="preserve"> cases.</w:t>
      </w:r>
      <w:r w:rsidR="00D808A2">
        <w:t xml:space="preserve"> </w:t>
      </w:r>
    </w:p>
    <w:p w:rsidR="00C940A9" w:rsidRDefault="00877F43" w:rsidP="00A74C02">
      <w:pPr>
        <w:pStyle w:val="MDPI31text"/>
      </w:pPr>
      <w:r>
        <w:t xml:space="preserve">The inclusion of biodegradation in the model equation </w:t>
      </w:r>
      <w:r w:rsidR="00150766" w:rsidRPr="00150766">
        <w:t>significantly improved case estimate</w:t>
      </w:r>
      <w:r w:rsidR="007D0C01">
        <w:t>s</w:t>
      </w:r>
      <w:r w:rsidR="00150766" w:rsidRPr="00150766">
        <w:t>,</w:t>
      </w:r>
      <w:r>
        <w:t xml:space="preserve"> enabling the calculation of the decrease in virus load along the sewer network from each area to the WWTP. </w:t>
      </w:r>
      <w:r w:rsidR="00ED33AD">
        <w:t>Conversely</w:t>
      </w:r>
      <w:r>
        <w:t>, no substantial variation in the final result was obtained by adding the population-based coefficient.</w:t>
      </w:r>
      <w:r w:rsidR="00C940A9">
        <w:t xml:space="preserve"> </w:t>
      </w:r>
    </w:p>
    <w:p w:rsidR="00877F43" w:rsidRDefault="00877F43" w:rsidP="00A74C02">
      <w:pPr>
        <w:pStyle w:val="MDPI31text"/>
      </w:pPr>
      <w:r>
        <w:t xml:space="preserve">The model estimated </w:t>
      </w:r>
      <w:r w:rsidR="00D42ADB">
        <w:t>that biodegradation</w:t>
      </w:r>
      <w:r w:rsidR="00D808A2">
        <w:t xml:space="preserve"> </w:t>
      </w:r>
      <w:r w:rsidR="00D42ADB" w:rsidRPr="00D42ADB">
        <w:t xml:space="preserve">significantly reduced </w:t>
      </w:r>
      <w:r>
        <w:t>the virus load rea</w:t>
      </w:r>
      <w:r w:rsidR="00945CF9">
        <w:t>ching the WWTP, resulting in a 3</w:t>
      </w:r>
      <w:r>
        <w:t xml:space="preserve">0% reduction </w:t>
      </w:r>
      <w:r w:rsidR="00D42ADB">
        <w:t>in</w:t>
      </w:r>
      <w:r>
        <w:t xml:space="preserve"> the </w:t>
      </w:r>
      <w:r w:rsidR="00D42ADB">
        <w:t xml:space="preserve">total </w:t>
      </w:r>
      <w:r>
        <w:t xml:space="preserve">virus </w:t>
      </w:r>
      <w:r w:rsidR="00D42ADB">
        <w:t xml:space="preserve">load </w:t>
      </w:r>
      <w:r>
        <w:t xml:space="preserve">produced in the study area. </w:t>
      </w:r>
      <w:r w:rsidR="00A74C02" w:rsidRPr="00A74C02">
        <w:t>The approach used in the present study allows for the comparison of data from WWTPs in different cities by normalizing the detected values for virus biodegr</w:t>
      </w:r>
      <w:r w:rsidR="00A74C02" w:rsidRPr="00A74C02">
        <w:t>a</w:t>
      </w:r>
      <w:r w:rsidR="00A74C02" w:rsidRPr="00A74C02">
        <w:t>dation and the geographic distribution of the population.</w:t>
      </w:r>
    </w:p>
    <w:p w:rsidR="00877F43" w:rsidRDefault="00A74C02" w:rsidP="00877F43">
      <w:pPr>
        <w:pStyle w:val="MDPI31text"/>
      </w:pPr>
      <w:r w:rsidRPr="00963B7E">
        <w:t>The mode</w:t>
      </w:r>
      <w:r>
        <w:t xml:space="preserve">l demonstrated its reliability </w:t>
      </w:r>
      <w:r w:rsidR="00877F43">
        <w:t xml:space="preserve">as a valuable tool </w:t>
      </w:r>
      <w:r w:rsidR="00150766">
        <w:t>for</w:t>
      </w:r>
      <w:r w:rsidR="00877F43">
        <w:t xml:space="preserve"> early warning systems</w:t>
      </w:r>
      <w:r w:rsidR="00D42ADB">
        <w:t>,</w:t>
      </w:r>
      <w:r w:rsidR="00877F43">
        <w:t xml:space="preserve"> offering a complementary approach to clinical surveillance, especially given the redu</w:t>
      </w:r>
      <w:r w:rsidR="00877F43">
        <w:t>c</w:t>
      </w:r>
      <w:r w:rsidR="00877F43">
        <w:t>tion in reported cases and tests</w:t>
      </w:r>
      <w:r w:rsidR="00DD4271">
        <w:t xml:space="preserve"> by the healthcare system</w:t>
      </w:r>
      <w:r w:rsidR="00877F43">
        <w:t>.</w:t>
      </w:r>
      <w:r w:rsidR="00D808A2">
        <w:t xml:space="preserve"> </w:t>
      </w:r>
      <w:r>
        <w:t>Furthermore, the model</w:t>
      </w:r>
      <w:r w:rsidR="00877F43">
        <w:t xml:space="preserve"> can provide an indication of the magnitude of underreported cases. Additionally, a time lag of 9 days </w:t>
      </w:r>
      <w:r w:rsidR="00D42ADB">
        <w:t>was</w:t>
      </w:r>
      <w:r w:rsidR="00877F43">
        <w:t xml:space="preserve"> observed between the variations in the SARS-CoV-2 load at the WWTP and the changes in the </w:t>
      </w:r>
      <w:r>
        <w:t xml:space="preserve">trend of the </w:t>
      </w:r>
      <w:r w:rsidR="00D428B2">
        <w:t>reported</w:t>
      </w:r>
      <w:r w:rsidR="00877F43">
        <w:t xml:space="preserve"> active cases.</w:t>
      </w:r>
    </w:p>
    <w:p w:rsidR="00877F43" w:rsidRDefault="00592A97" w:rsidP="00877F43">
      <w:pPr>
        <w:pStyle w:val="MDPI31text"/>
      </w:pPr>
      <w:r>
        <w:t>Notably, potential modifications to the parameters can be easily implemented to im</w:t>
      </w:r>
      <w:r w:rsidR="007D0C01">
        <w:t>prove the accuracy of the model</w:t>
      </w:r>
      <w:r>
        <w:t xml:space="preserve"> </w:t>
      </w:r>
      <w:r w:rsidR="00877F43">
        <w:t>and can be obtained through the collection of add</w:t>
      </w:r>
      <w:r w:rsidR="00877F43">
        <w:t>i</w:t>
      </w:r>
      <w:r w:rsidR="00877F43">
        <w:t>tional site-specific information and measurements (e.g., sewer flow velocity</w:t>
      </w:r>
      <w:r w:rsidR="00D42ADB">
        <w:t xml:space="preserve"> and</w:t>
      </w:r>
      <w:r w:rsidR="00877F43">
        <w:t xml:space="preserve"> biode</w:t>
      </w:r>
      <w:r w:rsidR="00877F43">
        <w:t>g</w:t>
      </w:r>
      <w:r w:rsidR="00877F43">
        <w:t xml:space="preserve">radation constant). </w:t>
      </w:r>
      <w:r w:rsidR="00D42ADB">
        <w:t>In particular</w:t>
      </w:r>
      <w:r w:rsidR="00877F43">
        <w:t xml:space="preserve">, </w:t>
      </w:r>
      <w:r w:rsidR="00D42ADB">
        <w:t>an important future development</w:t>
      </w:r>
      <w:r w:rsidR="00877F43">
        <w:t xml:space="preserve"> could involve calc</w:t>
      </w:r>
      <w:r w:rsidR="00877F43">
        <w:t>u</w:t>
      </w:r>
      <w:r w:rsidR="00877F43">
        <w:t xml:space="preserve">lating the </w:t>
      </w:r>
      <w:proofErr w:type="spellStart"/>
      <w:r w:rsidR="00877F43">
        <w:t>faecal</w:t>
      </w:r>
      <w:proofErr w:type="spellEnd"/>
      <w:r w:rsidR="00877F43">
        <w:t xml:space="preserve"> shedding rate </w:t>
      </w:r>
      <w:r w:rsidR="00D42ADB">
        <w:t>parameter on-site and over time</w:t>
      </w:r>
      <w:r w:rsidR="00877F43">
        <w:t xml:space="preserve"> to obtain shedding values specific to the demographic characteristics of </w:t>
      </w:r>
      <w:r w:rsidR="00D42ADB">
        <w:t xml:space="preserve">the population and to virus </w:t>
      </w:r>
      <w:proofErr w:type="spellStart"/>
      <w:r w:rsidR="00D42ADB">
        <w:t>sub</w:t>
      </w:r>
      <w:r w:rsidR="00877F43">
        <w:t>variant</w:t>
      </w:r>
      <w:r w:rsidR="00D42ADB">
        <w:t>s</w:t>
      </w:r>
      <w:proofErr w:type="spellEnd"/>
      <w:r w:rsidR="00877F43">
        <w:t xml:space="preserve"> on which the model is applied.</w:t>
      </w:r>
      <w:r w:rsidR="00B11714">
        <w:t xml:space="preserve"> </w:t>
      </w:r>
    </w:p>
    <w:p w:rsidR="006768B1" w:rsidRDefault="00371386" w:rsidP="006768B1">
      <w:pPr>
        <w:pStyle w:val="MDPI31text"/>
      </w:pPr>
      <w:r w:rsidRPr="00371386">
        <w:t xml:space="preserve">Moreover the model could be optimized </w:t>
      </w:r>
      <w:r>
        <w:t>by</w:t>
      </w:r>
      <w:r w:rsidRPr="00371386">
        <w:t xml:space="preserve"> placing sampling and measurement points along the sewer network</w:t>
      </w:r>
      <w:r>
        <w:t xml:space="preserve">. </w:t>
      </w:r>
      <w:r w:rsidR="00592A97" w:rsidRPr="00592A97">
        <w:t>This would improve precision and reliability in the e</w:t>
      </w:r>
      <w:r w:rsidR="00592A97" w:rsidRPr="00592A97">
        <w:t>s</w:t>
      </w:r>
      <w:r w:rsidR="00592A97" w:rsidRPr="00592A97">
        <w:t>timation of cases for various areas and could help identify local differences in infection rates.</w:t>
      </w:r>
      <w:r w:rsidR="00AE5CFB">
        <w:t xml:space="preserve"> </w:t>
      </w:r>
      <w:r w:rsidR="00592A97" w:rsidRPr="00592A97">
        <w:t>Additionally</w:t>
      </w:r>
      <w:r w:rsidR="00877F43">
        <w:t>, the model can be easily integrated into an online dashboard</w:t>
      </w:r>
      <w:r w:rsidR="00744DB7">
        <w:t>,</w:t>
      </w:r>
      <w:r w:rsidR="00877F43">
        <w:t xml:space="preserve"> e</w:t>
      </w:r>
      <w:r w:rsidR="00877F43">
        <w:t>n</w:t>
      </w:r>
      <w:r w:rsidR="00877F43">
        <w:t>hancing accessibility and immediacy for public health operators.</w:t>
      </w:r>
      <w:r w:rsidR="00592A97">
        <w:t xml:space="preserve"> </w:t>
      </w:r>
      <w:r w:rsidR="006768B1">
        <w:t>Finally, the model could be adapted for surveillance of other viruses or chemicals, making it a versatile tool for monitoring and preventing the effects of diverse viruses or substances on the population.</w:t>
      </w:r>
    </w:p>
    <w:p w:rsidR="00A07B60" w:rsidRDefault="00522304" w:rsidP="00183AB8">
      <w:pPr>
        <w:pStyle w:val="MDPI62BackMatter"/>
        <w:spacing w:before="240"/>
      </w:pPr>
      <w:r w:rsidRPr="00FA04F1">
        <w:rPr>
          <w:b/>
        </w:rPr>
        <w:lastRenderedPageBreak/>
        <w:t>Supplementary Materials:</w:t>
      </w:r>
      <w:r w:rsidR="001059AA">
        <w:rPr>
          <w:b/>
        </w:rPr>
        <w:t xml:space="preserve"> </w:t>
      </w:r>
      <w:r w:rsidR="007267FB" w:rsidRPr="00EF7242">
        <w:t xml:space="preserve">The following supporting information can be downloaded at: www.mdpi.com/xxx/s1, </w:t>
      </w:r>
      <w:r w:rsidR="00A15EF1" w:rsidRPr="00EF7242">
        <w:t xml:space="preserve">Table S1: </w:t>
      </w:r>
      <w:r w:rsidR="00EF7242" w:rsidRPr="00EF7242">
        <w:t>Resident and domiciled population in the study area</w:t>
      </w:r>
      <w:r w:rsidR="00A15EF1" w:rsidRPr="00EF7242">
        <w:t xml:space="preserve">; </w:t>
      </w:r>
      <w:r w:rsidR="00EF7242">
        <w:t xml:space="preserve">Table S2: </w:t>
      </w:r>
      <w:r w:rsidR="00CC0F07">
        <w:t>S</w:t>
      </w:r>
      <w:r w:rsidR="00CC0F07" w:rsidRPr="00CC0F07">
        <w:t>tatistics</w:t>
      </w:r>
      <w:r w:rsidR="00CC0F07">
        <w:t xml:space="preserve"> </w:t>
      </w:r>
      <w:r w:rsidR="00EF7242" w:rsidRPr="00EF7242">
        <w:t>of SARS-CoV-2 RNA concentration at the WWTP</w:t>
      </w:r>
      <w:r w:rsidR="00EF7242">
        <w:t xml:space="preserve">; Table S3: </w:t>
      </w:r>
      <w:r w:rsidR="00CC0F07">
        <w:t>S</w:t>
      </w:r>
      <w:r w:rsidR="00CC0F07" w:rsidRPr="00CC0F07">
        <w:t>tatistics</w:t>
      </w:r>
      <w:r w:rsidR="00EF7242" w:rsidRPr="00EF7242">
        <w:t xml:space="preserve"> of wastewater flow rate at the WWTP</w:t>
      </w:r>
      <w:r w:rsidR="00C521EC">
        <w:t xml:space="preserve">; Table S4: </w:t>
      </w:r>
      <w:r w:rsidR="00C521EC" w:rsidRPr="00C521EC">
        <w:t>Variables and estimates from the Global Poisson regression model</w:t>
      </w:r>
      <w:r w:rsidR="00C521EC">
        <w:t xml:space="preserve">; Table S5: </w:t>
      </w:r>
      <w:r w:rsidR="00C521EC" w:rsidRPr="00C521EC">
        <w:t>Statistics of popula</w:t>
      </w:r>
      <w:r w:rsidR="00CC0F07">
        <w:t>tion characteristics</w:t>
      </w:r>
      <w:r w:rsidR="00C521EC">
        <w:t xml:space="preserve">; Table S6: </w:t>
      </w:r>
      <w:r w:rsidR="00C521EC" w:rsidRPr="00C521EC">
        <w:t>Shedding rate values</w:t>
      </w:r>
      <w:r w:rsidR="00C521EC">
        <w:t xml:space="preserve">; Table S7: </w:t>
      </w:r>
      <w:r w:rsidR="00C521EC" w:rsidRPr="00C521EC">
        <w:t>Variation of the spread of Delta and Omicron variants and sub-variants</w:t>
      </w:r>
      <w:r w:rsidR="00C521EC">
        <w:t xml:space="preserve">; Table S8: </w:t>
      </w:r>
      <w:r w:rsidR="00C521EC" w:rsidRPr="00C521EC">
        <w:t>Shedding values depen</w:t>
      </w:r>
      <w:r w:rsidR="00C521EC" w:rsidRPr="00C521EC">
        <w:t>d</w:t>
      </w:r>
      <w:r w:rsidR="00C521EC" w:rsidRPr="00C521EC">
        <w:t>ing on the period</w:t>
      </w:r>
      <w:r w:rsidR="00C521EC">
        <w:t xml:space="preserve">; Table S9: </w:t>
      </w:r>
      <w:r w:rsidR="00C521EC" w:rsidRPr="00C521EC">
        <w:t>Biodegradation rate constant values varying with temperature and time of year</w:t>
      </w:r>
      <w:r w:rsidR="00C521EC">
        <w:t xml:space="preserve">; Table S10: </w:t>
      </w:r>
      <w:r w:rsidR="00C521EC" w:rsidRPr="00C521EC">
        <w:t>Parameters in the error propagation formula</w:t>
      </w:r>
      <w:r w:rsidR="00A07B60">
        <w:t xml:space="preserve">; Table S11: </w:t>
      </w:r>
      <w:r w:rsidR="00A07B60" w:rsidRPr="00A07B60">
        <w:t>Uncertainty ass</w:t>
      </w:r>
      <w:r w:rsidR="00A07B60" w:rsidRPr="00A07B60">
        <w:t>o</w:t>
      </w:r>
      <w:r w:rsidR="00A07B60" w:rsidRPr="00A07B60">
        <w:t>ciated with IR(t) varying with the number of cases</w:t>
      </w:r>
      <w:r w:rsidR="00551910">
        <w:t xml:space="preserve">; Table S12: </w:t>
      </w:r>
      <w:r w:rsidR="00551910" w:rsidRPr="00551910">
        <w:t xml:space="preserve">For each grouped area: population domiciled in the area, number of reported and predicted cases and percentage contribution of the area to the detected </w:t>
      </w:r>
      <w:r w:rsidR="00551910">
        <w:t xml:space="preserve">value of SARS-CoV-2 at the WWTP; Table S13: </w:t>
      </w:r>
      <w:r w:rsidR="00551910" w:rsidRPr="00551910">
        <w:t>Contribution of hospitals in terms of viral load detected at t</w:t>
      </w:r>
      <w:r w:rsidR="00CC0F07">
        <w:t>he WWTP during the study period</w:t>
      </w:r>
      <w:r w:rsidR="00533DAD">
        <w:t xml:space="preserve">; Table S14: </w:t>
      </w:r>
      <w:r w:rsidR="00CC0F07">
        <w:t>Statistics</w:t>
      </w:r>
      <w:r w:rsidR="00533DAD">
        <w:t xml:space="preserve"> </w:t>
      </w:r>
      <w:r w:rsidR="00533DAD" w:rsidRPr="00533DAD">
        <w:t>of the daily average reporte</w:t>
      </w:r>
      <w:r w:rsidR="00CC0F07">
        <w:t xml:space="preserve">d and predicted infection rate and </w:t>
      </w:r>
      <w:r w:rsidR="00533DAD" w:rsidRPr="00533DAD">
        <w:t>of t</w:t>
      </w:r>
      <w:r w:rsidR="00290BCF">
        <w:t>he population-based coefficient</w:t>
      </w:r>
      <w:r w:rsidR="00C17F5E">
        <w:t xml:space="preserve">; </w:t>
      </w:r>
      <w:r w:rsidR="007267FB" w:rsidRPr="00EF7242">
        <w:t xml:space="preserve">Figure S1: </w:t>
      </w:r>
      <w:r w:rsidR="00EF7242" w:rsidRPr="00EF7242">
        <w:t>Map of areas and grouped areas included in the study</w:t>
      </w:r>
      <w:r w:rsidR="007267FB" w:rsidRPr="00EF7242">
        <w:t xml:space="preserve">; </w:t>
      </w:r>
      <w:r w:rsidR="00EF7242" w:rsidRPr="00EF7242">
        <w:t>Figure S</w:t>
      </w:r>
      <w:r w:rsidR="00EF7242">
        <w:t>2</w:t>
      </w:r>
      <w:r w:rsidR="00EF7242" w:rsidRPr="00EF7242">
        <w:t>:</w:t>
      </w:r>
      <w:r w:rsidR="00EF7242">
        <w:t xml:space="preserve"> </w:t>
      </w:r>
      <w:r w:rsidR="00EF7242" w:rsidRPr="00EF7242">
        <w:t>SARS-CoV-2 RNA concentration at the WWTP</w:t>
      </w:r>
      <w:r w:rsidR="00EF7242">
        <w:t xml:space="preserve">; </w:t>
      </w:r>
      <w:r w:rsidR="00EF7242" w:rsidRPr="00EF7242">
        <w:t xml:space="preserve">Figure </w:t>
      </w:r>
      <w:r w:rsidR="00EF7242">
        <w:t>S3</w:t>
      </w:r>
      <w:r w:rsidR="00EF7242" w:rsidRPr="00EF7242">
        <w:t>:</w:t>
      </w:r>
      <w:r w:rsidR="00EF7242">
        <w:t xml:space="preserve"> </w:t>
      </w:r>
      <w:r w:rsidR="00EF7242" w:rsidRPr="00C70698">
        <w:rPr>
          <w:color w:val="auto"/>
        </w:rPr>
        <w:t>Wastewater flow rate at the WWTP</w:t>
      </w:r>
      <w:r w:rsidR="00EF7242">
        <w:t xml:space="preserve">; </w:t>
      </w:r>
      <w:r w:rsidR="00EF7242" w:rsidRPr="00EF7242">
        <w:t xml:space="preserve">Figure </w:t>
      </w:r>
      <w:r w:rsidR="00EF7242">
        <w:t>S4</w:t>
      </w:r>
      <w:r w:rsidR="00EF7242" w:rsidRPr="00EF7242">
        <w:t>:</w:t>
      </w:r>
      <w:r w:rsidR="00EF7242">
        <w:t xml:space="preserve"> </w:t>
      </w:r>
      <w:r w:rsidR="00EF7242" w:rsidRPr="00EF7242">
        <w:t>Daily load of SARS-CoV-2 RNA at the inlet of the WWTP</w:t>
      </w:r>
      <w:r w:rsidR="00EF7242">
        <w:t>;</w:t>
      </w:r>
      <w:r w:rsidR="00EF7242" w:rsidRPr="00EF7242">
        <w:t xml:space="preserve"> </w:t>
      </w:r>
      <w:r w:rsidR="00551910" w:rsidRPr="00EF7242">
        <w:t xml:space="preserve">Figure </w:t>
      </w:r>
      <w:r w:rsidR="00551910">
        <w:t>S5</w:t>
      </w:r>
      <w:r w:rsidR="00551910" w:rsidRPr="00EF7242">
        <w:t>:</w:t>
      </w:r>
      <w:r w:rsidR="00551910">
        <w:t xml:space="preserve"> </w:t>
      </w:r>
      <w:r w:rsidR="00290BCF">
        <w:t>Maps of the 3 indicators</w:t>
      </w:r>
      <w:r w:rsidR="00551910">
        <w:t xml:space="preserve">; Figure S6: </w:t>
      </w:r>
      <w:r w:rsidR="00551910" w:rsidRPr="00551910">
        <w:t>Maps of the statistical areas of Bologna, considering</w:t>
      </w:r>
      <w:r w:rsidR="000C4573">
        <w:t xml:space="preserve"> </w:t>
      </w:r>
      <w:r w:rsidR="00551910" w:rsidRPr="00551910">
        <w:t>hospitalized COVID-19 in</w:t>
      </w:r>
      <w:r w:rsidR="00551910">
        <w:t>dividuals</w:t>
      </w:r>
      <w:r w:rsidR="000C4573">
        <w:t xml:space="preserve">; Figure S7: </w:t>
      </w:r>
      <w:r w:rsidR="000C4573" w:rsidRPr="000C4573">
        <w:t>Infection rate vari</w:t>
      </w:r>
      <w:r w:rsidR="000C4573" w:rsidRPr="000C4573">
        <w:t>a</w:t>
      </w:r>
      <w:r w:rsidR="000C4573" w:rsidRPr="000C4573">
        <w:t>tion across grouped areas during the study period.</w:t>
      </w:r>
      <w:r w:rsidR="00B84FC6">
        <w:t xml:space="preserve"> </w:t>
      </w:r>
      <w:r w:rsidR="00A07B60">
        <w:t>Equation S1</w:t>
      </w:r>
      <w:r w:rsidR="0012768A">
        <w:t>, S2, S3, S4, S5, S6, S7</w:t>
      </w:r>
      <w:r w:rsidR="00A07B60">
        <w:t xml:space="preserve">: </w:t>
      </w:r>
      <w:r w:rsidR="0012768A">
        <w:t>E</w:t>
      </w:r>
      <w:r w:rsidR="0012768A" w:rsidRPr="0012768A">
        <w:t>quations used to derive the model equation</w:t>
      </w:r>
      <w:r w:rsidR="00A07B60">
        <w:t>; Equation S8: E</w:t>
      </w:r>
      <w:r w:rsidR="00A07B60" w:rsidRPr="00A07B60">
        <w:t>rror propagation formula</w:t>
      </w:r>
      <w:r w:rsidR="00A07B60">
        <w:t xml:space="preserve">; Equation S9: </w:t>
      </w:r>
      <w:r w:rsidR="0012768A">
        <w:t>N</w:t>
      </w:r>
      <w:r w:rsidR="00A07B60" w:rsidRPr="00A07B60">
        <w:t>o</w:t>
      </w:r>
      <w:r w:rsidR="00A07B60" w:rsidRPr="00A07B60">
        <w:t>r</w:t>
      </w:r>
      <w:r w:rsidR="00A07B60" w:rsidRPr="00A07B60">
        <w:t>malized local sensitivity analysis</w:t>
      </w:r>
      <w:r w:rsidR="00A07B60">
        <w:t>;</w:t>
      </w:r>
      <w:r w:rsidR="00551910">
        <w:t xml:space="preserve"> Equation S10</w:t>
      </w:r>
      <w:r w:rsidR="0012768A">
        <w:t>, S11, S12</w:t>
      </w:r>
      <w:r w:rsidR="00551910">
        <w:t xml:space="preserve">: </w:t>
      </w:r>
      <w:r w:rsidR="0012768A">
        <w:t>Equations of the three indicators</w:t>
      </w:r>
      <w:r w:rsidR="00551910">
        <w:t>; Equ</w:t>
      </w:r>
      <w:r w:rsidR="00551910">
        <w:t>a</w:t>
      </w:r>
      <w:r w:rsidR="00551910">
        <w:t xml:space="preserve">tion S13: </w:t>
      </w:r>
      <w:r w:rsidR="0012768A">
        <w:t>hospitals coefficient</w:t>
      </w:r>
      <w:r w:rsidR="00551910">
        <w:t>;</w:t>
      </w:r>
    </w:p>
    <w:p w:rsidR="00522304" w:rsidRPr="00613B31" w:rsidRDefault="00522304" w:rsidP="00522304">
      <w:pPr>
        <w:pStyle w:val="MDPI62BackMatter"/>
      </w:pPr>
      <w:r w:rsidRPr="00613B31">
        <w:rPr>
          <w:b/>
        </w:rPr>
        <w:t>Author Contributions:</w:t>
      </w:r>
      <w:r w:rsidRPr="00613B31">
        <w:t xml:space="preserve"> </w:t>
      </w:r>
      <w:r w:rsidRPr="006B1B72">
        <w:t xml:space="preserve">Conceptualization, </w:t>
      </w:r>
      <w:r w:rsidR="000B181F" w:rsidRPr="006B1B72">
        <w:t>M</w:t>
      </w:r>
      <w:r w:rsidRPr="006B1B72">
        <w:t>.</w:t>
      </w:r>
      <w:r w:rsidR="000A1C30" w:rsidRPr="006B1B72">
        <w:t xml:space="preserve">F., </w:t>
      </w:r>
      <w:r w:rsidR="000B181F" w:rsidRPr="006B1B72">
        <w:t>L</w:t>
      </w:r>
      <w:r w:rsidRPr="006B1B72">
        <w:t>.</w:t>
      </w:r>
      <w:r w:rsidR="000B181F" w:rsidRPr="006B1B72">
        <w:t>V.</w:t>
      </w:r>
      <w:r w:rsidR="000A1C30" w:rsidRPr="006B1B72">
        <w:t xml:space="preserve"> </w:t>
      </w:r>
      <w:r w:rsidR="00EE4DA1">
        <w:t xml:space="preserve">G.B., A.C. </w:t>
      </w:r>
      <w:r w:rsidR="000A1C30" w:rsidRPr="006B1B72">
        <w:t>and A.R.</w:t>
      </w:r>
      <w:r w:rsidR="000B181F" w:rsidRPr="006B1B72">
        <w:t>; methodology, M.F</w:t>
      </w:r>
      <w:r w:rsidRPr="006B1B72">
        <w:t>.</w:t>
      </w:r>
      <w:r w:rsidR="00331D9D" w:rsidRPr="006B1B72">
        <w:t xml:space="preserve"> and</w:t>
      </w:r>
      <w:r w:rsidR="000B181F" w:rsidRPr="006B1B72">
        <w:t xml:space="preserve"> L.</w:t>
      </w:r>
      <w:r w:rsidR="00CD259E">
        <w:t>V</w:t>
      </w:r>
      <w:r w:rsidR="000B181F" w:rsidRPr="006B1B72">
        <w:t>.</w:t>
      </w:r>
      <w:r w:rsidRPr="006B1B72">
        <w:t>; software,</w:t>
      </w:r>
      <w:r w:rsidR="000B181F" w:rsidRPr="006B1B72">
        <w:t xml:space="preserve"> M</w:t>
      </w:r>
      <w:r w:rsidRPr="006B1B72">
        <w:t>.</w:t>
      </w:r>
      <w:r w:rsidR="000B181F" w:rsidRPr="006B1B72">
        <w:t>F</w:t>
      </w:r>
      <w:r w:rsidRPr="006B1B72">
        <w:t xml:space="preserve">.; validation, </w:t>
      </w:r>
      <w:r w:rsidR="000B181F" w:rsidRPr="006B1B72">
        <w:t xml:space="preserve">M.F. </w:t>
      </w:r>
      <w:r w:rsidR="000A1C30" w:rsidRPr="006B1B72">
        <w:t xml:space="preserve">and </w:t>
      </w:r>
      <w:r w:rsidR="000B181F" w:rsidRPr="006B1B72">
        <w:t xml:space="preserve">L.V.; formal analysis, </w:t>
      </w:r>
      <w:r w:rsidR="00A67EE4" w:rsidRPr="006B1B72">
        <w:t>M</w:t>
      </w:r>
      <w:r w:rsidRPr="006B1B72">
        <w:t>.</w:t>
      </w:r>
      <w:r w:rsidR="000B181F" w:rsidRPr="006B1B72">
        <w:t>F</w:t>
      </w:r>
      <w:r w:rsidRPr="006B1B72">
        <w:t>.</w:t>
      </w:r>
      <w:r w:rsidR="00A67EE4" w:rsidRPr="006B1B72">
        <w:t xml:space="preserve"> and L.V.</w:t>
      </w:r>
      <w:r w:rsidRPr="006B1B72">
        <w:t xml:space="preserve">; investigation, </w:t>
      </w:r>
      <w:r w:rsidR="00EE4DA1" w:rsidRPr="006B1B72">
        <w:t>M.F., L.V., F.A</w:t>
      </w:r>
      <w:r w:rsidR="00EE4DA1">
        <w:t xml:space="preserve">., </w:t>
      </w:r>
      <w:r w:rsidR="00EE4DA1" w:rsidRPr="006B1B72">
        <w:t>L.D.L</w:t>
      </w:r>
      <w:r w:rsidR="00EE4DA1">
        <w:t>.,</w:t>
      </w:r>
      <w:r w:rsidR="00EE4DA1" w:rsidRPr="006B1B72">
        <w:t xml:space="preserve"> </w:t>
      </w:r>
      <w:r w:rsidR="00EE4DA1">
        <w:t xml:space="preserve">F.F., </w:t>
      </w:r>
      <w:r w:rsidR="006B1B72" w:rsidRPr="006B1B72">
        <w:t>E.M.</w:t>
      </w:r>
      <w:r w:rsidR="006B1B72">
        <w:t xml:space="preserve">, </w:t>
      </w:r>
      <w:r w:rsidR="00EE4DA1" w:rsidRPr="006B1B72">
        <w:t>M.G.M. and</w:t>
      </w:r>
      <w:r w:rsidR="00EE4DA1">
        <w:t xml:space="preserve"> </w:t>
      </w:r>
      <w:r w:rsidR="006B1B72">
        <w:t>L.M.</w:t>
      </w:r>
      <w:r w:rsidRPr="006B1B72">
        <w:t>; r</w:t>
      </w:r>
      <w:r w:rsidR="000B181F" w:rsidRPr="006B1B72">
        <w:t>esources,</w:t>
      </w:r>
      <w:r w:rsidR="006B1B72">
        <w:t xml:space="preserve"> </w:t>
      </w:r>
      <w:r w:rsidR="00EE4DA1" w:rsidRPr="006B1B72">
        <w:t>L.D.L</w:t>
      </w:r>
      <w:r w:rsidR="00EE4DA1">
        <w:t>.,</w:t>
      </w:r>
      <w:r w:rsidR="006B7998">
        <w:t xml:space="preserve"> M.G.M.,</w:t>
      </w:r>
      <w:r w:rsidR="00EE4DA1">
        <w:t xml:space="preserve"> </w:t>
      </w:r>
      <w:r w:rsidR="006B1B72">
        <w:t>L.M.</w:t>
      </w:r>
      <w:r w:rsidR="000D40A8">
        <w:t xml:space="preserve">, V.P., G.B., P.P., </w:t>
      </w:r>
      <w:r w:rsidR="00EE4DA1">
        <w:t>A.C.</w:t>
      </w:r>
      <w:r w:rsidR="000D40A8">
        <w:t xml:space="preserve"> and A.R.</w:t>
      </w:r>
      <w:r w:rsidR="00CD259E">
        <w:t xml:space="preserve">; data </w:t>
      </w:r>
      <w:proofErr w:type="spellStart"/>
      <w:r w:rsidR="000B181F" w:rsidRPr="006B1B72">
        <w:t>curation</w:t>
      </w:r>
      <w:proofErr w:type="spellEnd"/>
      <w:r w:rsidR="000B181F" w:rsidRPr="006B1B72">
        <w:t xml:space="preserve">, </w:t>
      </w:r>
      <w:r w:rsidR="00D350C5" w:rsidRPr="006B1B72">
        <w:t>M.F.</w:t>
      </w:r>
      <w:r w:rsidR="00D350C5">
        <w:t xml:space="preserve">, </w:t>
      </w:r>
      <w:r w:rsidR="006B7998">
        <w:t xml:space="preserve">L.V., L.D.L., </w:t>
      </w:r>
      <w:r w:rsidR="00D350C5">
        <w:t>F.F.</w:t>
      </w:r>
      <w:r w:rsidR="006B7998">
        <w:t xml:space="preserve">, </w:t>
      </w:r>
      <w:r w:rsidR="000B181F" w:rsidRPr="006B1B72">
        <w:t>E</w:t>
      </w:r>
      <w:r w:rsidRPr="006B1B72">
        <w:t>.</w:t>
      </w:r>
      <w:r w:rsidR="000B181F" w:rsidRPr="006B1B72">
        <w:t>M</w:t>
      </w:r>
      <w:r w:rsidRPr="006B1B72">
        <w:t>.</w:t>
      </w:r>
      <w:r w:rsidR="006B7998">
        <w:t xml:space="preserve"> and L.M.</w:t>
      </w:r>
      <w:r w:rsidRPr="006B1B72">
        <w:t>; writi</w:t>
      </w:r>
      <w:r w:rsidR="000B181F" w:rsidRPr="006B1B72">
        <w:t>ng—original draft preparation, M</w:t>
      </w:r>
      <w:r w:rsidRPr="006B1B72">
        <w:t>.</w:t>
      </w:r>
      <w:r w:rsidR="000B181F" w:rsidRPr="006B1B72">
        <w:t>F</w:t>
      </w:r>
      <w:r w:rsidRPr="006B1B72">
        <w:t>.</w:t>
      </w:r>
      <w:r w:rsidR="006B7998">
        <w:t xml:space="preserve">, </w:t>
      </w:r>
      <w:r w:rsidR="000B181F" w:rsidRPr="006B1B72">
        <w:t>L.V.</w:t>
      </w:r>
      <w:r w:rsidR="006B7998">
        <w:t xml:space="preserve">, </w:t>
      </w:r>
      <w:r w:rsidR="006B7998" w:rsidRPr="006B1B72">
        <w:t>M.G.M.</w:t>
      </w:r>
      <w:r w:rsidR="006B7998">
        <w:t xml:space="preserve"> and A.C.</w:t>
      </w:r>
      <w:r w:rsidRPr="006B1B72">
        <w:t xml:space="preserve">; writing—review and editing, </w:t>
      </w:r>
      <w:r w:rsidR="00D350C5">
        <w:t xml:space="preserve">M.F., L.V., </w:t>
      </w:r>
      <w:r w:rsidR="00D350C5" w:rsidRPr="006B1B72">
        <w:t>F.F., C.F</w:t>
      </w:r>
      <w:r w:rsidR="00D350C5">
        <w:t xml:space="preserve">., </w:t>
      </w:r>
      <w:r w:rsidR="00D350C5" w:rsidRPr="006B1B72">
        <w:t>E.M</w:t>
      </w:r>
      <w:r w:rsidR="00C869BE">
        <w:t>.,</w:t>
      </w:r>
      <w:r w:rsidR="00D350C5" w:rsidRPr="006B1B72">
        <w:t xml:space="preserve"> </w:t>
      </w:r>
      <w:r w:rsidR="00C869BE">
        <w:t>M.G.M.</w:t>
      </w:r>
      <w:r w:rsidR="00C869BE" w:rsidRPr="006B1B72">
        <w:t xml:space="preserve"> </w:t>
      </w:r>
      <w:r w:rsidR="00C869BE">
        <w:t>A.C. and</w:t>
      </w:r>
      <w:r w:rsidR="00331D9D" w:rsidRPr="006B1B72">
        <w:t xml:space="preserve"> </w:t>
      </w:r>
      <w:r w:rsidR="00D350C5">
        <w:t>A.R.</w:t>
      </w:r>
      <w:r w:rsidRPr="006B1B72">
        <w:t xml:space="preserve">; visualization, </w:t>
      </w:r>
      <w:r w:rsidR="00A67EE4" w:rsidRPr="006B1B72">
        <w:t>M.F. and L.V</w:t>
      </w:r>
      <w:r w:rsidRPr="006B1B72">
        <w:t xml:space="preserve">.; supervision, </w:t>
      </w:r>
      <w:r w:rsidR="006B7998">
        <w:t xml:space="preserve">C.F., </w:t>
      </w:r>
      <w:r w:rsidR="00C869BE">
        <w:t xml:space="preserve">M.G.M., </w:t>
      </w:r>
      <w:r w:rsidR="006B7998">
        <w:t xml:space="preserve">V.P., G.B., P.P., </w:t>
      </w:r>
      <w:r w:rsidR="00C869BE">
        <w:t xml:space="preserve">A.C. and </w:t>
      </w:r>
      <w:r w:rsidR="000B181F" w:rsidRPr="006B1B72">
        <w:t>A</w:t>
      </w:r>
      <w:r w:rsidRPr="006B1B72">
        <w:t>.</w:t>
      </w:r>
      <w:r w:rsidR="000B181F" w:rsidRPr="006B1B72">
        <w:t>R</w:t>
      </w:r>
      <w:r w:rsidRPr="006B1B72">
        <w:t xml:space="preserve">.; project administration, </w:t>
      </w:r>
      <w:r w:rsidR="00C869BE" w:rsidRPr="00C869BE">
        <w:t>M.G.M., A.C. and A.R</w:t>
      </w:r>
      <w:r w:rsidRPr="006B1B72">
        <w:t>.; funding acquisitio</w:t>
      </w:r>
      <w:r w:rsidR="000B181F" w:rsidRPr="006B1B72">
        <w:t xml:space="preserve">n, </w:t>
      </w:r>
      <w:r w:rsidR="00C869BE">
        <w:t xml:space="preserve">G.B. and </w:t>
      </w:r>
      <w:r w:rsidR="000B181F" w:rsidRPr="006B1B72">
        <w:t>A.C</w:t>
      </w:r>
      <w:r w:rsidRPr="006B1B72">
        <w:t>. All authors have read and agreed to the published version of the manuscript</w:t>
      </w:r>
      <w:r w:rsidR="00100681">
        <w:t>.</w:t>
      </w:r>
    </w:p>
    <w:p w:rsidR="00522304" w:rsidRPr="00613B31" w:rsidRDefault="00522304" w:rsidP="00522304">
      <w:pPr>
        <w:pStyle w:val="MDPI62BackMatter"/>
      </w:pPr>
      <w:r w:rsidRPr="00613B31">
        <w:rPr>
          <w:b/>
        </w:rPr>
        <w:t>Funding:</w:t>
      </w:r>
      <w:r w:rsidRPr="00613B31">
        <w:t xml:space="preserve"> </w:t>
      </w:r>
      <w:r w:rsidR="00100681" w:rsidRPr="00100681">
        <w:t xml:space="preserve"> This research was funded within the EU Project “EC G.A. NO. 060701/2021/864481/SUB/ENV.C2 -Support to the member states to establish national systems, local collection points, and digital infrastructure for monitoring </w:t>
      </w:r>
      <w:proofErr w:type="spellStart"/>
      <w:r w:rsidR="00100681" w:rsidRPr="00100681">
        <w:t>covid</w:t>
      </w:r>
      <w:proofErr w:type="spellEnd"/>
      <w:r w:rsidR="00100681" w:rsidRPr="00100681">
        <w:t xml:space="preserve"> 19 and its variants in waste w</w:t>
      </w:r>
      <w:r w:rsidR="00100681" w:rsidRPr="00100681">
        <w:t>a</w:t>
      </w:r>
      <w:r w:rsidR="00100681" w:rsidRPr="00100681">
        <w:t>ters”, and the Project  “</w:t>
      </w:r>
      <w:proofErr w:type="spellStart"/>
      <w:r w:rsidR="00100681" w:rsidRPr="00100681">
        <w:t>Epidemiologia</w:t>
      </w:r>
      <w:proofErr w:type="spellEnd"/>
      <w:r w:rsidR="00100681" w:rsidRPr="00100681">
        <w:t xml:space="preserve"> </w:t>
      </w:r>
      <w:proofErr w:type="spellStart"/>
      <w:r w:rsidR="00100681" w:rsidRPr="00100681">
        <w:t>delle</w:t>
      </w:r>
      <w:proofErr w:type="spellEnd"/>
      <w:r w:rsidR="00100681" w:rsidRPr="00100681">
        <w:t xml:space="preserve"> </w:t>
      </w:r>
      <w:proofErr w:type="spellStart"/>
      <w:r w:rsidR="00100681" w:rsidRPr="00100681">
        <w:t>acque</w:t>
      </w:r>
      <w:proofErr w:type="spellEnd"/>
      <w:r w:rsidR="00100681" w:rsidRPr="00100681">
        <w:t xml:space="preserve"> </w:t>
      </w:r>
      <w:proofErr w:type="spellStart"/>
      <w:r w:rsidR="00100681" w:rsidRPr="00100681">
        <w:t>reflue</w:t>
      </w:r>
      <w:proofErr w:type="spellEnd"/>
      <w:r w:rsidR="00100681" w:rsidRPr="00100681">
        <w:t xml:space="preserve">: </w:t>
      </w:r>
      <w:proofErr w:type="spellStart"/>
      <w:r w:rsidR="00100681" w:rsidRPr="00100681">
        <w:t>implementazione</w:t>
      </w:r>
      <w:proofErr w:type="spellEnd"/>
      <w:r w:rsidR="00100681" w:rsidRPr="00100681">
        <w:t xml:space="preserve"> del </w:t>
      </w:r>
      <w:proofErr w:type="spellStart"/>
      <w:r w:rsidR="00100681" w:rsidRPr="00100681">
        <w:t>sistema</w:t>
      </w:r>
      <w:proofErr w:type="spellEnd"/>
      <w:r w:rsidR="00100681" w:rsidRPr="00100681">
        <w:t xml:space="preserve"> </w:t>
      </w:r>
      <w:proofErr w:type="spellStart"/>
      <w:r w:rsidR="00100681" w:rsidRPr="00100681">
        <w:t>di</w:t>
      </w:r>
      <w:proofErr w:type="spellEnd"/>
      <w:r w:rsidR="00100681" w:rsidRPr="00100681">
        <w:t xml:space="preserve"> </w:t>
      </w:r>
      <w:proofErr w:type="spellStart"/>
      <w:r w:rsidR="00100681" w:rsidRPr="00100681">
        <w:t>sorveglianza</w:t>
      </w:r>
      <w:proofErr w:type="spellEnd"/>
      <w:r w:rsidR="00100681" w:rsidRPr="00100681">
        <w:t xml:space="preserve"> per </w:t>
      </w:r>
      <w:proofErr w:type="spellStart"/>
      <w:r w:rsidR="00100681" w:rsidRPr="00100681">
        <w:t>l'identificazione</w:t>
      </w:r>
      <w:proofErr w:type="spellEnd"/>
      <w:r w:rsidR="00100681" w:rsidRPr="00100681">
        <w:t xml:space="preserve"> </w:t>
      </w:r>
      <w:proofErr w:type="spellStart"/>
      <w:r w:rsidR="00100681" w:rsidRPr="00100681">
        <w:t>precoce</w:t>
      </w:r>
      <w:proofErr w:type="spellEnd"/>
      <w:r w:rsidR="00100681" w:rsidRPr="00100681">
        <w:t xml:space="preserve"> </w:t>
      </w:r>
      <w:proofErr w:type="spellStart"/>
      <w:r w:rsidR="00100681" w:rsidRPr="00100681">
        <w:t>di</w:t>
      </w:r>
      <w:proofErr w:type="spellEnd"/>
      <w:r w:rsidR="00100681" w:rsidRPr="00100681">
        <w:t xml:space="preserve"> </w:t>
      </w:r>
      <w:proofErr w:type="spellStart"/>
      <w:r w:rsidR="00100681" w:rsidRPr="00100681">
        <w:t>agenti</w:t>
      </w:r>
      <w:proofErr w:type="spellEnd"/>
      <w:r w:rsidR="00100681" w:rsidRPr="00100681">
        <w:t xml:space="preserve"> </w:t>
      </w:r>
      <w:proofErr w:type="spellStart"/>
      <w:r w:rsidR="00100681" w:rsidRPr="00100681">
        <w:t>patogeni</w:t>
      </w:r>
      <w:proofErr w:type="spellEnd"/>
      <w:r w:rsidR="00100681" w:rsidRPr="00100681">
        <w:t xml:space="preserve">, con </w:t>
      </w:r>
      <w:proofErr w:type="spellStart"/>
      <w:r w:rsidR="00100681" w:rsidRPr="00100681">
        <w:t>particolare</w:t>
      </w:r>
      <w:proofErr w:type="spellEnd"/>
      <w:r w:rsidR="00100681" w:rsidRPr="00100681">
        <w:t xml:space="preserve"> </w:t>
      </w:r>
      <w:proofErr w:type="spellStart"/>
      <w:r w:rsidR="00100681" w:rsidRPr="00100681">
        <w:t>riferimento</w:t>
      </w:r>
      <w:proofErr w:type="spellEnd"/>
      <w:r w:rsidR="00100681" w:rsidRPr="00100681">
        <w:t xml:space="preserve"> al Sars-CoV2”, promoted by the Italian Ministry of Health (PROGRAMMA CCM 2020)</w:t>
      </w:r>
    </w:p>
    <w:p w:rsidR="00262314" w:rsidRPr="00B27433" w:rsidRDefault="00262314" w:rsidP="00262314">
      <w:pPr>
        <w:pStyle w:val="MDPI62BackMatter"/>
        <w:rPr>
          <w:b/>
        </w:rPr>
      </w:pPr>
      <w:bookmarkStart w:id="0" w:name="_Hlk89945590"/>
      <w:bookmarkStart w:id="1" w:name="_Hlk60054323"/>
      <w:r w:rsidRPr="00B27433">
        <w:rPr>
          <w:b/>
        </w:rPr>
        <w:t xml:space="preserve">Institutional Review Board Statement: </w:t>
      </w:r>
      <w:r w:rsidRPr="00B27433">
        <w:t>Not applicable</w:t>
      </w:r>
      <w:r w:rsidR="0030636E">
        <w:t>.</w:t>
      </w:r>
    </w:p>
    <w:bookmarkEnd w:id="0"/>
    <w:p w:rsidR="0030636E" w:rsidRPr="007D75A8" w:rsidRDefault="00484C66" w:rsidP="0030636E">
      <w:pPr>
        <w:pStyle w:val="MDPI62BackMatter"/>
      </w:pPr>
      <w:r w:rsidRPr="007D75A8">
        <w:rPr>
          <w:b/>
        </w:rPr>
        <w:t xml:space="preserve">Informed Consent Statement: </w:t>
      </w:r>
      <w:r w:rsidR="00615FFE">
        <w:t>Not applicable.</w:t>
      </w:r>
    </w:p>
    <w:bookmarkEnd w:id="1"/>
    <w:p w:rsidR="007F1B92" w:rsidRDefault="00100681" w:rsidP="00100681">
      <w:pPr>
        <w:pStyle w:val="MDPI62BackMatter"/>
      </w:pPr>
      <w:r>
        <w:rPr>
          <w:b/>
        </w:rPr>
        <w:t xml:space="preserve">Data </w:t>
      </w:r>
      <w:r w:rsidR="007F1B92" w:rsidRPr="007F1B92">
        <w:rPr>
          <w:b/>
        </w:rPr>
        <w:t>Availability Statement:</w:t>
      </w:r>
      <w:r>
        <w:t xml:space="preserve"> Databases and information system: </w:t>
      </w:r>
      <w:hyperlink r:id="rId16" w:history="1">
        <w:r w:rsidRPr="008E627D">
          <w:rPr>
            <w:rStyle w:val="Collegamentoipertestuale"/>
          </w:rPr>
          <w:t>https://www.istat.it/en/analysis-and-products/databases</w:t>
        </w:r>
      </w:hyperlink>
      <w:r>
        <w:t xml:space="preserve">; Statistical areas of Bologna: </w:t>
      </w:r>
      <w:hyperlink r:id="rId17" w:history="1">
        <w:r w:rsidRPr="008E627D">
          <w:rPr>
            <w:rStyle w:val="Collegamentoipertestuale"/>
          </w:rPr>
          <w:t>https://opendata.comune.bologna.it/explore/dataset/aree-statistiche/information/</w:t>
        </w:r>
      </w:hyperlink>
      <w:r>
        <w:t xml:space="preserve">; dext3r: </w:t>
      </w:r>
      <w:hyperlink r:id="rId18" w:history="1">
        <w:r w:rsidRPr="008E627D">
          <w:rPr>
            <w:rStyle w:val="Collegamentoipertestuale"/>
          </w:rPr>
          <w:t>https://simc.arpae.it/dext3r</w:t>
        </w:r>
      </w:hyperlink>
      <w:r w:rsidRPr="00100681">
        <w:t>.</w:t>
      </w:r>
    </w:p>
    <w:p w:rsidR="00522304" w:rsidRPr="00613B31" w:rsidRDefault="00522304" w:rsidP="00522304">
      <w:pPr>
        <w:pStyle w:val="MDPI62BackMatter"/>
      </w:pPr>
      <w:r w:rsidRPr="00613B31">
        <w:rPr>
          <w:b/>
        </w:rPr>
        <w:t>Conflicts of Interest:</w:t>
      </w:r>
      <w:r w:rsidRPr="00613B31">
        <w:t xml:space="preserve"> </w:t>
      </w:r>
      <w:r w:rsidRPr="0030636E">
        <w:t xml:space="preserve">The </w:t>
      </w:r>
      <w:r w:rsidR="00142723" w:rsidRPr="0030636E">
        <w:t xml:space="preserve">authors declare no conflicts of </w:t>
      </w:r>
      <w:r w:rsidRPr="0030636E">
        <w:t>interest</w:t>
      </w:r>
      <w:r w:rsidR="0030636E">
        <w:t>.</w:t>
      </w:r>
    </w:p>
    <w:p w:rsidR="00522304" w:rsidRPr="00FA04F1" w:rsidRDefault="00522304" w:rsidP="00183AB8">
      <w:pPr>
        <w:pStyle w:val="MDPI21heading1"/>
        <w:ind w:left="0"/>
      </w:pPr>
      <w:r w:rsidRPr="00FA04F1">
        <w:t>References</w:t>
      </w:r>
    </w:p>
    <w:p w:rsidR="00525772" w:rsidRDefault="00525772" w:rsidP="00525772">
      <w:pPr>
        <w:pStyle w:val="MDPI63Notes"/>
        <w:numPr>
          <w:ilvl w:val="0"/>
          <w:numId w:val="24"/>
        </w:numPr>
        <w:spacing w:before="0"/>
        <w:rPr>
          <w:rFonts w:eastAsia="Times New Roman"/>
          <w:lang w:val="en-GB" w:eastAsia="de-DE"/>
        </w:rPr>
      </w:pPr>
      <w:bookmarkStart w:id="2" w:name="bertels_2022_2"/>
      <w:proofErr w:type="spellStart"/>
      <w:r w:rsidRPr="00525772">
        <w:rPr>
          <w:rFonts w:eastAsia="Times New Roman"/>
          <w:lang w:val="en-GB" w:eastAsia="de-DE"/>
        </w:rPr>
        <w:t>Corchis</w:t>
      </w:r>
      <w:proofErr w:type="spellEnd"/>
      <w:r w:rsidRPr="00525772">
        <w:rPr>
          <w:rFonts w:eastAsia="Times New Roman"/>
          <w:lang w:val="en-GB" w:eastAsia="de-DE"/>
        </w:rPr>
        <w:t xml:space="preserve">-Scott, R.; </w:t>
      </w:r>
      <w:proofErr w:type="spellStart"/>
      <w:r w:rsidRPr="00525772">
        <w:rPr>
          <w:rFonts w:eastAsia="Times New Roman"/>
          <w:lang w:val="en-GB" w:eastAsia="de-DE"/>
        </w:rPr>
        <w:t>Geng</w:t>
      </w:r>
      <w:proofErr w:type="spellEnd"/>
      <w:r w:rsidRPr="00525772">
        <w:rPr>
          <w:rFonts w:eastAsia="Times New Roman"/>
          <w:lang w:val="en-GB" w:eastAsia="de-DE"/>
        </w:rPr>
        <w:t xml:space="preserve">, Q.; Seth, R.; Ray, R.; Beg, M. R.; </w:t>
      </w:r>
      <w:proofErr w:type="spellStart"/>
      <w:r w:rsidRPr="00525772">
        <w:rPr>
          <w:rFonts w:eastAsia="Times New Roman"/>
          <w:lang w:val="en-GB" w:eastAsia="de-DE"/>
        </w:rPr>
        <w:t>Biswas</w:t>
      </w:r>
      <w:proofErr w:type="spellEnd"/>
      <w:r w:rsidRPr="00525772">
        <w:rPr>
          <w:rFonts w:eastAsia="Times New Roman"/>
          <w:lang w:val="en-GB" w:eastAsia="de-DE"/>
        </w:rPr>
        <w:t xml:space="preserve">, N.; </w:t>
      </w:r>
      <w:proofErr w:type="spellStart"/>
      <w:r w:rsidRPr="00525772">
        <w:rPr>
          <w:rFonts w:eastAsia="Times New Roman"/>
          <w:lang w:val="en-GB" w:eastAsia="de-DE"/>
        </w:rPr>
        <w:t>Charron</w:t>
      </w:r>
      <w:proofErr w:type="spellEnd"/>
      <w:r w:rsidRPr="00525772">
        <w:rPr>
          <w:rFonts w:eastAsia="Times New Roman"/>
          <w:lang w:val="en-GB" w:eastAsia="de-DE"/>
        </w:rPr>
        <w:t xml:space="preserve">, L.; </w:t>
      </w:r>
      <w:proofErr w:type="spellStart"/>
      <w:r w:rsidRPr="00525772">
        <w:rPr>
          <w:rFonts w:eastAsia="Times New Roman"/>
          <w:lang w:val="en-GB" w:eastAsia="de-DE"/>
        </w:rPr>
        <w:t>Drouillard</w:t>
      </w:r>
      <w:proofErr w:type="spellEnd"/>
      <w:r w:rsidRPr="00525772">
        <w:rPr>
          <w:rFonts w:eastAsia="Times New Roman"/>
          <w:lang w:val="en-GB" w:eastAsia="de-DE"/>
        </w:rPr>
        <w:t xml:space="preserve">, K. D.; </w:t>
      </w:r>
      <w:proofErr w:type="spellStart"/>
      <w:r w:rsidRPr="00525772">
        <w:rPr>
          <w:rFonts w:eastAsia="Times New Roman"/>
          <w:lang w:val="en-GB" w:eastAsia="de-DE"/>
        </w:rPr>
        <w:t>D’Souza</w:t>
      </w:r>
      <w:proofErr w:type="spellEnd"/>
      <w:r w:rsidRPr="00525772">
        <w:rPr>
          <w:rFonts w:eastAsia="Times New Roman"/>
          <w:lang w:val="en-GB" w:eastAsia="de-DE"/>
        </w:rPr>
        <w:t xml:space="preserve">, R.; Heath, D. D.; Houser, C.; </w:t>
      </w:r>
      <w:proofErr w:type="spellStart"/>
      <w:r w:rsidRPr="00525772">
        <w:rPr>
          <w:rFonts w:eastAsia="Times New Roman"/>
          <w:lang w:val="en-GB" w:eastAsia="de-DE"/>
        </w:rPr>
        <w:t>Lawal</w:t>
      </w:r>
      <w:proofErr w:type="spellEnd"/>
      <w:r w:rsidRPr="00525772">
        <w:rPr>
          <w:rFonts w:eastAsia="Times New Roman"/>
          <w:lang w:val="en-GB" w:eastAsia="de-DE"/>
        </w:rPr>
        <w:t xml:space="preserve">, F.; </w:t>
      </w:r>
      <w:proofErr w:type="spellStart"/>
      <w:r w:rsidRPr="00525772">
        <w:rPr>
          <w:rFonts w:eastAsia="Times New Roman"/>
          <w:lang w:val="en-GB" w:eastAsia="de-DE"/>
        </w:rPr>
        <w:t>McGinlay</w:t>
      </w:r>
      <w:proofErr w:type="spellEnd"/>
      <w:r w:rsidRPr="00525772">
        <w:rPr>
          <w:rFonts w:eastAsia="Times New Roman"/>
          <w:lang w:val="en-GB" w:eastAsia="de-DE"/>
        </w:rPr>
        <w:t xml:space="preserve">, J.; Menard, S. L.; Porter, L. A.; Rawlings, D.; Scholl, M. L.; </w:t>
      </w:r>
      <w:proofErr w:type="spellStart"/>
      <w:r w:rsidRPr="00525772">
        <w:rPr>
          <w:rFonts w:eastAsia="Times New Roman"/>
          <w:lang w:val="en-GB" w:eastAsia="de-DE"/>
        </w:rPr>
        <w:t>Siu</w:t>
      </w:r>
      <w:proofErr w:type="spellEnd"/>
      <w:r w:rsidRPr="00525772">
        <w:rPr>
          <w:rFonts w:eastAsia="Times New Roman"/>
          <w:lang w:val="en-GB" w:eastAsia="de-DE"/>
        </w:rPr>
        <w:t xml:space="preserve">, K. W. M.; Tong, Y.; </w:t>
      </w:r>
      <w:proofErr w:type="spellStart"/>
      <w:r w:rsidRPr="00525772">
        <w:rPr>
          <w:rFonts w:eastAsia="Times New Roman"/>
          <w:lang w:val="en-GB" w:eastAsia="de-DE"/>
        </w:rPr>
        <w:t>Weisener</w:t>
      </w:r>
      <w:proofErr w:type="spellEnd"/>
      <w:r w:rsidRPr="00525772">
        <w:rPr>
          <w:rFonts w:eastAsia="Times New Roman"/>
          <w:lang w:val="en-GB" w:eastAsia="de-DE"/>
        </w:rPr>
        <w:t xml:space="preserve">, C. G.; Wilhelm, S. W.; McKay, R. M. L. Averting an Outbreak of SARS-CoV-2 in a University Residence Hall through Wastewater Surveillance. </w:t>
      </w:r>
      <w:r w:rsidRPr="00525772">
        <w:rPr>
          <w:rFonts w:eastAsia="Times New Roman"/>
          <w:i/>
          <w:lang w:val="en-GB" w:eastAsia="de-DE"/>
        </w:rPr>
        <w:t>Microbiology Spectrum</w:t>
      </w:r>
      <w:r w:rsidRPr="00525772">
        <w:rPr>
          <w:rFonts w:eastAsia="Times New Roman"/>
          <w:lang w:val="en-GB" w:eastAsia="de-DE"/>
        </w:rPr>
        <w:t xml:space="preserve"> </w:t>
      </w:r>
      <w:r w:rsidRPr="00525772">
        <w:rPr>
          <w:rFonts w:eastAsia="Times New Roman"/>
          <w:b/>
          <w:lang w:val="en-GB" w:eastAsia="de-DE"/>
        </w:rPr>
        <w:t>2021</w:t>
      </w:r>
      <w:r w:rsidRPr="00525772">
        <w:rPr>
          <w:rFonts w:eastAsia="Times New Roman"/>
          <w:lang w:val="en-GB" w:eastAsia="de-DE"/>
        </w:rPr>
        <w:t xml:space="preserve">, 9 (2). </w:t>
      </w:r>
      <w:hyperlink r:id="rId19" w:history="1">
        <w:r w:rsidRPr="002173F1">
          <w:rPr>
            <w:rStyle w:val="Collegamentoipertestuale"/>
            <w:rFonts w:eastAsia="Times New Roman"/>
            <w:lang w:val="en-GB" w:eastAsia="de-DE"/>
          </w:rPr>
          <w:t>https://doi.org/10.1128/spectrum.00792-21</w:t>
        </w:r>
      </w:hyperlink>
      <w:r w:rsidRPr="00525772">
        <w:rPr>
          <w:rFonts w:eastAsia="Times New Roman"/>
          <w:lang w:val="en-GB" w:eastAsia="de-DE"/>
        </w:rPr>
        <w:t>.</w:t>
      </w:r>
    </w:p>
    <w:p w:rsidR="00695BCD" w:rsidRDefault="00695BCD" w:rsidP="00695BCD">
      <w:pPr>
        <w:pStyle w:val="MDPI63Notes"/>
        <w:numPr>
          <w:ilvl w:val="0"/>
          <w:numId w:val="24"/>
        </w:numPr>
        <w:spacing w:before="0"/>
        <w:rPr>
          <w:rFonts w:eastAsia="Times New Roman"/>
          <w:lang w:val="en-GB" w:eastAsia="de-DE"/>
        </w:rPr>
      </w:pPr>
      <w:proofErr w:type="spellStart"/>
      <w:r w:rsidRPr="001B5D4F">
        <w:rPr>
          <w:rFonts w:eastAsia="Times New Roman"/>
          <w:lang w:val="en-GB" w:eastAsia="de-DE"/>
        </w:rPr>
        <w:t>Bertels</w:t>
      </w:r>
      <w:bookmarkEnd w:id="2"/>
      <w:proofErr w:type="spellEnd"/>
      <w:r w:rsidRPr="001B5D4F">
        <w:rPr>
          <w:rFonts w:eastAsia="Times New Roman"/>
          <w:lang w:val="en-GB" w:eastAsia="de-DE"/>
        </w:rPr>
        <w:t xml:space="preserve">, X.; </w:t>
      </w:r>
      <w:proofErr w:type="spellStart"/>
      <w:r w:rsidRPr="001B5D4F">
        <w:rPr>
          <w:rFonts w:eastAsia="Times New Roman"/>
          <w:lang w:val="en-GB" w:eastAsia="de-DE"/>
        </w:rPr>
        <w:t>Demeyer</w:t>
      </w:r>
      <w:proofErr w:type="spellEnd"/>
      <w:r w:rsidRPr="001B5D4F">
        <w:rPr>
          <w:rFonts w:eastAsia="Times New Roman"/>
          <w:lang w:val="en-GB" w:eastAsia="de-DE"/>
        </w:rPr>
        <w:t xml:space="preserve">, P.; Van Den </w:t>
      </w:r>
      <w:proofErr w:type="spellStart"/>
      <w:r w:rsidRPr="001B5D4F">
        <w:rPr>
          <w:rFonts w:eastAsia="Times New Roman"/>
          <w:lang w:val="en-GB" w:eastAsia="de-DE"/>
        </w:rPr>
        <w:t>Bogaert</w:t>
      </w:r>
      <w:proofErr w:type="spellEnd"/>
      <w:r w:rsidRPr="001B5D4F">
        <w:rPr>
          <w:rFonts w:eastAsia="Times New Roman"/>
          <w:lang w:val="en-GB" w:eastAsia="de-DE"/>
        </w:rPr>
        <w:t xml:space="preserve">, S.; </w:t>
      </w:r>
      <w:proofErr w:type="spellStart"/>
      <w:r w:rsidRPr="001B5D4F">
        <w:rPr>
          <w:rFonts w:eastAsia="Times New Roman"/>
          <w:lang w:val="en-GB" w:eastAsia="de-DE"/>
        </w:rPr>
        <w:t>Boogaerts</w:t>
      </w:r>
      <w:proofErr w:type="spellEnd"/>
      <w:r w:rsidRPr="001B5D4F">
        <w:rPr>
          <w:rFonts w:eastAsia="Times New Roman"/>
          <w:lang w:val="en-GB" w:eastAsia="de-DE"/>
        </w:rPr>
        <w:t xml:space="preserve">, T.; Van </w:t>
      </w:r>
      <w:proofErr w:type="spellStart"/>
      <w:r w:rsidRPr="001B5D4F">
        <w:rPr>
          <w:rFonts w:eastAsia="Times New Roman"/>
          <w:lang w:val="en-GB" w:eastAsia="de-DE"/>
        </w:rPr>
        <w:t>Nuijs</w:t>
      </w:r>
      <w:proofErr w:type="spellEnd"/>
      <w:r w:rsidRPr="001B5D4F">
        <w:rPr>
          <w:rFonts w:eastAsia="Times New Roman"/>
          <w:lang w:val="en-GB" w:eastAsia="de-DE"/>
        </w:rPr>
        <w:t xml:space="preserve">, A. L. N.; </w:t>
      </w:r>
      <w:proofErr w:type="spellStart"/>
      <w:r w:rsidRPr="001B5D4F">
        <w:rPr>
          <w:rFonts w:eastAsia="Times New Roman"/>
          <w:lang w:val="en-GB" w:eastAsia="de-DE"/>
        </w:rPr>
        <w:t>Delputte</w:t>
      </w:r>
      <w:proofErr w:type="spellEnd"/>
      <w:r w:rsidRPr="001B5D4F">
        <w:rPr>
          <w:rFonts w:eastAsia="Times New Roman"/>
          <w:lang w:val="en-GB" w:eastAsia="de-DE"/>
        </w:rPr>
        <w:t xml:space="preserve">, P.; </w:t>
      </w:r>
      <w:proofErr w:type="spellStart"/>
      <w:r w:rsidRPr="001B5D4F">
        <w:rPr>
          <w:rFonts w:eastAsia="Times New Roman"/>
          <w:lang w:val="en-GB" w:eastAsia="de-DE"/>
        </w:rPr>
        <w:t>Lahousse</w:t>
      </w:r>
      <w:proofErr w:type="spellEnd"/>
      <w:r w:rsidRPr="001B5D4F">
        <w:rPr>
          <w:rFonts w:eastAsia="Times New Roman"/>
          <w:lang w:val="en-GB" w:eastAsia="de-DE"/>
        </w:rPr>
        <w:t>, L. Factors infl</w:t>
      </w:r>
      <w:r w:rsidRPr="001B5D4F">
        <w:rPr>
          <w:rFonts w:eastAsia="Times New Roman"/>
          <w:lang w:val="en-GB" w:eastAsia="de-DE"/>
        </w:rPr>
        <w:t>u</w:t>
      </w:r>
      <w:r w:rsidRPr="001B5D4F">
        <w:rPr>
          <w:rFonts w:eastAsia="Times New Roman"/>
          <w:lang w:val="en-GB" w:eastAsia="de-DE"/>
        </w:rPr>
        <w:t xml:space="preserve">encing SARS-CoV-2 RNA concentrations in wastewater up to the sampling stage: A systematic review. </w:t>
      </w:r>
      <w:r w:rsidRPr="001B5D4F">
        <w:rPr>
          <w:rFonts w:eastAsia="Times New Roman"/>
          <w:i/>
          <w:iCs/>
          <w:lang w:val="en-GB" w:eastAsia="de-DE"/>
        </w:rPr>
        <w:t>Science of the Total Environment</w:t>
      </w:r>
      <w:r w:rsidRPr="001B5D4F">
        <w:rPr>
          <w:rFonts w:eastAsia="Times New Roman"/>
          <w:lang w:val="en-GB" w:eastAsia="de-DE"/>
        </w:rPr>
        <w:t xml:space="preserve"> </w:t>
      </w:r>
      <w:r w:rsidRPr="001B5D4F">
        <w:rPr>
          <w:rFonts w:eastAsia="Times New Roman"/>
          <w:b/>
          <w:bCs/>
          <w:lang w:val="en-GB" w:eastAsia="de-DE"/>
        </w:rPr>
        <w:t>2022</w:t>
      </w:r>
      <w:r w:rsidRPr="001B5D4F">
        <w:rPr>
          <w:rFonts w:eastAsia="Times New Roman"/>
          <w:lang w:val="en-GB" w:eastAsia="de-DE"/>
        </w:rPr>
        <w:t xml:space="preserve">, </w:t>
      </w:r>
      <w:r w:rsidRPr="001B5D4F">
        <w:rPr>
          <w:rFonts w:eastAsia="Times New Roman"/>
          <w:i/>
          <w:iCs/>
          <w:lang w:val="en-GB" w:eastAsia="de-DE"/>
        </w:rPr>
        <w:t>820</w:t>
      </w:r>
      <w:r w:rsidRPr="001B5D4F">
        <w:rPr>
          <w:rFonts w:eastAsia="Times New Roman"/>
          <w:lang w:val="en-GB" w:eastAsia="de-DE"/>
        </w:rPr>
        <w:t xml:space="preserve">, 153290. </w:t>
      </w:r>
      <w:hyperlink r:id="rId20" w:history="1">
        <w:r w:rsidRPr="00CA4BF1">
          <w:rPr>
            <w:rStyle w:val="Collegamentoipertestuale"/>
            <w:rFonts w:eastAsia="Times New Roman"/>
            <w:lang w:val="en-GB" w:eastAsia="de-DE"/>
          </w:rPr>
          <w:t>https://doi.org/10.1016/j.scitotenv.2022.153290</w:t>
        </w:r>
      </w:hyperlink>
      <w:r w:rsidRPr="001B5D4F">
        <w:rPr>
          <w:rFonts w:eastAsia="Times New Roman"/>
          <w:lang w:val="en-GB" w:eastAsia="de-DE"/>
        </w:rPr>
        <w:t>.</w:t>
      </w:r>
    </w:p>
    <w:p w:rsidR="00695BCD" w:rsidRDefault="00695BCD" w:rsidP="00695BCD">
      <w:pPr>
        <w:pStyle w:val="MDPI63Notes"/>
        <w:numPr>
          <w:ilvl w:val="0"/>
          <w:numId w:val="24"/>
        </w:numPr>
        <w:spacing w:before="0"/>
        <w:rPr>
          <w:rFonts w:eastAsia="Times New Roman"/>
          <w:lang w:val="it-IT" w:eastAsia="de-DE"/>
        </w:rPr>
      </w:pPr>
      <w:bookmarkStart w:id="3" w:name="Li_2021"/>
      <w:r w:rsidRPr="001B5D4F">
        <w:rPr>
          <w:rFonts w:eastAsia="Times New Roman"/>
          <w:lang w:val="en-GB" w:eastAsia="de-DE"/>
        </w:rPr>
        <w:t xml:space="preserve">Li, X.; Zhang, S.; Shi, J.; </w:t>
      </w:r>
      <w:proofErr w:type="spellStart"/>
      <w:r w:rsidRPr="001B5D4F">
        <w:rPr>
          <w:rFonts w:eastAsia="Times New Roman"/>
          <w:lang w:val="en-GB" w:eastAsia="de-DE"/>
        </w:rPr>
        <w:t>Luby</w:t>
      </w:r>
      <w:proofErr w:type="spellEnd"/>
      <w:r w:rsidRPr="001B5D4F">
        <w:rPr>
          <w:rFonts w:eastAsia="Times New Roman"/>
          <w:lang w:val="en-GB" w:eastAsia="de-DE"/>
        </w:rPr>
        <w:t xml:space="preserve">, S. P.; Jiang, G. Uncertainties in estimating SARS-CoV-2 prevalence by wastewater-based epidemiology. </w:t>
      </w:r>
      <w:proofErr w:type="spellStart"/>
      <w:r w:rsidRPr="001B5D4F">
        <w:rPr>
          <w:rFonts w:eastAsia="Times New Roman"/>
          <w:i/>
          <w:iCs/>
          <w:lang w:val="it-IT" w:eastAsia="de-DE"/>
        </w:rPr>
        <w:t>Chemical</w:t>
      </w:r>
      <w:proofErr w:type="spellEnd"/>
      <w:r w:rsidRPr="001B5D4F">
        <w:rPr>
          <w:rFonts w:eastAsia="Times New Roman"/>
          <w:i/>
          <w:iCs/>
          <w:lang w:val="it-IT" w:eastAsia="de-DE"/>
        </w:rPr>
        <w:t xml:space="preserve"> </w:t>
      </w:r>
      <w:proofErr w:type="spellStart"/>
      <w:r w:rsidRPr="001B5D4F">
        <w:rPr>
          <w:rFonts w:eastAsia="Times New Roman"/>
          <w:i/>
          <w:iCs/>
          <w:lang w:val="it-IT" w:eastAsia="de-DE"/>
        </w:rPr>
        <w:t>Engineering</w:t>
      </w:r>
      <w:proofErr w:type="spellEnd"/>
      <w:r w:rsidRPr="001B5D4F">
        <w:rPr>
          <w:rFonts w:eastAsia="Times New Roman"/>
          <w:i/>
          <w:iCs/>
          <w:lang w:val="it-IT" w:eastAsia="de-DE"/>
        </w:rPr>
        <w:t xml:space="preserve"> Journal</w:t>
      </w:r>
      <w:r w:rsidRPr="001B5D4F">
        <w:rPr>
          <w:rFonts w:eastAsia="Times New Roman"/>
          <w:lang w:val="it-IT" w:eastAsia="de-DE"/>
        </w:rPr>
        <w:t xml:space="preserve"> </w:t>
      </w:r>
      <w:r w:rsidRPr="001B5D4F">
        <w:rPr>
          <w:rFonts w:eastAsia="Times New Roman"/>
          <w:b/>
          <w:bCs/>
          <w:lang w:val="it-IT" w:eastAsia="de-DE"/>
        </w:rPr>
        <w:t>2021</w:t>
      </w:r>
      <w:r w:rsidRPr="001B5D4F">
        <w:rPr>
          <w:rFonts w:eastAsia="Times New Roman"/>
          <w:lang w:val="it-IT" w:eastAsia="de-DE"/>
        </w:rPr>
        <w:t xml:space="preserve">, </w:t>
      </w:r>
      <w:r w:rsidRPr="001B5D4F">
        <w:rPr>
          <w:rFonts w:eastAsia="Times New Roman"/>
          <w:i/>
          <w:iCs/>
          <w:lang w:val="it-IT" w:eastAsia="de-DE"/>
        </w:rPr>
        <w:t>415</w:t>
      </w:r>
      <w:r w:rsidRPr="001B5D4F">
        <w:rPr>
          <w:rFonts w:eastAsia="Times New Roman"/>
          <w:lang w:val="it-IT" w:eastAsia="de-DE"/>
        </w:rPr>
        <w:t xml:space="preserve">, 129039. </w:t>
      </w:r>
      <w:hyperlink r:id="rId21" w:history="1">
        <w:r w:rsidR="00A360D5" w:rsidRPr="00CA4BF1">
          <w:rPr>
            <w:rStyle w:val="Collegamentoipertestuale"/>
            <w:rFonts w:eastAsia="Times New Roman"/>
            <w:lang w:val="it-IT" w:eastAsia="de-DE"/>
          </w:rPr>
          <w:t>https://doi.org/10.1016/j.cej.2021.129039</w:t>
        </w:r>
      </w:hyperlink>
      <w:bookmarkEnd w:id="3"/>
      <w:r w:rsidRPr="001B5D4F">
        <w:rPr>
          <w:rFonts w:eastAsia="Times New Roman"/>
          <w:lang w:val="it-IT" w:eastAsia="de-DE"/>
        </w:rPr>
        <w:t>.</w:t>
      </w:r>
    </w:p>
    <w:p w:rsidR="00A360D5" w:rsidRDefault="00A360D5" w:rsidP="00A360D5">
      <w:pPr>
        <w:pStyle w:val="MDPI63Notes"/>
        <w:numPr>
          <w:ilvl w:val="0"/>
          <w:numId w:val="24"/>
        </w:numPr>
        <w:spacing w:before="0"/>
        <w:rPr>
          <w:rFonts w:eastAsia="Times New Roman"/>
          <w:lang w:val="en-GB" w:eastAsia="de-DE"/>
        </w:rPr>
      </w:pPr>
      <w:bookmarkStart w:id="4" w:name="weidhass_2021"/>
      <w:proofErr w:type="spellStart"/>
      <w:r w:rsidRPr="001B5D4F">
        <w:rPr>
          <w:rFonts w:eastAsia="Times New Roman"/>
          <w:lang w:val="en-GB" w:eastAsia="de-DE"/>
        </w:rPr>
        <w:t>Weidhaas</w:t>
      </w:r>
      <w:proofErr w:type="spellEnd"/>
      <w:r w:rsidRPr="001B5D4F">
        <w:rPr>
          <w:rFonts w:eastAsia="Times New Roman"/>
          <w:lang w:val="en-GB" w:eastAsia="de-DE"/>
        </w:rPr>
        <w:t xml:space="preserve">, J.; </w:t>
      </w:r>
      <w:proofErr w:type="spellStart"/>
      <w:r w:rsidRPr="001B5D4F">
        <w:rPr>
          <w:rFonts w:eastAsia="Times New Roman"/>
          <w:lang w:val="en-GB" w:eastAsia="de-DE"/>
        </w:rPr>
        <w:t>Aanderud</w:t>
      </w:r>
      <w:proofErr w:type="spellEnd"/>
      <w:r w:rsidRPr="001B5D4F">
        <w:rPr>
          <w:rFonts w:eastAsia="Times New Roman"/>
          <w:lang w:val="en-GB" w:eastAsia="de-DE"/>
        </w:rPr>
        <w:t xml:space="preserve">, Z. T.; Roper, D. K.; </w:t>
      </w:r>
      <w:proofErr w:type="spellStart"/>
      <w:r w:rsidRPr="001B5D4F">
        <w:rPr>
          <w:rFonts w:eastAsia="Times New Roman"/>
          <w:lang w:val="en-GB" w:eastAsia="de-DE"/>
        </w:rPr>
        <w:t>VanDerslice</w:t>
      </w:r>
      <w:proofErr w:type="spellEnd"/>
      <w:r w:rsidRPr="001B5D4F">
        <w:rPr>
          <w:rFonts w:eastAsia="Times New Roman"/>
          <w:lang w:val="en-GB" w:eastAsia="de-DE"/>
        </w:rPr>
        <w:t xml:space="preserve">, J.; Gaddis, E.; </w:t>
      </w:r>
      <w:proofErr w:type="spellStart"/>
      <w:r w:rsidRPr="001B5D4F">
        <w:rPr>
          <w:rFonts w:eastAsia="Times New Roman"/>
          <w:lang w:val="en-GB" w:eastAsia="de-DE"/>
        </w:rPr>
        <w:t>Ostermiller</w:t>
      </w:r>
      <w:proofErr w:type="spellEnd"/>
      <w:r w:rsidRPr="001B5D4F">
        <w:rPr>
          <w:rFonts w:eastAsia="Times New Roman"/>
          <w:lang w:val="en-GB" w:eastAsia="de-DE"/>
        </w:rPr>
        <w:t xml:space="preserve">, J.; Hoffman, K.; Jamal, R.; Heck, P. E.; Zhang, Y.; </w:t>
      </w:r>
      <w:proofErr w:type="spellStart"/>
      <w:r w:rsidRPr="001B5D4F">
        <w:rPr>
          <w:rFonts w:eastAsia="Times New Roman"/>
          <w:lang w:val="en-GB" w:eastAsia="de-DE"/>
        </w:rPr>
        <w:t>Torgersen</w:t>
      </w:r>
      <w:proofErr w:type="spellEnd"/>
      <w:r w:rsidRPr="001B5D4F">
        <w:rPr>
          <w:rFonts w:eastAsia="Times New Roman"/>
          <w:lang w:val="en-GB" w:eastAsia="de-DE"/>
        </w:rPr>
        <w:t xml:space="preserve">, K. T.; </w:t>
      </w:r>
      <w:proofErr w:type="spellStart"/>
      <w:r w:rsidRPr="001B5D4F">
        <w:rPr>
          <w:rFonts w:eastAsia="Times New Roman"/>
          <w:lang w:val="en-GB" w:eastAsia="de-DE"/>
        </w:rPr>
        <w:t>Laan</w:t>
      </w:r>
      <w:proofErr w:type="spellEnd"/>
      <w:r w:rsidRPr="001B5D4F">
        <w:rPr>
          <w:rFonts w:eastAsia="Times New Roman"/>
          <w:lang w:val="en-GB" w:eastAsia="de-DE"/>
        </w:rPr>
        <w:t xml:space="preserve">, J. V.; </w:t>
      </w:r>
      <w:proofErr w:type="spellStart"/>
      <w:r w:rsidRPr="001B5D4F">
        <w:rPr>
          <w:rFonts w:eastAsia="Times New Roman"/>
          <w:lang w:val="en-GB" w:eastAsia="de-DE"/>
        </w:rPr>
        <w:t>LaCross</w:t>
      </w:r>
      <w:proofErr w:type="spellEnd"/>
      <w:r w:rsidRPr="001B5D4F">
        <w:rPr>
          <w:rFonts w:eastAsia="Times New Roman"/>
          <w:lang w:val="en-GB" w:eastAsia="de-DE"/>
        </w:rPr>
        <w:t xml:space="preserve">, N. Correlation of SARS-CoV-2 RNA in wastewater with COVID-19 disease burden in </w:t>
      </w:r>
      <w:proofErr w:type="spellStart"/>
      <w:r w:rsidRPr="001B5D4F">
        <w:rPr>
          <w:rFonts w:eastAsia="Times New Roman"/>
          <w:lang w:val="en-GB" w:eastAsia="de-DE"/>
        </w:rPr>
        <w:t>sewersheds</w:t>
      </w:r>
      <w:proofErr w:type="spellEnd"/>
      <w:r w:rsidRPr="001B5D4F">
        <w:rPr>
          <w:rFonts w:eastAsia="Times New Roman"/>
          <w:lang w:val="en-GB" w:eastAsia="de-DE"/>
        </w:rPr>
        <w:t xml:space="preserve">. </w:t>
      </w:r>
      <w:r w:rsidRPr="001B5D4F">
        <w:rPr>
          <w:rFonts w:eastAsia="Times New Roman"/>
          <w:i/>
          <w:iCs/>
          <w:lang w:val="en-GB" w:eastAsia="de-DE"/>
        </w:rPr>
        <w:t>Science of the Total Environment</w:t>
      </w:r>
      <w:r w:rsidRPr="001B5D4F">
        <w:rPr>
          <w:rFonts w:eastAsia="Times New Roman"/>
          <w:lang w:val="en-GB" w:eastAsia="de-DE"/>
        </w:rPr>
        <w:t xml:space="preserve"> </w:t>
      </w:r>
      <w:r w:rsidRPr="001B5D4F">
        <w:rPr>
          <w:rFonts w:eastAsia="Times New Roman"/>
          <w:b/>
          <w:bCs/>
          <w:lang w:val="en-GB" w:eastAsia="de-DE"/>
        </w:rPr>
        <w:t>2021</w:t>
      </w:r>
      <w:r w:rsidRPr="001B5D4F">
        <w:rPr>
          <w:rFonts w:eastAsia="Times New Roman"/>
          <w:lang w:val="en-GB" w:eastAsia="de-DE"/>
        </w:rPr>
        <w:t xml:space="preserve">, </w:t>
      </w:r>
      <w:r w:rsidRPr="001B5D4F">
        <w:rPr>
          <w:rFonts w:eastAsia="Times New Roman"/>
          <w:i/>
          <w:iCs/>
          <w:lang w:val="en-GB" w:eastAsia="de-DE"/>
        </w:rPr>
        <w:t>775</w:t>
      </w:r>
      <w:r w:rsidRPr="001B5D4F">
        <w:rPr>
          <w:rFonts w:eastAsia="Times New Roman"/>
          <w:lang w:val="en-GB" w:eastAsia="de-DE"/>
        </w:rPr>
        <w:t xml:space="preserve">, 145790. </w:t>
      </w:r>
      <w:hyperlink r:id="rId22" w:history="1">
        <w:r w:rsidRPr="00CA4BF1">
          <w:rPr>
            <w:rStyle w:val="Collegamentoipertestuale"/>
            <w:rFonts w:eastAsia="Times New Roman"/>
            <w:lang w:val="en-GB" w:eastAsia="de-DE"/>
          </w:rPr>
          <w:t>https://doi.org/10.1016/j.scitotenv.2021.145790</w:t>
        </w:r>
      </w:hyperlink>
      <w:r w:rsidRPr="001B5D4F">
        <w:rPr>
          <w:rFonts w:eastAsia="Times New Roman"/>
          <w:lang w:val="en-GB" w:eastAsia="de-DE"/>
        </w:rPr>
        <w:t>.</w:t>
      </w:r>
    </w:p>
    <w:p w:rsidR="001B5D4F" w:rsidRDefault="001B5D4F" w:rsidP="001B5D4F">
      <w:pPr>
        <w:pStyle w:val="MDPI63Notes"/>
        <w:numPr>
          <w:ilvl w:val="0"/>
          <w:numId w:val="24"/>
        </w:numPr>
        <w:spacing w:before="0"/>
        <w:rPr>
          <w:rFonts w:eastAsia="Times New Roman"/>
          <w:lang w:val="en-GB" w:eastAsia="de-DE"/>
        </w:rPr>
      </w:pPr>
      <w:bookmarkStart w:id="5" w:name="robotto_2022"/>
      <w:bookmarkEnd w:id="4"/>
      <w:proofErr w:type="spellStart"/>
      <w:r w:rsidRPr="00E64463">
        <w:rPr>
          <w:rFonts w:eastAsia="Times New Roman"/>
          <w:lang w:val="it-IT" w:eastAsia="de-DE"/>
        </w:rPr>
        <w:lastRenderedPageBreak/>
        <w:t>Robotto</w:t>
      </w:r>
      <w:proofErr w:type="spellEnd"/>
      <w:r w:rsidRPr="00E64463">
        <w:rPr>
          <w:rFonts w:eastAsia="Times New Roman"/>
          <w:lang w:val="it-IT" w:eastAsia="de-DE"/>
        </w:rPr>
        <w:t xml:space="preserve">, A.; Lembo, D.; Quaglino, P.; </w:t>
      </w:r>
      <w:proofErr w:type="spellStart"/>
      <w:r w:rsidRPr="00E64463">
        <w:rPr>
          <w:rFonts w:eastAsia="Times New Roman"/>
          <w:lang w:val="it-IT" w:eastAsia="de-DE"/>
        </w:rPr>
        <w:t>Brizio</w:t>
      </w:r>
      <w:proofErr w:type="spellEnd"/>
      <w:r w:rsidRPr="00E64463">
        <w:rPr>
          <w:rFonts w:eastAsia="Times New Roman"/>
          <w:lang w:val="it-IT" w:eastAsia="de-DE"/>
        </w:rPr>
        <w:t xml:space="preserve">, E.; </w:t>
      </w:r>
      <w:proofErr w:type="spellStart"/>
      <w:r w:rsidRPr="00E64463">
        <w:rPr>
          <w:rFonts w:eastAsia="Times New Roman"/>
          <w:lang w:val="it-IT" w:eastAsia="de-DE"/>
        </w:rPr>
        <w:t>Polato</w:t>
      </w:r>
      <w:proofErr w:type="spellEnd"/>
      <w:r w:rsidRPr="00E64463">
        <w:rPr>
          <w:rFonts w:eastAsia="Times New Roman"/>
          <w:lang w:val="it-IT" w:eastAsia="de-DE"/>
        </w:rPr>
        <w:t xml:space="preserve">, D.; </w:t>
      </w:r>
      <w:proofErr w:type="spellStart"/>
      <w:r w:rsidRPr="00E64463">
        <w:rPr>
          <w:rFonts w:eastAsia="Times New Roman"/>
          <w:lang w:val="it-IT" w:eastAsia="de-DE"/>
        </w:rPr>
        <w:t>Civra</w:t>
      </w:r>
      <w:proofErr w:type="spellEnd"/>
      <w:r w:rsidRPr="00E64463">
        <w:rPr>
          <w:rFonts w:eastAsia="Times New Roman"/>
          <w:lang w:val="it-IT" w:eastAsia="de-DE"/>
        </w:rPr>
        <w:t xml:space="preserve">, A.; </w:t>
      </w:r>
      <w:proofErr w:type="spellStart"/>
      <w:r w:rsidRPr="00E64463">
        <w:rPr>
          <w:rFonts w:eastAsia="Times New Roman"/>
          <w:lang w:val="it-IT" w:eastAsia="de-DE"/>
        </w:rPr>
        <w:t>Cusato</w:t>
      </w:r>
      <w:proofErr w:type="spellEnd"/>
      <w:r w:rsidRPr="00E64463">
        <w:rPr>
          <w:rFonts w:eastAsia="Times New Roman"/>
          <w:lang w:val="it-IT" w:eastAsia="de-DE"/>
        </w:rPr>
        <w:t xml:space="preserve">, J.; Di </w:t>
      </w:r>
      <w:proofErr w:type="spellStart"/>
      <w:r w:rsidRPr="00E64463">
        <w:rPr>
          <w:rFonts w:eastAsia="Times New Roman"/>
          <w:lang w:val="it-IT" w:eastAsia="de-DE"/>
        </w:rPr>
        <w:t>Perri</w:t>
      </w:r>
      <w:proofErr w:type="spellEnd"/>
      <w:r w:rsidRPr="00E64463">
        <w:rPr>
          <w:rFonts w:eastAsia="Times New Roman"/>
          <w:lang w:val="it-IT" w:eastAsia="de-DE"/>
        </w:rPr>
        <w:t xml:space="preserve">, G. </w:t>
      </w:r>
      <w:proofErr w:type="spellStart"/>
      <w:r w:rsidRPr="00E64463">
        <w:rPr>
          <w:rFonts w:eastAsia="Times New Roman"/>
          <w:lang w:val="it-IT" w:eastAsia="de-DE"/>
        </w:rPr>
        <w:t>Wastewater-based</w:t>
      </w:r>
      <w:proofErr w:type="spellEnd"/>
      <w:r w:rsidRPr="00E64463">
        <w:rPr>
          <w:rFonts w:eastAsia="Times New Roman"/>
          <w:lang w:val="it-IT" w:eastAsia="de-DE"/>
        </w:rPr>
        <w:t xml:space="preserve"> SARS-CoV-2 </w:t>
      </w:r>
      <w:proofErr w:type="spellStart"/>
      <w:r w:rsidRPr="00E64463">
        <w:rPr>
          <w:rFonts w:eastAsia="Times New Roman"/>
          <w:lang w:val="it-IT" w:eastAsia="de-DE"/>
        </w:rPr>
        <w:t>environmental</w:t>
      </w:r>
      <w:proofErr w:type="spellEnd"/>
      <w:r w:rsidRPr="00E64463">
        <w:rPr>
          <w:rFonts w:eastAsia="Times New Roman"/>
          <w:lang w:val="it-IT" w:eastAsia="de-DE"/>
        </w:rPr>
        <w:t xml:space="preserve"> </w:t>
      </w:r>
      <w:proofErr w:type="spellStart"/>
      <w:r w:rsidRPr="00E64463">
        <w:rPr>
          <w:rFonts w:eastAsia="Times New Roman"/>
          <w:lang w:val="it-IT" w:eastAsia="de-DE"/>
        </w:rPr>
        <w:t>monitoring</w:t>
      </w:r>
      <w:proofErr w:type="spellEnd"/>
      <w:r w:rsidRPr="00E64463">
        <w:rPr>
          <w:rFonts w:eastAsia="Times New Roman"/>
          <w:lang w:val="it-IT" w:eastAsia="de-DE"/>
        </w:rPr>
        <w:t xml:space="preserve"> </w:t>
      </w:r>
      <w:proofErr w:type="spellStart"/>
      <w:r w:rsidRPr="00E64463">
        <w:rPr>
          <w:rFonts w:eastAsia="Times New Roman"/>
          <w:lang w:val="it-IT" w:eastAsia="de-DE"/>
        </w:rPr>
        <w:t>for</w:t>
      </w:r>
      <w:proofErr w:type="spellEnd"/>
      <w:r w:rsidRPr="00E64463">
        <w:rPr>
          <w:rFonts w:eastAsia="Times New Roman"/>
          <w:lang w:val="it-IT" w:eastAsia="de-DE"/>
        </w:rPr>
        <w:t xml:space="preserve"> </w:t>
      </w:r>
      <w:proofErr w:type="spellStart"/>
      <w:r w:rsidRPr="00E64463">
        <w:rPr>
          <w:rFonts w:eastAsia="Times New Roman"/>
          <w:lang w:val="it-IT" w:eastAsia="de-DE"/>
        </w:rPr>
        <w:t>Piedmont</w:t>
      </w:r>
      <w:proofErr w:type="spellEnd"/>
      <w:r w:rsidRPr="00E64463">
        <w:rPr>
          <w:rFonts w:eastAsia="Times New Roman"/>
          <w:lang w:val="it-IT" w:eastAsia="de-DE"/>
        </w:rPr>
        <w:t xml:space="preserve">, Italy. </w:t>
      </w:r>
      <w:r w:rsidRPr="00695BCD">
        <w:rPr>
          <w:rFonts w:eastAsia="Times New Roman"/>
          <w:i/>
          <w:iCs/>
          <w:lang w:val="en-GB" w:eastAsia="de-DE"/>
        </w:rPr>
        <w:t>Environmental Research</w:t>
      </w:r>
      <w:r w:rsidRPr="00695BCD">
        <w:rPr>
          <w:rFonts w:eastAsia="Times New Roman"/>
          <w:lang w:val="en-GB" w:eastAsia="de-DE"/>
        </w:rPr>
        <w:t xml:space="preserve"> </w:t>
      </w:r>
      <w:r w:rsidRPr="00695BCD">
        <w:rPr>
          <w:rFonts w:eastAsia="Times New Roman"/>
          <w:b/>
          <w:bCs/>
          <w:lang w:val="en-GB" w:eastAsia="de-DE"/>
        </w:rPr>
        <w:t>2022</w:t>
      </w:r>
      <w:r w:rsidRPr="00695BCD">
        <w:rPr>
          <w:rFonts w:eastAsia="Times New Roman"/>
          <w:lang w:val="en-GB" w:eastAsia="de-DE"/>
        </w:rPr>
        <w:t xml:space="preserve">, </w:t>
      </w:r>
      <w:r w:rsidRPr="00695BCD">
        <w:rPr>
          <w:rFonts w:eastAsia="Times New Roman"/>
          <w:i/>
          <w:iCs/>
          <w:lang w:val="en-GB" w:eastAsia="de-DE"/>
        </w:rPr>
        <w:t>203</w:t>
      </w:r>
      <w:r w:rsidRPr="00695BCD">
        <w:rPr>
          <w:rFonts w:eastAsia="Times New Roman"/>
          <w:lang w:val="en-GB" w:eastAsia="de-DE"/>
        </w:rPr>
        <w:t xml:space="preserve">, 111901. </w:t>
      </w:r>
      <w:hyperlink r:id="rId23" w:history="1">
        <w:r w:rsidR="00280CFF" w:rsidRPr="00CA4BF1">
          <w:rPr>
            <w:rStyle w:val="Collegamentoipertestuale"/>
            <w:rFonts w:eastAsia="Times New Roman"/>
            <w:lang w:val="en-GB" w:eastAsia="de-DE"/>
          </w:rPr>
          <w:t>https://doi.org/10.1016/j.envres.2021.111901</w:t>
        </w:r>
      </w:hyperlink>
      <w:r w:rsidRPr="00695BCD">
        <w:rPr>
          <w:rFonts w:eastAsia="Times New Roman"/>
          <w:lang w:val="en-GB" w:eastAsia="de-DE"/>
        </w:rPr>
        <w:t>.</w:t>
      </w:r>
    </w:p>
    <w:p w:rsidR="00280CFF" w:rsidRDefault="00280CFF" w:rsidP="00280CFF">
      <w:pPr>
        <w:pStyle w:val="MDPI63Notes"/>
        <w:numPr>
          <w:ilvl w:val="0"/>
          <w:numId w:val="24"/>
        </w:numPr>
        <w:spacing w:before="0"/>
        <w:rPr>
          <w:rFonts w:eastAsia="Times New Roman"/>
          <w:lang w:val="it-IT" w:eastAsia="de-DE"/>
        </w:rPr>
      </w:pPr>
      <w:bookmarkStart w:id="6" w:name="baldovin_2023"/>
      <w:proofErr w:type="spellStart"/>
      <w:r w:rsidRPr="001B5D4F">
        <w:rPr>
          <w:rFonts w:eastAsia="Times New Roman"/>
          <w:lang w:val="en-GB" w:eastAsia="de-DE"/>
        </w:rPr>
        <w:t>Baldovin</w:t>
      </w:r>
      <w:proofErr w:type="spellEnd"/>
      <w:r w:rsidRPr="001B5D4F">
        <w:rPr>
          <w:rFonts w:eastAsia="Times New Roman"/>
          <w:lang w:val="en-GB" w:eastAsia="de-DE"/>
        </w:rPr>
        <w:t xml:space="preserve">, T.; </w:t>
      </w:r>
      <w:proofErr w:type="spellStart"/>
      <w:r w:rsidRPr="001B5D4F">
        <w:rPr>
          <w:rFonts w:eastAsia="Times New Roman"/>
          <w:lang w:val="en-GB" w:eastAsia="de-DE"/>
        </w:rPr>
        <w:t>Amoruso</w:t>
      </w:r>
      <w:proofErr w:type="spellEnd"/>
      <w:r w:rsidRPr="001B5D4F">
        <w:rPr>
          <w:rFonts w:eastAsia="Times New Roman"/>
          <w:lang w:val="en-GB" w:eastAsia="de-DE"/>
        </w:rPr>
        <w:t xml:space="preserve">, I.; </w:t>
      </w:r>
      <w:proofErr w:type="spellStart"/>
      <w:r w:rsidRPr="001B5D4F">
        <w:rPr>
          <w:rFonts w:eastAsia="Times New Roman"/>
          <w:lang w:val="en-GB" w:eastAsia="de-DE"/>
        </w:rPr>
        <w:t>Fonzo</w:t>
      </w:r>
      <w:proofErr w:type="spellEnd"/>
      <w:r w:rsidRPr="001B5D4F">
        <w:rPr>
          <w:rFonts w:eastAsia="Times New Roman"/>
          <w:lang w:val="en-GB" w:eastAsia="de-DE"/>
        </w:rPr>
        <w:t xml:space="preserve">, M.; </w:t>
      </w:r>
      <w:proofErr w:type="spellStart"/>
      <w:r w:rsidRPr="001B5D4F">
        <w:rPr>
          <w:rFonts w:eastAsia="Times New Roman"/>
          <w:lang w:val="en-GB" w:eastAsia="de-DE"/>
        </w:rPr>
        <w:t>Bertoncello</w:t>
      </w:r>
      <w:proofErr w:type="spellEnd"/>
      <w:r w:rsidRPr="001B5D4F">
        <w:rPr>
          <w:rFonts w:eastAsia="Times New Roman"/>
          <w:lang w:val="en-GB" w:eastAsia="de-DE"/>
        </w:rPr>
        <w:t xml:space="preserve">, C.; </w:t>
      </w:r>
      <w:proofErr w:type="spellStart"/>
      <w:r w:rsidRPr="001B5D4F">
        <w:rPr>
          <w:rFonts w:eastAsia="Times New Roman"/>
          <w:lang w:val="en-GB" w:eastAsia="de-DE"/>
        </w:rPr>
        <w:t>Groppi</w:t>
      </w:r>
      <w:proofErr w:type="spellEnd"/>
      <w:r w:rsidRPr="001B5D4F">
        <w:rPr>
          <w:rFonts w:eastAsia="Times New Roman"/>
          <w:lang w:val="en-GB" w:eastAsia="de-DE"/>
        </w:rPr>
        <w:t xml:space="preserve">, V.; </w:t>
      </w:r>
      <w:proofErr w:type="spellStart"/>
      <w:r w:rsidRPr="001B5D4F">
        <w:rPr>
          <w:rFonts w:eastAsia="Times New Roman"/>
          <w:lang w:val="en-GB" w:eastAsia="de-DE"/>
        </w:rPr>
        <w:t>Pitter</w:t>
      </w:r>
      <w:proofErr w:type="spellEnd"/>
      <w:r w:rsidRPr="001B5D4F">
        <w:rPr>
          <w:rFonts w:eastAsia="Times New Roman"/>
          <w:lang w:val="en-GB" w:eastAsia="de-DE"/>
        </w:rPr>
        <w:t xml:space="preserve">, G.; Russo, F.; </w:t>
      </w:r>
      <w:proofErr w:type="spellStart"/>
      <w:r w:rsidRPr="001B5D4F">
        <w:rPr>
          <w:rFonts w:eastAsia="Times New Roman"/>
          <w:lang w:val="en-GB" w:eastAsia="de-DE"/>
        </w:rPr>
        <w:t>Baldo</w:t>
      </w:r>
      <w:proofErr w:type="spellEnd"/>
      <w:r w:rsidRPr="001B5D4F">
        <w:rPr>
          <w:rFonts w:eastAsia="Times New Roman"/>
          <w:lang w:val="en-GB" w:eastAsia="de-DE"/>
        </w:rPr>
        <w:t xml:space="preserve">, V. Trends in SARS-CoV-2 clinically confirmed cases and viral load in wastewater: A critical alignment for Padua city (NE Italy). </w:t>
      </w:r>
      <w:proofErr w:type="spellStart"/>
      <w:r w:rsidRPr="001B5D4F">
        <w:rPr>
          <w:rFonts w:eastAsia="Times New Roman"/>
          <w:i/>
          <w:iCs/>
          <w:lang w:val="it-IT" w:eastAsia="de-DE"/>
        </w:rPr>
        <w:t>Heliyon</w:t>
      </w:r>
      <w:proofErr w:type="spellEnd"/>
      <w:r w:rsidRPr="001B5D4F">
        <w:rPr>
          <w:rFonts w:eastAsia="Times New Roman"/>
          <w:lang w:val="it-IT" w:eastAsia="de-DE"/>
        </w:rPr>
        <w:t xml:space="preserve"> </w:t>
      </w:r>
      <w:r w:rsidRPr="001B5D4F">
        <w:rPr>
          <w:rFonts w:eastAsia="Times New Roman"/>
          <w:b/>
          <w:bCs/>
          <w:lang w:val="it-IT" w:eastAsia="de-DE"/>
        </w:rPr>
        <w:t>2023</w:t>
      </w:r>
      <w:r w:rsidRPr="001B5D4F">
        <w:rPr>
          <w:rFonts w:eastAsia="Times New Roman"/>
          <w:lang w:val="it-IT" w:eastAsia="de-DE"/>
        </w:rPr>
        <w:t xml:space="preserve">, </w:t>
      </w:r>
      <w:r w:rsidRPr="001B5D4F">
        <w:rPr>
          <w:rFonts w:eastAsia="Times New Roman"/>
          <w:i/>
          <w:iCs/>
          <w:lang w:val="it-IT" w:eastAsia="de-DE"/>
        </w:rPr>
        <w:t>9</w:t>
      </w:r>
      <w:r w:rsidRPr="001B5D4F">
        <w:rPr>
          <w:rFonts w:eastAsia="Times New Roman"/>
          <w:lang w:val="it-IT" w:eastAsia="de-DE"/>
        </w:rPr>
        <w:t xml:space="preserve"> (10), e20571. </w:t>
      </w:r>
      <w:hyperlink r:id="rId24" w:history="1">
        <w:r w:rsidR="00762BF4" w:rsidRPr="00CA4BF1">
          <w:rPr>
            <w:rStyle w:val="Collegamentoipertestuale"/>
            <w:rFonts w:eastAsia="Times New Roman"/>
            <w:lang w:val="it-IT" w:eastAsia="de-DE"/>
          </w:rPr>
          <w:t>https://doi.org/10.1016/j.heliyon.2023.e20571</w:t>
        </w:r>
      </w:hyperlink>
      <w:r w:rsidRPr="001B5D4F">
        <w:rPr>
          <w:rFonts w:eastAsia="Times New Roman"/>
          <w:lang w:val="it-IT" w:eastAsia="de-DE"/>
        </w:rPr>
        <w:t>.</w:t>
      </w:r>
    </w:p>
    <w:p w:rsidR="00762BF4" w:rsidRDefault="00762BF4" w:rsidP="00762BF4">
      <w:pPr>
        <w:pStyle w:val="MDPI63Notes"/>
        <w:numPr>
          <w:ilvl w:val="0"/>
          <w:numId w:val="24"/>
        </w:numPr>
        <w:spacing w:before="0"/>
        <w:rPr>
          <w:rFonts w:eastAsia="Times New Roman"/>
          <w:lang w:val="en-GB" w:eastAsia="de-DE"/>
        </w:rPr>
      </w:pPr>
      <w:bookmarkStart w:id="7" w:name="mamahan_2021"/>
      <w:r w:rsidRPr="001B5D4F">
        <w:rPr>
          <w:rFonts w:eastAsia="Times New Roman"/>
          <w:lang w:val="en-GB" w:eastAsia="de-DE"/>
        </w:rPr>
        <w:t xml:space="preserve">McMahan, C. S.; Self, S.; </w:t>
      </w:r>
      <w:proofErr w:type="spellStart"/>
      <w:r w:rsidRPr="001B5D4F">
        <w:rPr>
          <w:rFonts w:eastAsia="Times New Roman"/>
          <w:lang w:val="en-GB" w:eastAsia="de-DE"/>
        </w:rPr>
        <w:t>Rennert</w:t>
      </w:r>
      <w:proofErr w:type="spellEnd"/>
      <w:r w:rsidRPr="001B5D4F">
        <w:rPr>
          <w:rFonts w:eastAsia="Times New Roman"/>
          <w:lang w:val="en-GB" w:eastAsia="de-DE"/>
        </w:rPr>
        <w:t xml:space="preserve">, L.; </w:t>
      </w:r>
      <w:proofErr w:type="spellStart"/>
      <w:r w:rsidRPr="001B5D4F">
        <w:rPr>
          <w:rFonts w:eastAsia="Times New Roman"/>
          <w:lang w:val="en-GB" w:eastAsia="de-DE"/>
        </w:rPr>
        <w:t>Kalbaugh</w:t>
      </w:r>
      <w:proofErr w:type="spellEnd"/>
      <w:r w:rsidRPr="001B5D4F">
        <w:rPr>
          <w:rFonts w:eastAsia="Times New Roman"/>
          <w:lang w:val="en-GB" w:eastAsia="de-DE"/>
        </w:rPr>
        <w:t xml:space="preserve">, C. A.; </w:t>
      </w:r>
      <w:proofErr w:type="spellStart"/>
      <w:r w:rsidRPr="001B5D4F">
        <w:rPr>
          <w:rFonts w:eastAsia="Times New Roman"/>
          <w:lang w:val="en-GB" w:eastAsia="de-DE"/>
        </w:rPr>
        <w:t>Kriebel</w:t>
      </w:r>
      <w:proofErr w:type="spellEnd"/>
      <w:r w:rsidRPr="001B5D4F">
        <w:rPr>
          <w:rFonts w:eastAsia="Times New Roman"/>
          <w:lang w:val="en-GB" w:eastAsia="de-DE"/>
        </w:rPr>
        <w:t xml:space="preserve">, P. D.; Graves, D.; Colby, C.; </w:t>
      </w:r>
      <w:proofErr w:type="spellStart"/>
      <w:r w:rsidRPr="001B5D4F">
        <w:rPr>
          <w:rFonts w:eastAsia="Times New Roman"/>
          <w:lang w:val="en-GB" w:eastAsia="de-DE"/>
        </w:rPr>
        <w:t>Deaver</w:t>
      </w:r>
      <w:proofErr w:type="spellEnd"/>
      <w:r w:rsidRPr="001B5D4F">
        <w:rPr>
          <w:rFonts w:eastAsia="Times New Roman"/>
          <w:lang w:val="en-GB" w:eastAsia="de-DE"/>
        </w:rPr>
        <w:t xml:space="preserve">, B. J. A.; </w:t>
      </w:r>
      <w:proofErr w:type="spellStart"/>
      <w:r w:rsidRPr="001B5D4F">
        <w:rPr>
          <w:rFonts w:eastAsia="Times New Roman"/>
          <w:lang w:val="en-GB" w:eastAsia="de-DE"/>
        </w:rPr>
        <w:t>Popat</w:t>
      </w:r>
      <w:proofErr w:type="spellEnd"/>
      <w:r w:rsidRPr="001B5D4F">
        <w:rPr>
          <w:rFonts w:eastAsia="Times New Roman"/>
          <w:lang w:val="en-GB" w:eastAsia="de-DE"/>
        </w:rPr>
        <w:t xml:space="preserve">, S. C.; </w:t>
      </w:r>
      <w:proofErr w:type="spellStart"/>
      <w:r w:rsidRPr="001B5D4F">
        <w:rPr>
          <w:rFonts w:eastAsia="Times New Roman"/>
          <w:lang w:val="en-GB" w:eastAsia="de-DE"/>
        </w:rPr>
        <w:t>Karanfil</w:t>
      </w:r>
      <w:proofErr w:type="spellEnd"/>
      <w:r w:rsidRPr="001B5D4F">
        <w:rPr>
          <w:rFonts w:eastAsia="Times New Roman"/>
          <w:lang w:val="en-GB" w:eastAsia="de-DE"/>
        </w:rPr>
        <w:t xml:space="preserve">, P. T.; Freedman, P. D. L. COVID-19 wastewater epidemiology: a model to estimate infected populations. </w:t>
      </w:r>
      <w:r w:rsidRPr="001B5D4F">
        <w:rPr>
          <w:rFonts w:eastAsia="Times New Roman"/>
          <w:i/>
          <w:iCs/>
          <w:lang w:val="en-GB" w:eastAsia="de-DE"/>
        </w:rPr>
        <w:t>The Lancet Planetary Health</w:t>
      </w:r>
      <w:r w:rsidRPr="001B5D4F">
        <w:rPr>
          <w:rFonts w:eastAsia="Times New Roman"/>
          <w:lang w:val="en-GB" w:eastAsia="de-DE"/>
        </w:rPr>
        <w:t xml:space="preserve"> </w:t>
      </w:r>
      <w:r w:rsidRPr="001B5D4F">
        <w:rPr>
          <w:rFonts w:eastAsia="Times New Roman"/>
          <w:b/>
          <w:bCs/>
          <w:lang w:val="en-GB" w:eastAsia="de-DE"/>
        </w:rPr>
        <w:t>2021</w:t>
      </w:r>
      <w:r w:rsidRPr="001B5D4F">
        <w:rPr>
          <w:rFonts w:eastAsia="Times New Roman"/>
          <w:lang w:val="en-GB" w:eastAsia="de-DE"/>
        </w:rPr>
        <w:t xml:space="preserve">, </w:t>
      </w:r>
      <w:r w:rsidRPr="001B5D4F">
        <w:rPr>
          <w:rFonts w:eastAsia="Times New Roman"/>
          <w:i/>
          <w:iCs/>
          <w:lang w:val="en-GB" w:eastAsia="de-DE"/>
        </w:rPr>
        <w:t>5</w:t>
      </w:r>
      <w:r w:rsidRPr="001B5D4F">
        <w:rPr>
          <w:rFonts w:eastAsia="Times New Roman"/>
          <w:lang w:val="en-GB" w:eastAsia="de-DE"/>
        </w:rPr>
        <w:t xml:space="preserve"> (12), e874–e881. </w:t>
      </w:r>
      <w:hyperlink r:id="rId25" w:history="1">
        <w:r w:rsidRPr="00CA4BF1">
          <w:rPr>
            <w:rStyle w:val="Collegamentoipertestuale"/>
            <w:rFonts w:eastAsia="Times New Roman"/>
            <w:lang w:val="en-GB" w:eastAsia="de-DE"/>
          </w:rPr>
          <w:t>https://doi.org/10.1016/s2542-5196(21)00230-8</w:t>
        </w:r>
      </w:hyperlink>
      <w:r w:rsidRPr="001B5D4F">
        <w:rPr>
          <w:rFonts w:eastAsia="Times New Roman"/>
          <w:lang w:val="en-GB" w:eastAsia="de-DE"/>
        </w:rPr>
        <w:t>.</w:t>
      </w:r>
    </w:p>
    <w:p w:rsidR="00762BF4" w:rsidRDefault="00762BF4" w:rsidP="00762BF4">
      <w:pPr>
        <w:pStyle w:val="MDPI63Notes"/>
        <w:numPr>
          <w:ilvl w:val="0"/>
          <w:numId w:val="24"/>
        </w:numPr>
        <w:spacing w:before="0"/>
        <w:rPr>
          <w:rFonts w:eastAsia="Times New Roman"/>
          <w:lang w:val="en-GB" w:eastAsia="de-DE"/>
        </w:rPr>
      </w:pPr>
      <w:bookmarkStart w:id="8" w:name="la_rosa_2022"/>
      <w:r w:rsidRPr="001B5D4F">
        <w:rPr>
          <w:rFonts w:eastAsia="Times New Roman"/>
          <w:lang w:val="en-GB" w:eastAsia="de-DE"/>
        </w:rPr>
        <w:t xml:space="preserve">La Rosa, G.; </w:t>
      </w:r>
      <w:proofErr w:type="spellStart"/>
      <w:r w:rsidRPr="001B5D4F">
        <w:rPr>
          <w:rFonts w:eastAsia="Times New Roman"/>
          <w:lang w:val="en-GB" w:eastAsia="de-DE"/>
        </w:rPr>
        <w:t>Iaconelli</w:t>
      </w:r>
      <w:proofErr w:type="spellEnd"/>
      <w:r w:rsidRPr="001B5D4F">
        <w:rPr>
          <w:rFonts w:eastAsia="Times New Roman"/>
          <w:lang w:val="en-GB" w:eastAsia="de-DE"/>
        </w:rPr>
        <w:t xml:space="preserve">, M.; </w:t>
      </w:r>
      <w:proofErr w:type="spellStart"/>
      <w:r w:rsidRPr="001B5D4F">
        <w:rPr>
          <w:rFonts w:eastAsia="Times New Roman"/>
          <w:lang w:val="en-GB" w:eastAsia="de-DE"/>
        </w:rPr>
        <w:t>Veneri</w:t>
      </w:r>
      <w:proofErr w:type="spellEnd"/>
      <w:r w:rsidRPr="001B5D4F">
        <w:rPr>
          <w:rFonts w:eastAsia="Times New Roman"/>
          <w:lang w:val="en-GB" w:eastAsia="de-DE"/>
        </w:rPr>
        <w:t xml:space="preserve">, C.; Mancini, P.; Ferraro, G. B.; </w:t>
      </w:r>
      <w:proofErr w:type="spellStart"/>
      <w:r w:rsidRPr="001B5D4F">
        <w:rPr>
          <w:rFonts w:eastAsia="Times New Roman"/>
          <w:lang w:val="en-GB" w:eastAsia="de-DE"/>
        </w:rPr>
        <w:t>Brandtner</w:t>
      </w:r>
      <w:proofErr w:type="spellEnd"/>
      <w:r w:rsidRPr="001B5D4F">
        <w:rPr>
          <w:rFonts w:eastAsia="Times New Roman"/>
          <w:lang w:val="en-GB" w:eastAsia="de-DE"/>
        </w:rPr>
        <w:t xml:space="preserve">, D.; </w:t>
      </w:r>
      <w:proofErr w:type="spellStart"/>
      <w:r w:rsidRPr="001B5D4F">
        <w:rPr>
          <w:rFonts w:eastAsia="Times New Roman"/>
          <w:lang w:val="en-GB" w:eastAsia="de-DE"/>
        </w:rPr>
        <w:t>Lucentini</w:t>
      </w:r>
      <w:proofErr w:type="spellEnd"/>
      <w:r w:rsidRPr="001B5D4F">
        <w:rPr>
          <w:rFonts w:eastAsia="Times New Roman"/>
          <w:lang w:val="en-GB" w:eastAsia="de-DE"/>
        </w:rPr>
        <w:t xml:space="preserve">, L.; </w:t>
      </w:r>
      <w:proofErr w:type="spellStart"/>
      <w:r w:rsidRPr="001B5D4F">
        <w:rPr>
          <w:rFonts w:eastAsia="Times New Roman"/>
          <w:lang w:val="en-GB" w:eastAsia="de-DE"/>
        </w:rPr>
        <w:t>Bonadonna</w:t>
      </w:r>
      <w:proofErr w:type="spellEnd"/>
      <w:r w:rsidRPr="001B5D4F">
        <w:rPr>
          <w:rFonts w:eastAsia="Times New Roman"/>
          <w:lang w:val="en-GB" w:eastAsia="de-DE"/>
        </w:rPr>
        <w:t xml:space="preserve">, L.; Rossi, M.; </w:t>
      </w:r>
      <w:proofErr w:type="spellStart"/>
      <w:r w:rsidRPr="001B5D4F">
        <w:rPr>
          <w:rFonts w:eastAsia="Times New Roman"/>
          <w:lang w:val="en-GB" w:eastAsia="de-DE"/>
        </w:rPr>
        <w:t>Grigioni</w:t>
      </w:r>
      <w:proofErr w:type="spellEnd"/>
      <w:r w:rsidRPr="001B5D4F">
        <w:rPr>
          <w:rFonts w:eastAsia="Times New Roman"/>
          <w:lang w:val="en-GB" w:eastAsia="de-DE"/>
        </w:rPr>
        <w:t xml:space="preserve">, M.; </w:t>
      </w:r>
      <w:proofErr w:type="spellStart"/>
      <w:r w:rsidRPr="001B5D4F">
        <w:rPr>
          <w:rFonts w:eastAsia="Times New Roman"/>
          <w:lang w:val="en-GB" w:eastAsia="de-DE"/>
        </w:rPr>
        <w:t>Suffredini</w:t>
      </w:r>
      <w:proofErr w:type="spellEnd"/>
      <w:r w:rsidRPr="001B5D4F">
        <w:rPr>
          <w:rFonts w:eastAsia="Times New Roman"/>
          <w:lang w:val="en-GB" w:eastAsia="de-DE"/>
        </w:rPr>
        <w:t xml:space="preserve">, E. The rapid spread of SARS-COV-2 Omicron variant in Italy reflected early through wastewater surveillance. </w:t>
      </w:r>
      <w:r w:rsidRPr="001B5D4F">
        <w:rPr>
          <w:rFonts w:eastAsia="Times New Roman"/>
          <w:i/>
          <w:iCs/>
          <w:lang w:val="en-GB" w:eastAsia="de-DE"/>
        </w:rPr>
        <w:t>Science of the Total Environment</w:t>
      </w:r>
      <w:r w:rsidRPr="001B5D4F">
        <w:rPr>
          <w:rFonts w:eastAsia="Times New Roman"/>
          <w:lang w:val="en-GB" w:eastAsia="de-DE"/>
        </w:rPr>
        <w:t xml:space="preserve"> </w:t>
      </w:r>
      <w:r w:rsidRPr="001B5D4F">
        <w:rPr>
          <w:rFonts w:eastAsia="Times New Roman"/>
          <w:b/>
          <w:bCs/>
          <w:lang w:val="en-GB" w:eastAsia="de-DE"/>
        </w:rPr>
        <w:t>2022</w:t>
      </w:r>
      <w:r w:rsidRPr="001B5D4F">
        <w:rPr>
          <w:rFonts w:eastAsia="Times New Roman"/>
          <w:lang w:val="en-GB" w:eastAsia="de-DE"/>
        </w:rPr>
        <w:t xml:space="preserve">, </w:t>
      </w:r>
      <w:r w:rsidRPr="001B5D4F">
        <w:rPr>
          <w:rFonts w:eastAsia="Times New Roman"/>
          <w:i/>
          <w:iCs/>
          <w:lang w:val="en-GB" w:eastAsia="de-DE"/>
        </w:rPr>
        <w:t>837</w:t>
      </w:r>
      <w:r w:rsidRPr="001B5D4F">
        <w:rPr>
          <w:rFonts w:eastAsia="Times New Roman"/>
          <w:lang w:val="en-GB" w:eastAsia="de-DE"/>
        </w:rPr>
        <w:t xml:space="preserve">, 155767. </w:t>
      </w:r>
      <w:hyperlink r:id="rId26" w:history="1">
        <w:r w:rsidR="00CE48F1" w:rsidRPr="00CA4BF1">
          <w:rPr>
            <w:rStyle w:val="Collegamentoipertestuale"/>
            <w:rFonts w:eastAsia="Times New Roman"/>
            <w:lang w:val="en-GB" w:eastAsia="de-DE"/>
          </w:rPr>
          <w:t>https://doi.org/10.1016/j.scitotenv.2022.155767</w:t>
        </w:r>
      </w:hyperlink>
      <w:r w:rsidRPr="001B5D4F">
        <w:rPr>
          <w:rFonts w:eastAsia="Times New Roman"/>
          <w:lang w:val="en-GB" w:eastAsia="de-DE"/>
        </w:rPr>
        <w:t>.</w:t>
      </w:r>
      <w:bookmarkEnd w:id="8"/>
    </w:p>
    <w:p w:rsidR="00CE48F1" w:rsidRDefault="00CE48F1" w:rsidP="00762BF4">
      <w:pPr>
        <w:pStyle w:val="MDPI63Notes"/>
        <w:numPr>
          <w:ilvl w:val="0"/>
          <w:numId w:val="24"/>
        </w:numPr>
        <w:spacing w:before="0"/>
        <w:rPr>
          <w:rFonts w:eastAsia="Times New Roman"/>
          <w:lang w:val="en-GB" w:eastAsia="de-DE"/>
        </w:rPr>
      </w:pPr>
      <w:bookmarkStart w:id="9" w:name="raccomandazione_ue"/>
      <w:r w:rsidRPr="001B5D4F">
        <w:rPr>
          <w:rFonts w:eastAsia="Times New Roman"/>
          <w:i/>
          <w:iCs/>
          <w:lang w:val="en-GB" w:eastAsia="de-DE"/>
        </w:rPr>
        <w:t>EUR-LEX - 32021H0472 - EN - EUR-LEX</w:t>
      </w:r>
      <w:r w:rsidRPr="001B5D4F">
        <w:rPr>
          <w:rFonts w:eastAsia="Times New Roman"/>
          <w:lang w:val="en-GB" w:eastAsia="de-DE"/>
        </w:rPr>
        <w:t xml:space="preserve">. </w:t>
      </w:r>
      <w:hyperlink r:id="rId27" w:history="1">
        <w:r w:rsidR="00FD33BF" w:rsidRPr="00CA4BF1">
          <w:rPr>
            <w:rStyle w:val="Collegamentoipertestuale"/>
            <w:rFonts w:eastAsia="Times New Roman"/>
            <w:lang w:val="en-GB" w:eastAsia="de-DE"/>
          </w:rPr>
          <w:t>https://eur-lex.europa.eu/legal-content/EN/TXT/?uri=CELEX%3A32021H0472&amp;qid=1628798981209</w:t>
        </w:r>
      </w:hyperlink>
      <w:bookmarkEnd w:id="9"/>
      <w:r w:rsidRPr="001B5D4F">
        <w:rPr>
          <w:rFonts w:eastAsia="Times New Roman"/>
          <w:lang w:val="en-GB" w:eastAsia="de-DE"/>
        </w:rPr>
        <w:t>.</w:t>
      </w:r>
    </w:p>
    <w:p w:rsidR="00FD33BF" w:rsidRDefault="00FD33BF" w:rsidP="00FD33BF">
      <w:pPr>
        <w:pStyle w:val="MDPI63Notes"/>
        <w:numPr>
          <w:ilvl w:val="0"/>
          <w:numId w:val="24"/>
        </w:numPr>
        <w:spacing w:before="0"/>
        <w:rPr>
          <w:rFonts w:eastAsia="Times New Roman"/>
          <w:lang w:val="en-GB" w:eastAsia="de-DE"/>
        </w:rPr>
      </w:pPr>
      <w:bookmarkStart w:id="10" w:name="ciannella_2023"/>
      <w:proofErr w:type="spellStart"/>
      <w:r w:rsidRPr="001B5D4F">
        <w:rPr>
          <w:rFonts w:eastAsia="Times New Roman"/>
          <w:lang w:val="en-GB" w:eastAsia="de-DE"/>
        </w:rPr>
        <w:t>Ciannella</w:t>
      </w:r>
      <w:proofErr w:type="spellEnd"/>
      <w:r w:rsidRPr="001B5D4F">
        <w:rPr>
          <w:rFonts w:eastAsia="Times New Roman"/>
          <w:lang w:val="en-GB" w:eastAsia="de-DE"/>
        </w:rPr>
        <w:t xml:space="preserve">, S.; </w:t>
      </w:r>
      <w:proofErr w:type="spellStart"/>
      <w:r w:rsidRPr="001B5D4F">
        <w:rPr>
          <w:rFonts w:eastAsia="Times New Roman"/>
          <w:lang w:val="en-GB" w:eastAsia="de-DE"/>
        </w:rPr>
        <w:t>González-Fernández</w:t>
      </w:r>
      <w:proofErr w:type="spellEnd"/>
      <w:r w:rsidRPr="001B5D4F">
        <w:rPr>
          <w:rFonts w:eastAsia="Times New Roman"/>
          <w:lang w:val="en-GB" w:eastAsia="de-DE"/>
        </w:rPr>
        <w:t xml:space="preserve">, C.; </w:t>
      </w:r>
      <w:proofErr w:type="spellStart"/>
      <w:r w:rsidRPr="001B5D4F">
        <w:rPr>
          <w:rFonts w:eastAsia="Times New Roman"/>
          <w:lang w:val="en-GB" w:eastAsia="de-DE"/>
        </w:rPr>
        <w:t>Gómez‐Pastora</w:t>
      </w:r>
      <w:proofErr w:type="spellEnd"/>
      <w:r w:rsidRPr="001B5D4F">
        <w:rPr>
          <w:rFonts w:eastAsia="Times New Roman"/>
          <w:lang w:val="en-GB" w:eastAsia="de-DE"/>
        </w:rPr>
        <w:t xml:space="preserve">, J. Recent progress on wastewater-based epidemiology for COVID-19 surveillance: A systematic review of analytical procedures and epidemiological </w:t>
      </w:r>
      <w:proofErr w:type="spellStart"/>
      <w:r w:rsidRPr="001B5D4F">
        <w:rPr>
          <w:rFonts w:eastAsia="Times New Roman"/>
          <w:lang w:val="en-GB" w:eastAsia="de-DE"/>
        </w:rPr>
        <w:t>modeling</w:t>
      </w:r>
      <w:proofErr w:type="spellEnd"/>
      <w:r w:rsidRPr="001B5D4F">
        <w:rPr>
          <w:rFonts w:eastAsia="Times New Roman"/>
          <w:lang w:val="en-GB" w:eastAsia="de-DE"/>
        </w:rPr>
        <w:t xml:space="preserve">. </w:t>
      </w:r>
      <w:r w:rsidRPr="001B5D4F">
        <w:rPr>
          <w:rFonts w:eastAsia="Times New Roman"/>
          <w:i/>
          <w:iCs/>
          <w:lang w:val="en-GB" w:eastAsia="de-DE"/>
        </w:rPr>
        <w:t>Science of the Total Environment</w:t>
      </w:r>
      <w:r w:rsidRPr="001B5D4F">
        <w:rPr>
          <w:rFonts w:eastAsia="Times New Roman"/>
          <w:lang w:val="en-GB" w:eastAsia="de-DE"/>
        </w:rPr>
        <w:t xml:space="preserve"> </w:t>
      </w:r>
      <w:r w:rsidRPr="001B5D4F">
        <w:rPr>
          <w:rFonts w:eastAsia="Times New Roman"/>
          <w:b/>
          <w:bCs/>
          <w:lang w:val="en-GB" w:eastAsia="de-DE"/>
        </w:rPr>
        <w:t>2023</w:t>
      </w:r>
      <w:r w:rsidRPr="001B5D4F">
        <w:rPr>
          <w:rFonts w:eastAsia="Times New Roman"/>
          <w:lang w:val="en-GB" w:eastAsia="de-DE"/>
        </w:rPr>
        <w:t xml:space="preserve">, </w:t>
      </w:r>
      <w:r w:rsidRPr="001B5D4F">
        <w:rPr>
          <w:rFonts w:eastAsia="Times New Roman"/>
          <w:i/>
          <w:iCs/>
          <w:lang w:val="en-GB" w:eastAsia="de-DE"/>
        </w:rPr>
        <w:t>878</w:t>
      </w:r>
      <w:r w:rsidRPr="001B5D4F">
        <w:rPr>
          <w:rFonts w:eastAsia="Times New Roman"/>
          <w:lang w:val="en-GB" w:eastAsia="de-DE"/>
        </w:rPr>
        <w:t xml:space="preserve">, 162953. </w:t>
      </w:r>
      <w:hyperlink r:id="rId28" w:history="1">
        <w:r w:rsidRPr="00CA4BF1">
          <w:rPr>
            <w:rStyle w:val="Collegamentoipertestuale"/>
            <w:rFonts w:eastAsia="Times New Roman"/>
            <w:lang w:val="en-GB" w:eastAsia="de-DE"/>
          </w:rPr>
          <w:t>https://doi.org/10.1016/j.scitotenv.2023.162953</w:t>
        </w:r>
      </w:hyperlink>
      <w:r w:rsidRPr="001B5D4F">
        <w:rPr>
          <w:rFonts w:eastAsia="Times New Roman"/>
          <w:lang w:val="en-GB" w:eastAsia="de-DE"/>
        </w:rPr>
        <w:t>.</w:t>
      </w:r>
    </w:p>
    <w:p w:rsidR="00FD33BF" w:rsidRDefault="00FD33BF" w:rsidP="00FD33BF">
      <w:pPr>
        <w:pStyle w:val="MDPI63Notes"/>
        <w:numPr>
          <w:ilvl w:val="0"/>
          <w:numId w:val="24"/>
        </w:numPr>
        <w:spacing w:before="0"/>
        <w:rPr>
          <w:rFonts w:eastAsia="Times New Roman"/>
          <w:lang w:val="it-IT" w:eastAsia="de-DE"/>
        </w:rPr>
      </w:pPr>
      <w:bookmarkStart w:id="11" w:name="rauch_2022"/>
      <w:r w:rsidRPr="001B5D4F">
        <w:rPr>
          <w:rFonts w:eastAsia="Times New Roman"/>
          <w:lang w:val="en-GB" w:eastAsia="de-DE"/>
        </w:rPr>
        <w:t xml:space="preserve">Rauch, W.; Schenk, H.; </w:t>
      </w:r>
      <w:proofErr w:type="spellStart"/>
      <w:r w:rsidRPr="001B5D4F">
        <w:rPr>
          <w:rFonts w:eastAsia="Times New Roman"/>
          <w:lang w:val="en-GB" w:eastAsia="de-DE"/>
        </w:rPr>
        <w:t>Insam</w:t>
      </w:r>
      <w:proofErr w:type="spellEnd"/>
      <w:r w:rsidRPr="001B5D4F">
        <w:rPr>
          <w:rFonts w:eastAsia="Times New Roman"/>
          <w:lang w:val="en-GB" w:eastAsia="de-DE"/>
        </w:rPr>
        <w:t xml:space="preserve">, H.; </w:t>
      </w:r>
      <w:proofErr w:type="spellStart"/>
      <w:r w:rsidRPr="001B5D4F">
        <w:rPr>
          <w:rFonts w:eastAsia="Times New Roman"/>
          <w:lang w:val="en-GB" w:eastAsia="de-DE"/>
        </w:rPr>
        <w:t>Markt</w:t>
      </w:r>
      <w:proofErr w:type="spellEnd"/>
      <w:r w:rsidRPr="001B5D4F">
        <w:rPr>
          <w:rFonts w:eastAsia="Times New Roman"/>
          <w:lang w:val="en-GB" w:eastAsia="de-DE"/>
        </w:rPr>
        <w:t xml:space="preserve">, R.; </w:t>
      </w:r>
      <w:proofErr w:type="spellStart"/>
      <w:r w:rsidRPr="001B5D4F">
        <w:rPr>
          <w:rFonts w:eastAsia="Times New Roman"/>
          <w:lang w:val="en-GB" w:eastAsia="de-DE"/>
        </w:rPr>
        <w:t>Kreuzinger</w:t>
      </w:r>
      <w:proofErr w:type="spellEnd"/>
      <w:r w:rsidRPr="001B5D4F">
        <w:rPr>
          <w:rFonts w:eastAsia="Times New Roman"/>
          <w:lang w:val="en-GB" w:eastAsia="de-DE"/>
        </w:rPr>
        <w:t xml:space="preserve">, N. Data modelling recipes for SARS-CoV-2 wastewater-based epidemiology. </w:t>
      </w:r>
      <w:proofErr w:type="spellStart"/>
      <w:r w:rsidRPr="001B5D4F">
        <w:rPr>
          <w:rFonts w:eastAsia="Times New Roman"/>
          <w:i/>
          <w:iCs/>
          <w:lang w:val="it-IT" w:eastAsia="de-DE"/>
        </w:rPr>
        <w:t>Environmental</w:t>
      </w:r>
      <w:proofErr w:type="spellEnd"/>
      <w:r w:rsidRPr="001B5D4F">
        <w:rPr>
          <w:rFonts w:eastAsia="Times New Roman"/>
          <w:i/>
          <w:iCs/>
          <w:lang w:val="it-IT" w:eastAsia="de-DE"/>
        </w:rPr>
        <w:t xml:space="preserve"> </w:t>
      </w:r>
      <w:proofErr w:type="spellStart"/>
      <w:r w:rsidRPr="001B5D4F">
        <w:rPr>
          <w:rFonts w:eastAsia="Times New Roman"/>
          <w:i/>
          <w:iCs/>
          <w:lang w:val="it-IT" w:eastAsia="de-DE"/>
        </w:rPr>
        <w:t>Research</w:t>
      </w:r>
      <w:proofErr w:type="spellEnd"/>
      <w:r w:rsidRPr="001B5D4F">
        <w:rPr>
          <w:rFonts w:eastAsia="Times New Roman"/>
          <w:lang w:val="it-IT" w:eastAsia="de-DE"/>
        </w:rPr>
        <w:t xml:space="preserve"> </w:t>
      </w:r>
      <w:r w:rsidRPr="001B5D4F">
        <w:rPr>
          <w:rFonts w:eastAsia="Times New Roman"/>
          <w:b/>
          <w:bCs/>
          <w:lang w:val="it-IT" w:eastAsia="de-DE"/>
        </w:rPr>
        <w:t>2022</w:t>
      </w:r>
      <w:r w:rsidRPr="001B5D4F">
        <w:rPr>
          <w:rFonts w:eastAsia="Times New Roman"/>
          <w:lang w:val="it-IT" w:eastAsia="de-DE"/>
        </w:rPr>
        <w:t xml:space="preserve">, </w:t>
      </w:r>
      <w:r w:rsidRPr="001B5D4F">
        <w:rPr>
          <w:rFonts w:eastAsia="Times New Roman"/>
          <w:i/>
          <w:iCs/>
          <w:lang w:val="it-IT" w:eastAsia="de-DE"/>
        </w:rPr>
        <w:t>214</w:t>
      </w:r>
      <w:r w:rsidRPr="001B5D4F">
        <w:rPr>
          <w:rFonts w:eastAsia="Times New Roman"/>
          <w:lang w:val="it-IT" w:eastAsia="de-DE"/>
        </w:rPr>
        <w:t xml:space="preserve">, 113809. </w:t>
      </w:r>
      <w:hyperlink r:id="rId29" w:history="1">
        <w:r w:rsidR="006B5A31" w:rsidRPr="00CA4BF1">
          <w:rPr>
            <w:rStyle w:val="Collegamentoipertestuale"/>
            <w:rFonts w:eastAsia="Times New Roman"/>
            <w:lang w:val="it-IT" w:eastAsia="de-DE"/>
          </w:rPr>
          <w:t>https://doi.org/10.1016/j.envres.2022.113809</w:t>
        </w:r>
      </w:hyperlink>
      <w:bookmarkEnd w:id="11"/>
      <w:r w:rsidRPr="001B5D4F">
        <w:rPr>
          <w:rFonts w:eastAsia="Times New Roman"/>
          <w:lang w:val="it-IT" w:eastAsia="de-DE"/>
        </w:rPr>
        <w:t>.</w:t>
      </w:r>
    </w:p>
    <w:p w:rsidR="006B5A31" w:rsidRDefault="006B5A31" w:rsidP="006B5A31">
      <w:pPr>
        <w:pStyle w:val="MDPI63Notes"/>
        <w:numPr>
          <w:ilvl w:val="0"/>
          <w:numId w:val="24"/>
        </w:numPr>
        <w:spacing w:before="0"/>
        <w:rPr>
          <w:rFonts w:eastAsia="Times New Roman"/>
          <w:lang w:val="en-GB" w:eastAsia="de-DE"/>
        </w:rPr>
      </w:pPr>
      <w:bookmarkStart w:id="12" w:name="morvan_2022"/>
      <w:proofErr w:type="spellStart"/>
      <w:r w:rsidRPr="001B5D4F">
        <w:rPr>
          <w:rFonts w:eastAsia="Times New Roman"/>
          <w:lang w:val="en-GB" w:eastAsia="de-DE"/>
        </w:rPr>
        <w:t>Morvan</w:t>
      </w:r>
      <w:proofErr w:type="spellEnd"/>
      <w:r w:rsidRPr="001B5D4F">
        <w:rPr>
          <w:rFonts w:eastAsia="Times New Roman"/>
          <w:lang w:val="en-GB" w:eastAsia="de-DE"/>
        </w:rPr>
        <w:t xml:space="preserve">, M.; Lo </w:t>
      </w:r>
      <w:proofErr w:type="spellStart"/>
      <w:r w:rsidRPr="001B5D4F">
        <w:rPr>
          <w:rFonts w:eastAsia="Times New Roman"/>
          <w:lang w:val="en-GB" w:eastAsia="de-DE"/>
        </w:rPr>
        <w:t>Jacomo</w:t>
      </w:r>
      <w:proofErr w:type="spellEnd"/>
      <w:r w:rsidRPr="001B5D4F">
        <w:rPr>
          <w:rFonts w:eastAsia="Times New Roman"/>
          <w:lang w:val="en-GB" w:eastAsia="de-DE"/>
        </w:rPr>
        <w:t xml:space="preserve">, A.; </w:t>
      </w:r>
      <w:proofErr w:type="spellStart"/>
      <w:r w:rsidRPr="001B5D4F">
        <w:rPr>
          <w:rFonts w:eastAsia="Times New Roman"/>
          <w:lang w:val="en-GB" w:eastAsia="de-DE"/>
        </w:rPr>
        <w:t>Souque</w:t>
      </w:r>
      <w:proofErr w:type="spellEnd"/>
      <w:r w:rsidRPr="001B5D4F">
        <w:rPr>
          <w:rFonts w:eastAsia="Times New Roman"/>
          <w:lang w:val="en-GB" w:eastAsia="de-DE"/>
        </w:rPr>
        <w:t xml:space="preserve">, C.; Wade, M. J.; Hoffmann, T.; </w:t>
      </w:r>
      <w:proofErr w:type="spellStart"/>
      <w:r w:rsidRPr="001B5D4F">
        <w:rPr>
          <w:rFonts w:eastAsia="Times New Roman"/>
          <w:lang w:val="en-GB" w:eastAsia="de-DE"/>
        </w:rPr>
        <w:t>Pouwels</w:t>
      </w:r>
      <w:proofErr w:type="spellEnd"/>
      <w:r w:rsidRPr="001B5D4F">
        <w:rPr>
          <w:rFonts w:eastAsia="Times New Roman"/>
          <w:lang w:val="en-GB" w:eastAsia="de-DE"/>
        </w:rPr>
        <w:t xml:space="preserve">, K. B.; Lilley, C.; Singer, A. C.; Porter, J.; Evens, N.; Walker, D. L.; </w:t>
      </w:r>
      <w:proofErr w:type="spellStart"/>
      <w:r w:rsidRPr="001B5D4F">
        <w:rPr>
          <w:rFonts w:eastAsia="Times New Roman"/>
          <w:lang w:val="en-GB" w:eastAsia="de-DE"/>
        </w:rPr>
        <w:t>Bunce</w:t>
      </w:r>
      <w:proofErr w:type="spellEnd"/>
      <w:r w:rsidRPr="001B5D4F">
        <w:rPr>
          <w:rFonts w:eastAsia="Times New Roman"/>
          <w:lang w:val="en-GB" w:eastAsia="de-DE"/>
        </w:rPr>
        <w:t xml:space="preserve">, J. T.; </w:t>
      </w:r>
      <w:proofErr w:type="spellStart"/>
      <w:r w:rsidRPr="001B5D4F">
        <w:rPr>
          <w:rFonts w:eastAsia="Times New Roman"/>
          <w:lang w:val="en-GB" w:eastAsia="de-DE"/>
        </w:rPr>
        <w:t>Engeli</w:t>
      </w:r>
      <w:proofErr w:type="spellEnd"/>
      <w:r w:rsidRPr="001B5D4F">
        <w:rPr>
          <w:rFonts w:eastAsia="Times New Roman"/>
          <w:lang w:val="en-GB" w:eastAsia="de-DE"/>
        </w:rPr>
        <w:t xml:space="preserve">, A.; </w:t>
      </w:r>
      <w:proofErr w:type="spellStart"/>
      <w:r w:rsidRPr="001B5D4F">
        <w:rPr>
          <w:rFonts w:eastAsia="Times New Roman"/>
          <w:lang w:val="en-GB" w:eastAsia="de-DE"/>
        </w:rPr>
        <w:t>Grimsley</w:t>
      </w:r>
      <w:proofErr w:type="spellEnd"/>
      <w:r w:rsidRPr="001B5D4F">
        <w:rPr>
          <w:rFonts w:eastAsia="Times New Roman"/>
          <w:lang w:val="en-GB" w:eastAsia="de-DE"/>
        </w:rPr>
        <w:t xml:space="preserve">, J. M. S.; O’Reilly, K.; </w:t>
      </w:r>
      <w:proofErr w:type="spellStart"/>
      <w:r w:rsidRPr="001B5D4F">
        <w:rPr>
          <w:rFonts w:eastAsia="Times New Roman"/>
          <w:lang w:val="en-GB" w:eastAsia="de-DE"/>
        </w:rPr>
        <w:t>Danon</w:t>
      </w:r>
      <w:proofErr w:type="spellEnd"/>
      <w:r w:rsidRPr="001B5D4F">
        <w:rPr>
          <w:rFonts w:eastAsia="Times New Roman"/>
          <w:lang w:val="en-GB" w:eastAsia="de-DE"/>
        </w:rPr>
        <w:t xml:space="preserve">, L. An analysis of 45 large-scale wastewater sites in England to estimate SARS-CoV-2 community prevalence. </w:t>
      </w:r>
      <w:r w:rsidRPr="00762BF4">
        <w:rPr>
          <w:rFonts w:eastAsia="Times New Roman"/>
          <w:i/>
          <w:iCs/>
          <w:lang w:val="en-GB" w:eastAsia="de-DE"/>
        </w:rPr>
        <w:t>Nature Communications</w:t>
      </w:r>
      <w:r w:rsidRPr="00762BF4">
        <w:rPr>
          <w:rFonts w:eastAsia="Times New Roman"/>
          <w:lang w:val="en-GB" w:eastAsia="de-DE"/>
        </w:rPr>
        <w:t xml:space="preserve"> </w:t>
      </w:r>
      <w:r w:rsidRPr="00762BF4">
        <w:rPr>
          <w:rFonts w:eastAsia="Times New Roman"/>
          <w:b/>
          <w:bCs/>
          <w:lang w:val="en-GB" w:eastAsia="de-DE"/>
        </w:rPr>
        <w:t>2022</w:t>
      </w:r>
      <w:r w:rsidRPr="00762BF4">
        <w:rPr>
          <w:rFonts w:eastAsia="Times New Roman"/>
          <w:lang w:val="en-GB" w:eastAsia="de-DE"/>
        </w:rPr>
        <w:t xml:space="preserve">, </w:t>
      </w:r>
      <w:r w:rsidRPr="00762BF4">
        <w:rPr>
          <w:rFonts w:eastAsia="Times New Roman"/>
          <w:i/>
          <w:iCs/>
          <w:lang w:val="en-GB" w:eastAsia="de-DE"/>
        </w:rPr>
        <w:t>13</w:t>
      </w:r>
      <w:r w:rsidRPr="00762BF4">
        <w:rPr>
          <w:rFonts w:eastAsia="Times New Roman"/>
          <w:lang w:val="en-GB" w:eastAsia="de-DE"/>
        </w:rPr>
        <w:t xml:space="preserve"> (1). </w:t>
      </w:r>
      <w:hyperlink r:id="rId30" w:history="1">
        <w:r w:rsidRPr="00CA4BF1">
          <w:rPr>
            <w:rStyle w:val="Collegamentoipertestuale"/>
            <w:rFonts w:eastAsia="Times New Roman"/>
            <w:lang w:val="en-GB" w:eastAsia="de-DE"/>
          </w:rPr>
          <w:t>https://doi.org/10.1038/s41467-022-31753-y</w:t>
        </w:r>
      </w:hyperlink>
      <w:r w:rsidRPr="00762BF4">
        <w:rPr>
          <w:rFonts w:eastAsia="Times New Roman"/>
          <w:lang w:val="en-GB" w:eastAsia="de-DE"/>
        </w:rPr>
        <w:t>.</w:t>
      </w:r>
      <w:bookmarkEnd w:id="12"/>
    </w:p>
    <w:p w:rsidR="006B5A31" w:rsidRDefault="006B5A31" w:rsidP="006B5A31">
      <w:pPr>
        <w:pStyle w:val="MDPI63Notes"/>
        <w:numPr>
          <w:ilvl w:val="0"/>
          <w:numId w:val="24"/>
        </w:numPr>
        <w:spacing w:before="0"/>
        <w:rPr>
          <w:rFonts w:eastAsia="Times New Roman"/>
          <w:lang w:val="it-IT" w:eastAsia="de-DE"/>
        </w:rPr>
      </w:pPr>
      <w:bookmarkStart w:id="13" w:name="jiang_2022"/>
      <w:r w:rsidRPr="001B5D4F">
        <w:rPr>
          <w:rFonts w:eastAsia="Times New Roman"/>
          <w:lang w:val="en-GB" w:eastAsia="de-DE"/>
        </w:rPr>
        <w:t xml:space="preserve">Jiang, G.; Wu, J.; </w:t>
      </w:r>
      <w:proofErr w:type="spellStart"/>
      <w:r w:rsidRPr="001B5D4F">
        <w:rPr>
          <w:rFonts w:eastAsia="Times New Roman"/>
          <w:lang w:val="en-GB" w:eastAsia="de-DE"/>
        </w:rPr>
        <w:t>Weidhaas</w:t>
      </w:r>
      <w:proofErr w:type="spellEnd"/>
      <w:r w:rsidRPr="001B5D4F">
        <w:rPr>
          <w:rFonts w:eastAsia="Times New Roman"/>
          <w:lang w:val="en-GB" w:eastAsia="de-DE"/>
        </w:rPr>
        <w:t xml:space="preserve">, J.; Li, X.; Chen, Y.; Mueller, J. F.; Li, J.; Kumar, M.; Zhou, X.; </w:t>
      </w:r>
      <w:proofErr w:type="spellStart"/>
      <w:r w:rsidRPr="001B5D4F">
        <w:rPr>
          <w:rFonts w:eastAsia="Times New Roman"/>
          <w:lang w:val="en-GB" w:eastAsia="de-DE"/>
        </w:rPr>
        <w:t>Arora</w:t>
      </w:r>
      <w:proofErr w:type="spellEnd"/>
      <w:r w:rsidRPr="001B5D4F">
        <w:rPr>
          <w:rFonts w:eastAsia="Times New Roman"/>
          <w:lang w:val="en-GB" w:eastAsia="de-DE"/>
        </w:rPr>
        <w:t xml:space="preserve">, S.; </w:t>
      </w:r>
      <w:proofErr w:type="spellStart"/>
      <w:r w:rsidRPr="001B5D4F">
        <w:rPr>
          <w:rFonts w:eastAsia="Times New Roman"/>
          <w:lang w:val="en-GB" w:eastAsia="de-DE"/>
        </w:rPr>
        <w:t>Haramoto</w:t>
      </w:r>
      <w:proofErr w:type="spellEnd"/>
      <w:r w:rsidRPr="001B5D4F">
        <w:rPr>
          <w:rFonts w:eastAsia="Times New Roman"/>
          <w:lang w:val="en-GB" w:eastAsia="de-DE"/>
        </w:rPr>
        <w:t xml:space="preserve">, E.; </w:t>
      </w:r>
      <w:proofErr w:type="spellStart"/>
      <w:r w:rsidRPr="001B5D4F">
        <w:rPr>
          <w:rFonts w:eastAsia="Times New Roman"/>
          <w:lang w:val="en-GB" w:eastAsia="de-DE"/>
        </w:rPr>
        <w:t>Sherchan</w:t>
      </w:r>
      <w:proofErr w:type="spellEnd"/>
      <w:r w:rsidRPr="001B5D4F">
        <w:rPr>
          <w:rFonts w:eastAsia="Times New Roman"/>
          <w:lang w:val="en-GB" w:eastAsia="de-DE"/>
        </w:rPr>
        <w:t xml:space="preserve">, S.; </w:t>
      </w:r>
      <w:proofErr w:type="spellStart"/>
      <w:r w:rsidRPr="001B5D4F">
        <w:rPr>
          <w:rFonts w:eastAsia="Times New Roman"/>
          <w:lang w:val="en-GB" w:eastAsia="de-DE"/>
        </w:rPr>
        <w:t>Orive</w:t>
      </w:r>
      <w:proofErr w:type="spellEnd"/>
      <w:r w:rsidRPr="001B5D4F">
        <w:rPr>
          <w:rFonts w:eastAsia="Times New Roman"/>
          <w:lang w:val="en-GB" w:eastAsia="de-DE"/>
        </w:rPr>
        <w:t xml:space="preserve">, G.; </w:t>
      </w:r>
      <w:proofErr w:type="spellStart"/>
      <w:r w:rsidRPr="001B5D4F">
        <w:rPr>
          <w:rFonts w:eastAsia="Times New Roman"/>
          <w:lang w:val="en-GB" w:eastAsia="de-DE"/>
        </w:rPr>
        <w:t>Lertxundi</w:t>
      </w:r>
      <w:proofErr w:type="spellEnd"/>
      <w:r w:rsidRPr="001B5D4F">
        <w:rPr>
          <w:rFonts w:eastAsia="Times New Roman"/>
          <w:lang w:val="en-GB" w:eastAsia="de-DE"/>
        </w:rPr>
        <w:t xml:space="preserve">, U.; Honda, R.; </w:t>
      </w:r>
      <w:proofErr w:type="spellStart"/>
      <w:r w:rsidRPr="001B5D4F">
        <w:rPr>
          <w:rFonts w:eastAsia="Times New Roman"/>
          <w:lang w:val="en-GB" w:eastAsia="de-DE"/>
        </w:rPr>
        <w:t>Kitajima</w:t>
      </w:r>
      <w:proofErr w:type="spellEnd"/>
      <w:r w:rsidRPr="001B5D4F">
        <w:rPr>
          <w:rFonts w:eastAsia="Times New Roman"/>
          <w:lang w:val="en-GB" w:eastAsia="de-DE"/>
        </w:rPr>
        <w:t xml:space="preserve">, M.; Jackson, G. Artificial neural network-based estimation of COVID-19 case numbers and effective reproduction rate using wastewater-based epidemiology. </w:t>
      </w:r>
      <w:r w:rsidRPr="001B5D4F">
        <w:rPr>
          <w:rFonts w:eastAsia="Times New Roman"/>
          <w:i/>
          <w:iCs/>
          <w:lang w:val="it-IT" w:eastAsia="de-DE"/>
        </w:rPr>
        <w:t xml:space="preserve">Water </w:t>
      </w:r>
      <w:proofErr w:type="spellStart"/>
      <w:r w:rsidRPr="001B5D4F">
        <w:rPr>
          <w:rFonts w:eastAsia="Times New Roman"/>
          <w:i/>
          <w:iCs/>
          <w:lang w:val="it-IT" w:eastAsia="de-DE"/>
        </w:rPr>
        <w:t>Research</w:t>
      </w:r>
      <w:proofErr w:type="spellEnd"/>
      <w:r w:rsidRPr="001B5D4F">
        <w:rPr>
          <w:rFonts w:eastAsia="Times New Roman"/>
          <w:lang w:val="it-IT" w:eastAsia="de-DE"/>
        </w:rPr>
        <w:t xml:space="preserve"> </w:t>
      </w:r>
      <w:r w:rsidRPr="001B5D4F">
        <w:rPr>
          <w:rFonts w:eastAsia="Times New Roman"/>
          <w:b/>
          <w:bCs/>
          <w:lang w:val="it-IT" w:eastAsia="de-DE"/>
        </w:rPr>
        <w:t>2022</w:t>
      </w:r>
      <w:r w:rsidRPr="001B5D4F">
        <w:rPr>
          <w:rFonts w:eastAsia="Times New Roman"/>
          <w:lang w:val="it-IT" w:eastAsia="de-DE"/>
        </w:rPr>
        <w:t xml:space="preserve">, </w:t>
      </w:r>
      <w:r w:rsidRPr="001B5D4F">
        <w:rPr>
          <w:rFonts w:eastAsia="Times New Roman"/>
          <w:i/>
          <w:iCs/>
          <w:lang w:val="it-IT" w:eastAsia="de-DE"/>
        </w:rPr>
        <w:t>218</w:t>
      </w:r>
      <w:r w:rsidRPr="001B5D4F">
        <w:rPr>
          <w:rFonts w:eastAsia="Times New Roman"/>
          <w:lang w:val="it-IT" w:eastAsia="de-DE"/>
        </w:rPr>
        <w:t xml:space="preserve">, 118451. </w:t>
      </w:r>
      <w:hyperlink r:id="rId31" w:history="1">
        <w:r w:rsidR="00524369" w:rsidRPr="00CA4BF1">
          <w:rPr>
            <w:rStyle w:val="Collegamentoipertestuale"/>
            <w:rFonts w:eastAsia="Times New Roman"/>
            <w:lang w:val="it-IT" w:eastAsia="de-DE"/>
          </w:rPr>
          <w:t>https://doi.org/10.1016/j.watres.2022.118451</w:t>
        </w:r>
      </w:hyperlink>
      <w:r w:rsidRPr="001B5D4F">
        <w:rPr>
          <w:rFonts w:eastAsia="Times New Roman"/>
          <w:lang w:val="it-IT" w:eastAsia="de-DE"/>
        </w:rPr>
        <w:t>.</w:t>
      </w:r>
      <w:bookmarkEnd w:id="13"/>
    </w:p>
    <w:p w:rsidR="00524369" w:rsidRDefault="00524369" w:rsidP="006B5A31">
      <w:pPr>
        <w:pStyle w:val="MDPI63Notes"/>
        <w:numPr>
          <w:ilvl w:val="0"/>
          <w:numId w:val="24"/>
        </w:numPr>
        <w:spacing w:before="0"/>
        <w:rPr>
          <w:rFonts w:eastAsia="Times New Roman"/>
          <w:lang w:val="en-GB" w:eastAsia="de-DE"/>
        </w:rPr>
      </w:pPr>
      <w:bookmarkStart w:id="14" w:name="ahmed_2020_A"/>
      <w:r w:rsidRPr="001B5D4F">
        <w:rPr>
          <w:rFonts w:eastAsia="Times New Roman"/>
          <w:lang w:val="en-GB" w:eastAsia="de-DE"/>
        </w:rPr>
        <w:t xml:space="preserve">Ahmed, W.; Angel, N.; </w:t>
      </w:r>
      <w:proofErr w:type="spellStart"/>
      <w:r w:rsidRPr="001B5D4F">
        <w:rPr>
          <w:rFonts w:eastAsia="Times New Roman"/>
          <w:lang w:val="en-GB" w:eastAsia="de-DE"/>
        </w:rPr>
        <w:t>Edson</w:t>
      </w:r>
      <w:proofErr w:type="spellEnd"/>
      <w:r w:rsidRPr="001B5D4F">
        <w:rPr>
          <w:rFonts w:eastAsia="Times New Roman"/>
          <w:lang w:val="en-GB" w:eastAsia="de-DE"/>
        </w:rPr>
        <w:t xml:space="preserve">, J.; </w:t>
      </w:r>
      <w:proofErr w:type="spellStart"/>
      <w:r w:rsidRPr="001B5D4F">
        <w:rPr>
          <w:rFonts w:eastAsia="Times New Roman"/>
          <w:lang w:val="en-GB" w:eastAsia="de-DE"/>
        </w:rPr>
        <w:t>Bibby</w:t>
      </w:r>
      <w:proofErr w:type="spellEnd"/>
      <w:r w:rsidRPr="001B5D4F">
        <w:rPr>
          <w:rFonts w:eastAsia="Times New Roman"/>
          <w:lang w:val="en-GB" w:eastAsia="de-DE"/>
        </w:rPr>
        <w:t xml:space="preserve">, K.; </w:t>
      </w:r>
      <w:proofErr w:type="spellStart"/>
      <w:r w:rsidRPr="001B5D4F">
        <w:rPr>
          <w:rFonts w:eastAsia="Times New Roman"/>
          <w:lang w:val="en-GB" w:eastAsia="de-DE"/>
        </w:rPr>
        <w:t>Bivins</w:t>
      </w:r>
      <w:proofErr w:type="spellEnd"/>
      <w:r w:rsidRPr="001B5D4F">
        <w:rPr>
          <w:rFonts w:eastAsia="Times New Roman"/>
          <w:lang w:val="en-GB" w:eastAsia="de-DE"/>
        </w:rPr>
        <w:t xml:space="preserve">, A.; O’Brien, J.; </w:t>
      </w:r>
      <w:proofErr w:type="spellStart"/>
      <w:r w:rsidRPr="001B5D4F">
        <w:rPr>
          <w:rFonts w:eastAsia="Times New Roman"/>
          <w:lang w:val="en-GB" w:eastAsia="de-DE"/>
        </w:rPr>
        <w:t>Choi</w:t>
      </w:r>
      <w:proofErr w:type="spellEnd"/>
      <w:r w:rsidRPr="001B5D4F">
        <w:rPr>
          <w:rFonts w:eastAsia="Times New Roman"/>
          <w:lang w:val="en-GB" w:eastAsia="de-DE"/>
        </w:rPr>
        <w:t xml:space="preserve">, P. M.; </w:t>
      </w:r>
      <w:proofErr w:type="spellStart"/>
      <w:r w:rsidRPr="001B5D4F">
        <w:rPr>
          <w:rFonts w:eastAsia="Times New Roman"/>
          <w:lang w:val="en-GB" w:eastAsia="de-DE"/>
        </w:rPr>
        <w:t>Kitajima</w:t>
      </w:r>
      <w:proofErr w:type="spellEnd"/>
      <w:r w:rsidRPr="001B5D4F">
        <w:rPr>
          <w:rFonts w:eastAsia="Times New Roman"/>
          <w:lang w:val="en-GB" w:eastAsia="de-DE"/>
        </w:rPr>
        <w:t xml:space="preserve">, M.; Simpson, S. L.; Li, J.; </w:t>
      </w:r>
      <w:proofErr w:type="spellStart"/>
      <w:r w:rsidRPr="001B5D4F">
        <w:rPr>
          <w:rFonts w:eastAsia="Times New Roman"/>
          <w:lang w:val="en-GB" w:eastAsia="de-DE"/>
        </w:rPr>
        <w:t>Tscharke</w:t>
      </w:r>
      <w:proofErr w:type="spellEnd"/>
      <w:r w:rsidRPr="001B5D4F">
        <w:rPr>
          <w:rFonts w:eastAsia="Times New Roman"/>
          <w:lang w:val="en-GB" w:eastAsia="de-DE"/>
        </w:rPr>
        <w:t xml:space="preserve">, B. J.; </w:t>
      </w:r>
      <w:proofErr w:type="spellStart"/>
      <w:r w:rsidRPr="001B5D4F">
        <w:rPr>
          <w:rFonts w:eastAsia="Times New Roman"/>
          <w:lang w:val="en-GB" w:eastAsia="de-DE"/>
        </w:rPr>
        <w:t>Verhagen</w:t>
      </w:r>
      <w:proofErr w:type="spellEnd"/>
      <w:r w:rsidRPr="001B5D4F">
        <w:rPr>
          <w:rFonts w:eastAsia="Times New Roman"/>
          <w:lang w:val="en-GB" w:eastAsia="de-DE"/>
        </w:rPr>
        <w:t xml:space="preserve">, R.; Smith, W.; </w:t>
      </w:r>
      <w:proofErr w:type="spellStart"/>
      <w:r w:rsidRPr="001B5D4F">
        <w:rPr>
          <w:rFonts w:eastAsia="Times New Roman"/>
          <w:lang w:val="en-GB" w:eastAsia="de-DE"/>
        </w:rPr>
        <w:t>Zaugg</w:t>
      </w:r>
      <w:proofErr w:type="spellEnd"/>
      <w:r w:rsidRPr="001B5D4F">
        <w:rPr>
          <w:rFonts w:eastAsia="Times New Roman"/>
          <w:lang w:val="en-GB" w:eastAsia="de-DE"/>
        </w:rPr>
        <w:t xml:space="preserve">, J.; </w:t>
      </w:r>
      <w:proofErr w:type="spellStart"/>
      <w:r w:rsidRPr="001B5D4F">
        <w:rPr>
          <w:rFonts w:eastAsia="Times New Roman"/>
          <w:lang w:val="en-GB" w:eastAsia="de-DE"/>
        </w:rPr>
        <w:t>Dierens</w:t>
      </w:r>
      <w:proofErr w:type="spellEnd"/>
      <w:r w:rsidRPr="001B5D4F">
        <w:rPr>
          <w:rFonts w:eastAsia="Times New Roman"/>
          <w:lang w:val="en-GB" w:eastAsia="de-DE"/>
        </w:rPr>
        <w:t xml:space="preserve">, L.; </w:t>
      </w:r>
      <w:proofErr w:type="spellStart"/>
      <w:r w:rsidRPr="001B5D4F">
        <w:rPr>
          <w:rFonts w:eastAsia="Times New Roman"/>
          <w:lang w:val="en-GB" w:eastAsia="de-DE"/>
        </w:rPr>
        <w:t>Hugenholtz</w:t>
      </w:r>
      <w:proofErr w:type="spellEnd"/>
      <w:r w:rsidRPr="001B5D4F">
        <w:rPr>
          <w:rFonts w:eastAsia="Times New Roman"/>
          <w:lang w:val="en-GB" w:eastAsia="de-DE"/>
        </w:rPr>
        <w:t xml:space="preserve">, P.; Thomas, K. V.; Mueller, J. F. First confirmed detection of SARS-CoV-2 in untreated wastewater in Australia: A proof of concept for the wastewater surveillance of COVID-19 in the community. </w:t>
      </w:r>
      <w:r w:rsidRPr="001B5D4F">
        <w:rPr>
          <w:rFonts w:eastAsia="Times New Roman"/>
          <w:i/>
          <w:iCs/>
          <w:lang w:val="en-GB" w:eastAsia="de-DE"/>
        </w:rPr>
        <w:t>Science of the Total Environment</w:t>
      </w:r>
      <w:r w:rsidRPr="001B5D4F">
        <w:rPr>
          <w:rFonts w:eastAsia="Times New Roman"/>
          <w:lang w:val="en-GB" w:eastAsia="de-DE"/>
        </w:rPr>
        <w:t xml:space="preserve"> </w:t>
      </w:r>
      <w:r w:rsidRPr="001B5D4F">
        <w:rPr>
          <w:rFonts w:eastAsia="Times New Roman"/>
          <w:b/>
          <w:bCs/>
          <w:lang w:val="en-GB" w:eastAsia="de-DE"/>
        </w:rPr>
        <w:t>2020</w:t>
      </w:r>
      <w:r w:rsidRPr="001B5D4F">
        <w:rPr>
          <w:rFonts w:eastAsia="Times New Roman"/>
          <w:lang w:val="en-GB" w:eastAsia="de-DE"/>
        </w:rPr>
        <w:t xml:space="preserve">, </w:t>
      </w:r>
      <w:r w:rsidRPr="001B5D4F">
        <w:rPr>
          <w:rFonts w:eastAsia="Times New Roman"/>
          <w:i/>
          <w:iCs/>
          <w:lang w:val="en-GB" w:eastAsia="de-DE"/>
        </w:rPr>
        <w:t>728</w:t>
      </w:r>
      <w:r w:rsidRPr="001B5D4F">
        <w:rPr>
          <w:rFonts w:eastAsia="Times New Roman"/>
          <w:lang w:val="en-GB" w:eastAsia="de-DE"/>
        </w:rPr>
        <w:t xml:space="preserve">, 138764. </w:t>
      </w:r>
      <w:hyperlink r:id="rId32" w:history="1">
        <w:r w:rsidRPr="00CA4BF1">
          <w:rPr>
            <w:rStyle w:val="Collegamentoipertestuale"/>
            <w:rFonts w:eastAsia="Times New Roman"/>
            <w:lang w:val="en-GB" w:eastAsia="de-DE"/>
          </w:rPr>
          <w:t>https://doi.org/10.1016/j.scitotenv.2020.138764</w:t>
        </w:r>
      </w:hyperlink>
      <w:r w:rsidRPr="001B5D4F">
        <w:rPr>
          <w:rFonts w:eastAsia="Times New Roman"/>
          <w:lang w:val="en-GB" w:eastAsia="de-DE"/>
        </w:rPr>
        <w:t>.</w:t>
      </w:r>
    </w:p>
    <w:p w:rsidR="00524369" w:rsidRDefault="00524369" w:rsidP="00524369">
      <w:pPr>
        <w:pStyle w:val="MDPI63Notes"/>
        <w:numPr>
          <w:ilvl w:val="0"/>
          <w:numId w:val="24"/>
        </w:numPr>
        <w:spacing w:before="0"/>
        <w:rPr>
          <w:rFonts w:eastAsia="Times New Roman"/>
          <w:lang w:val="en-GB" w:eastAsia="de-DE"/>
        </w:rPr>
      </w:pPr>
      <w:bookmarkStart w:id="15" w:name="prasek_2022"/>
      <w:proofErr w:type="spellStart"/>
      <w:r w:rsidRPr="001B5D4F">
        <w:rPr>
          <w:rFonts w:eastAsia="Times New Roman"/>
          <w:lang w:val="en-GB" w:eastAsia="de-DE"/>
        </w:rPr>
        <w:t>Prasek</w:t>
      </w:r>
      <w:proofErr w:type="spellEnd"/>
      <w:r w:rsidRPr="001B5D4F">
        <w:rPr>
          <w:rFonts w:eastAsia="Times New Roman"/>
          <w:lang w:val="en-GB" w:eastAsia="de-DE"/>
        </w:rPr>
        <w:t xml:space="preserve">, S. M.; Pepper, I. L.; Innes, G. K.; </w:t>
      </w:r>
      <w:proofErr w:type="spellStart"/>
      <w:r w:rsidRPr="001B5D4F">
        <w:rPr>
          <w:rFonts w:eastAsia="Times New Roman"/>
          <w:lang w:val="en-GB" w:eastAsia="de-DE"/>
        </w:rPr>
        <w:t>Slinski</w:t>
      </w:r>
      <w:proofErr w:type="spellEnd"/>
      <w:r w:rsidRPr="001B5D4F">
        <w:rPr>
          <w:rFonts w:eastAsia="Times New Roman"/>
          <w:lang w:val="en-GB" w:eastAsia="de-DE"/>
        </w:rPr>
        <w:t xml:space="preserve">, S.; </w:t>
      </w:r>
      <w:proofErr w:type="spellStart"/>
      <w:r w:rsidRPr="001B5D4F">
        <w:rPr>
          <w:rFonts w:eastAsia="Times New Roman"/>
          <w:lang w:val="en-GB" w:eastAsia="de-DE"/>
        </w:rPr>
        <w:t>Ruedas</w:t>
      </w:r>
      <w:proofErr w:type="spellEnd"/>
      <w:r w:rsidRPr="001B5D4F">
        <w:rPr>
          <w:rFonts w:eastAsia="Times New Roman"/>
          <w:lang w:val="en-GB" w:eastAsia="de-DE"/>
        </w:rPr>
        <w:t xml:space="preserve">, M.; </w:t>
      </w:r>
      <w:proofErr w:type="spellStart"/>
      <w:r w:rsidRPr="001B5D4F">
        <w:rPr>
          <w:rFonts w:eastAsia="Times New Roman"/>
          <w:lang w:val="en-GB" w:eastAsia="de-DE"/>
        </w:rPr>
        <w:t>Sánchez</w:t>
      </w:r>
      <w:proofErr w:type="spellEnd"/>
      <w:r w:rsidRPr="001B5D4F">
        <w:rPr>
          <w:rFonts w:eastAsia="Times New Roman"/>
          <w:lang w:val="en-GB" w:eastAsia="de-DE"/>
        </w:rPr>
        <w:t xml:space="preserve">, A. C.; </w:t>
      </w:r>
      <w:proofErr w:type="spellStart"/>
      <w:r w:rsidRPr="001B5D4F">
        <w:rPr>
          <w:rFonts w:eastAsia="Times New Roman"/>
          <w:lang w:val="en-GB" w:eastAsia="de-DE"/>
        </w:rPr>
        <w:t>Brierley</w:t>
      </w:r>
      <w:proofErr w:type="spellEnd"/>
      <w:r w:rsidRPr="001B5D4F">
        <w:rPr>
          <w:rFonts w:eastAsia="Times New Roman"/>
          <w:lang w:val="en-GB" w:eastAsia="de-DE"/>
        </w:rPr>
        <w:t xml:space="preserve">, P.; Betancourt, W. Q.; Stark, E. R.; Foster, A. R.; Betts-Childress, N. D.; Schmitz, B. W. Population level SARS-CoV-2 </w:t>
      </w:r>
      <w:proofErr w:type="spellStart"/>
      <w:r w:rsidRPr="001B5D4F">
        <w:rPr>
          <w:rFonts w:eastAsia="Times New Roman"/>
          <w:lang w:val="en-GB" w:eastAsia="de-DE"/>
        </w:rPr>
        <w:t>fecal</w:t>
      </w:r>
      <w:proofErr w:type="spellEnd"/>
      <w:r w:rsidRPr="001B5D4F">
        <w:rPr>
          <w:rFonts w:eastAsia="Times New Roman"/>
          <w:lang w:val="en-GB" w:eastAsia="de-DE"/>
        </w:rPr>
        <w:t xml:space="preserve"> shedding rates determined via wastewater-based epidemiology. </w:t>
      </w:r>
      <w:r w:rsidRPr="001B5D4F">
        <w:rPr>
          <w:rFonts w:eastAsia="Times New Roman"/>
          <w:i/>
          <w:iCs/>
          <w:lang w:val="en-GB" w:eastAsia="de-DE"/>
        </w:rPr>
        <w:t>Science of the Total Environment</w:t>
      </w:r>
      <w:r w:rsidRPr="001B5D4F">
        <w:rPr>
          <w:rFonts w:eastAsia="Times New Roman"/>
          <w:lang w:val="en-GB" w:eastAsia="de-DE"/>
        </w:rPr>
        <w:t xml:space="preserve"> </w:t>
      </w:r>
      <w:r w:rsidRPr="001B5D4F">
        <w:rPr>
          <w:rFonts w:eastAsia="Times New Roman"/>
          <w:b/>
          <w:bCs/>
          <w:lang w:val="en-GB" w:eastAsia="de-DE"/>
        </w:rPr>
        <w:t>2022</w:t>
      </w:r>
      <w:r w:rsidRPr="001B5D4F">
        <w:rPr>
          <w:rFonts w:eastAsia="Times New Roman"/>
          <w:lang w:val="en-GB" w:eastAsia="de-DE"/>
        </w:rPr>
        <w:t xml:space="preserve">, </w:t>
      </w:r>
      <w:r w:rsidRPr="001B5D4F">
        <w:rPr>
          <w:rFonts w:eastAsia="Times New Roman"/>
          <w:i/>
          <w:iCs/>
          <w:lang w:val="en-GB" w:eastAsia="de-DE"/>
        </w:rPr>
        <w:t>838</w:t>
      </w:r>
      <w:r w:rsidRPr="001B5D4F">
        <w:rPr>
          <w:rFonts w:eastAsia="Times New Roman"/>
          <w:lang w:val="en-GB" w:eastAsia="de-DE"/>
        </w:rPr>
        <w:t xml:space="preserve">, 156535. </w:t>
      </w:r>
      <w:hyperlink r:id="rId33" w:history="1">
        <w:r w:rsidR="00E0768D" w:rsidRPr="00CA4BF1">
          <w:rPr>
            <w:rStyle w:val="Collegamentoipertestuale"/>
            <w:rFonts w:eastAsia="Times New Roman"/>
            <w:lang w:val="en-GB" w:eastAsia="de-DE"/>
          </w:rPr>
          <w:t>https://doi.org/10.1016/j.scitotenv.2022.156535</w:t>
        </w:r>
      </w:hyperlink>
      <w:r w:rsidRPr="001B5D4F">
        <w:rPr>
          <w:rFonts w:eastAsia="Times New Roman"/>
          <w:lang w:val="en-GB" w:eastAsia="de-DE"/>
        </w:rPr>
        <w:t>.</w:t>
      </w:r>
    </w:p>
    <w:p w:rsidR="00E0768D" w:rsidRDefault="00E0768D" w:rsidP="00E0768D">
      <w:pPr>
        <w:pStyle w:val="MDPI63Notes"/>
        <w:numPr>
          <w:ilvl w:val="0"/>
          <w:numId w:val="24"/>
        </w:numPr>
        <w:spacing w:before="0"/>
        <w:rPr>
          <w:rFonts w:eastAsia="Times New Roman"/>
          <w:lang w:val="en-GB" w:eastAsia="de-DE"/>
        </w:rPr>
      </w:pPr>
      <w:bookmarkStart w:id="16" w:name="schimtz_2021"/>
      <w:r w:rsidRPr="001B5D4F">
        <w:rPr>
          <w:rFonts w:eastAsia="Times New Roman"/>
          <w:lang w:val="en-GB" w:eastAsia="de-DE"/>
        </w:rPr>
        <w:t xml:space="preserve">Schmitz, B. W.; Innes, G. K.; </w:t>
      </w:r>
      <w:proofErr w:type="spellStart"/>
      <w:r w:rsidRPr="001B5D4F">
        <w:rPr>
          <w:rFonts w:eastAsia="Times New Roman"/>
          <w:lang w:val="en-GB" w:eastAsia="de-DE"/>
        </w:rPr>
        <w:t>Prasek</w:t>
      </w:r>
      <w:proofErr w:type="spellEnd"/>
      <w:r w:rsidRPr="001B5D4F">
        <w:rPr>
          <w:rFonts w:eastAsia="Times New Roman"/>
          <w:lang w:val="en-GB" w:eastAsia="de-DE"/>
        </w:rPr>
        <w:t xml:space="preserve">, S. M.; Betancourt, W. Q.; Stark, E. R.; Foster, A. R.; Abraham, A. G.; </w:t>
      </w:r>
      <w:proofErr w:type="spellStart"/>
      <w:r w:rsidRPr="001B5D4F">
        <w:rPr>
          <w:rFonts w:eastAsia="Times New Roman"/>
          <w:lang w:val="en-GB" w:eastAsia="de-DE"/>
        </w:rPr>
        <w:t>Gerba</w:t>
      </w:r>
      <w:proofErr w:type="spellEnd"/>
      <w:r w:rsidRPr="001B5D4F">
        <w:rPr>
          <w:rFonts w:eastAsia="Times New Roman"/>
          <w:lang w:val="en-GB" w:eastAsia="de-DE"/>
        </w:rPr>
        <w:t>, C. P.; Pe</w:t>
      </w:r>
      <w:r w:rsidRPr="001B5D4F">
        <w:rPr>
          <w:rFonts w:eastAsia="Times New Roman"/>
          <w:lang w:val="en-GB" w:eastAsia="de-DE"/>
        </w:rPr>
        <w:t>p</w:t>
      </w:r>
      <w:r w:rsidRPr="001B5D4F">
        <w:rPr>
          <w:rFonts w:eastAsia="Times New Roman"/>
          <w:lang w:val="en-GB" w:eastAsia="de-DE"/>
        </w:rPr>
        <w:t xml:space="preserve">per, I. L. Enumerating asymptomatic COVID-19 cases and estimating SARS-CoV-2 </w:t>
      </w:r>
      <w:proofErr w:type="spellStart"/>
      <w:r w:rsidRPr="001B5D4F">
        <w:rPr>
          <w:rFonts w:eastAsia="Times New Roman"/>
          <w:lang w:val="en-GB" w:eastAsia="de-DE"/>
        </w:rPr>
        <w:t>fecal</w:t>
      </w:r>
      <w:proofErr w:type="spellEnd"/>
      <w:r w:rsidRPr="001B5D4F">
        <w:rPr>
          <w:rFonts w:eastAsia="Times New Roman"/>
          <w:lang w:val="en-GB" w:eastAsia="de-DE"/>
        </w:rPr>
        <w:t xml:space="preserve"> shedding rates via wastew</w:t>
      </w:r>
      <w:r w:rsidRPr="001B5D4F">
        <w:rPr>
          <w:rFonts w:eastAsia="Times New Roman"/>
          <w:lang w:val="en-GB" w:eastAsia="de-DE"/>
        </w:rPr>
        <w:t>a</w:t>
      </w:r>
      <w:r w:rsidRPr="001B5D4F">
        <w:rPr>
          <w:rFonts w:eastAsia="Times New Roman"/>
          <w:lang w:val="en-GB" w:eastAsia="de-DE"/>
        </w:rPr>
        <w:t xml:space="preserve">ter-based epidemiology. </w:t>
      </w:r>
      <w:r w:rsidRPr="001B5D4F">
        <w:rPr>
          <w:rFonts w:eastAsia="Times New Roman"/>
          <w:i/>
          <w:iCs/>
          <w:lang w:val="en-GB" w:eastAsia="de-DE"/>
        </w:rPr>
        <w:t>Science of the Total Environment</w:t>
      </w:r>
      <w:r w:rsidRPr="001B5D4F">
        <w:rPr>
          <w:rFonts w:eastAsia="Times New Roman"/>
          <w:lang w:val="en-GB" w:eastAsia="de-DE"/>
        </w:rPr>
        <w:t xml:space="preserve"> </w:t>
      </w:r>
      <w:r w:rsidRPr="001B5D4F">
        <w:rPr>
          <w:rFonts w:eastAsia="Times New Roman"/>
          <w:b/>
          <w:bCs/>
          <w:lang w:val="en-GB" w:eastAsia="de-DE"/>
        </w:rPr>
        <w:t>2021</w:t>
      </w:r>
      <w:r w:rsidRPr="001B5D4F">
        <w:rPr>
          <w:rFonts w:eastAsia="Times New Roman"/>
          <w:lang w:val="en-GB" w:eastAsia="de-DE"/>
        </w:rPr>
        <w:t xml:space="preserve">, </w:t>
      </w:r>
      <w:r w:rsidRPr="001B5D4F">
        <w:rPr>
          <w:rFonts w:eastAsia="Times New Roman"/>
          <w:i/>
          <w:iCs/>
          <w:lang w:val="en-GB" w:eastAsia="de-DE"/>
        </w:rPr>
        <w:t>801</w:t>
      </w:r>
      <w:r w:rsidRPr="001B5D4F">
        <w:rPr>
          <w:rFonts w:eastAsia="Times New Roman"/>
          <w:lang w:val="en-GB" w:eastAsia="de-DE"/>
        </w:rPr>
        <w:t xml:space="preserve">, 149794. </w:t>
      </w:r>
      <w:hyperlink r:id="rId34" w:history="1">
        <w:r w:rsidR="004E6E22" w:rsidRPr="00CA4BF1">
          <w:rPr>
            <w:rStyle w:val="Collegamentoipertestuale"/>
            <w:rFonts w:eastAsia="Times New Roman"/>
            <w:lang w:val="en-GB" w:eastAsia="de-DE"/>
          </w:rPr>
          <w:t>https://doi.org/10.1016/j.scitotenv.2021.149794</w:t>
        </w:r>
      </w:hyperlink>
      <w:bookmarkEnd w:id="16"/>
      <w:r w:rsidRPr="001B5D4F">
        <w:rPr>
          <w:rFonts w:eastAsia="Times New Roman"/>
          <w:lang w:val="en-GB" w:eastAsia="de-DE"/>
        </w:rPr>
        <w:t>.</w:t>
      </w:r>
    </w:p>
    <w:p w:rsidR="004E6E22" w:rsidRDefault="004E6E22" w:rsidP="004E6E22">
      <w:pPr>
        <w:pStyle w:val="MDPI63Notes"/>
        <w:numPr>
          <w:ilvl w:val="0"/>
          <w:numId w:val="24"/>
        </w:numPr>
        <w:spacing w:before="0"/>
        <w:rPr>
          <w:rFonts w:eastAsia="Times New Roman"/>
          <w:lang w:val="it-IT" w:eastAsia="de-DE"/>
        </w:rPr>
      </w:pPr>
      <w:bookmarkStart w:id="17" w:name="wani_2023"/>
      <w:proofErr w:type="spellStart"/>
      <w:r w:rsidRPr="001B5D4F">
        <w:rPr>
          <w:rFonts w:eastAsia="Times New Roman"/>
          <w:lang w:val="en-GB" w:eastAsia="de-DE"/>
        </w:rPr>
        <w:t>Wani</w:t>
      </w:r>
      <w:proofErr w:type="spellEnd"/>
      <w:r w:rsidRPr="001B5D4F">
        <w:rPr>
          <w:rFonts w:eastAsia="Times New Roman"/>
          <w:lang w:val="en-GB" w:eastAsia="de-DE"/>
        </w:rPr>
        <w:t xml:space="preserve">, H.; </w:t>
      </w:r>
      <w:proofErr w:type="spellStart"/>
      <w:r w:rsidRPr="001B5D4F">
        <w:rPr>
          <w:rFonts w:eastAsia="Times New Roman"/>
          <w:lang w:val="en-GB" w:eastAsia="de-DE"/>
        </w:rPr>
        <w:t>Menon</w:t>
      </w:r>
      <w:proofErr w:type="spellEnd"/>
      <w:r w:rsidRPr="001B5D4F">
        <w:rPr>
          <w:rFonts w:eastAsia="Times New Roman"/>
          <w:lang w:val="en-GB" w:eastAsia="de-DE"/>
        </w:rPr>
        <w:t xml:space="preserve">, S.; Desai, D.; </w:t>
      </w:r>
      <w:proofErr w:type="spellStart"/>
      <w:r w:rsidRPr="001B5D4F">
        <w:rPr>
          <w:rFonts w:eastAsia="Times New Roman"/>
          <w:lang w:val="en-GB" w:eastAsia="de-DE"/>
        </w:rPr>
        <w:t>Dsouza</w:t>
      </w:r>
      <w:proofErr w:type="spellEnd"/>
      <w:r w:rsidRPr="001B5D4F">
        <w:rPr>
          <w:rFonts w:eastAsia="Times New Roman"/>
          <w:lang w:val="en-GB" w:eastAsia="de-DE"/>
        </w:rPr>
        <w:t xml:space="preserve">, N.; </w:t>
      </w:r>
      <w:proofErr w:type="spellStart"/>
      <w:r w:rsidRPr="001B5D4F">
        <w:rPr>
          <w:rFonts w:eastAsia="Times New Roman"/>
          <w:lang w:val="en-GB" w:eastAsia="de-DE"/>
        </w:rPr>
        <w:t>Bhathena</w:t>
      </w:r>
      <w:proofErr w:type="spellEnd"/>
      <w:r w:rsidRPr="001B5D4F">
        <w:rPr>
          <w:rFonts w:eastAsia="Times New Roman"/>
          <w:lang w:val="en-GB" w:eastAsia="de-DE"/>
        </w:rPr>
        <w:t xml:space="preserve">, Z.; Desai, N. B.; Rose, J. B.; </w:t>
      </w:r>
      <w:proofErr w:type="spellStart"/>
      <w:r w:rsidRPr="001B5D4F">
        <w:rPr>
          <w:rFonts w:eastAsia="Times New Roman"/>
          <w:lang w:val="en-GB" w:eastAsia="de-DE"/>
        </w:rPr>
        <w:t>Shrivastava</w:t>
      </w:r>
      <w:proofErr w:type="spellEnd"/>
      <w:r w:rsidRPr="001B5D4F">
        <w:rPr>
          <w:rFonts w:eastAsia="Times New Roman"/>
          <w:lang w:val="en-GB" w:eastAsia="de-DE"/>
        </w:rPr>
        <w:t>, S. Wastewater-Based Ep</w:t>
      </w:r>
      <w:r w:rsidRPr="001B5D4F">
        <w:rPr>
          <w:rFonts w:eastAsia="Times New Roman"/>
          <w:lang w:val="en-GB" w:eastAsia="de-DE"/>
        </w:rPr>
        <w:t>i</w:t>
      </w:r>
      <w:r w:rsidRPr="001B5D4F">
        <w:rPr>
          <w:rFonts w:eastAsia="Times New Roman"/>
          <w:lang w:val="en-GB" w:eastAsia="de-DE"/>
        </w:rPr>
        <w:t xml:space="preserve">demiology of SARS-CoV-2: Assessing Prevalence and Correlation with Clinical Cases. </w:t>
      </w:r>
      <w:proofErr w:type="spellStart"/>
      <w:r w:rsidRPr="001B5D4F">
        <w:rPr>
          <w:rFonts w:eastAsia="Times New Roman"/>
          <w:i/>
          <w:iCs/>
          <w:lang w:val="it-IT" w:eastAsia="de-DE"/>
        </w:rPr>
        <w:t>Food</w:t>
      </w:r>
      <w:proofErr w:type="spellEnd"/>
      <w:r w:rsidRPr="001B5D4F">
        <w:rPr>
          <w:rFonts w:eastAsia="Times New Roman"/>
          <w:i/>
          <w:iCs/>
          <w:lang w:val="it-IT" w:eastAsia="de-DE"/>
        </w:rPr>
        <w:t xml:space="preserve"> and </w:t>
      </w:r>
      <w:proofErr w:type="spellStart"/>
      <w:r w:rsidRPr="001B5D4F">
        <w:rPr>
          <w:rFonts w:eastAsia="Times New Roman"/>
          <w:i/>
          <w:iCs/>
          <w:lang w:val="it-IT" w:eastAsia="de-DE"/>
        </w:rPr>
        <w:t>Environmental</w:t>
      </w:r>
      <w:proofErr w:type="spellEnd"/>
      <w:r w:rsidRPr="001B5D4F">
        <w:rPr>
          <w:rFonts w:eastAsia="Times New Roman"/>
          <w:i/>
          <w:iCs/>
          <w:lang w:val="it-IT" w:eastAsia="de-DE"/>
        </w:rPr>
        <w:t xml:space="preserve"> </w:t>
      </w:r>
      <w:proofErr w:type="spellStart"/>
      <w:r w:rsidRPr="001B5D4F">
        <w:rPr>
          <w:rFonts w:eastAsia="Times New Roman"/>
          <w:i/>
          <w:iCs/>
          <w:lang w:val="it-IT" w:eastAsia="de-DE"/>
        </w:rPr>
        <w:t>Virology</w:t>
      </w:r>
      <w:proofErr w:type="spellEnd"/>
      <w:r w:rsidRPr="001B5D4F">
        <w:rPr>
          <w:rFonts w:eastAsia="Times New Roman"/>
          <w:lang w:val="it-IT" w:eastAsia="de-DE"/>
        </w:rPr>
        <w:t xml:space="preserve"> </w:t>
      </w:r>
      <w:r w:rsidRPr="001B5D4F">
        <w:rPr>
          <w:rFonts w:eastAsia="Times New Roman"/>
          <w:b/>
          <w:bCs/>
          <w:lang w:val="it-IT" w:eastAsia="de-DE"/>
        </w:rPr>
        <w:t>2023</w:t>
      </w:r>
      <w:r w:rsidRPr="001B5D4F">
        <w:rPr>
          <w:rFonts w:eastAsia="Times New Roman"/>
          <w:lang w:val="it-IT" w:eastAsia="de-DE"/>
        </w:rPr>
        <w:t xml:space="preserve">, </w:t>
      </w:r>
      <w:r w:rsidRPr="001B5D4F">
        <w:rPr>
          <w:rFonts w:eastAsia="Times New Roman"/>
          <w:i/>
          <w:iCs/>
          <w:lang w:val="it-IT" w:eastAsia="de-DE"/>
        </w:rPr>
        <w:t>15</w:t>
      </w:r>
      <w:r w:rsidRPr="001B5D4F">
        <w:rPr>
          <w:rFonts w:eastAsia="Times New Roman"/>
          <w:lang w:val="it-IT" w:eastAsia="de-DE"/>
        </w:rPr>
        <w:t xml:space="preserve"> (2), 131–143. </w:t>
      </w:r>
      <w:hyperlink r:id="rId35" w:history="1">
        <w:r w:rsidRPr="00CA4BF1">
          <w:rPr>
            <w:rStyle w:val="Collegamentoipertestuale"/>
            <w:rFonts w:eastAsia="Times New Roman"/>
            <w:lang w:val="it-IT" w:eastAsia="de-DE"/>
          </w:rPr>
          <w:t>https://doi.org/10.1007/s12560-023-09555-2</w:t>
        </w:r>
      </w:hyperlink>
      <w:r w:rsidRPr="001B5D4F">
        <w:rPr>
          <w:rFonts w:eastAsia="Times New Roman"/>
          <w:lang w:val="it-IT" w:eastAsia="de-DE"/>
        </w:rPr>
        <w:t>.</w:t>
      </w:r>
    </w:p>
    <w:p w:rsidR="004E6E22" w:rsidRDefault="004E6E22" w:rsidP="004E6E22">
      <w:pPr>
        <w:pStyle w:val="MDPI63Notes"/>
        <w:numPr>
          <w:ilvl w:val="0"/>
          <w:numId w:val="24"/>
        </w:numPr>
        <w:spacing w:before="0"/>
        <w:rPr>
          <w:rFonts w:eastAsia="Times New Roman"/>
          <w:lang w:val="it-IT" w:eastAsia="de-DE"/>
        </w:rPr>
      </w:pPr>
      <w:bookmarkStart w:id="18" w:name="mc_call_2022"/>
      <w:r w:rsidRPr="001B5D4F">
        <w:rPr>
          <w:rFonts w:eastAsia="Times New Roman"/>
          <w:lang w:val="en-GB" w:eastAsia="de-DE"/>
        </w:rPr>
        <w:t xml:space="preserve">McCall, C.; Fang, Z.; Li, D.; </w:t>
      </w:r>
      <w:proofErr w:type="spellStart"/>
      <w:r w:rsidRPr="001B5D4F">
        <w:rPr>
          <w:rFonts w:eastAsia="Times New Roman"/>
          <w:lang w:val="en-GB" w:eastAsia="de-DE"/>
        </w:rPr>
        <w:t>Czubai</w:t>
      </w:r>
      <w:proofErr w:type="spellEnd"/>
      <w:r w:rsidRPr="001B5D4F">
        <w:rPr>
          <w:rFonts w:eastAsia="Times New Roman"/>
          <w:lang w:val="en-GB" w:eastAsia="de-DE"/>
        </w:rPr>
        <w:t xml:space="preserve">, A. J.; Juan, A.; </w:t>
      </w:r>
      <w:proofErr w:type="spellStart"/>
      <w:r w:rsidRPr="001B5D4F">
        <w:rPr>
          <w:rFonts w:eastAsia="Times New Roman"/>
          <w:lang w:val="en-GB" w:eastAsia="de-DE"/>
        </w:rPr>
        <w:t>LaTurner</w:t>
      </w:r>
      <w:proofErr w:type="spellEnd"/>
      <w:r w:rsidRPr="001B5D4F">
        <w:rPr>
          <w:rFonts w:eastAsia="Times New Roman"/>
          <w:lang w:val="en-GB" w:eastAsia="de-DE"/>
        </w:rPr>
        <w:t xml:space="preserve">, Z. W.; Ensor, K. B.; Hopkins, L.; </w:t>
      </w:r>
      <w:proofErr w:type="spellStart"/>
      <w:r w:rsidRPr="001B5D4F">
        <w:rPr>
          <w:rFonts w:eastAsia="Times New Roman"/>
          <w:lang w:val="en-GB" w:eastAsia="de-DE"/>
        </w:rPr>
        <w:t>Bedient</w:t>
      </w:r>
      <w:proofErr w:type="spellEnd"/>
      <w:r w:rsidRPr="001B5D4F">
        <w:rPr>
          <w:rFonts w:eastAsia="Times New Roman"/>
          <w:lang w:val="en-GB" w:eastAsia="de-DE"/>
        </w:rPr>
        <w:t xml:space="preserve">, P. B.; </w:t>
      </w:r>
      <w:proofErr w:type="spellStart"/>
      <w:r w:rsidRPr="001B5D4F">
        <w:rPr>
          <w:rFonts w:eastAsia="Times New Roman"/>
          <w:lang w:val="en-GB" w:eastAsia="de-DE"/>
        </w:rPr>
        <w:t>Stadler</w:t>
      </w:r>
      <w:proofErr w:type="spellEnd"/>
      <w:r w:rsidRPr="001B5D4F">
        <w:rPr>
          <w:rFonts w:eastAsia="Times New Roman"/>
          <w:lang w:val="en-GB" w:eastAsia="de-DE"/>
        </w:rPr>
        <w:t xml:space="preserve">, L. B. </w:t>
      </w:r>
      <w:proofErr w:type="spellStart"/>
      <w:r w:rsidRPr="001B5D4F">
        <w:rPr>
          <w:rFonts w:eastAsia="Times New Roman"/>
          <w:lang w:val="en-GB" w:eastAsia="de-DE"/>
        </w:rPr>
        <w:t>Modeling</w:t>
      </w:r>
      <w:proofErr w:type="spellEnd"/>
      <w:r w:rsidRPr="001B5D4F">
        <w:rPr>
          <w:rFonts w:eastAsia="Times New Roman"/>
          <w:lang w:val="en-GB" w:eastAsia="de-DE"/>
        </w:rPr>
        <w:t xml:space="preserve"> SARS-CoV-2 RNA degradation in small and large </w:t>
      </w:r>
      <w:proofErr w:type="spellStart"/>
      <w:r w:rsidRPr="001B5D4F">
        <w:rPr>
          <w:rFonts w:eastAsia="Times New Roman"/>
          <w:lang w:val="en-GB" w:eastAsia="de-DE"/>
        </w:rPr>
        <w:t>sewersheds</w:t>
      </w:r>
      <w:proofErr w:type="spellEnd"/>
      <w:r w:rsidRPr="001B5D4F">
        <w:rPr>
          <w:rFonts w:eastAsia="Times New Roman"/>
          <w:lang w:val="en-GB" w:eastAsia="de-DE"/>
        </w:rPr>
        <w:t xml:space="preserve">. </w:t>
      </w:r>
      <w:proofErr w:type="spellStart"/>
      <w:r w:rsidRPr="001B5D4F">
        <w:rPr>
          <w:rFonts w:eastAsia="Times New Roman"/>
          <w:i/>
          <w:iCs/>
          <w:lang w:val="it-IT" w:eastAsia="de-DE"/>
        </w:rPr>
        <w:t>Environmental</w:t>
      </w:r>
      <w:proofErr w:type="spellEnd"/>
      <w:r w:rsidRPr="001B5D4F">
        <w:rPr>
          <w:rFonts w:eastAsia="Times New Roman"/>
          <w:i/>
          <w:iCs/>
          <w:lang w:val="it-IT" w:eastAsia="de-DE"/>
        </w:rPr>
        <w:t xml:space="preserve"> Science</w:t>
      </w:r>
      <w:r w:rsidRPr="001B5D4F">
        <w:rPr>
          <w:rFonts w:eastAsia="Times New Roman"/>
          <w:lang w:val="it-IT" w:eastAsia="de-DE"/>
        </w:rPr>
        <w:t xml:space="preserve"> </w:t>
      </w:r>
      <w:r w:rsidRPr="001B5D4F">
        <w:rPr>
          <w:rFonts w:eastAsia="Times New Roman"/>
          <w:b/>
          <w:bCs/>
          <w:lang w:val="it-IT" w:eastAsia="de-DE"/>
        </w:rPr>
        <w:t>2022</w:t>
      </w:r>
      <w:r w:rsidRPr="001B5D4F">
        <w:rPr>
          <w:rFonts w:eastAsia="Times New Roman"/>
          <w:lang w:val="it-IT" w:eastAsia="de-DE"/>
        </w:rPr>
        <w:t xml:space="preserve">, </w:t>
      </w:r>
      <w:r w:rsidRPr="001B5D4F">
        <w:rPr>
          <w:rFonts w:eastAsia="Times New Roman"/>
          <w:i/>
          <w:iCs/>
          <w:lang w:val="it-IT" w:eastAsia="de-DE"/>
        </w:rPr>
        <w:t>8</w:t>
      </w:r>
      <w:r w:rsidRPr="001B5D4F">
        <w:rPr>
          <w:rFonts w:eastAsia="Times New Roman"/>
          <w:lang w:val="it-IT" w:eastAsia="de-DE"/>
        </w:rPr>
        <w:t xml:space="preserve"> (2), 290–300. </w:t>
      </w:r>
      <w:hyperlink r:id="rId36" w:history="1">
        <w:r w:rsidR="00D331C8" w:rsidRPr="00FA1E65">
          <w:rPr>
            <w:rStyle w:val="Collegamentoipertestuale"/>
            <w:rFonts w:eastAsia="Times New Roman"/>
            <w:lang w:val="it-IT" w:eastAsia="de-DE"/>
          </w:rPr>
          <w:t>https://doi.org/10.1039/d1ew00717c</w:t>
        </w:r>
      </w:hyperlink>
      <w:bookmarkEnd w:id="18"/>
      <w:r w:rsidRPr="001B5D4F">
        <w:rPr>
          <w:rFonts w:eastAsia="Times New Roman"/>
          <w:lang w:val="it-IT" w:eastAsia="de-DE"/>
        </w:rPr>
        <w:t>.</w:t>
      </w:r>
    </w:p>
    <w:p w:rsidR="00D331C8" w:rsidRDefault="00D331C8" w:rsidP="00D331C8">
      <w:pPr>
        <w:pStyle w:val="MDPI63Notes"/>
        <w:numPr>
          <w:ilvl w:val="0"/>
          <w:numId w:val="24"/>
        </w:numPr>
        <w:spacing w:before="0"/>
        <w:rPr>
          <w:rFonts w:eastAsia="Times New Roman"/>
          <w:lang w:val="en-GB" w:eastAsia="de-DE"/>
        </w:rPr>
      </w:pPr>
      <w:bookmarkStart w:id="19" w:name="ISTAT"/>
      <w:r w:rsidRPr="001B5D4F">
        <w:rPr>
          <w:rFonts w:eastAsia="Times New Roman"/>
          <w:i/>
          <w:iCs/>
          <w:lang w:val="en-GB" w:eastAsia="de-DE"/>
        </w:rPr>
        <w:t>Databases and information system</w:t>
      </w:r>
      <w:r w:rsidRPr="001B5D4F">
        <w:rPr>
          <w:rFonts w:eastAsia="Times New Roman"/>
          <w:lang w:val="en-GB" w:eastAsia="de-DE"/>
        </w:rPr>
        <w:t xml:space="preserve">. </w:t>
      </w:r>
      <w:hyperlink r:id="rId37" w:history="1">
        <w:r w:rsidR="008D41CD" w:rsidRPr="00FA1E65">
          <w:rPr>
            <w:rStyle w:val="Collegamentoipertestuale"/>
            <w:rFonts w:eastAsia="Times New Roman"/>
            <w:lang w:val="en-GB" w:eastAsia="de-DE"/>
          </w:rPr>
          <w:t>https://www.istat.it/en/analysis-and-products/databases</w:t>
        </w:r>
      </w:hyperlink>
      <w:r w:rsidRPr="001B5D4F">
        <w:rPr>
          <w:rFonts w:eastAsia="Times New Roman"/>
          <w:lang w:val="en-GB" w:eastAsia="de-DE"/>
        </w:rPr>
        <w:t>.</w:t>
      </w:r>
    </w:p>
    <w:p w:rsidR="008D41CD" w:rsidRDefault="008D41CD" w:rsidP="008D41CD">
      <w:pPr>
        <w:pStyle w:val="MDPI63Notes"/>
        <w:numPr>
          <w:ilvl w:val="0"/>
          <w:numId w:val="24"/>
        </w:numPr>
        <w:spacing w:before="0"/>
        <w:rPr>
          <w:rFonts w:eastAsia="Times New Roman"/>
          <w:lang w:val="en-GB" w:eastAsia="de-DE"/>
        </w:rPr>
      </w:pPr>
      <w:bookmarkStart w:id="20" w:name="aree_stat_bologna"/>
      <w:r>
        <w:rPr>
          <w:rFonts w:eastAsia="Times New Roman"/>
          <w:i/>
          <w:iCs/>
          <w:lang w:val="en-GB" w:eastAsia="de-DE"/>
        </w:rPr>
        <w:t>Statistical areas of Bologna</w:t>
      </w:r>
      <w:r w:rsidRPr="008D41CD">
        <w:rPr>
          <w:rFonts w:eastAsia="Times New Roman"/>
          <w:lang w:val="en-GB" w:eastAsia="de-DE"/>
        </w:rPr>
        <w:t xml:space="preserve">. </w:t>
      </w:r>
      <w:hyperlink r:id="rId38" w:history="1">
        <w:r w:rsidR="00BC233F" w:rsidRPr="00FA1E65">
          <w:rPr>
            <w:rStyle w:val="Collegamentoipertestuale"/>
            <w:rFonts w:eastAsia="Times New Roman"/>
            <w:lang w:val="en-GB" w:eastAsia="de-DE"/>
          </w:rPr>
          <w:t>https://opendata.comune.bologna.it/explore/dataset/aree-statistiche/information/</w:t>
        </w:r>
      </w:hyperlink>
      <w:r w:rsidRPr="008D41CD">
        <w:rPr>
          <w:rFonts w:eastAsia="Times New Roman"/>
          <w:lang w:val="en-GB" w:eastAsia="de-DE"/>
        </w:rPr>
        <w:t>.</w:t>
      </w:r>
      <w:bookmarkEnd w:id="20"/>
    </w:p>
    <w:p w:rsidR="00BC233F" w:rsidRDefault="00BC233F" w:rsidP="00BC233F">
      <w:pPr>
        <w:pStyle w:val="MDPI63Notes"/>
        <w:numPr>
          <w:ilvl w:val="0"/>
          <w:numId w:val="24"/>
        </w:numPr>
        <w:spacing w:before="0"/>
        <w:rPr>
          <w:rFonts w:eastAsia="Times New Roman"/>
          <w:lang w:val="it-IT" w:eastAsia="de-DE"/>
        </w:rPr>
      </w:pPr>
      <w:bookmarkStart w:id="21" w:name="protocollo_sari"/>
      <w:r>
        <w:rPr>
          <w:rFonts w:eastAsia="Times New Roman"/>
          <w:lang w:val="it-IT" w:eastAsia="de-DE"/>
        </w:rPr>
        <w:t xml:space="preserve">La Rosa, G.; </w:t>
      </w:r>
      <w:proofErr w:type="spellStart"/>
      <w:r>
        <w:rPr>
          <w:rFonts w:eastAsia="Times New Roman"/>
          <w:lang w:val="it-IT" w:eastAsia="de-DE"/>
        </w:rPr>
        <w:t>Bonadonna</w:t>
      </w:r>
      <w:proofErr w:type="spellEnd"/>
      <w:r>
        <w:rPr>
          <w:rFonts w:eastAsia="Times New Roman"/>
          <w:lang w:val="it-IT" w:eastAsia="de-DE"/>
        </w:rPr>
        <w:t>, L.;</w:t>
      </w:r>
      <w:r w:rsidRPr="00BC233F">
        <w:rPr>
          <w:rFonts w:eastAsia="Times New Roman"/>
          <w:lang w:val="it-IT" w:eastAsia="de-DE"/>
        </w:rPr>
        <w:t xml:space="preserve"> </w:t>
      </w:r>
      <w:proofErr w:type="spellStart"/>
      <w:r w:rsidRPr="00BC233F">
        <w:rPr>
          <w:rFonts w:eastAsia="Times New Roman"/>
          <w:lang w:val="it-IT" w:eastAsia="de-DE"/>
        </w:rPr>
        <w:t>Suffredini</w:t>
      </w:r>
      <w:proofErr w:type="spellEnd"/>
      <w:r w:rsidRPr="00BC233F">
        <w:rPr>
          <w:rFonts w:eastAsia="Times New Roman"/>
          <w:lang w:val="it-IT" w:eastAsia="de-DE"/>
        </w:rPr>
        <w:t xml:space="preserve">, E. </w:t>
      </w:r>
      <w:r w:rsidRPr="001B5D4F">
        <w:rPr>
          <w:rFonts w:eastAsia="Times New Roman"/>
          <w:lang w:val="it-IT" w:eastAsia="de-DE"/>
        </w:rPr>
        <w:t xml:space="preserve">Protocollo della Sorveglianza di SARS-CoV-2 in reflui urbani (SARI) - rev. 3. </w:t>
      </w:r>
      <w:proofErr w:type="spellStart"/>
      <w:r w:rsidRPr="001B5D4F">
        <w:rPr>
          <w:rFonts w:eastAsia="Times New Roman"/>
          <w:i/>
          <w:iCs/>
          <w:lang w:val="it-IT" w:eastAsia="de-DE"/>
        </w:rPr>
        <w:t>Zenodo</w:t>
      </w:r>
      <w:proofErr w:type="spellEnd"/>
      <w:r w:rsidRPr="001B5D4F">
        <w:rPr>
          <w:rFonts w:eastAsia="Times New Roman"/>
          <w:lang w:val="it-IT" w:eastAsia="de-DE"/>
        </w:rPr>
        <w:t xml:space="preserve"> </w:t>
      </w:r>
      <w:r w:rsidRPr="001B5D4F">
        <w:rPr>
          <w:rFonts w:eastAsia="Times New Roman"/>
          <w:b/>
          <w:bCs/>
          <w:lang w:val="it-IT" w:eastAsia="de-DE"/>
        </w:rPr>
        <w:t>2022</w:t>
      </w:r>
      <w:r w:rsidRPr="001B5D4F">
        <w:rPr>
          <w:rFonts w:eastAsia="Times New Roman"/>
          <w:lang w:val="it-IT" w:eastAsia="de-DE"/>
        </w:rPr>
        <w:t xml:space="preserve">. </w:t>
      </w:r>
      <w:hyperlink r:id="rId39" w:history="1">
        <w:r w:rsidRPr="008E3C0D">
          <w:rPr>
            <w:rStyle w:val="Collegamentoipertestuale"/>
            <w:rFonts w:eastAsia="Times New Roman"/>
            <w:lang w:val="it-IT" w:eastAsia="de-DE"/>
          </w:rPr>
          <w:t>https://doi.org/10.5281/zenodo.5758725</w:t>
        </w:r>
      </w:hyperlink>
      <w:bookmarkEnd w:id="21"/>
      <w:r w:rsidRPr="001B5D4F">
        <w:rPr>
          <w:rFonts w:eastAsia="Times New Roman"/>
          <w:lang w:val="it-IT" w:eastAsia="de-DE"/>
        </w:rPr>
        <w:t>.</w:t>
      </w:r>
    </w:p>
    <w:p w:rsidR="00C45AE0" w:rsidRDefault="00C45AE0" w:rsidP="00C45AE0">
      <w:pPr>
        <w:pStyle w:val="MDPI63Notes"/>
        <w:numPr>
          <w:ilvl w:val="0"/>
          <w:numId w:val="24"/>
        </w:numPr>
        <w:spacing w:before="0"/>
        <w:rPr>
          <w:rFonts w:eastAsia="Times New Roman"/>
          <w:lang w:val="it-IT" w:eastAsia="de-DE"/>
        </w:rPr>
      </w:pPr>
      <w:bookmarkStart w:id="22" w:name="Wu_2020"/>
      <w:r w:rsidRPr="001B5D4F">
        <w:rPr>
          <w:rFonts w:eastAsia="Times New Roman"/>
          <w:lang w:val="en-GB" w:eastAsia="de-DE"/>
        </w:rPr>
        <w:t xml:space="preserve">Wu, F.; Zhang, J.; Xiao, A.; </w:t>
      </w:r>
      <w:proofErr w:type="spellStart"/>
      <w:r w:rsidRPr="001B5D4F">
        <w:rPr>
          <w:rFonts w:eastAsia="Times New Roman"/>
          <w:lang w:val="en-GB" w:eastAsia="de-DE"/>
        </w:rPr>
        <w:t>Gu</w:t>
      </w:r>
      <w:proofErr w:type="spellEnd"/>
      <w:r w:rsidRPr="001B5D4F">
        <w:rPr>
          <w:rFonts w:eastAsia="Times New Roman"/>
          <w:lang w:val="en-GB" w:eastAsia="de-DE"/>
        </w:rPr>
        <w:t xml:space="preserve">, X.; Lee, W. L.; </w:t>
      </w:r>
      <w:proofErr w:type="spellStart"/>
      <w:r w:rsidRPr="001B5D4F">
        <w:rPr>
          <w:rFonts w:eastAsia="Times New Roman"/>
          <w:lang w:val="en-GB" w:eastAsia="de-DE"/>
        </w:rPr>
        <w:t>Armas</w:t>
      </w:r>
      <w:proofErr w:type="spellEnd"/>
      <w:r w:rsidRPr="001B5D4F">
        <w:rPr>
          <w:rFonts w:eastAsia="Times New Roman"/>
          <w:lang w:val="en-GB" w:eastAsia="de-DE"/>
        </w:rPr>
        <w:t xml:space="preserve">, F.; Kauffman, K. M.; </w:t>
      </w:r>
      <w:proofErr w:type="spellStart"/>
      <w:r w:rsidRPr="001B5D4F">
        <w:rPr>
          <w:rFonts w:eastAsia="Times New Roman"/>
          <w:lang w:val="en-GB" w:eastAsia="de-DE"/>
        </w:rPr>
        <w:t>Hanage</w:t>
      </w:r>
      <w:proofErr w:type="spellEnd"/>
      <w:r w:rsidRPr="001B5D4F">
        <w:rPr>
          <w:rFonts w:eastAsia="Times New Roman"/>
          <w:lang w:val="en-GB" w:eastAsia="de-DE"/>
        </w:rPr>
        <w:t xml:space="preserve">, W. P.; </w:t>
      </w:r>
      <w:proofErr w:type="spellStart"/>
      <w:r w:rsidRPr="001B5D4F">
        <w:rPr>
          <w:rFonts w:eastAsia="Times New Roman"/>
          <w:lang w:val="en-GB" w:eastAsia="de-DE"/>
        </w:rPr>
        <w:t>Matus</w:t>
      </w:r>
      <w:proofErr w:type="spellEnd"/>
      <w:r w:rsidRPr="001B5D4F">
        <w:rPr>
          <w:rFonts w:eastAsia="Times New Roman"/>
          <w:lang w:val="en-GB" w:eastAsia="de-DE"/>
        </w:rPr>
        <w:t xml:space="preserve">, M.; </w:t>
      </w:r>
      <w:proofErr w:type="spellStart"/>
      <w:r w:rsidRPr="001B5D4F">
        <w:rPr>
          <w:rFonts w:eastAsia="Times New Roman"/>
          <w:lang w:val="en-GB" w:eastAsia="de-DE"/>
        </w:rPr>
        <w:t>Ghaeli</w:t>
      </w:r>
      <w:proofErr w:type="spellEnd"/>
      <w:r w:rsidRPr="001B5D4F">
        <w:rPr>
          <w:rFonts w:eastAsia="Times New Roman"/>
          <w:lang w:val="en-GB" w:eastAsia="de-DE"/>
        </w:rPr>
        <w:t xml:space="preserve">, N.; Endo, N.; </w:t>
      </w:r>
      <w:proofErr w:type="spellStart"/>
      <w:r w:rsidRPr="001B5D4F">
        <w:rPr>
          <w:rFonts w:eastAsia="Times New Roman"/>
          <w:lang w:val="en-GB" w:eastAsia="de-DE"/>
        </w:rPr>
        <w:t>Duvallet</w:t>
      </w:r>
      <w:proofErr w:type="spellEnd"/>
      <w:r w:rsidRPr="001B5D4F">
        <w:rPr>
          <w:rFonts w:eastAsia="Times New Roman"/>
          <w:lang w:val="en-GB" w:eastAsia="de-DE"/>
        </w:rPr>
        <w:t xml:space="preserve">, C.; </w:t>
      </w:r>
      <w:proofErr w:type="spellStart"/>
      <w:r w:rsidRPr="001B5D4F">
        <w:rPr>
          <w:rFonts w:eastAsia="Times New Roman"/>
          <w:lang w:val="en-GB" w:eastAsia="de-DE"/>
        </w:rPr>
        <w:t>Poyet</w:t>
      </w:r>
      <w:proofErr w:type="spellEnd"/>
      <w:r w:rsidRPr="001B5D4F">
        <w:rPr>
          <w:rFonts w:eastAsia="Times New Roman"/>
          <w:lang w:val="en-GB" w:eastAsia="de-DE"/>
        </w:rPr>
        <w:t xml:space="preserve">, M.; Moniz, K.; </w:t>
      </w:r>
      <w:proofErr w:type="spellStart"/>
      <w:r w:rsidRPr="001B5D4F">
        <w:rPr>
          <w:rFonts w:eastAsia="Times New Roman"/>
          <w:lang w:val="en-GB" w:eastAsia="de-DE"/>
        </w:rPr>
        <w:t>Washburne</w:t>
      </w:r>
      <w:proofErr w:type="spellEnd"/>
      <w:r w:rsidRPr="001B5D4F">
        <w:rPr>
          <w:rFonts w:eastAsia="Times New Roman"/>
          <w:lang w:val="en-GB" w:eastAsia="de-DE"/>
        </w:rPr>
        <w:t xml:space="preserve">, A. D.; Erickson, T.; </w:t>
      </w:r>
      <w:proofErr w:type="spellStart"/>
      <w:r w:rsidRPr="001B5D4F">
        <w:rPr>
          <w:rFonts w:eastAsia="Times New Roman"/>
          <w:lang w:val="en-GB" w:eastAsia="de-DE"/>
        </w:rPr>
        <w:t>Chai</w:t>
      </w:r>
      <w:proofErr w:type="spellEnd"/>
      <w:r w:rsidRPr="001B5D4F">
        <w:rPr>
          <w:rFonts w:eastAsia="Times New Roman"/>
          <w:lang w:val="en-GB" w:eastAsia="de-DE"/>
        </w:rPr>
        <w:t xml:space="preserve">, P. R.; Thompson, J. R.; </w:t>
      </w:r>
      <w:proofErr w:type="spellStart"/>
      <w:r w:rsidRPr="001B5D4F">
        <w:rPr>
          <w:rFonts w:eastAsia="Times New Roman"/>
          <w:lang w:val="en-GB" w:eastAsia="de-DE"/>
        </w:rPr>
        <w:t>Alm</w:t>
      </w:r>
      <w:proofErr w:type="spellEnd"/>
      <w:r w:rsidRPr="001B5D4F">
        <w:rPr>
          <w:rFonts w:eastAsia="Times New Roman"/>
          <w:lang w:val="en-GB" w:eastAsia="de-DE"/>
        </w:rPr>
        <w:t xml:space="preserve">, E. J. SARS-CoV-2 </w:t>
      </w:r>
      <w:proofErr w:type="spellStart"/>
      <w:r w:rsidRPr="001B5D4F">
        <w:rPr>
          <w:rFonts w:eastAsia="Times New Roman"/>
          <w:lang w:val="en-GB" w:eastAsia="de-DE"/>
        </w:rPr>
        <w:t>Titers</w:t>
      </w:r>
      <w:proofErr w:type="spellEnd"/>
      <w:r w:rsidRPr="001B5D4F">
        <w:rPr>
          <w:rFonts w:eastAsia="Times New Roman"/>
          <w:lang w:val="en-GB" w:eastAsia="de-DE"/>
        </w:rPr>
        <w:t xml:space="preserve"> in Wastewater Are Higher than Expected from Clinically Confirmed Cases. </w:t>
      </w:r>
      <w:proofErr w:type="spellStart"/>
      <w:r w:rsidRPr="001B5D4F">
        <w:rPr>
          <w:rFonts w:eastAsia="Times New Roman"/>
          <w:i/>
          <w:iCs/>
          <w:lang w:val="it-IT" w:eastAsia="de-DE"/>
        </w:rPr>
        <w:t>MSystems</w:t>
      </w:r>
      <w:proofErr w:type="spellEnd"/>
      <w:r w:rsidRPr="001B5D4F">
        <w:rPr>
          <w:rFonts w:eastAsia="Times New Roman"/>
          <w:lang w:val="it-IT" w:eastAsia="de-DE"/>
        </w:rPr>
        <w:t xml:space="preserve"> </w:t>
      </w:r>
      <w:r w:rsidRPr="001B5D4F">
        <w:rPr>
          <w:rFonts w:eastAsia="Times New Roman"/>
          <w:b/>
          <w:bCs/>
          <w:lang w:val="it-IT" w:eastAsia="de-DE"/>
        </w:rPr>
        <w:t>2020</w:t>
      </w:r>
      <w:r w:rsidRPr="001B5D4F">
        <w:rPr>
          <w:rFonts w:eastAsia="Times New Roman"/>
          <w:lang w:val="it-IT" w:eastAsia="de-DE"/>
        </w:rPr>
        <w:t xml:space="preserve">, </w:t>
      </w:r>
      <w:r w:rsidRPr="001B5D4F">
        <w:rPr>
          <w:rFonts w:eastAsia="Times New Roman"/>
          <w:i/>
          <w:iCs/>
          <w:lang w:val="it-IT" w:eastAsia="de-DE"/>
        </w:rPr>
        <w:t>5</w:t>
      </w:r>
      <w:r w:rsidRPr="001B5D4F">
        <w:rPr>
          <w:rFonts w:eastAsia="Times New Roman"/>
          <w:lang w:val="it-IT" w:eastAsia="de-DE"/>
        </w:rPr>
        <w:t xml:space="preserve"> (4). </w:t>
      </w:r>
      <w:hyperlink r:id="rId40" w:history="1">
        <w:r w:rsidR="00F26820" w:rsidRPr="00FA1E65">
          <w:rPr>
            <w:rStyle w:val="Collegamentoipertestuale"/>
            <w:rFonts w:eastAsia="Times New Roman"/>
            <w:lang w:val="it-IT" w:eastAsia="de-DE"/>
          </w:rPr>
          <w:t>https://doi.org/10.1128/msystems.00614-20</w:t>
        </w:r>
      </w:hyperlink>
      <w:bookmarkEnd w:id="22"/>
      <w:r w:rsidRPr="001B5D4F">
        <w:rPr>
          <w:rFonts w:eastAsia="Times New Roman"/>
          <w:lang w:val="it-IT" w:eastAsia="de-DE"/>
        </w:rPr>
        <w:t>.</w:t>
      </w:r>
    </w:p>
    <w:p w:rsidR="00F26820" w:rsidRDefault="00F26820" w:rsidP="00F26820">
      <w:pPr>
        <w:pStyle w:val="MDPI63Notes"/>
        <w:numPr>
          <w:ilvl w:val="0"/>
          <w:numId w:val="24"/>
        </w:numPr>
        <w:spacing w:before="0"/>
        <w:rPr>
          <w:rFonts w:eastAsia="Times New Roman"/>
          <w:lang w:val="en-GB" w:eastAsia="de-DE"/>
        </w:rPr>
      </w:pPr>
      <w:bookmarkStart w:id="23" w:name="ahmed_2020_b"/>
      <w:r w:rsidRPr="001B5D4F">
        <w:rPr>
          <w:rFonts w:eastAsia="Times New Roman"/>
          <w:lang w:val="en-GB" w:eastAsia="de-DE"/>
        </w:rPr>
        <w:t xml:space="preserve">Ahmed, W.; </w:t>
      </w:r>
      <w:proofErr w:type="spellStart"/>
      <w:r w:rsidRPr="001B5D4F">
        <w:rPr>
          <w:rFonts w:eastAsia="Times New Roman"/>
          <w:lang w:val="en-GB" w:eastAsia="de-DE"/>
        </w:rPr>
        <w:t>Bertsch</w:t>
      </w:r>
      <w:proofErr w:type="spellEnd"/>
      <w:r w:rsidRPr="001B5D4F">
        <w:rPr>
          <w:rFonts w:eastAsia="Times New Roman"/>
          <w:lang w:val="en-GB" w:eastAsia="de-DE"/>
        </w:rPr>
        <w:t xml:space="preserve">, P. M.; </w:t>
      </w:r>
      <w:proofErr w:type="spellStart"/>
      <w:r w:rsidRPr="001B5D4F">
        <w:rPr>
          <w:rFonts w:eastAsia="Times New Roman"/>
          <w:lang w:val="en-GB" w:eastAsia="de-DE"/>
        </w:rPr>
        <w:t>Bibby</w:t>
      </w:r>
      <w:proofErr w:type="spellEnd"/>
      <w:r w:rsidRPr="001B5D4F">
        <w:rPr>
          <w:rFonts w:eastAsia="Times New Roman"/>
          <w:lang w:val="en-GB" w:eastAsia="de-DE"/>
        </w:rPr>
        <w:t xml:space="preserve">, K.; </w:t>
      </w:r>
      <w:proofErr w:type="spellStart"/>
      <w:r w:rsidRPr="001B5D4F">
        <w:rPr>
          <w:rFonts w:eastAsia="Times New Roman"/>
          <w:lang w:val="en-GB" w:eastAsia="de-DE"/>
        </w:rPr>
        <w:t>Haramoto</w:t>
      </w:r>
      <w:proofErr w:type="spellEnd"/>
      <w:r w:rsidRPr="001B5D4F">
        <w:rPr>
          <w:rFonts w:eastAsia="Times New Roman"/>
          <w:lang w:val="en-GB" w:eastAsia="de-DE"/>
        </w:rPr>
        <w:t xml:space="preserve">, E.; Hewitt, J.; Huygens, F.; </w:t>
      </w:r>
      <w:proofErr w:type="spellStart"/>
      <w:r w:rsidRPr="001B5D4F">
        <w:rPr>
          <w:rFonts w:eastAsia="Times New Roman"/>
          <w:lang w:val="en-GB" w:eastAsia="de-DE"/>
        </w:rPr>
        <w:t>Gyawali</w:t>
      </w:r>
      <w:proofErr w:type="spellEnd"/>
      <w:r w:rsidRPr="001B5D4F">
        <w:rPr>
          <w:rFonts w:eastAsia="Times New Roman"/>
          <w:lang w:val="en-GB" w:eastAsia="de-DE"/>
        </w:rPr>
        <w:t xml:space="preserve">, P.; </w:t>
      </w:r>
      <w:proofErr w:type="spellStart"/>
      <w:r w:rsidRPr="001B5D4F">
        <w:rPr>
          <w:rFonts w:eastAsia="Times New Roman"/>
          <w:lang w:val="en-GB" w:eastAsia="de-DE"/>
        </w:rPr>
        <w:t>Korajkic</w:t>
      </w:r>
      <w:proofErr w:type="spellEnd"/>
      <w:r w:rsidRPr="001B5D4F">
        <w:rPr>
          <w:rFonts w:eastAsia="Times New Roman"/>
          <w:lang w:val="en-GB" w:eastAsia="de-DE"/>
        </w:rPr>
        <w:t xml:space="preserve">, A.; Riddell, S.; </w:t>
      </w:r>
      <w:proofErr w:type="spellStart"/>
      <w:r w:rsidRPr="001B5D4F">
        <w:rPr>
          <w:rFonts w:eastAsia="Times New Roman"/>
          <w:lang w:val="en-GB" w:eastAsia="de-DE"/>
        </w:rPr>
        <w:t>Sherchan</w:t>
      </w:r>
      <w:proofErr w:type="spellEnd"/>
      <w:r w:rsidRPr="001B5D4F">
        <w:rPr>
          <w:rFonts w:eastAsia="Times New Roman"/>
          <w:lang w:val="en-GB" w:eastAsia="de-DE"/>
        </w:rPr>
        <w:t xml:space="preserve">, S. P.; Simpson, S. L.; </w:t>
      </w:r>
      <w:proofErr w:type="spellStart"/>
      <w:r w:rsidRPr="001B5D4F">
        <w:rPr>
          <w:rFonts w:eastAsia="Times New Roman"/>
          <w:lang w:val="en-GB" w:eastAsia="de-DE"/>
        </w:rPr>
        <w:t>Sirikanchana</w:t>
      </w:r>
      <w:proofErr w:type="spellEnd"/>
      <w:r w:rsidRPr="001B5D4F">
        <w:rPr>
          <w:rFonts w:eastAsia="Times New Roman"/>
          <w:lang w:val="en-GB" w:eastAsia="de-DE"/>
        </w:rPr>
        <w:t xml:space="preserve">, K.; Symonds, E. M.; </w:t>
      </w:r>
      <w:proofErr w:type="spellStart"/>
      <w:r w:rsidRPr="001B5D4F">
        <w:rPr>
          <w:rFonts w:eastAsia="Times New Roman"/>
          <w:lang w:val="en-GB" w:eastAsia="de-DE"/>
        </w:rPr>
        <w:t>Verhagen</w:t>
      </w:r>
      <w:proofErr w:type="spellEnd"/>
      <w:r w:rsidRPr="001B5D4F">
        <w:rPr>
          <w:rFonts w:eastAsia="Times New Roman"/>
          <w:lang w:val="en-GB" w:eastAsia="de-DE"/>
        </w:rPr>
        <w:t xml:space="preserve">, R.; </w:t>
      </w:r>
      <w:proofErr w:type="spellStart"/>
      <w:r w:rsidRPr="001B5D4F">
        <w:rPr>
          <w:rFonts w:eastAsia="Times New Roman"/>
          <w:lang w:val="en-GB" w:eastAsia="de-DE"/>
        </w:rPr>
        <w:t>Vasan</w:t>
      </w:r>
      <w:proofErr w:type="spellEnd"/>
      <w:r w:rsidRPr="001B5D4F">
        <w:rPr>
          <w:rFonts w:eastAsia="Times New Roman"/>
          <w:lang w:val="en-GB" w:eastAsia="de-DE"/>
        </w:rPr>
        <w:t xml:space="preserve">, S. S.; </w:t>
      </w:r>
      <w:proofErr w:type="spellStart"/>
      <w:r w:rsidRPr="001B5D4F">
        <w:rPr>
          <w:rFonts w:eastAsia="Times New Roman"/>
          <w:lang w:val="en-GB" w:eastAsia="de-DE"/>
        </w:rPr>
        <w:t>Kitajima</w:t>
      </w:r>
      <w:proofErr w:type="spellEnd"/>
      <w:r w:rsidRPr="001B5D4F">
        <w:rPr>
          <w:rFonts w:eastAsia="Times New Roman"/>
          <w:lang w:val="en-GB" w:eastAsia="de-DE"/>
        </w:rPr>
        <w:t xml:space="preserve">, M.; </w:t>
      </w:r>
      <w:proofErr w:type="spellStart"/>
      <w:r w:rsidRPr="001B5D4F">
        <w:rPr>
          <w:rFonts w:eastAsia="Times New Roman"/>
          <w:lang w:val="en-GB" w:eastAsia="de-DE"/>
        </w:rPr>
        <w:t>Bivins</w:t>
      </w:r>
      <w:proofErr w:type="spellEnd"/>
      <w:r w:rsidRPr="001B5D4F">
        <w:rPr>
          <w:rFonts w:eastAsia="Times New Roman"/>
          <w:lang w:val="en-GB" w:eastAsia="de-DE"/>
        </w:rPr>
        <w:t xml:space="preserve">, A. Decay of SARS-CoV-2 and surrogate </w:t>
      </w:r>
      <w:proofErr w:type="spellStart"/>
      <w:r w:rsidRPr="001B5D4F">
        <w:rPr>
          <w:rFonts w:eastAsia="Times New Roman"/>
          <w:lang w:val="en-GB" w:eastAsia="de-DE"/>
        </w:rPr>
        <w:t>murine</w:t>
      </w:r>
      <w:proofErr w:type="spellEnd"/>
      <w:r w:rsidRPr="001B5D4F">
        <w:rPr>
          <w:rFonts w:eastAsia="Times New Roman"/>
          <w:lang w:val="en-GB" w:eastAsia="de-DE"/>
        </w:rPr>
        <w:t xml:space="preserve"> hepatitis virus RNA in untreated wastewater to inform application in wastew</w:t>
      </w:r>
      <w:r w:rsidRPr="001B5D4F">
        <w:rPr>
          <w:rFonts w:eastAsia="Times New Roman"/>
          <w:lang w:val="en-GB" w:eastAsia="de-DE"/>
        </w:rPr>
        <w:t>a</w:t>
      </w:r>
      <w:r w:rsidRPr="001B5D4F">
        <w:rPr>
          <w:rFonts w:eastAsia="Times New Roman"/>
          <w:lang w:val="en-GB" w:eastAsia="de-DE"/>
        </w:rPr>
        <w:t xml:space="preserve">ter-based epidemiology. </w:t>
      </w:r>
      <w:r w:rsidRPr="00524369">
        <w:rPr>
          <w:rFonts w:eastAsia="Times New Roman"/>
          <w:i/>
          <w:iCs/>
          <w:lang w:val="en-GB" w:eastAsia="de-DE"/>
        </w:rPr>
        <w:t>Environmental Research</w:t>
      </w:r>
      <w:r w:rsidRPr="00524369">
        <w:rPr>
          <w:rFonts w:eastAsia="Times New Roman"/>
          <w:lang w:val="en-GB" w:eastAsia="de-DE"/>
        </w:rPr>
        <w:t xml:space="preserve"> </w:t>
      </w:r>
      <w:r w:rsidRPr="00524369">
        <w:rPr>
          <w:rFonts w:eastAsia="Times New Roman"/>
          <w:b/>
          <w:bCs/>
          <w:lang w:val="en-GB" w:eastAsia="de-DE"/>
        </w:rPr>
        <w:t>2020</w:t>
      </w:r>
      <w:r w:rsidRPr="00524369">
        <w:rPr>
          <w:rFonts w:eastAsia="Times New Roman"/>
          <w:lang w:val="en-GB" w:eastAsia="de-DE"/>
        </w:rPr>
        <w:t xml:space="preserve">, </w:t>
      </w:r>
      <w:r w:rsidRPr="00524369">
        <w:rPr>
          <w:rFonts w:eastAsia="Times New Roman"/>
          <w:i/>
          <w:iCs/>
          <w:lang w:val="en-GB" w:eastAsia="de-DE"/>
        </w:rPr>
        <w:t>191</w:t>
      </w:r>
      <w:r w:rsidRPr="00524369">
        <w:rPr>
          <w:rFonts w:eastAsia="Times New Roman"/>
          <w:lang w:val="en-GB" w:eastAsia="de-DE"/>
        </w:rPr>
        <w:t xml:space="preserve">, 110092. </w:t>
      </w:r>
      <w:hyperlink r:id="rId41" w:history="1">
        <w:r w:rsidR="000D3350" w:rsidRPr="00FA1E65">
          <w:rPr>
            <w:rStyle w:val="Collegamentoipertestuale"/>
            <w:rFonts w:eastAsia="Times New Roman"/>
            <w:lang w:val="en-GB" w:eastAsia="de-DE"/>
          </w:rPr>
          <w:t>https://doi.org/10.1016/j.envres.2020.110092</w:t>
        </w:r>
      </w:hyperlink>
      <w:r w:rsidRPr="00524369">
        <w:rPr>
          <w:rFonts w:eastAsia="Times New Roman"/>
          <w:lang w:val="en-GB" w:eastAsia="de-DE"/>
        </w:rPr>
        <w:t>.</w:t>
      </w:r>
    </w:p>
    <w:p w:rsidR="000D3350" w:rsidRDefault="000D3350" w:rsidP="000D3350">
      <w:pPr>
        <w:pStyle w:val="MDPI63Notes"/>
        <w:numPr>
          <w:ilvl w:val="0"/>
          <w:numId w:val="24"/>
        </w:numPr>
        <w:spacing w:before="0"/>
        <w:rPr>
          <w:rFonts w:eastAsia="Times New Roman"/>
          <w:lang w:val="en-GB" w:eastAsia="de-DE"/>
        </w:rPr>
      </w:pPr>
      <w:bookmarkStart w:id="24" w:name="la_rosa_2021"/>
      <w:r w:rsidRPr="000D3350">
        <w:rPr>
          <w:rFonts w:eastAsia="Times New Roman"/>
          <w:lang w:val="en-GB" w:eastAsia="de-DE"/>
        </w:rPr>
        <w:t xml:space="preserve">La Rosa, G.; Mancini, P.; Ferraro, G. B.; </w:t>
      </w:r>
      <w:proofErr w:type="spellStart"/>
      <w:r w:rsidRPr="000D3350">
        <w:rPr>
          <w:rFonts w:eastAsia="Times New Roman"/>
          <w:lang w:val="en-GB" w:eastAsia="de-DE"/>
        </w:rPr>
        <w:t>Veneri</w:t>
      </w:r>
      <w:proofErr w:type="spellEnd"/>
      <w:r w:rsidRPr="000D3350">
        <w:rPr>
          <w:rFonts w:eastAsia="Times New Roman"/>
          <w:lang w:val="en-GB" w:eastAsia="de-DE"/>
        </w:rPr>
        <w:t xml:space="preserve">, C.; </w:t>
      </w:r>
      <w:proofErr w:type="spellStart"/>
      <w:r w:rsidRPr="000D3350">
        <w:rPr>
          <w:rFonts w:eastAsia="Times New Roman"/>
          <w:lang w:val="en-GB" w:eastAsia="de-DE"/>
        </w:rPr>
        <w:t>Iaconelli</w:t>
      </w:r>
      <w:proofErr w:type="spellEnd"/>
      <w:r w:rsidRPr="000D3350">
        <w:rPr>
          <w:rFonts w:eastAsia="Times New Roman"/>
          <w:lang w:val="en-GB" w:eastAsia="de-DE"/>
        </w:rPr>
        <w:t xml:space="preserve">, M.; </w:t>
      </w:r>
      <w:proofErr w:type="spellStart"/>
      <w:r w:rsidRPr="000D3350">
        <w:rPr>
          <w:rFonts w:eastAsia="Times New Roman"/>
          <w:lang w:val="en-GB" w:eastAsia="de-DE"/>
        </w:rPr>
        <w:t>Bonadonna</w:t>
      </w:r>
      <w:proofErr w:type="spellEnd"/>
      <w:r w:rsidRPr="000D3350">
        <w:rPr>
          <w:rFonts w:eastAsia="Times New Roman"/>
          <w:lang w:val="en-GB" w:eastAsia="de-DE"/>
        </w:rPr>
        <w:t xml:space="preserve">, L.; </w:t>
      </w:r>
      <w:proofErr w:type="spellStart"/>
      <w:r w:rsidRPr="000D3350">
        <w:rPr>
          <w:rFonts w:eastAsia="Times New Roman"/>
          <w:lang w:val="en-GB" w:eastAsia="de-DE"/>
        </w:rPr>
        <w:t>Lucentini</w:t>
      </w:r>
      <w:proofErr w:type="spellEnd"/>
      <w:r w:rsidRPr="000D3350">
        <w:rPr>
          <w:rFonts w:eastAsia="Times New Roman"/>
          <w:lang w:val="en-GB" w:eastAsia="de-DE"/>
        </w:rPr>
        <w:t xml:space="preserve">, L.; </w:t>
      </w:r>
      <w:proofErr w:type="spellStart"/>
      <w:r w:rsidRPr="000D3350">
        <w:rPr>
          <w:rFonts w:eastAsia="Times New Roman"/>
          <w:lang w:val="en-GB" w:eastAsia="de-DE"/>
        </w:rPr>
        <w:t>Suffredini</w:t>
      </w:r>
      <w:proofErr w:type="spellEnd"/>
      <w:r w:rsidRPr="000D3350">
        <w:rPr>
          <w:rFonts w:eastAsia="Times New Roman"/>
          <w:lang w:val="en-GB" w:eastAsia="de-DE"/>
        </w:rPr>
        <w:t xml:space="preserve">, E. SARS-CoV-2 has been circulating in northern Italy since December 2019: Evidence from environmental monitoring. </w:t>
      </w:r>
      <w:r w:rsidRPr="001B5D4F">
        <w:rPr>
          <w:rFonts w:eastAsia="Times New Roman"/>
          <w:i/>
          <w:iCs/>
          <w:lang w:val="en-GB" w:eastAsia="de-DE"/>
        </w:rPr>
        <w:t>Science of the Total Environment</w:t>
      </w:r>
      <w:r w:rsidRPr="001B5D4F">
        <w:rPr>
          <w:rFonts w:eastAsia="Times New Roman"/>
          <w:lang w:val="en-GB" w:eastAsia="de-DE"/>
        </w:rPr>
        <w:t xml:space="preserve"> </w:t>
      </w:r>
      <w:r w:rsidRPr="001B5D4F">
        <w:rPr>
          <w:rFonts w:eastAsia="Times New Roman"/>
          <w:b/>
          <w:bCs/>
          <w:lang w:val="en-GB" w:eastAsia="de-DE"/>
        </w:rPr>
        <w:t>2021</w:t>
      </w:r>
      <w:r w:rsidRPr="001B5D4F">
        <w:rPr>
          <w:rFonts w:eastAsia="Times New Roman"/>
          <w:lang w:val="en-GB" w:eastAsia="de-DE"/>
        </w:rPr>
        <w:t xml:space="preserve">, </w:t>
      </w:r>
      <w:r w:rsidRPr="001B5D4F">
        <w:rPr>
          <w:rFonts w:eastAsia="Times New Roman"/>
          <w:i/>
          <w:iCs/>
          <w:lang w:val="en-GB" w:eastAsia="de-DE"/>
        </w:rPr>
        <w:t>750</w:t>
      </w:r>
      <w:r w:rsidRPr="001B5D4F">
        <w:rPr>
          <w:rFonts w:eastAsia="Times New Roman"/>
          <w:lang w:val="en-GB" w:eastAsia="de-DE"/>
        </w:rPr>
        <w:t xml:space="preserve">, 141711. </w:t>
      </w:r>
      <w:hyperlink r:id="rId42" w:history="1">
        <w:r w:rsidRPr="00FA1E65">
          <w:rPr>
            <w:rStyle w:val="Collegamentoipertestuale"/>
            <w:rFonts w:eastAsia="Times New Roman"/>
            <w:lang w:val="en-GB" w:eastAsia="de-DE"/>
          </w:rPr>
          <w:t>https://doi.org/10.1016/j.scitotenv.2020.141711</w:t>
        </w:r>
      </w:hyperlink>
      <w:r w:rsidRPr="001B5D4F">
        <w:rPr>
          <w:rFonts w:eastAsia="Times New Roman"/>
          <w:lang w:val="en-GB" w:eastAsia="de-DE"/>
        </w:rPr>
        <w:t>.</w:t>
      </w:r>
    </w:p>
    <w:p w:rsidR="000D3350" w:rsidRDefault="000D3350" w:rsidP="000D3350">
      <w:pPr>
        <w:pStyle w:val="MDPI63Notes"/>
        <w:numPr>
          <w:ilvl w:val="0"/>
          <w:numId w:val="24"/>
        </w:numPr>
        <w:spacing w:before="0"/>
        <w:rPr>
          <w:rFonts w:eastAsia="Times New Roman"/>
          <w:lang w:val="en-GB" w:eastAsia="de-DE"/>
        </w:rPr>
      </w:pPr>
      <w:bookmarkStart w:id="25" w:name="dexter"/>
      <w:r w:rsidRPr="001B5D4F">
        <w:rPr>
          <w:rFonts w:eastAsia="Times New Roman"/>
          <w:i/>
          <w:iCs/>
          <w:lang w:val="en-GB" w:eastAsia="de-DE"/>
        </w:rPr>
        <w:t>dext3r</w:t>
      </w:r>
      <w:r w:rsidRPr="001B5D4F">
        <w:rPr>
          <w:rFonts w:eastAsia="Times New Roman"/>
          <w:lang w:val="en-GB" w:eastAsia="de-DE"/>
        </w:rPr>
        <w:t xml:space="preserve">. </w:t>
      </w:r>
      <w:hyperlink r:id="rId43" w:history="1">
        <w:r w:rsidR="00C62286" w:rsidRPr="00FA1E65">
          <w:rPr>
            <w:rStyle w:val="Collegamentoipertestuale"/>
            <w:rFonts w:eastAsia="Times New Roman"/>
            <w:lang w:val="en-GB" w:eastAsia="de-DE"/>
          </w:rPr>
          <w:t>https://simc.arpae.it/dext3r</w:t>
        </w:r>
      </w:hyperlink>
      <w:bookmarkEnd w:id="25"/>
      <w:r w:rsidRPr="001B5D4F">
        <w:rPr>
          <w:rFonts w:eastAsia="Times New Roman"/>
          <w:lang w:val="en-GB" w:eastAsia="de-DE"/>
        </w:rPr>
        <w:t>.</w:t>
      </w:r>
    </w:p>
    <w:p w:rsidR="00C62286" w:rsidRDefault="00C62286" w:rsidP="00C62286">
      <w:pPr>
        <w:pStyle w:val="MDPI63Notes"/>
        <w:numPr>
          <w:ilvl w:val="0"/>
          <w:numId w:val="24"/>
        </w:numPr>
        <w:spacing w:before="0"/>
        <w:rPr>
          <w:rFonts w:eastAsia="Times New Roman"/>
          <w:lang w:val="it-IT" w:eastAsia="de-DE"/>
        </w:rPr>
      </w:pPr>
      <w:bookmarkStart w:id="26" w:name="cleveland_1988"/>
      <w:r w:rsidRPr="001B5D4F">
        <w:rPr>
          <w:rFonts w:eastAsia="Times New Roman"/>
          <w:lang w:val="en-GB" w:eastAsia="de-DE"/>
        </w:rPr>
        <w:lastRenderedPageBreak/>
        <w:t xml:space="preserve">Cleveland, W. S.; Devlin, S. J. Locally Weighted Regression: An approach to regression analysis by local fitting. </w:t>
      </w:r>
      <w:r w:rsidRPr="001B5D4F">
        <w:rPr>
          <w:rFonts w:eastAsia="Times New Roman"/>
          <w:i/>
          <w:iCs/>
          <w:lang w:val="it-IT" w:eastAsia="de-DE"/>
        </w:rPr>
        <w:t xml:space="preserve">Journal </w:t>
      </w:r>
      <w:proofErr w:type="spellStart"/>
      <w:r w:rsidRPr="001B5D4F">
        <w:rPr>
          <w:rFonts w:eastAsia="Times New Roman"/>
          <w:i/>
          <w:iCs/>
          <w:lang w:val="it-IT" w:eastAsia="de-DE"/>
        </w:rPr>
        <w:t>of</w:t>
      </w:r>
      <w:proofErr w:type="spellEnd"/>
      <w:r w:rsidRPr="001B5D4F">
        <w:rPr>
          <w:rFonts w:eastAsia="Times New Roman"/>
          <w:i/>
          <w:iCs/>
          <w:lang w:val="it-IT" w:eastAsia="de-DE"/>
        </w:rPr>
        <w:t xml:space="preserve"> the American </w:t>
      </w:r>
      <w:proofErr w:type="spellStart"/>
      <w:r w:rsidRPr="001B5D4F">
        <w:rPr>
          <w:rFonts w:eastAsia="Times New Roman"/>
          <w:i/>
          <w:iCs/>
          <w:lang w:val="it-IT" w:eastAsia="de-DE"/>
        </w:rPr>
        <w:t>Statistical</w:t>
      </w:r>
      <w:proofErr w:type="spellEnd"/>
      <w:r w:rsidRPr="001B5D4F">
        <w:rPr>
          <w:rFonts w:eastAsia="Times New Roman"/>
          <w:i/>
          <w:iCs/>
          <w:lang w:val="it-IT" w:eastAsia="de-DE"/>
        </w:rPr>
        <w:t xml:space="preserve"> </w:t>
      </w:r>
      <w:proofErr w:type="spellStart"/>
      <w:r w:rsidRPr="001B5D4F">
        <w:rPr>
          <w:rFonts w:eastAsia="Times New Roman"/>
          <w:i/>
          <w:iCs/>
          <w:lang w:val="it-IT" w:eastAsia="de-DE"/>
        </w:rPr>
        <w:t>Association</w:t>
      </w:r>
      <w:proofErr w:type="spellEnd"/>
      <w:r w:rsidRPr="001B5D4F">
        <w:rPr>
          <w:rFonts w:eastAsia="Times New Roman"/>
          <w:lang w:val="it-IT" w:eastAsia="de-DE"/>
        </w:rPr>
        <w:t xml:space="preserve"> </w:t>
      </w:r>
      <w:r w:rsidRPr="001B5D4F">
        <w:rPr>
          <w:rFonts w:eastAsia="Times New Roman"/>
          <w:b/>
          <w:bCs/>
          <w:lang w:val="it-IT" w:eastAsia="de-DE"/>
        </w:rPr>
        <w:t>1988</w:t>
      </w:r>
      <w:r w:rsidRPr="001B5D4F">
        <w:rPr>
          <w:rFonts w:eastAsia="Times New Roman"/>
          <w:lang w:val="it-IT" w:eastAsia="de-DE"/>
        </w:rPr>
        <w:t xml:space="preserve">, </w:t>
      </w:r>
      <w:r w:rsidRPr="001B5D4F">
        <w:rPr>
          <w:rFonts w:eastAsia="Times New Roman"/>
          <w:i/>
          <w:iCs/>
          <w:lang w:val="it-IT" w:eastAsia="de-DE"/>
        </w:rPr>
        <w:t>83</w:t>
      </w:r>
      <w:r w:rsidRPr="001B5D4F">
        <w:rPr>
          <w:rFonts w:eastAsia="Times New Roman"/>
          <w:lang w:val="it-IT" w:eastAsia="de-DE"/>
        </w:rPr>
        <w:t xml:space="preserve"> (403), 596–610. </w:t>
      </w:r>
      <w:hyperlink r:id="rId44" w:history="1">
        <w:r w:rsidR="00CF1604" w:rsidRPr="00FA1E65">
          <w:rPr>
            <w:rStyle w:val="Collegamentoipertestuale"/>
            <w:rFonts w:eastAsia="Times New Roman"/>
            <w:lang w:val="it-IT" w:eastAsia="de-DE"/>
          </w:rPr>
          <w:t>https://doi.org/10.1080/01621459.1988.10478639</w:t>
        </w:r>
      </w:hyperlink>
      <w:r w:rsidRPr="001B5D4F">
        <w:rPr>
          <w:rFonts w:eastAsia="Times New Roman"/>
          <w:lang w:val="it-IT" w:eastAsia="de-DE"/>
        </w:rPr>
        <w:t>.</w:t>
      </w:r>
    </w:p>
    <w:p w:rsidR="00CF1604" w:rsidRDefault="00CF1604" w:rsidP="00CF1604">
      <w:pPr>
        <w:pStyle w:val="MDPI63Notes"/>
        <w:numPr>
          <w:ilvl w:val="0"/>
          <w:numId w:val="24"/>
        </w:numPr>
        <w:spacing w:before="0"/>
        <w:rPr>
          <w:rFonts w:eastAsia="Times New Roman"/>
          <w:lang w:val="en-GB" w:eastAsia="de-DE"/>
        </w:rPr>
      </w:pPr>
      <w:bookmarkStart w:id="27" w:name="cappellari"/>
      <w:proofErr w:type="spellStart"/>
      <w:r w:rsidRPr="00CF1604">
        <w:rPr>
          <w:rFonts w:eastAsia="Times New Roman"/>
          <w:lang w:val="it-IT" w:eastAsia="de-DE"/>
        </w:rPr>
        <w:t>Cappellari</w:t>
      </w:r>
      <w:proofErr w:type="spellEnd"/>
      <w:r w:rsidRPr="00CF1604">
        <w:rPr>
          <w:rFonts w:eastAsia="Times New Roman"/>
          <w:lang w:val="it-IT" w:eastAsia="de-DE"/>
        </w:rPr>
        <w:t xml:space="preserve">, M.; </w:t>
      </w:r>
      <w:proofErr w:type="spellStart"/>
      <w:r w:rsidRPr="00CF1604">
        <w:rPr>
          <w:rFonts w:eastAsia="Times New Roman"/>
          <w:lang w:val="it-IT" w:eastAsia="de-DE"/>
        </w:rPr>
        <w:t>McDermid</w:t>
      </w:r>
      <w:proofErr w:type="spellEnd"/>
      <w:r w:rsidRPr="00CF1604">
        <w:rPr>
          <w:rFonts w:eastAsia="Times New Roman"/>
          <w:lang w:val="it-IT" w:eastAsia="de-DE"/>
        </w:rPr>
        <w:t xml:space="preserve">, R. M.; </w:t>
      </w:r>
      <w:proofErr w:type="spellStart"/>
      <w:r w:rsidRPr="00CF1604">
        <w:rPr>
          <w:rFonts w:eastAsia="Times New Roman"/>
          <w:lang w:val="it-IT" w:eastAsia="de-DE"/>
        </w:rPr>
        <w:t>Alatalo</w:t>
      </w:r>
      <w:proofErr w:type="spellEnd"/>
      <w:r w:rsidRPr="00CF1604">
        <w:rPr>
          <w:rFonts w:eastAsia="Times New Roman"/>
          <w:lang w:val="it-IT" w:eastAsia="de-DE"/>
        </w:rPr>
        <w:t xml:space="preserve">, K.; Blitz, L.; </w:t>
      </w:r>
      <w:proofErr w:type="spellStart"/>
      <w:r w:rsidRPr="00CF1604">
        <w:rPr>
          <w:rFonts w:eastAsia="Times New Roman"/>
          <w:lang w:val="it-IT" w:eastAsia="de-DE"/>
        </w:rPr>
        <w:t>Bois</w:t>
      </w:r>
      <w:proofErr w:type="spellEnd"/>
      <w:r w:rsidRPr="00CF1604">
        <w:rPr>
          <w:rFonts w:eastAsia="Times New Roman"/>
          <w:lang w:val="it-IT" w:eastAsia="de-DE"/>
        </w:rPr>
        <w:t xml:space="preserve">, M.; </w:t>
      </w:r>
      <w:proofErr w:type="spellStart"/>
      <w:r w:rsidRPr="00CF1604">
        <w:rPr>
          <w:rFonts w:eastAsia="Times New Roman"/>
          <w:lang w:val="it-IT" w:eastAsia="de-DE"/>
        </w:rPr>
        <w:t>Bournaud</w:t>
      </w:r>
      <w:proofErr w:type="spellEnd"/>
      <w:r w:rsidRPr="00CF1604">
        <w:rPr>
          <w:rFonts w:eastAsia="Times New Roman"/>
          <w:lang w:val="it-IT" w:eastAsia="de-DE"/>
        </w:rPr>
        <w:t xml:space="preserve">, F.; Bureau, M.; </w:t>
      </w:r>
      <w:proofErr w:type="spellStart"/>
      <w:r w:rsidRPr="00CF1604">
        <w:rPr>
          <w:rFonts w:eastAsia="Times New Roman"/>
          <w:lang w:val="it-IT" w:eastAsia="de-DE"/>
        </w:rPr>
        <w:t>Crocker</w:t>
      </w:r>
      <w:proofErr w:type="spellEnd"/>
      <w:r w:rsidRPr="00CF1604">
        <w:rPr>
          <w:rFonts w:eastAsia="Times New Roman"/>
          <w:lang w:val="it-IT" w:eastAsia="de-DE"/>
        </w:rPr>
        <w:t xml:space="preserve">, A. F.; </w:t>
      </w:r>
      <w:proofErr w:type="spellStart"/>
      <w:r w:rsidRPr="00CF1604">
        <w:rPr>
          <w:rFonts w:eastAsia="Times New Roman"/>
          <w:lang w:val="it-IT" w:eastAsia="de-DE"/>
        </w:rPr>
        <w:t>Davies</w:t>
      </w:r>
      <w:proofErr w:type="spellEnd"/>
      <w:r w:rsidRPr="00CF1604">
        <w:rPr>
          <w:rFonts w:eastAsia="Times New Roman"/>
          <w:lang w:val="it-IT" w:eastAsia="de-DE"/>
        </w:rPr>
        <w:t xml:space="preserve">, R. L.; Davis, T. A.; De </w:t>
      </w:r>
      <w:proofErr w:type="spellStart"/>
      <w:r w:rsidRPr="00CF1604">
        <w:rPr>
          <w:rFonts w:eastAsia="Times New Roman"/>
          <w:lang w:val="it-IT" w:eastAsia="de-DE"/>
        </w:rPr>
        <w:t>Zeeuw</w:t>
      </w:r>
      <w:proofErr w:type="spellEnd"/>
      <w:r w:rsidRPr="00CF1604">
        <w:rPr>
          <w:rFonts w:eastAsia="Times New Roman"/>
          <w:lang w:val="it-IT" w:eastAsia="de-DE"/>
        </w:rPr>
        <w:t xml:space="preserve">, P. T.; </w:t>
      </w:r>
      <w:proofErr w:type="spellStart"/>
      <w:r w:rsidRPr="00CF1604">
        <w:rPr>
          <w:rFonts w:eastAsia="Times New Roman"/>
          <w:lang w:val="it-IT" w:eastAsia="de-DE"/>
        </w:rPr>
        <w:t>Duc</w:t>
      </w:r>
      <w:proofErr w:type="spellEnd"/>
      <w:r w:rsidRPr="00CF1604">
        <w:rPr>
          <w:rFonts w:eastAsia="Times New Roman"/>
          <w:lang w:val="it-IT" w:eastAsia="de-DE"/>
        </w:rPr>
        <w:t xml:space="preserve">, P.; </w:t>
      </w:r>
      <w:proofErr w:type="spellStart"/>
      <w:r w:rsidRPr="00CF1604">
        <w:rPr>
          <w:rFonts w:eastAsia="Times New Roman"/>
          <w:lang w:val="it-IT" w:eastAsia="de-DE"/>
        </w:rPr>
        <w:t>Emsellem</w:t>
      </w:r>
      <w:proofErr w:type="spellEnd"/>
      <w:r w:rsidRPr="00CF1604">
        <w:rPr>
          <w:rFonts w:eastAsia="Times New Roman"/>
          <w:lang w:val="it-IT" w:eastAsia="de-DE"/>
        </w:rPr>
        <w:t xml:space="preserve">, </w:t>
      </w:r>
      <w:proofErr w:type="spellStart"/>
      <w:r w:rsidRPr="00CF1604">
        <w:rPr>
          <w:rFonts w:eastAsia="Times New Roman"/>
          <w:lang w:val="it-IT" w:eastAsia="de-DE"/>
        </w:rPr>
        <w:t>É</w:t>
      </w:r>
      <w:proofErr w:type="spellEnd"/>
      <w:r w:rsidRPr="00CF1604">
        <w:rPr>
          <w:rFonts w:eastAsia="Times New Roman"/>
          <w:lang w:val="it-IT" w:eastAsia="de-DE"/>
        </w:rPr>
        <w:t xml:space="preserve">.; </w:t>
      </w:r>
      <w:proofErr w:type="spellStart"/>
      <w:r w:rsidRPr="00CF1604">
        <w:rPr>
          <w:rFonts w:eastAsia="Times New Roman"/>
          <w:lang w:val="it-IT" w:eastAsia="de-DE"/>
        </w:rPr>
        <w:t>Khochfar</w:t>
      </w:r>
      <w:proofErr w:type="spellEnd"/>
      <w:r w:rsidRPr="00CF1604">
        <w:rPr>
          <w:rFonts w:eastAsia="Times New Roman"/>
          <w:lang w:val="it-IT" w:eastAsia="de-DE"/>
        </w:rPr>
        <w:t xml:space="preserve">, S.; </w:t>
      </w:r>
      <w:proofErr w:type="spellStart"/>
      <w:r w:rsidRPr="00CF1604">
        <w:rPr>
          <w:rFonts w:eastAsia="Times New Roman"/>
          <w:lang w:val="it-IT" w:eastAsia="de-DE"/>
        </w:rPr>
        <w:t>Krajnović</w:t>
      </w:r>
      <w:proofErr w:type="spellEnd"/>
      <w:r w:rsidRPr="00CF1604">
        <w:rPr>
          <w:rFonts w:eastAsia="Times New Roman"/>
          <w:lang w:val="it-IT" w:eastAsia="de-DE"/>
        </w:rPr>
        <w:t xml:space="preserve">, D.; </w:t>
      </w:r>
      <w:proofErr w:type="spellStart"/>
      <w:r w:rsidRPr="00CF1604">
        <w:rPr>
          <w:rFonts w:eastAsia="Times New Roman"/>
          <w:lang w:val="it-IT" w:eastAsia="de-DE"/>
        </w:rPr>
        <w:t>Küntschner</w:t>
      </w:r>
      <w:proofErr w:type="spellEnd"/>
      <w:r w:rsidRPr="00CF1604">
        <w:rPr>
          <w:rFonts w:eastAsia="Times New Roman"/>
          <w:lang w:val="it-IT" w:eastAsia="de-DE"/>
        </w:rPr>
        <w:t xml:space="preserve">, H.; </w:t>
      </w:r>
      <w:proofErr w:type="spellStart"/>
      <w:r w:rsidRPr="00CF1604">
        <w:rPr>
          <w:rFonts w:eastAsia="Times New Roman"/>
          <w:lang w:val="it-IT" w:eastAsia="de-DE"/>
        </w:rPr>
        <w:t>Morganti</w:t>
      </w:r>
      <w:proofErr w:type="spellEnd"/>
      <w:r w:rsidRPr="00CF1604">
        <w:rPr>
          <w:rFonts w:eastAsia="Times New Roman"/>
          <w:lang w:val="it-IT" w:eastAsia="de-DE"/>
        </w:rPr>
        <w:t xml:space="preserve">, R.; </w:t>
      </w:r>
      <w:proofErr w:type="spellStart"/>
      <w:r w:rsidRPr="00CF1604">
        <w:rPr>
          <w:rFonts w:eastAsia="Times New Roman"/>
          <w:lang w:val="it-IT" w:eastAsia="de-DE"/>
        </w:rPr>
        <w:t>Naab</w:t>
      </w:r>
      <w:proofErr w:type="spellEnd"/>
      <w:r w:rsidRPr="00CF1604">
        <w:rPr>
          <w:rFonts w:eastAsia="Times New Roman"/>
          <w:lang w:val="it-IT" w:eastAsia="de-DE"/>
        </w:rPr>
        <w:t xml:space="preserve">, T.; </w:t>
      </w:r>
      <w:proofErr w:type="spellStart"/>
      <w:r w:rsidRPr="00CF1604">
        <w:rPr>
          <w:rFonts w:eastAsia="Times New Roman"/>
          <w:lang w:val="it-IT" w:eastAsia="de-DE"/>
        </w:rPr>
        <w:t>Oosterloo</w:t>
      </w:r>
      <w:proofErr w:type="spellEnd"/>
      <w:r w:rsidRPr="00CF1604">
        <w:rPr>
          <w:rFonts w:eastAsia="Times New Roman"/>
          <w:lang w:val="it-IT" w:eastAsia="de-DE"/>
        </w:rPr>
        <w:t xml:space="preserve">, T.; </w:t>
      </w:r>
      <w:proofErr w:type="spellStart"/>
      <w:r w:rsidRPr="00CF1604">
        <w:rPr>
          <w:rFonts w:eastAsia="Times New Roman"/>
          <w:lang w:val="it-IT" w:eastAsia="de-DE"/>
        </w:rPr>
        <w:t>Sarzi</w:t>
      </w:r>
      <w:proofErr w:type="spellEnd"/>
      <w:r w:rsidRPr="00CF1604">
        <w:rPr>
          <w:rFonts w:eastAsia="Times New Roman"/>
          <w:lang w:val="it-IT" w:eastAsia="de-DE"/>
        </w:rPr>
        <w:t xml:space="preserve">, M.; Scott, N.; Serra, P.; </w:t>
      </w:r>
      <w:proofErr w:type="spellStart"/>
      <w:r w:rsidRPr="00CF1604">
        <w:rPr>
          <w:rFonts w:eastAsia="Times New Roman"/>
          <w:lang w:val="it-IT" w:eastAsia="de-DE"/>
        </w:rPr>
        <w:t>Weijmans</w:t>
      </w:r>
      <w:proofErr w:type="spellEnd"/>
      <w:r w:rsidRPr="00CF1604">
        <w:rPr>
          <w:rFonts w:eastAsia="Times New Roman"/>
          <w:lang w:val="it-IT" w:eastAsia="de-DE"/>
        </w:rPr>
        <w:t xml:space="preserve">, </w:t>
      </w:r>
      <w:proofErr w:type="spellStart"/>
      <w:r w:rsidRPr="00CF1604">
        <w:rPr>
          <w:rFonts w:eastAsia="Times New Roman"/>
          <w:lang w:val="it-IT" w:eastAsia="de-DE"/>
        </w:rPr>
        <w:t>A.-M.</w:t>
      </w:r>
      <w:proofErr w:type="spellEnd"/>
      <w:r w:rsidRPr="00CF1604">
        <w:rPr>
          <w:rFonts w:eastAsia="Times New Roman"/>
          <w:lang w:val="it-IT" w:eastAsia="de-DE"/>
        </w:rPr>
        <w:t xml:space="preserve">; Young, L. M. The ATLAS3D project – XX. </w:t>
      </w:r>
      <w:r w:rsidRPr="001B5D4F">
        <w:rPr>
          <w:rFonts w:eastAsia="Times New Roman"/>
          <w:lang w:val="en-GB" w:eastAsia="de-DE"/>
        </w:rPr>
        <w:t>Mass–size and mass–</w:t>
      </w:r>
      <w:r w:rsidRPr="001B5D4F">
        <w:rPr>
          <w:rFonts w:eastAsia="Times New Roman"/>
          <w:lang w:val="it-IT" w:eastAsia="de-DE"/>
        </w:rPr>
        <w:t>σ</w:t>
      </w:r>
      <w:r w:rsidRPr="001B5D4F">
        <w:rPr>
          <w:rFonts w:eastAsia="Times New Roman"/>
          <w:lang w:val="en-GB" w:eastAsia="de-DE"/>
        </w:rPr>
        <w:t xml:space="preserve"> distributions of early-type galaxies: bulge fraction drives kinematics, mass-to-light ratio, molecular gas fraction and stellar initial mass function. </w:t>
      </w:r>
      <w:r w:rsidRPr="001B5D4F">
        <w:rPr>
          <w:rFonts w:eastAsia="Times New Roman"/>
          <w:i/>
          <w:iCs/>
          <w:lang w:val="en-GB" w:eastAsia="de-DE"/>
        </w:rPr>
        <w:t>Monthly Notices of the Royal Astronomical Society</w:t>
      </w:r>
      <w:r w:rsidRPr="001B5D4F">
        <w:rPr>
          <w:rFonts w:eastAsia="Times New Roman"/>
          <w:lang w:val="en-GB" w:eastAsia="de-DE"/>
        </w:rPr>
        <w:t xml:space="preserve"> </w:t>
      </w:r>
      <w:r w:rsidRPr="001B5D4F">
        <w:rPr>
          <w:rFonts w:eastAsia="Times New Roman"/>
          <w:b/>
          <w:bCs/>
          <w:lang w:val="en-GB" w:eastAsia="de-DE"/>
        </w:rPr>
        <w:t>2013</w:t>
      </w:r>
      <w:r w:rsidRPr="001B5D4F">
        <w:rPr>
          <w:rFonts w:eastAsia="Times New Roman"/>
          <w:lang w:val="en-GB" w:eastAsia="de-DE"/>
        </w:rPr>
        <w:t xml:space="preserve">, </w:t>
      </w:r>
      <w:r w:rsidRPr="001B5D4F">
        <w:rPr>
          <w:rFonts w:eastAsia="Times New Roman"/>
          <w:i/>
          <w:iCs/>
          <w:lang w:val="en-GB" w:eastAsia="de-DE"/>
        </w:rPr>
        <w:t>432</w:t>
      </w:r>
      <w:r w:rsidRPr="001B5D4F">
        <w:rPr>
          <w:rFonts w:eastAsia="Times New Roman"/>
          <w:lang w:val="en-GB" w:eastAsia="de-DE"/>
        </w:rPr>
        <w:t xml:space="preserve"> (3), 1862–1893. </w:t>
      </w:r>
      <w:hyperlink r:id="rId45" w:history="1">
        <w:r w:rsidR="009452DB" w:rsidRPr="00FA1E65">
          <w:rPr>
            <w:rStyle w:val="Collegamentoipertestuale"/>
            <w:rFonts w:eastAsia="Times New Roman"/>
            <w:lang w:val="en-GB" w:eastAsia="de-DE"/>
          </w:rPr>
          <w:t>https://doi.org/10.1093/mnras/stt644</w:t>
        </w:r>
      </w:hyperlink>
      <w:bookmarkEnd w:id="27"/>
      <w:r w:rsidRPr="001B5D4F">
        <w:rPr>
          <w:rFonts w:eastAsia="Times New Roman"/>
          <w:lang w:val="en-GB" w:eastAsia="de-DE"/>
        </w:rPr>
        <w:t>.</w:t>
      </w:r>
    </w:p>
    <w:p w:rsidR="009452DB" w:rsidRDefault="009452DB" w:rsidP="009452DB">
      <w:pPr>
        <w:pStyle w:val="MDPI63Notes"/>
        <w:numPr>
          <w:ilvl w:val="0"/>
          <w:numId w:val="24"/>
        </w:numPr>
        <w:spacing w:before="0"/>
        <w:rPr>
          <w:rFonts w:eastAsia="Times New Roman"/>
          <w:lang w:val="en-GB" w:eastAsia="de-DE"/>
        </w:rPr>
      </w:pPr>
      <w:bookmarkStart w:id="28" w:name="Benefield"/>
      <w:proofErr w:type="spellStart"/>
      <w:r w:rsidRPr="009452DB">
        <w:rPr>
          <w:rFonts w:eastAsia="Times New Roman"/>
          <w:lang w:val="en-GB" w:eastAsia="de-DE"/>
        </w:rPr>
        <w:t>Benefield</w:t>
      </w:r>
      <w:proofErr w:type="spellEnd"/>
      <w:r>
        <w:rPr>
          <w:rFonts w:eastAsia="Times New Roman"/>
          <w:lang w:val="en-GB" w:eastAsia="de-DE"/>
        </w:rPr>
        <w:t>, A. E.</w:t>
      </w:r>
      <w:r w:rsidRPr="001B5D4F">
        <w:rPr>
          <w:rFonts w:eastAsia="Times New Roman"/>
          <w:lang w:val="en-GB" w:eastAsia="de-DE"/>
        </w:rPr>
        <w:t xml:space="preserve">; </w:t>
      </w:r>
      <w:proofErr w:type="spellStart"/>
      <w:r w:rsidRPr="009452DB">
        <w:rPr>
          <w:rFonts w:eastAsia="Times New Roman"/>
          <w:lang w:val="en-GB" w:eastAsia="de-DE"/>
        </w:rPr>
        <w:t>Skrip</w:t>
      </w:r>
      <w:proofErr w:type="spellEnd"/>
      <w:r>
        <w:rPr>
          <w:rFonts w:eastAsia="Times New Roman"/>
          <w:lang w:val="en-GB" w:eastAsia="de-DE"/>
        </w:rPr>
        <w:t>, L. A.</w:t>
      </w:r>
      <w:r w:rsidRPr="001B5D4F">
        <w:rPr>
          <w:rFonts w:eastAsia="Times New Roman"/>
          <w:lang w:val="en-GB" w:eastAsia="de-DE"/>
        </w:rPr>
        <w:t xml:space="preserve">; Clement, A.; </w:t>
      </w:r>
      <w:proofErr w:type="spellStart"/>
      <w:r w:rsidRPr="009452DB">
        <w:rPr>
          <w:rFonts w:eastAsia="Times New Roman"/>
          <w:lang w:val="en-GB" w:eastAsia="de-DE"/>
        </w:rPr>
        <w:t>Althouse</w:t>
      </w:r>
      <w:proofErr w:type="spellEnd"/>
      <w:r>
        <w:rPr>
          <w:rFonts w:eastAsia="Times New Roman"/>
          <w:lang w:val="en-GB" w:eastAsia="de-DE"/>
        </w:rPr>
        <w:t>, R. A.; Chang, S.</w:t>
      </w:r>
      <w:r w:rsidRPr="001B5D4F">
        <w:rPr>
          <w:rFonts w:eastAsia="Times New Roman"/>
          <w:lang w:val="en-GB" w:eastAsia="de-DE"/>
        </w:rPr>
        <w:t xml:space="preserve">; </w:t>
      </w:r>
      <w:proofErr w:type="spellStart"/>
      <w:r w:rsidRPr="009452DB">
        <w:rPr>
          <w:rFonts w:eastAsia="Times New Roman"/>
          <w:lang w:val="en-GB" w:eastAsia="de-DE"/>
        </w:rPr>
        <w:t>Althouse</w:t>
      </w:r>
      <w:proofErr w:type="spellEnd"/>
      <w:r w:rsidRPr="009452DB">
        <w:rPr>
          <w:rFonts w:eastAsia="Times New Roman"/>
          <w:lang w:val="en-GB" w:eastAsia="de-DE"/>
        </w:rPr>
        <w:t xml:space="preserve"> </w:t>
      </w:r>
      <w:r>
        <w:rPr>
          <w:rFonts w:eastAsia="Times New Roman"/>
          <w:lang w:val="en-GB" w:eastAsia="de-DE"/>
        </w:rPr>
        <w:t>, B. M.</w:t>
      </w:r>
      <w:r w:rsidRPr="001B5D4F">
        <w:rPr>
          <w:rFonts w:eastAsia="Times New Roman"/>
          <w:lang w:val="en-GB" w:eastAsia="de-DE"/>
        </w:rPr>
        <w:t xml:space="preserve"> SARS-CoV-2 viral load peaks prior to symptom onset: a systematic review and individual-pooled analysis of </w:t>
      </w:r>
      <w:proofErr w:type="spellStart"/>
      <w:r w:rsidRPr="001B5D4F">
        <w:rPr>
          <w:rFonts w:eastAsia="Times New Roman"/>
          <w:lang w:val="en-GB" w:eastAsia="de-DE"/>
        </w:rPr>
        <w:t>coronavirus</w:t>
      </w:r>
      <w:proofErr w:type="spellEnd"/>
      <w:r w:rsidRPr="001B5D4F">
        <w:rPr>
          <w:rFonts w:eastAsia="Times New Roman"/>
          <w:lang w:val="en-GB" w:eastAsia="de-DE"/>
        </w:rPr>
        <w:t xml:space="preserve"> viral load from 66 studies. </w:t>
      </w:r>
      <w:proofErr w:type="spellStart"/>
      <w:r w:rsidRPr="001B5D4F">
        <w:rPr>
          <w:rFonts w:eastAsia="Times New Roman"/>
          <w:i/>
          <w:iCs/>
          <w:lang w:val="en-GB" w:eastAsia="de-DE"/>
        </w:rPr>
        <w:t>medRxiv</w:t>
      </w:r>
      <w:proofErr w:type="spellEnd"/>
      <w:r w:rsidRPr="001B5D4F">
        <w:rPr>
          <w:rFonts w:eastAsia="Times New Roman"/>
          <w:i/>
          <w:iCs/>
          <w:lang w:val="en-GB" w:eastAsia="de-DE"/>
        </w:rPr>
        <w:t xml:space="preserve"> (Cold Spring </w:t>
      </w:r>
      <w:proofErr w:type="spellStart"/>
      <w:r w:rsidRPr="001B5D4F">
        <w:rPr>
          <w:rFonts w:eastAsia="Times New Roman"/>
          <w:i/>
          <w:iCs/>
          <w:lang w:val="en-GB" w:eastAsia="de-DE"/>
        </w:rPr>
        <w:t>Harbor</w:t>
      </w:r>
      <w:proofErr w:type="spellEnd"/>
      <w:r w:rsidRPr="001B5D4F">
        <w:rPr>
          <w:rFonts w:eastAsia="Times New Roman"/>
          <w:i/>
          <w:iCs/>
          <w:lang w:val="en-GB" w:eastAsia="de-DE"/>
        </w:rPr>
        <w:t xml:space="preserve"> Laboratory)</w:t>
      </w:r>
      <w:r w:rsidRPr="001B5D4F">
        <w:rPr>
          <w:rFonts w:eastAsia="Times New Roman"/>
          <w:lang w:val="en-GB" w:eastAsia="de-DE"/>
        </w:rPr>
        <w:t xml:space="preserve"> </w:t>
      </w:r>
      <w:r w:rsidRPr="001B5D4F">
        <w:rPr>
          <w:rFonts w:eastAsia="Times New Roman"/>
          <w:b/>
          <w:bCs/>
          <w:lang w:val="en-GB" w:eastAsia="de-DE"/>
        </w:rPr>
        <w:t>2020</w:t>
      </w:r>
      <w:r w:rsidRPr="001B5D4F">
        <w:rPr>
          <w:rFonts w:eastAsia="Times New Roman"/>
          <w:lang w:val="en-GB" w:eastAsia="de-DE"/>
        </w:rPr>
        <w:t xml:space="preserve">. </w:t>
      </w:r>
      <w:hyperlink r:id="rId46" w:history="1">
        <w:r w:rsidR="002847C1" w:rsidRPr="00FA1E65">
          <w:rPr>
            <w:rStyle w:val="Collegamentoipertestuale"/>
            <w:rFonts w:eastAsia="Times New Roman"/>
            <w:lang w:val="en-GB" w:eastAsia="de-DE"/>
          </w:rPr>
          <w:t>https://doi.org/10.1101/2020.09.28.20202028</w:t>
        </w:r>
      </w:hyperlink>
      <w:r w:rsidRPr="001B5D4F">
        <w:rPr>
          <w:rFonts w:eastAsia="Times New Roman"/>
          <w:lang w:val="en-GB" w:eastAsia="de-DE"/>
        </w:rPr>
        <w:t>.</w:t>
      </w:r>
      <w:bookmarkEnd w:id="28"/>
    </w:p>
    <w:p w:rsidR="002847C1" w:rsidRDefault="002847C1" w:rsidP="002847C1">
      <w:pPr>
        <w:pStyle w:val="MDPI63Notes"/>
        <w:numPr>
          <w:ilvl w:val="0"/>
          <w:numId w:val="24"/>
        </w:numPr>
        <w:spacing w:before="0"/>
        <w:rPr>
          <w:rFonts w:eastAsia="Times New Roman"/>
          <w:lang w:val="en-GB" w:eastAsia="de-DE"/>
        </w:rPr>
      </w:pPr>
      <w:bookmarkStart w:id="29" w:name="foladori_2020"/>
      <w:proofErr w:type="spellStart"/>
      <w:r w:rsidRPr="001B5D4F">
        <w:rPr>
          <w:rFonts w:eastAsia="Times New Roman"/>
          <w:lang w:val="en-GB" w:eastAsia="de-DE"/>
        </w:rPr>
        <w:t>Foladori</w:t>
      </w:r>
      <w:proofErr w:type="spellEnd"/>
      <w:r w:rsidRPr="001B5D4F">
        <w:rPr>
          <w:rFonts w:eastAsia="Times New Roman"/>
          <w:lang w:val="en-GB" w:eastAsia="de-DE"/>
        </w:rPr>
        <w:t xml:space="preserve">, P.; </w:t>
      </w:r>
      <w:proofErr w:type="spellStart"/>
      <w:r w:rsidRPr="001B5D4F">
        <w:rPr>
          <w:rFonts w:eastAsia="Times New Roman"/>
          <w:lang w:val="en-GB" w:eastAsia="de-DE"/>
        </w:rPr>
        <w:t>Cutrupi</w:t>
      </w:r>
      <w:proofErr w:type="spellEnd"/>
      <w:r w:rsidRPr="001B5D4F">
        <w:rPr>
          <w:rFonts w:eastAsia="Times New Roman"/>
          <w:lang w:val="en-GB" w:eastAsia="de-DE"/>
        </w:rPr>
        <w:t xml:space="preserve">, F.; </w:t>
      </w:r>
      <w:proofErr w:type="spellStart"/>
      <w:r w:rsidRPr="001B5D4F">
        <w:rPr>
          <w:rFonts w:eastAsia="Times New Roman"/>
          <w:lang w:val="en-GB" w:eastAsia="de-DE"/>
        </w:rPr>
        <w:t>Segata</w:t>
      </w:r>
      <w:proofErr w:type="spellEnd"/>
      <w:r w:rsidRPr="001B5D4F">
        <w:rPr>
          <w:rFonts w:eastAsia="Times New Roman"/>
          <w:lang w:val="en-GB" w:eastAsia="de-DE"/>
        </w:rPr>
        <w:t xml:space="preserve">, N.; </w:t>
      </w:r>
      <w:proofErr w:type="spellStart"/>
      <w:r w:rsidRPr="001B5D4F">
        <w:rPr>
          <w:rFonts w:eastAsia="Times New Roman"/>
          <w:lang w:val="en-GB" w:eastAsia="de-DE"/>
        </w:rPr>
        <w:t>Manara</w:t>
      </w:r>
      <w:proofErr w:type="spellEnd"/>
      <w:r w:rsidRPr="001B5D4F">
        <w:rPr>
          <w:rFonts w:eastAsia="Times New Roman"/>
          <w:lang w:val="en-GB" w:eastAsia="de-DE"/>
        </w:rPr>
        <w:t xml:space="preserve">, S.; Pinto, F.; </w:t>
      </w:r>
      <w:proofErr w:type="spellStart"/>
      <w:r w:rsidRPr="001B5D4F">
        <w:rPr>
          <w:rFonts w:eastAsia="Times New Roman"/>
          <w:lang w:val="en-GB" w:eastAsia="de-DE"/>
        </w:rPr>
        <w:t>Malpei</w:t>
      </w:r>
      <w:proofErr w:type="spellEnd"/>
      <w:r w:rsidRPr="001B5D4F">
        <w:rPr>
          <w:rFonts w:eastAsia="Times New Roman"/>
          <w:lang w:val="en-GB" w:eastAsia="de-DE"/>
        </w:rPr>
        <w:t xml:space="preserve">, F.; </w:t>
      </w:r>
      <w:proofErr w:type="spellStart"/>
      <w:r w:rsidRPr="001B5D4F">
        <w:rPr>
          <w:rFonts w:eastAsia="Times New Roman"/>
          <w:lang w:val="en-GB" w:eastAsia="de-DE"/>
        </w:rPr>
        <w:t>Bruni</w:t>
      </w:r>
      <w:proofErr w:type="spellEnd"/>
      <w:r w:rsidRPr="001B5D4F">
        <w:rPr>
          <w:rFonts w:eastAsia="Times New Roman"/>
          <w:lang w:val="en-GB" w:eastAsia="de-DE"/>
        </w:rPr>
        <w:t xml:space="preserve">, L.; La Rosa, G. SARS-CoV-2 from faeces to wastewater treatment: What do we know? A review. </w:t>
      </w:r>
      <w:r w:rsidRPr="001B5D4F">
        <w:rPr>
          <w:rFonts w:eastAsia="Times New Roman"/>
          <w:i/>
          <w:iCs/>
          <w:lang w:val="en-GB" w:eastAsia="de-DE"/>
        </w:rPr>
        <w:t>Science of the Total Environment</w:t>
      </w:r>
      <w:r w:rsidRPr="001B5D4F">
        <w:rPr>
          <w:rFonts w:eastAsia="Times New Roman"/>
          <w:lang w:val="en-GB" w:eastAsia="de-DE"/>
        </w:rPr>
        <w:t xml:space="preserve"> </w:t>
      </w:r>
      <w:r w:rsidRPr="001B5D4F">
        <w:rPr>
          <w:rFonts w:eastAsia="Times New Roman"/>
          <w:b/>
          <w:bCs/>
          <w:lang w:val="en-GB" w:eastAsia="de-DE"/>
        </w:rPr>
        <w:t>2020</w:t>
      </w:r>
      <w:r w:rsidRPr="001B5D4F">
        <w:rPr>
          <w:rFonts w:eastAsia="Times New Roman"/>
          <w:lang w:val="en-GB" w:eastAsia="de-DE"/>
        </w:rPr>
        <w:t xml:space="preserve">, </w:t>
      </w:r>
      <w:r w:rsidRPr="001B5D4F">
        <w:rPr>
          <w:rFonts w:eastAsia="Times New Roman"/>
          <w:i/>
          <w:iCs/>
          <w:lang w:val="en-GB" w:eastAsia="de-DE"/>
        </w:rPr>
        <w:t>743</w:t>
      </w:r>
      <w:r w:rsidRPr="001B5D4F">
        <w:rPr>
          <w:rFonts w:eastAsia="Times New Roman"/>
          <w:lang w:val="en-GB" w:eastAsia="de-DE"/>
        </w:rPr>
        <w:t xml:space="preserve">, 140444. </w:t>
      </w:r>
      <w:hyperlink r:id="rId47" w:history="1">
        <w:r w:rsidR="009A7257" w:rsidRPr="00FA1E65">
          <w:rPr>
            <w:rStyle w:val="Collegamentoipertestuale"/>
            <w:rFonts w:eastAsia="Times New Roman"/>
            <w:lang w:val="en-GB" w:eastAsia="de-DE"/>
          </w:rPr>
          <w:t>https://doi.org/10.1016/j.scitotenv.2020.140444</w:t>
        </w:r>
      </w:hyperlink>
      <w:bookmarkEnd w:id="29"/>
      <w:r w:rsidRPr="001B5D4F">
        <w:rPr>
          <w:rFonts w:eastAsia="Times New Roman"/>
          <w:lang w:val="en-GB" w:eastAsia="de-DE"/>
        </w:rPr>
        <w:t>.</w:t>
      </w:r>
    </w:p>
    <w:p w:rsidR="009A7257" w:rsidRDefault="009A7257" w:rsidP="009A7257">
      <w:pPr>
        <w:pStyle w:val="MDPI63Notes"/>
        <w:numPr>
          <w:ilvl w:val="0"/>
          <w:numId w:val="24"/>
        </w:numPr>
        <w:spacing w:before="0"/>
        <w:rPr>
          <w:rFonts w:eastAsia="Times New Roman"/>
          <w:lang w:val="it-IT" w:eastAsia="de-DE"/>
        </w:rPr>
      </w:pPr>
      <w:bookmarkStart w:id="30" w:name="zeleke"/>
      <w:proofErr w:type="spellStart"/>
      <w:r w:rsidRPr="001B5D4F">
        <w:rPr>
          <w:rFonts w:eastAsia="Times New Roman"/>
          <w:lang w:val="en-GB" w:eastAsia="de-DE"/>
        </w:rPr>
        <w:t>Zeleke</w:t>
      </w:r>
      <w:proofErr w:type="spellEnd"/>
      <w:r w:rsidRPr="001B5D4F">
        <w:rPr>
          <w:rFonts w:eastAsia="Times New Roman"/>
          <w:lang w:val="en-GB" w:eastAsia="de-DE"/>
        </w:rPr>
        <w:t xml:space="preserve">, A. J.; </w:t>
      </w:r>
      <w:proofErr w:type="spellStart"/>
      <w:r w:rsidRPr="001B5D4F">
        <w:rPr>
          <w:rFonts w:eastAsia="Times New Roman"/>
          <w:lang w:val="en-GB" w:eastAsia="de-DE"/>
        </w:rPr>
        <w:t>Miglio</w:t>
      </w:r>
      <w:proofErr w:type="spellEnd"/>
      <w:r w:rsidRPr="001B5D4F">
        <w:rPr>
          <w:rFonts w:eastAsia="Times New Roman"/>
          <w:lang w:val="en-GB" w:eastAsia="de-DE"/>
        </w:rPr>
        <w:t xml:space="preserve">, R.; Palumbo, P.; </w:t>
      </w:r>
      <w:proofErr w:type="spellStart"/>
      <w:r w:rsidRPr="001B5D4F">
        <w:rPr>
          <w:rFonts w:eastAsia="Times New Roman"/>
          <w:lang w:val="en-GB" w:eastAsia="de-DE"/>
        </w:rPr>
        <w:t>Malaguti</w:t>
      </w:r>
      <w:proofErr w:type="spellEnd"/>
      <w:r w:rsidRPr="001B5D4F">
        <w:rPr>
          <w:rFonts w:eastAsia="Times New Roman"/>
          <w:lang w:val="en-GB" w:eastAsia="de-DE"/>
        </w:rPr>
        <w:t xml:space="preserve">, E.; </w:t>
      </w:r>
      <w:proofErr w:type="spellStart"/>
      <w:r w:rsidRPr="001B5D4F">
        <w:rPr>
          <w:rFonts w:eastAsia="Times New Roman"/>
          <w:lang w:val="en-GB" w:eastAsia="de-DE"/>
        </w:rPr>
        <w:t>Chiari</w:t>
      </w:r>
      <w:proofErr w:type="spellEnd"/>
      <w:r w:rsidRPr="001B5D4F">
        <w:rPr>
          <w:rFonts w:eastAsia="Times New Roman"/>
          <w:lang w:val="en-GB" w:eastAsia="de-DE"/>
        </w:rPr>
        <w:t>, L.; Due, U. Spatiotemporal heterogeneity of SARS-CoV-2 diff</w:t>
      </w:r>
      <w:r w:rsidRPr="001B5D4F">
        <w:rPr>
          <w:rFonts w:eastAsia="Times New Roman"/>
          <w:lang w:val="en-GB" w:eastAsia="de-DE"/>
        </w:rPr>
        <w:t>u</w:t>
      </w:r>
      <w:r w:rsidRPr="001B5D4F">
        <w:rPr>
          <w:rFonts w:eastAsia="Times New Roman"/>
          <w:lang w:val="en-GB" w:eastAsia="de-DE"/>
        </w:rPr>
        <w:t xml:space="preserve">sion at the city level using geographically weighted Poisson regression model: The case of Bologna, Italy. </w:t>
      </w:r>
      <w:proofErr w:type="spellStart"/>
      <w:r w:rsidRPr="001B5D4F">
        <w:rPr>
          <w:rFonts w:eastAsia="Times New Roman"/>
          <w:i/>
          <w:iCs/>
          <w:lang w:val="it-IT" w:eastAsia="de-DE"/>
        </w:rPr>
        <w:t>Geospatial</w:t>
      </w:r>
      <w:proofErr w:type="spellEnd"/>
      <w:r w:rsidRPr="001B5D4F">
        <w:rPr>
          <w:rFonts w:eastAsia="Times New Roman"/>
          <w:i/>
          <w:iCs/>
          <w:lang w:val="it-IT" w:eastAsia="de-DE"/>
        </w:rPr>
        <w:t xml:space="preserve"> </w:t>
      </w:r>
      <w:proofErr w:type="spellStart"/>
      <w:r w:rsidRPr="001B5D4F">
        <w:rPr>
          <w:rFonts w:eastAsia="Times New Roman"/>
          <w:i/>
          <w:iCs/>
          <w:lang w:val="it-IT" w:eastAsia="de-DE"/>
        </w:rPr>
        <w:t>Health</w:t>
      </w:r>
      <w:proofErr w:type="spellEnd"/>
      <w:r w:rsidRPr="001B5D4F">
        <w:rPr>
          <w:rFonts w:eastAsia="Times New Roman"/>
          <w:lang w:val="it-IT" w:eastAsia="de-DE"/>
        </w:rPr>
        <w:t xml:space="preserve"> </w:t>
      </w:r>
      <w:r w:rsidRPr="001B5D4F">
        <w:rPr>
          <w:rFonts w:eastAsia="Times New Roman"/>
          <w:b/>
          <w:bCs/>
          <w:lang w:val="it-IT" w:eastAsia="de-DE"/>
        </w:rPr>
        <w:t>2022</w:t>
      </w:r>
      <w:r w:rsidRPr="001B5D4F">
        <w:rPr>
          <w:rFonts w:eastAsia="Times New Roman"/>
          <w:lang w:val="it-IT" w:eastAsia="de-DE"/>
        </w:rPr>
        <w:t xml:space="preserve">, </w:t>
      </w:r>
      <w:r w:rsidRPr="001B5D4F">
        <w:rPr>
          <w:rFonts w:eastAsia="Times New Roman"/>
          <w:i/>
          <w:iCs/>
          <w:lang w:val="it-IT" w:eastAsia="de-DE"/>
        </w:rPr>
        <w:t>17</w:t>
      </w:r>
      <w:r w:rsidRPr="001B5D4F">
        <w:rPr>
          <w:rFonts w:eastAsia="Times New Roman"/>
          <w:lang w:val="it-IT" w:eastAsia="de-DE"/>
        </w:rPr>
        <w:t xml:space="preserve"> (2). </w:t>
      </w:r>
      <w:hyperlink r:id="rId48" w:history="1">
        <w:r w:rsidR="00D454B4" w:rsidRPr="00FA1E65">
          <w:rPr>
            <w:rStyle w:val="Collegamentoipertestuale"/>
            <w:rFonts w:eastAsia="Times New Roman"/>
            <w:lang w:val="it-IT" w:eastAsia="de-DE"/>
          </w:rPr>
          <w:t>https://doi.org/10.4081/gh.2022.1145</w:t>
        </w:r>
      </w:hyperlink>
      <w:r w:rsidRPr="001B5D4F">
        <w:rPr>
          <w:rFonts w:eastAsia="Times New Roman"/>
          <w:lang w:val="it-IT" w:eastAsia="de-DE"/>
        </w:rPr>
        <w:t>.</w:t>
      </w:r>
      <w:bookmarkEnd w:id="30"/>
    </w:p>
    <w:p w:rsidR="00D454B4" w:rsidRDefault="00D454B4" w:rsidP="00D454B4">
      <w:pPr>
        <w:pStyle w:val="MDPI63Notes"/>
        <w:numPr>
          <w:ilvl w:val="0"/>
          <w:numId w:val="24"/>
        </w:numPr>
        <w:spacing w:before="0"/>
        <w:rPr>
          <w:rFonts w:eastAsia="Times New Roman"/>
          <w:lang w:val="en-GB" w:eastAsia="de-DE"/>
        </w:rPr>
      </w:pPr>
      <w:bookmarkStart w:id="31" w:name="prasek_2023"/>
      <w:proofErr w:type="spellStart"/>
      <w:r w:rsidRPr="001B5D4F">
        <w:rPr>
          <w:rFonts w:eastAsia="Times New Roman"/>
          <w:lang w:val="en-GB" w:eastAsia="de-DE"/>
        </w:rPr>
        <w:t>Prasek</w:t>
      </w:r>
      <w:proofErr w:type="spellEnd"/>
      <w:r w:rsidRPr="001B5D4F">
        <w:rPr>
          <w:rFonts w:eastAsia="Times New Roman"/>
          <w:lang w:val="en-GB" w:eastAsia="de-DE"/>
        </w:rPr>
        <w:t xml:space="preserve">, S. M.; Pepper, I. L.; Innes, G. K.; </w:t>
      </w:r>
      <w:proofErr w:type="spellStart"/>
      <w:r w:rsidRPr="001B5D4F">
        <w:rPr>
          <w:rFonts w:eastAsia="Times New Roman"/>
          <w:lang w:val="en-GB" w:eastAsia="de-DE"/>
        </w:rPr>
        <w:t>Slinski</w:t>
      </w:r>
      <w:proofErr w:type="spellEnd"/>
      <w:r w:rsidRPr="001B5D4F">
        <w:rPr>
          <w:rFonts w:eastAsia="Times New Roman"/>
          <w:lang w:val="en-GB" w:eastAsia="de-DE"/>
        </w:rPr>
        <w:t xml:space="preserve">, S.; Betancourt, W. Q.; Foster, A. R.; </w:t>
      </w:r>
      <w:proofErr w:type="spellStart"/>
      <w:r w:rsidRPr="001B5D4F">
        <w:rPr>
          <w:rFonts w:eastAsia="Times New Roman"/>
          <w:lang w:val="en-GB" w:eastAsia="de-DE"/>
        </w:rPr>
        <w:t>Yaglom</w:t>
      </w:r>
      <w:proofErr w:type="spellEnd"/>
      <w:r w:rsidRPr="001B5D4F">
        <w:rPr>
          <w:rFonts w:eastAsia="Times New Roman"/>
          <w:lang w:val="en-GB" w:eastAsia="de-DE"/>
        </w:rPr>
        <w:t xml:space="preserve">, H.; Porter, W. T.; </w:t>
      </w:r>
      <w:proofErr w:type="spellStart"/>
      <w:r w:rsidRPr="001B5D4F">
        <w:rPr>
          <w:rFonts w:eastAsia="Times New Roman"/>
          <w:lang w:val="en-GB" w:eastAsia="de-DE"/>
        </w:rPr>
        <w:t>Engelthaler</w:t>
      </w:r>
      <w:proofErr w:type="spellEnd"/>
      <w:r w:rsidRPr="001B5D4F">
        <w:rPr>
          <w:rFonts w:eastAsia="Times New Roman"/>
          <w:lang w:val="en-GB" w:eastAsia="de-DE"/>
        </w:rPr>
        <w:t xml:space="preserve">, D. M.; Schmitz, B. W. Variant-specific SARS-CoV-2 shedding rates in wastewater. </w:t>
      </w:r>
      <w:r w:rsidRPr="001B5D4F">
        <w:rPr>
          <w:rFonts w:eastAsia="Times New Roman"/>
          <w:i/>
          <w:iCs/>
          <w:lang w:val="en-GB" w:eastAsia="de-DE"/>
        </w:rPr>
        <w:t>Science of the Total Environment</w:t>
      </w:r>
      <w:r w:rsidRPr="001B5D4F">
        <w:rPr>
          <w:rFonts w:eastAsia="Times New Roman"/>
          <w:lang w:val="en-GB" w:eastAsia="de-DE"/>
        </w:rPr>
        <w:t xml:space="preserve"> </w:t>
      </w:r>
      <w:r w:rsidRPr="001B5D4F">
        <w:rPr>
          <w:rFonts w:eastAsia="Times New Roman"/>
          <w:b/>
          <w:bCs/>
          <w:lang w:val="en-GB" w:eastAsia="de-DE"/>
        </w:rPr>
        <w:t>2023</w:t>
      </w:r>
      <w:r w:rsidRPr="001B5D4F">
        <w:rPr>
          <w:rFonts w:eastAsia="Times New Roman"/>
          <w:lang w:val="en-GB" w:eastAsia="de-DE"/>
        </w:rPr>
        <w:t xml:space="preserve">, </w:t>
      </w:r>
      <w:r w:rsidRPr="001B5D4F">
        <w:rPr>
          <w:rFonts w:eastAsia="Times New Roman"/>
          <w:i/>
          <w:iCs/>
          <w:lang w:val="en-GB" w:eastAsia="de-DE"/>
        </w:rPr>
        <w:t>857</w:t>
      </w:r>
      <w:r w:rsidRPr="001B5D4F">
        <w:rPr>
          <w:rFonts w:eastAsia="Times New Roman"/>
          <w:lang w:val="en-GB" w:eastAsia="de-DE"/>
        </w:rPr>
        <w:t xml:space="preserve">, 159165. </w:t>
      </w:r>
      <w:hyperlink r:id="rId49" w:history="1">
        <w:r w:rsidR="00EB6076" w:rsidRPr="00FA1E65">
          <w:rPr>
            <w:rStyle w:val="Collegamentoipertestuale"/>
            <w:rFonts w:eastAsia="Times New Roman"/>
            <w:lang w:val="en-GB" w:eastAsia="de-DE"/>
          </w:rPr>
          <w:t>https://doi.org/10.1016/j.scitotenv.2022.159165</w:t>
        </w:r>
      </w:hyperlink>
      <w:r w:rsidRPr="001B5D4F">
        <w:rPr>
          <w:rFonts w:eastAsia="Times New Roman"/>
          <w:lang w:val="en-GB" w:eastAsia="de-DE"/>
        </w:rPr>
        <w:t>.</w:t>
      </w:r>
      <w:bookmarkEnd w:id="31"/>
    </w:p>
    <w:p w:rsidR="00EB6076" w:rsidRDefault="00EB6076" w:rsidP="00EB6076">
      <w:pPr>
        <w:pStyle w:val="MDPI63Notes"/>
        <w:numPr>
          <w:ilvl w:val="0"/>
          <w:numId w:val="24"/>
        </w:numPr>
        <w:spacing w:before="0"/>
        <w:rPr>
          <w:rFonts w:eastAsia="Times New Roman"/>
          <w:lang w:val="en-GB" w:eastAsia="de-DE"/>
        </w:rPr>
      </w:pPr>
      <w:bookmarkStart w:id="32" w:name="rose_2015"/>
      <w:r w:rsidRPr="001B5D4F">
        <w:rPr>
          <w:rFonts w:eastAsia="Times New Roman"/>
          <w:lang w:val="en-GB" w:eastAsia="de-DE"/>
        </w:rPr>
        <w:t xml:space="preserve">Rose, C.; Parker, A.; Jefferson, B.; </w:t>
      </w:r>
      <w:proofErr w:type="spellStart"/>
      <w:r w:rsidRPr="001B5D4F">
        <w:rPr>
          <w:rFonts w:eastAsia="Times New Roman"/>
          <w:lang w:val="en-GB" w:eastAsia="de-DE"/>
        </w:rPr>
        <w:t>Cartmell</w:t>
      </w:r>
      <w:proofErr w:type="spellEnd"/>
      <w:r w:rsidRPr="001B5D4F">
        <w:rPr>
          <w:rFonts w:eastAsia="Times New Roman"/>
          <w:lang w:val="en-GB" w:eastAsia="de-DE"/>
        </w:rPr>
        <w:t xml:space="preserve">, E. The Characterization of </w:t>
      </w:r>
      <w:proofErr w:type="spellStart"/>
      <w:r w:rsidRPr="001B5D4F">
        <w:rPr>
          <w:rFonts w:eastAsia="Times New Roman"/>
          <w:lang w:val="en-GB" w:eastAsia="de-DE"/>
        </w:rPr>
        <w:t>feces</w:t>
      </w:r>
      <w:proofErr w:type="spellEnd"/>
      <w:r w:rsidRPr="001B5D4F">
        <w:rPr>
          <w:rFonts w:eastAsia="Times New Roman"/>
          <w:lang w:val="en-GB" w:eastAsia="de-DE"/>
        </w:rPr>
        <w:t xml:space="preserve"> and Urine: A review of the literature to inform advanced Treatment technology. </w:t>
      </w:r>
      <w:r w:rsidRPr="001B5D4F">
        <w:rPr>
          <w:rFonts w:eastAsia="Times New Roman"/>
          <w:i/>
          <w:iCs/>
          <w:lang w:val="en-GB" w:eastAsia="de-DE"/>
        </w:rPr>
        <w:t>Critical Reviews in Environmental Science and Technology</w:t>
      </w:r>
      <w:r w:rsidRPr="001B5D4F">
        <w:rPr>
          <w:rFonts w:eastAsia="Times New Roman"/>
          <w:lang w:val="en-GB" w:eastAsia="de-DE"/>
        </w:rPr>
        <w:t xml:space="preserve"> </w:t>
      </w:r>
      <w:r w:rsidRPr="001B5D4F">
        <w:rPr>
          <w:rFonts w:eastAsia="Times New Roman"/>
          <w:b/>
          <w:bCs/>
          <w:lang w:val="en-GB" w:eastAsia="de-DE"/>
        </w:rPr>
        <w:t>2015</w:t>
      </w:r>
      <w:r w:rsidRPr="001B5D4F">
        <w:rPr>
          <w:rFonts w:eastAsia="Times New Roman"/>
          <w:lang w:val="en-GB" w:eastAsia="de-DE"/>
        </w:rPr>
        <w:t xml:space="preserve">, </w:t>
      </w:r>
      <w:r w:rsidRPr="001B5D4F">
        <w:rPr>
          <w:rFonts w:eastAsia="Times New Roman"/>
          <w:i/>
          <w:iCs/>
          <w:lang w:val="en-GB" w:eastAsia="de-DE"/>
        </w:rPr>
        <w:t>45</w:t>
      </w:r>
      <w:r w:rsidRPr="001B5D4F">
        <w:rPr>
          <w:rFonts w:eastAsia="Times New Roman"/>
          <w:lang w:val="en-GB" w:eastAsia="de-DE"/>
        </w:rPr>
        <w:t xml:space="preserve"> (17), 1827–1879. </w:t>
      </w:r>
      <w:hyperlink r:id="rId50" w:history="1">
        <w:r w:rsidR="00884352" w:rsidRPr="00FA1E65">
          <w:rPr>
            <w:rStyle w:val="Collegamentoipertestuale"/>
            <w:rFonts w:eastAsia="Times New Roman"/>
            <w:lang w:val="en-GB" w:eastAsia="de-DE"/>
          </w:rPr>
          <w:t>https://doi.org/10.1080/10643389.2014.1000761</w:t>
        </w:r>
      </w:hyperlink>
      <w:r w:rsidRPr="001B5D4F">
        <w:rPr>
          <w:rFonts w:eastAsia="Times New Roman"/>
          <w:lang w:val="en-GB" w:eastAsia="de-DE"/>
        </w:rPr>
        <w:t>.</w:t>
      </w:r>
    </w:p>
    <w:p w:rsidR="001B5D4F" w:rsidRDefault="001B5D4F" w:rsidP="001B5D4F">
      <w:pPr>
        <w:pStyle w:val="MDPI63Notes"/>
        <w:numPr>
          <w:ilvl w:val="0"/>
          <w:numId w:val="24"/>
        </w:numPr>
        <w:spacing w:before="0"/>
        <w:rPr>
          <w:rFonts w:eastAsia="Times New Roman"/>
          <w:lang w:val="en-GB" w:eastAsia="de-DE"/>
        </w:rPr>
      </w:pPr>
      <w:bookmarkStart w:id="33" w:name="bivins_2020"/>
      <w:bookmarkEnd w:id="5"/>
      <w:bookmarkEnd w:id="6"/>
      <w:bookmarkEnd w:id="7"/>
      <w:bookmarkEnd w:id="10"/>
      <w:bookmarkEnd w:id="14"/>
      <w:bookmarkEnd w:id="15"/>
      <w:bookmarkEnd w:id="17"/>
      <w:bookmarkEnd w:id="19"/>
      <w:bookmarkEnd w:id="23"/>
      <w:bookmarkEnd w:id="24"/>
      <w:bookmarkEnd w:id="26"/>
      <w:bookmarkEnd w:id="32"/>
      <w:proofErr w:type="spellStart"/>
      <w:r w:rsidRPr="001B5D4F">
        <w:rPr>
          <w:rFonts w:eastAsia="Times New Roman"/>
          <w:lang w:val="en-GB" w:eastAsia="de-DE"/>
        </w:rPr>
        <w:t>Bivins</w:t>
      </w:r>
      <w:proofErr w:type="spellEnd"/>
      <w:r w:rsidRPr="001B5D4F">
        <w:rPr>
          <w:rFonts w:eastAsia="Times New Roman"/>
          <w:lang w:val="en-GB" w:eastAsia="de-DE"/>
        </w:rPr>
        <w:t xml:space="preserve">, A.; Greaves, J.; Fischer, R. J.; </w:t>
      </w:r>
      <w:proofErr w:type="spellStart"/>
      <w:r w:rsidRPr="001B5D4F">
        <w:rPr>
          <w:rFonts w:eastAsia="Times New Roman"/>
          <w:lang w:val="en-GB" w:eastAsia="de-DE"/>
        </w:rPr>
        <w:t>Yinda</w:t>
      </w:r>
      <w:proofErr w:type="spellEnd"/>
      <w:r w:rsidRPr="001B5D4F">
        <w:rPr>
          <w:rFonts w:eastAsia="Times New Roman"/>
          <w:lang w:val="en-GB" w:eastAsia="de-DE"/>
        </w:rPr>
        <w:t xml:space="preserve">, K. C.; Ahmed, W.; </w:t>
      </w:r>
      <w:proofErr w:type="spellStart"/>
      <w:r w:rsidRPr="001B5D4F">
        <w:rPr>
          <w:rFonts w:eastAsia="Times New Roman"/>
          <w:lang w:val="en-GB" w:eastAsia="de-DE"/>
        </w:rPr>
        <w:t>Kitajima</w:t>
      </w:r>
      <w:proofErr w:type="spellEnd"/>
      <w:r w:rsidRPr="001B5D4F">
        <w:rPr>
          <w:rFonts w:eastAsia="Times New Roman"/>
          <w:lang w:val="en-GB" w:eastAsia="de-DE"/>
        </w:rPr>
        <w:t xml:space="preserve">, M.; Munster, V. J.; </w:t>
      </w:r>
      <w:proofErr w:type="spellStart"/>
      <w:r w:rsidRPr="001B5D4F">
        <w:rPr>
          <w:rFonts w:eastAsia="Times New Roman"/>
          <w:lang w:val="en-GB" w:eastAsia="de-DE"/>
        </w:rPr>
        <w:t>Bibby</w:t>
      </w:r>
      <w:proofErr w:type="spellEnd"/>
      <w:r w:rsidRPr="001B5D4F">
        <w:rPr>
          <w:rFonts w:eastAsia="Times New Roman"/>
          <w:lang w:val="en-GB" w:eastAsia="de-DE"/>
        </w:rPr>
        <w:t xml:space="preserve">, K. Persistence of SARS-COV-2 in water and wastewater. </w:t>
      </w:r>
      <w:r w:rsidRPr="001B5D4F">
        <w:rPr>
          <w:rFonts w:eastAsia="Times New Roman"/>
          <w:i/>
          <w:iCs/>
          <w:lang w:val="en-GB" w:eastAsia="de-DE"/>
        </w:rPr>
        <w:t>Environmental Science and Technology Letters</w:t>
      </w:r>
      <w:r w:rsidRPr="001B5D4F">
        <w:rPr>
          <w:rFonts w:eastAsia="Times New Roman"/>
          <w:lang w:val="en-GB" w:eastAsia="de-DE"/>
        </w:rPr>
        <w:t xml:space="preserve"> </w:t>
      </w:r>
      <w:r w:rsidRPr="001B5D4F">
        <w:rPr>
          <w:rFonts w:eastAsia="Times New Roman"/>
          <w:b/>
          <w:bCs/>
          <w:lang w:val="en-GB" w:eastAsia="de-DE"/>
        </w:rPr>
        <w:t>2020</w:t>
      </w:r>
      <w:r w:rsidRPr="001B5D4F">
        <w:rPr>
          <w:rFonts w:eastAsia="Times New Roman"/>
          <w:lang w:val="en-GB" w:eastAsia="de-DE"/>
        </w:rPr>
        <w:t xml:space="preserve">, </w:t>
      </w:r>
      <w:r w:rsidRPr="001B5D4F">
        <w:rPr>
          <w:rFonts w:eastAsia="Times New Roman"/>
          <w:i/>
          <w:iCs/>
          <w:lang w:val="en-GB" w:eastAsia="de-DE"/>
        </w:rPr>
        <w:t>7</w:t>
      </w:r>
      <w:r w:rsidRPr="001B5D4F">
        <w:rPr>
          <w:rFonts w:eastAsia="Times New Roman"/>
          <w:lang w:val="en-GB" w:eastAsia="de-DE"/>
        </w:rPr>
        <w:t xml:space="preserve"> (12), 937–942. </w:t>
      </w:r>
      <w:hyperlink r:id="rId51" w:history="1">
        <w:r w:rsidR="00D352CD" w:rsidRPr="00FA1E65">
          <w:rPr>
            <w:rStyle w:val="Collegamentoipertestuale"/>
            <w:rFonts w:eastAsia="Times New Roman"/>
            <w:lang w:val="en-GB" w:eastAsia="de-DE"/>
          </w:rPr>
          <w:t>https://doi.org/10.1021/acs.estlett.0c00730</w:t>
        </w:r>
      </w:hyperlink>
      <w:r w:rsidRPr="001B5D4F">
        <w:rPr>
          <w:rFonts w:eastAsia="Times New Roman"/>
          <w:lang w:val="en-GB" w:eastAsia="de-DE"/>
        </w:rPr>
        <w:t>.</w:t>
      </w:r>
    </w:p>
    <w:p w:rsidR="00D352CD" w:rsidRDefault="00D352CD" w:rsidP="00D352CD">
      <w:pPr>
        <w:pStyle w:val="MDPI63Notes"/>
        <w:numPr>
          <w:ilvl w:val="0"/>
          <w:numId w:val="24"/>
        </w:numPr>
        <w:spacing w:before="0"/>
        <w:rPr>
          <w:rFonts w:eastAsia="Times New Roman"/>
          <w:lang w:val="en-GB" w:eastAsia="de-DE"/>
        </w:rPr>
      </w:pPr>
      <w:bookmarkStart w:id="34" w:name="yang_2022"/>
      <w:r w:rsidRPr="001B5D4F">
        <w:rPr>
          <w:rFonts w:eastAsia="Times New Roman"/>
          <w:lang w:val="en-GB" w:eastAsia="de-DE"/>
        </w:rPr>
        <w:t xml:space="preserve">Yang, S.; Dong, Q.; Li, S.; Zhao, C.; Kang, X.; </w:t>
      </w:r>
      <w:proofErr w:type="spellStart"/>
      <w:r w:rsidRPr="001B5D4F">
        <w:rPr>
          <w:rFonts w:eastAsia="Times New Roman"/>
          <w:lang w:val="en-GB" w:eastAsia="de-DE"/>
        </w:rPr>
        <w:t>Ren</w:t>
      </w:r>
      <w:proofErr w:type="spellEnd"/>
      <w:r w:rsidRPr="001B5D4F">
        <w:rPr>
          <w:rFonts w:eastAsia="Times New Roman"/>
          <w:lang w:val="en-GB" w:eastAsia="de-DE"/>
        </w:rPr>
        <w:t xml:space="preserve">, D.; </w:t>
      </w:r>
      <w:proofErr w:type="spellStart"/>
      <w:r w:rsidRPr="001B5D4F">
        <w:rPr>
          <w:rFonts w:eastAsia="Times New Roman"/>
          <w:lang w:val="en-GB" w:eastAsia="de-DE"/>
        </w:rPr>
        <w:t>Xu</w:t>
      </w:r>
      <w:proofErr w:type="spellEnd"/>
      <w:r w:rsidRPr="001B5D4F">
        <w:rPr>
          <w:rFonts w:eastAsia="Times New Roman"/>
          <w:lang w:val="en-GB" w:eastAsia="de-DE"/>
        </w:rPr>
        <w:t xml:space="preserve">, C.; Zhou, X. H.; </w:t>
      </w:r>
      <w:proofErr w:type="spellStart"/>
      <w:r w:rsidRPr="001B5D4F">
        <w:rPr>
          <w:rFonts w:eastAsia="Times New Roman"/>
          <w:lang w:val="en-GB" w:eastAsia="de-DE"/>
        </w:rPr>
        <w:t>Peng</w:t>
      </w:r>
      <w:proofErr w:type="spellEnd"/>
      <w:r w:rsidRPr="001B5D4F">
        <w:rPr>
          <w:rFonts w:eastAsia="Times New Roman"/>
          <w:lang w:val="en-GB" w:eastAsia="de-DE"/>
        </w:rPr>
        <w:t xml:space="preserve">, L.; Sun, L.; Zhao, J.; Yang, J.; Han, T.; Liu, Y.; </w:t>
      </w:r>
      <w:proofErr w:type="spellStart"/>
      <w:r w:rsidRPr="001B5D4F">
        <w:rPr>
          <w:rFonts w:eastAsia="Times New Roman"/>
          <w:lang w:val="en-GB" w:eastAsia="de-DE"/>
        </w:rPr>
        <w:t>Qian</w:t>
      </w:r>
      <w:proofErr w:type="spellEnd"/>
      <w:r w:rsidRPr="001B5D4F">
        <w:rPr>
          <w:rFonts w:eastAsia="Times New Roman"/>
          <w:lang w:val="en-GB" w:eastAsia="de-DE"/>
        </w:rPr>
        <w:t xml:space="preserve">, Y.; Liu, Y.; Huang, X.; </w:t>
      </w:r>
      <w:proofErr w:type="spellStart"/>
      <w:r w:rsidRPr="001B5D4F">
        <w:rPr>
          <w:rFonts w:eastAsia="Times New Roman"/>
          <w:lang w:val="en-GB" w:eastAsia="de-DE"/>
        </w:rPr>
        <w:t>Qu</w:t>
      </w:r>
      <w:proofErr w:type="spellEnd"/>
      <w:r w:rsidRPr="001B5D4F">
        <w:rPr>
          <w:rFonts w:eastAsia="Times New Roman"/>
          <w:lang w:val="en-GB" w:eastAsia="de-DE"/>
        </w:rPr>
        <w:t xml:space="preserve">, J. Persistence of SARS-CoV-2 RNA in wastewater after the end of the COVID-19 epidemics. </w:t>
      </w:r>
      <w:r w:rsidRPr="00A360D5">
        <w:rPr>
          <w:rFonts w:eastAsia="Times New Roman"/>
          <w:i/>
          <w:iCs/>
          <w:lang w:val="en-GB" w:eastAsia="de-DE"/>
        </w:rPr>
        <w:t>Journal of Hazardous Materials</w:t>
      </w:r>
      <w:r w:rsidRPr="00A360D5">
        <w:rPr>
          <w:rFonts w:eastAsia="Times New Roman"/>
          <w:lang w:val="en-GB" w:eastAsia="de-DE"/>
        </w:rPr>
        <w:t xml:space="preserve"> </w:t>
      </w:r>
      <w:r w:rsidRPr="00A360D5">
        <w:rPr>
          <w:rFonts w:eastAsia="Times New Roman"/>
          <w:b/>
          <w:bCs/>
          <w:lang w:val="en-GB" w:eastAsia="de-DE"/>
        </w:rPr>
        <w:t>2022</w:t>
      </w:r>
      <w:r w:rsidRPr="00A360D5">
        <w:rPr>
          <w:rFonts w:eastAsia="Times New Roman"/>
          <w:lang w:val="en-GB" w:eastAsia="de-DE"/>
        </w:rPr>
        <w:t xml:space="preserve">, </w:t>
      </w:r>
      <w:r w:rsidRPr="00A360D5">
        <w:rPr>
          <w:rFonts w:eastAsia="Times New Roman"/>
          <w:i/>
          <w:iCs/>
          <w:lang w:val="en-GB" w:eastAsia="de-DE"/>
        </w:rPr>
        <w:t>429</w:t>
      </w:r>
      <w:r w:rsidRPr="00A360D5">
        <w:rPr>
          <w:rFonts w:eastAsia="Times New Roman"/>
          <w:lang w:val="en-GB" w:eastAsia="de-DE"/>
        </w:rPr>
        <w:t xml:space="preserve">, 128358. </w:t>
      </w:r>
      <w:hyperlink r:id="rId52" w:history="1">
        <w:r w:rsidR="00636A20" w:rsidRPr="00FA1E65">
          <w:rPr>
            <w:rStyle w:val="Collegamentoipertestuale"/>
            <w:rFonts w:eastAsia="Times New Roman"/>
            <w:lang w:val="en-GB" w:eastAsia="de-DE"/>
          </w:rPr>
          <w:t>https://doi.org/10.1016/j.jhazmat.2022.128358</w:t>
        </w:r>
      </w:hyperlink>
      <w:r w:rsidRPr="00A360D5">
        <w:rPr>
          <w:rFonts w:eastAsia="Times New Roman"/>
          <w:lang w:val="en-GB" w:eastAsia="de-DE"/>
        </w:rPr>
        <w:t>.</w:t>
      </w:r>
    </w:p>
    <w:p w:rsidR="00636A20" w:rsidRDefault="00636A20" w:rsidP="00636A20">
      <w:pPr>
        <w:pStyle w:val="MDPI63Notes"/>
        <w:numPr>
          <w:ilvl w:val="0"/>
          <w:numId w:val="24"/>
        </w:numPr>
        <w:spacing w:before="0"/>
        <w:rPr>
          <w:rFonts w:eastAsia="Times New Roman"/>
          <w:lang w:val="en-GB" w:eastAsia="de-DE"/>
        </w:rPr>
      </w:pPr>
      <w:bookmarkStart w:id="35" w:name="silverman_2020"/>
      <w:r w:rsidRPr="001B5D4F">
        <w:rPr>
          <w:rFonts w:eastAsia="Times New Roman"/>
          <w:lang w:val="en-GB" w:eastAsia="de-DE"/>
        </w:rPr>
        <w:t xml:space="preserve">Silverman, A. I.; Boehm, A. B. Systematic Review and Meta-Analysis of the persistence and disinfection of human </w:t>
      </w:r>
      <w:proofErr w:type="spellStart"/>
      <w:r w:rsidRPr="001B5D4F">
        <w:rPr>
          <w:rFonts w:eastAsia="Times New Roman"/>
          <w:lang w:val="en-GB" w:eastAsia="de-DE"/>
        </w:rPr>
        <w:t>cor</w:t>
      </w:r>
      <w:r w:rsidRPr="001B5D4F">
        <w:rPr>
          <w:rFonts w:eastAsia="Times New Roman"/>
          <w:lang w:val="en-GB" w:eastAsia="de-DE"/>
        </w:rPr>
        <w:t>o</w:t>
      </w:r>
      <w:r w:rsidRPr="001B5D4F">
        <w:rPr>
          <w:rFonts w:eastAsia="Times New Roman"/>
          <w:lang w:val="en-GB" w:eastAsia="de-DE"/>
        </w:rPr>
        <w:t>naviruses</w:t>
      </w:r>
      <w:proofErr w:type="spellEnd"/>
      <w:r w:rsidRPr="001B5D4F">
        <w:rPr>
          <w:rFonts w:eastAsia="Times New Roman"/>
          <w:lang w:val="en-GB" w:eastAsia="de-DE"/>
        </w:rPr>
        <w:t xml:space="preserve"> and their viral surrogates in water and wastewater. </w:t>
      </w:r>
      <w:r w:rsidRPr="001B5D4F">
        <w:rPr>
          <w:rFonts w:eastAsia="Times New Roman"/>
          <w:i/>
          <w:iCs/>
          <w:lang w:val="en-GB" w:eastAsia="de-DE"/>
        </w:rPr>
        <w:t>Environmental Science and Technology Letters</w:t>
      </w:r>
      <w:r w:rsidRPr="001B5D4F">
        <w:rPr>
          <w:rFonts w:eastAsia="Times New Roman"/>
          <w:lang w:val="en-GB" w:eastAsia="de-DE"/>
        </w:rPr>
        <w:t xml:space="preserve"> </w:t>
      </w:r>
      <w:r w:rsidRPr="001B5D4F">
        <w:rPr>
          <w:rFonts w:eastAsia="Times New Roman"/>
          <w:b/>
          <w:bCs/>
          <w:lang w:val="en-GB" w:eastAsia="de-DE"/>
        </w:rPr>
        <w:t>2020</w:t>
      </w:r>
      <w:r w:rsidRPr="001B5D4F">
        <w:rPr>
          <w:rFonts w:eastAsia="Times New Roman"/>
          <w:lang w:val="en-GB" w:eastAsia="de-DE"/>
        </w:rPr>
        <w:t xml:space="preserve">, </w:t>
      </w:r>
      <w:r w:rsidRPr="001B5D4F">
        <w:rPr>
          <w:rFonts w:eastAsia="Times New Roman"/>
          <w:i/>
          <w:iCs/>
          <w:lang w:val="en-GB" w:eastAsia="de-DE"/>
        </w:rPr>
        <w:t>7</w:t>
      </w:r>
      <w:r w:rsidRPr="001B5D4F">
        <w:rPr>
          <w:rFonts w:eastAsia="Times New Roman"/>
          <w:lang w:val="en-GB" w:eastAsia="de-DE"/>
        </w:rPr>
        <w:t xml:space="preserve"> (8), 544–553. </w:t>
      </w:r>
      <w:hyperlink r:id="rId53" w:history="1">
        <w:r w:rsidRPr="00FA1E65">
          <w:rPr>
            <w:rStyle w:val="Collegamentoipertestuale"/>
            <w:rFonts w:eastAsia="Times New Roman"/>
            <w:lang w:val="en-GB" w:eastAsia="de-DE"/>
          </w:rPr>
          <w:t>https://doi.org/10.1021/acs.estlett.0c00313</w:t>
        </w:r>
      </w:hyperlink>
      <w:r w:rsidRPr="001B5D4F">
        <w:rPr>
          <w:rFonts w:eastAsia="Times New Roman"/>
          <w:lang w:val="en-GB" w:eastAsia="de-DE"/>
        </w:rPr>
        <w:t>.</w:t>
      </w:r>
    </w:p>
    <w:p w:rsidR="00636A20" w:rsidRDefault="00636A20" w:rsidP="00636A20">
      <w:pPr>
        <w:pStyle w:val="MDPI63Notes"/>
        <w:numPr>
          <w:ilvl w:val="0"/>
          <w:numId w:val="24"/>
        </w:numPr>
        <w:spacing w:before="0"/>
        <w:rPr>
          <w:rFonts w:eastAsia="Times New Roman"/>
          <w:lang w:val="en-GB" w:eastAsia="de-DE"/>
        </w:rPr>
      </w:pPr>
      <w:bookmarkStart w:id="36" w:name="cipolla_2014"/>
      <w:proofErr w:type="spellStart"/>
      <w:r w:rsidRPr="001B5D4F">
        <w:rPr>
          <w:rFonts w:eastAsia="Times New Roman"/>
          <w:lang w:val="en-GB" w:eastAsia="de-DE"/>
        </w:rPr>
        <w:t>Cipolla</w:t>
      </w:r>
      <w:proofErr w:type="spellEnd"/>
      <w:r w:rsidRPr="001B5D4F">
        <w:rPr>
          <w:rFonts w:eastAsia="Times New Roman"/>
          <w:lang w:val="en-GB" w:eastAsia="de-DE"/>
        </w:rPr>
        <w:t xml:space="preserve">, S. S.; </w:t>
      </w:r>
      <w:proofErr w:type="spellStart"/>
      <w:r w:rsidRPr="001B5D4F">
        <w:rPr>
          <w:rFonts w:eastAsia="Times New Roman"/>
          <w:lang w:val="en-GB" w:eastAsia="de-DE"/>
        </w:rPr>
        <w:t>Maglionico</w:t>
      </w:r>
      <w:proofErr w:type="spellEnd"/>
      <w:r w:rsidRPr="001B5D4F">
        <w:rPr>
          <w:rFonts w:eastAsia="Times New Roman"/>
          <w:lang w:val="en-GB" w:eastAsia="de-DE"/>
        </w:rPr>
        <w:t>, M. Heat Recovery from Urban Wastewater: Analysis of the Variability of Flow Rate and Te</w:t>
      </w:r>
      <w:r w:rsidRPr="001B5D4F">
        <w:rPr>
          <w:rFonts w:eastAsia="Times New Roman"/>
          <w:lang w:val="en-GB" w:eastAsia="de-DE"/>
        </w:rPr>
        <w:t>m</w:t>
      </w:r>
      <w:r w:rsidRPr="001B5D4F">
        <w:rPr>
          <w:rFonts w:eastAsia="Times New Roman"/>
          <w:lang w:val="en-GB" w:eastAsia="de-DE"/>
        </w:rPr>
        <w:t xml:space="preserve">perature in the Sewer of Bologna, Italy. </w:t>
      </w:r>
      <w:r w:rsidRPr="004E6E22">
        <w:rPr>
          <w:rFonts w:eastAsia="Times New Roman"/>
          <w:i/>
          <w:iCs/>
          <w:lang w:val="en-GB" w:eastAsia="de-DE"/>
        </w:rPr>
        <w:t xml:space="preserve">Energy </w:t>
      </w:r>
      <w:proofErr w:type="spellStart"/>
      <w:r w:rsidRPr="004E6E22">
        <w:rPr>
          <w:rFonts w:eastAsia="Times New Roman"/>
          <w:i/>
          <w:iCs/>
          <w:lang w:val="en-GB" w:eastAsia="de-DE"/>
        </w:rPr>
        <w:t>Procedia</w:t>
      </w:r>
      <w:proofErr w:type="spellEnd"/>
      <w:r w:rsidRPr="004E6E22">
        <w:rPr>
          <w:rFonts w:eastAsia="Times New Roman"/>
          <w:lang w:val="en-GB" w:eastAsia="de-DE"/>
        </w:rPr>
        <w:t xml:space="preserve"> </w:t>
      </w:r>
      <w:r w:rsidRPr="004E6E22">
        <w:rPr>
          <w:rFonts w:eastAsia="Times New Roman"/>
          <w:b/>
          <w:bCs/>
          <w:lang w:val="en-GB" w:eastAsia="de-DE"/>
        </w:rPr>
        <w:t>2014</w:t>
      </w:r>
      <w:r w:rsidRPr="004E6E22">
        <w:rPr>
          <w:rFonts w:eastAsia="Times New Roman"/>
          <w:lang w:val="en-GB" w:eastAsia="de-DE"/>
        </w:rPr>
        <w:t xml:space="preserve">, </w:t>
      </w:r>
      <w:r w:rsidRPr="004E6E22">
        <w:rPr>
          <w:rFonts w:eastAsia="Times New Roman"/>
          <w:i/>
          <w:iCs/>
          <w:lang w:val="en-GB" w:eastAsia="de-DE"/>
        </w:rPr>
        <w:t>45</w:t>
      </w:r>
      <w:r w:rsidRPr="004E6E22">
        <w:rPr>
          <w:rFonts w:eastAsia="Times New Roman"/>
          <w:lang w:val="en-GB" w:eastAsia="de-DE"/>
        </w:rPr>
        <w:t xml:space="preserve">, 288–297. </w:t>
      </w:r>
      <w:hyperlink r:id="rId54" w:history="1">
        <w:r w:rsidR="008E0BAD" w:rsidRPr="00FA1E65">
          <w:rPr>
            <w:rStyle w:val="Collegamentoipertestuale"/>
            <w:rFonts w:eastAsia="Times New Roman"/>
            <w:lang w:val="en-GB" w:eastAsia="de-DE"/>
          </w:rPr>
          <w:t>https://doi.org/10.1016/j.egypro.2014.01.031</w:t>
        </w:r>
      </w:hyperlink>
      <w:r w:rsidRPr="004E6E22">
        <w:rPr>
          <w:rFonts w:eastAsia="Times New Roman"/>
          <w:lang w:val="en-GB" w:eastAsia="de-DE"/>
        </w:rPr>
        <w:t>.</w:t>
      </w:r>
    </w:p>
    <w:p w:rsidR="008E0BAD" w:rsidRDefault="008E0BAD" w:rsidP="008E0BAD">
      <w:pPr>
        <w:pStyle w:val="MDPI63Notes"/>
        <w:numPr>
          <w:ilvl w:val="0"/>
          <w:numId w:val="24"/>
        </w:numPr>
        <w:spacing w:before="0"/>
        <w:rPr>
          <w:rFonts w:eastAsia="Times New Roman"/>
          <w:lang w:val="en-GB" w:eastAsia="de-DE"/>
        </w:rPr>
      </w:pPr>
      <w:bookmarkStart w:id="37" w:name="cormen"/>
      <w:proofErr w:type="spellStart"/>
      <w:r w:rsidRPr="001B5D4F">
        <w:rPr>
          <w:rFonts w:eastAsia="Times New Roman"/>
          <w:lang w:val="en-GB" w:eastAsia="de-DE"/>
        </w:rPr>
        <w:t>Cormen</w:t>
      </w:r>
      <w:proofErr w:type="spellEnd"/>
      <w:r w:rsidRPr="001B5D4F">
        <w:rPr>
          <w:rFonts w:eastAsia="Times New Roman"/>
          <w:lang w:val="en-GB" w:eastAsia="de-DE"/>
        </w:rPr>
        <w:t xml:space="preserve">, T. H.; </w:t>
      </w:r>
      <w:proofErr w:type="spellStart"/>
      <w:r w:rsidRPr="001B5D4F">
        <w:rPr>
          <w:rFonts w:eastAsia="Times New Roman"/>
          <w:lang w:val="en-GB" w:eastAsia="de-DE"/>
        </w:rPr>
        <w:t>Leiserson</w:t>
      </w:r>
      <w:proofErr w:type="spellEnd"/>
      <w:r w:rsidRPr="001B5D4F">
        <w:rPr>
          <w:rFonts w:eastAsia="Times New Roman"/>
          <w:lang w:val="en-GB" w:eastAsia="de-DE"/>
        </w:rPr>
        <w:t xml:space="preserve">, C. E.; </w:t>
      </w:r>
      <w:proofErr w:type="spellStart"/>
      <w:r w:rsidRPr="001B5D4F">
        <w:rPr>
          <w:rFonts w:eastAsia="Times New Roman"/>
          <w:lang w:val="en-GB" w:eastAsia="de-DE"/>
        </w:rPr>
        <w:t>Rivest</w:t>
      </w:r>
      <w:proofErr w:type="spellEnd"/>
      <w:r w:rsidRPr="001B5D4F">
        <w:rPr>
          <w:rFonts w:eastAsia="Times New Roman"/>
          <w:lang w:val="en-GB" w:eastAsia="de-DE"/>
        </w:rPr>
        <w:t xml:space="preserve">, R. L.; Stein, C. </w:t>
      </w:r>
      <w:r w:rsidRPr="001B5D4F">
        <w:rPr>
          <w:rFonts w:eastAsia="Times New Roman"/>
          <w:i/>
          <w:iCs/>
          <w:lang w:val="en-GB" w:eastAsia="de-DE"/>
        </w:rPr>
        <w:t>Introduction to algorithms</w:t>
      </w:r>
      <w:r w:rsidRPr="001B5D4F">
        <w:rPr>
          <w:rFonts w:eastAsia="Times New Roman"/>
          <w:lang w:val="en-GB" w:eastAsia="de-DE"/>
        </w:rPr>
        <w:t>; MIT Press, 2001.</w:t>
      </w:r>
    </w:p>
    <w:p w:rsidR="008E0BAD" w:rsidRDefault="008E0BAD" w:rsidP="008E0BAD">
      <w:pPr>
        <w:pStyle w:val="MDPI63Notes"/>
        <w:numPr>
          <w:ilvl w:val="0"/>
          <w:numId w:val="24"/>
        </w:numPr>
        <w:spacing w:before="0"/>
        <w:rPr>
          <w:rFonts w:eastAsia="Times New Roman"/>
          <w:lang w:val="en-GB" w:eastAsia="de-DE"/>
        </w:rPr>
      </w:pPr>
      <w:bookmarkStart w:id="38" w:name="compagni"/>
      <w:proofErr w:type="spellStart"/>
      <w:r w:rsidRPr="001B5D4F">
        <w:rPr>
          <w:rFonts w:eastAsia="Times New Roman"/>
          <w:lang w:val="en-GB" w:eastAsia="de-DE"/>
        </w:rPr>
        <w:t>Compagni</w:t>
      </w:r>
      <w:proofErr w:type="spellEnd"/>
      <w:r w:rsidRPr="001B5D4F">
        <w:rPr>
          <w:rFonts w:eastAsia="Times New Roman"/>
          <w:lang w:val="en-GB" w:eastAsia="de-DE"/>
        </w:rPr>
        <w:t xml:space="preserve">, R. D.; </w:t>
      </w:r>
      <w:proofErr w:type="spellStart"/>
      <w:r w:rsidRPr="001B5D4F">
        <w:rPr>
          <w:rFonts w:eastAsia="Times New Roman"/>
          <w:lang w:val="en-GB" w:eastAsia="de-DE"/>
        </w:rPr>
        <w:t>Polesel</w:t>
      </w:r>
      <w:proofErr w:type="spellEnd"/>
      <w:r w:rsidRPr="001B5D4F">
        <w:rPr>
          <w:rFonts w:eastAsia="Times New Roman"/>
          <w:lang w:val="en-GB" w:eastAsia="de-DE"/>
        </w:rPr>
        <w:t xml:space="preserve">, F.; Von </w:t>
      </w:r>
      <w:proofErr w:type="spellStart"/>
      <w:r w:rsidRPr="001B5D4F">
        <w:rPr>
          <w:rFonts w:eastAsia="Times New Roman"/>
          <w:lang w:val="en-GB" w:eastAsia="de-DE"/>
        </w:rPr>
        <w:t>Borries</w:t>
      </w:r>
      <w:proofErr w:type="spellEnd"/>
      <w:r w:rsidRPr="001B5D4F">
        <w:rPr>
          <w:rFonts w:eastAsia="Times New Roman"/>
          <w:lang w:val="en-GB" w:eastAsia="de-DE"/>
        </w:rPr>
        <w:t xml:space="preserve">, K. J. F.; Zhang, Z.; </w:t>
      </w:r>
      <w:proofErr w:type="spellStart"/>
      <w:r w:rsidRPr="001B5D4F">
        <w:rPr>
          <w:rFonts w:eastAsia="Times New Roman"/>
          <w:lang w:val="en-GB" w:eastAsia="de-DE"/>
        </w:rPr>
        <w:t>Turolla</w:t>
      </w:r>
      <w:proofErr w:type="spellEnd"/>
      <w:r w:rsidRPr="001B5D4F">
        <w:rPr>
          <w:rFonts w:eastAsia="Times New Roman"/>
          <w:lang w:val="en-GB" w:eastAsia="de-DE"/>
        </w:rPr>
        <w:t xml:space="preserve">, A.; </w:t>
      </w:r>
      <w:proofErr w:type="spellStart"/>
      <w:r w:rsidRPr="001B5D4F">
        <w:rPr>
          <w:rFonts w:eastAsia="Times New Roman"/>
          <w:lang w:val="en-GB" w:eastAsia="de-DE"/>
        </w:rPr>
        <w:t>Antonelli</w:t>
      </w:r>
      <w:proofErr w:type="spellEnd"/>
      <w:r w:rsidRPr="001B5D4F">
        <w:rPr>
          <w:rFonts w:eastAsia="Times New Roman"/>
          <w:lang w:val="en-GB" w:eastAsia="de-DE"/>
        </w:rPr>
        <w:t xml:space="preserve">, M.; </w:t>
      </w:r>
      <w:proofErr w:type="spellStart"/>
      <w:r w:rsidRPr="001B5D4F">
        <w:rPr>
          <w:rFonts w:eastAsia="Times New Roman"/>
          <w:lang w:val="en-GB" w:eastAsia="de-DE"/>
        </w:rPr>
        <w:t>Vezzaro</w:t>
      </w:r>
      <w:proofErr w:type="spellEnd"/>
      <w:r w:rsidRPr="001B5D4F">
        <w:rPr>
          <w:rFonts w:eastAsia="Times New Roman"/>
          <w:lang w:val="en-GB" w:eastAsia="de-DE"/>
        </w:rPr>
        <w:t xml:space="preserve">, L. Modelling </w:t>
      </w:r>
      <w:proofErr w:type="spellStart"/>
      <w:r w:rsidRPr="001B5D4F">
        <w:rPr>
          <w:rFonts w:eastAsia="Times New Roman"/>
          <w:lang w:val="en-GB" w:eastAsia="de-DE"/>
        </w:rPr>
        <w:t>micropo</w:t>
      </w:r>
      <w:r w:rsidRPr="001B5D4F">
        <w:rPr>
          <w:rFonts w:eastAsia="Times New Roman"/>
          <w:lang w:val="en-GB" w:eastAsia="de-DE"/>
        </w:rPr>
        <w:t>l</w:t>
      </w:r>
      <w:r w:rsidRPr="001B5D4F">
        <w:rPr>
          <w:rFonts w:eastAsia="Times New Roman"/>
          <w:lang w:val="en-GB" w:eastAsia="de-DE"/>
        </w:rPr>
        <w:t>lutant</w:t>
      </w:r>
      <w:proofErr w:type="spellEnd"/>
      <w:r w:rsidRPr="001B5D4F">
        <w:rPr>
          <w:rFonts w:eastAsia="Times New Roman"/>
          <w:lang w:val="en-GB" w:eastAsia="de-DE"/>
        </w:rPr>
        <w:t xml:space="preserve"> fate in sewer systems – A new systematic approach to support conceptual model construction based on in-sewer hydraulic retention time. </w:t>
      </w:r>
      <w:r w:rsidRPr="00FD33BF">
        <w:rPr>
          <w:rFonts w:eastAsia="Times New Roman"/>
          <w:i/>
          <w:iCs/>
          <w:lang w:val="en-GB" w:eastAsia="de-DE"/>
        </w:rPr>
        <w:t>Journal of Environmental Management</w:t>
      </w:r>
      <w:r w:rsidRPr="00FD33BF">
        <w:rPr>
          <w:rFonts w:eastAsia="Times New Roman"/>
          <w:lang w:val="en-GB" w:eastAsia="de-DE"/>
        </w:rPr>
        <w:t xml:space="preserve"> </w:t>
      </w:r>
      <w:r w:rsidRPr="00FD33BF">
        <w:rPr>
          <w:rFonts w:eastAsia="Times New Roman"/>
          <w:b/>
          <w:bCs/>
          <w:lang w:val="en-GB" w:eastAsia="de-DE"/>
        </w:rPr>
        <w:t>2019</w:t>
      </w:r>
      <w:r w:rsidRPr="00FD33BF">
        <w:rPr>
          <w:rFonts w:eastAsia="Times New Roman"/>
          <w:lang w:val="en-GB" w:eastAsia="de-DE"/>
        </w:rPr>
        <w:t xml:space="preserve">, </w:t>
      </w:r>
      <w:r w:rsidRPr="00FD33BF">
        <w:rPr>
          <w:rFonts w:eastAsia="Times New Roman"/>
          <w:i/>
          <w:iCs/>
          <w:lang w:val="en-GB" w:eastAsia="de-DE"/>
        </w:rPr>
        <w:t>246</w:t>
      </w:r>
      <w:r w:rsidRPr="00FD33BF">
        <w:rPr>
          <w:rFonts w:eastAsia="Times New Roman"/>
          <w:lang w:val="en-GB" w:eastAsia="de-DE"/>
        </w:rPr>
        <w:t xml:space="preserve">, 141–149. </w:t>
      </w:r>
      <w:hyperlink r:id="rId55" w:history="1">
        <w:r w:rsidR="00DF001F" w:rsidRPr="00FA1E65">
          <w:rPr>
            <w:rStyle w:val="Collegamentoipertestuale"/>
            <w:rFonts w:eastAsia="Times New Roman"/>
            <w:lang w:val="en-GB" w:eastAsia="de-DE"/>
          </w:rPr>
          <w:t>https://doi.org/10.1016/j.jenvman.2019.05.139</w:t>
        </w:r>
      </w:hyperlink>
      <w:r w:rsidRPr="00FD33BF">
        <w:rPr>
          <w:rFonts w:eastAsia="Times New Roman"/>
          <w:lang w:val="en-GB" w:eastAsia="de-DE"/>
        </w:rPr>
        <w:t>.</w:t>
      </w:r>
      <w:bookmarkEnd w:id="38"/>
    </w:p>
    <w:p w:rsidR="00DF001F" w:rsidRDefault="00DF001F" w:rsidP="00DF001F">
      <w:pPr>
        <w:pStyle w:val="MDPI63Notes"/>
        <w:numPr>
          <w:ilvl w:val="0"/>
          <w:numId w:val="24"/>
        </w:numPr>
        <w:spacing w:before="0"/>
        <w:rPr>
          <w:rFonts w:eastAsia="Times New Roman"/>
          <w:lang w:val="en-GB" w:eastAsia="de-DE"/>
        </w:rPr>
      </w:pPr>
      <w:bookmarkStart w:id="39" w:name="bares_2008"/>
      <w:proofErr w:type="spellStart"/>
      <w:r w:rsidRPr="001B5D4F">
        <w:rPr>
          <w:rFonts w:eastAsia="Times New Roman"/>
          <w:lang w:val="en-GB" w:eastAsia="de-DE"/>
        </w:rPr>
        <w:t>Bareš</w:t>
      </w:r>
      <w:proofErr w:type="spellEnd"/>
      <w:r w:rsidRPr="001B5D4F">
        <w:rPr>
          <w:rFonts w:eastAsia="Times New Roman"/>
          <w:lang w:val="en-GB" w:eastAsia="de-DE"/>
        </w:rPr>
        <w:t xml:space="preserve">, V.; </w:t>
      </w:r>
      <w:proofErr w:type="spellStart"/>
      <w:r w:rsidRPr="001B5D4F">
        <w:rPr>
          <w:rFonts w:eastAsia="Times New Roman"/>
          <w:lang w:val="en-GB" w:eastAsia="de-DE"/>
        </w:rPr>
        <w:t>Jirák</w:t>
      </w:r>
      <w:proofErr w:type="spellEnd"/>
      <w:r w:rsidRPr="001B5D4F">
        <w:rPr>
          <w:rFonts w:eastAsia="Times New Roman"/>
          <w:lang w:val="en-GB" w:eastAsia="de-DE"/>
        </w:rPr>
        <w:t xml:space="preserve">, J.; </w:t>
      </w:r>
      <w:proofErr w:type="spellStart"/>
      <w:r w:rsidRPr="001B5D4F">
        <w:rPr>
          <w:rFonts w:eastAsia="Times New Roman"/>
          <w:lang w:val="en-GB" w:eastAsia="de-DE"/>
        </w:rPr>
        <w:t>Pollert</w:t>
      </w:r>
      <w:proofErr w:type="spellEnd"/>
      <w:r w:rsidRPr="001B5D4F">
        <w:rPr>
          <w:rFonts w:eastAsia="Times New Roman"/>
          <w:lang w:val="en-GB" w:eastAsia="de-DE"/>
        </w:rPr>
        <w:t xml:space="preserve">, J. Spatial and temporal variation of turbulence characteristics in combined sewer flow. </w:t>
      </w:r>
      <w:r w:rsidRPr="00762BF4">
        <w:rPr>
          <w:rFonts w:eastAsia="Times New Roman"/>
          <w:i/>
          <w:iCs/>
          <w:lang w:val="en-GB" w:eastAsia="de-DE"/>
        </w:rPr>
        <w:t>Flow Measurement and Instrumentation</w:t>
      </w:r>
      <w:r w:rsidRPr="00762BF4">
        <w:rPr>
          <w:rFonts w:eastAsia="Times New Roman"/>
          <w:lang w:val="en-GB" w:eastAsia="de-DE"/>
        </w:rPr>
        <w:t xml:space="preserve"> </w:t>
      </w:r>
      <w:r w:rsidRPr="00762BF4">
        <w:rPr>
          <w:rFonts w:eastAsia="Times New Roman"/>
          <w:b/>
          <w:bCs/>
          <w:lang w:val="en-GB" w:eastAsia="de-DE"/>
        </w:rPr>
        <w:t>2008</w:t>
      </w:r>
      <w:r w:rsidRPr="00762BF4">
        <w:rPr>
          <w:rFonts w:eastAsia="Times New Roman"/>
          <w:lang w:val="en-GB" w:eastAsia="de-DE"/>
        </w:rPr>
        <w:t xml:space="preserve">, </w:t>
      </w:r>
      <w:r w:rsidRPr="00762BF4">
        <w:rPr>
          <w:rFonts w:eastAsia="Times New Roman"/>
          <w:i/>
          <w:iCs/>
          <w:lang w:val="en-GB" w:eastAsia="de-DE"/>
        </w:rPr>
        <w:t>19</w:t>
      </w:r>
      <w:r w:rsidRPr="00762BF4">
        <w:rPr>
          <w:rFonts w:eastAsia="Times New Roman"/>
          <w:lang w:val="en-GB" w:eastAsia="de-DE"/>
        </w:rPr>
        <w:t xml:space="preserve"> (3–4), 145–154. </w:t>
      </w:r>
      <w:hyperlink r:id="rId56" w:history="1">
        <w:r w:rsidR="00DC2E3C" w:rsidRPr="00135562">
          <w:rPr>
            <w:rStyle w:val="Collegamentoipertestuale"/>
            <w:rFonts w:eastAsia="Times New Roman"/>
            <w:lang w:val="en-GB" w:eastAsia="de-DE"/>
          </w:rPr>
          <w:t>https://doi.org/10.1016/j.flowmeasinst.2007.06.002</w:t>
        </w:r>
      </w:hyperlink>
      <w:r w:rsidRPr="00762BF4">
        <w:rPr>
          <w:rFonts w:eastAsia="Times New Roman"/>
          <w:lang w:val="en-GB" w:eastAsia="de-DE"/>
        </w:rPr>
        <w:t>.</w:t>
      </w:r>
    </w:p>
    <w:p w:rsidR="00DC2E3C" w:rsidRDefault="00DC2E3C" w:rsidP="00DC2E3C">
      <w:pPr>
        <w:pStyle w:val="MDPI63Notes"/>
        <w:numPr>
          <w:ilvl w:val="0"/>
          <w:numId w:val="24"/>
        </w:numPr>
        <w:spacing w:before="0"/>
        <w:rPr>
          <w:rFonts w:eastAsia="Times New Roman"/>
          <w:lang w:val="en-GB" w:eastAsia="de-DE"/>
        </w:rPr>
      </w:pPr>
      <w:bookmarkStart w:id="40" w:name="zhang_2021"/>
      <w:r w:rsidRPr="001B5D4F">
        <w:rPr>
          <w:rFonts w:eastAsia="Times New Roman"/>
          <w:lang w:val="en-GB" w:eastAsia="de-DE"/>
        </w:rPr>
        <w:t xml:space="preserve">Zhang, Y.; </w:t>
      </w:r>
      <w:proofErr w:type="spellStart"/>
      <w:r w:rsidRPr="001B5D4F">
        <w:rPr>
          <w:rFonts w:eastAsia="Times New Roman"/>
          <w:lang w:val="en-GB" w:eastAsia="de-DE"/>
        </w:rPr>
        <w:t>Cen</w:t>
      </w:r>
      <w:proofErr w:type="spellEnd"/>
      <w:r w:rsidRPr="001B5D4F">
        <w:rPr>
          <w:rFonts w:eastAsia="Times New Roman"/>
          <w:lang w:val="en-GB" w:eastAsia="de-DE"/>
        </w:rPr>
        <w:t xml:space="preserve">, M.; </w:t>
      </w:r>
      <w:proofErr w:type="spellStart"/>
      <w:r w:rsidRPr="001B5D4F">
        <w:rPr>
          <w:rFonts w:eastAsia="Times New Roman"/>
          <w:lang w:val="en-GB" w:eastAsia="de-DE"/>
        </w:rPr>
        <w:t>Hu</w:t>
      </w:r>
      <w:proofErr w:type="spellEnd"/>
      <w:r w:rsidRPr="001B5D4F">
        <w:rPr>
          <w:rFonts w:eastAsia="Times New Roman"/>
          <w:lang w:val="en-GB" w:eastAsia="de-DE"/>
        </w:rPr>
        <w:t xml:space="preserve">, M.; Du, L.; </w:t>
      </w:r>
      <w:proofErr w:type="spellStart"/>
      <w:r w:rsidRPr="001B5D4F">
        <w:rPr>
          <w:rFonts w:eastAsia="Times New Roman"/>
          <w:lang w:val="en-GB" w:eastAsia="de-DE"/>
        </w:rPr>
        <w:t>Hu</w:t>
      </w:r>
      <w:proofErr w:type="spellEnd"/>
      <w:r w:rsidRPr="001B5D4F">
        <w:rPr>
          <w:rFonts w:eastAsia="Times New Roman"/>
          <w:lang w:val="en-GB" w:eastAsia="de-DE"/>
        </w:rPr>
        <w:t xml:space="preserve">, W.; Kim, J. J.; Dai, N. Prevalence and persistent shedding of </w:t>
      </w:r>
      <w:proofErr w:type="spellStart"/>
      <w:r w:rsidRPr="001B5D4F">
        <w:rPr>
          <w:rFonts w:eastAsia="Times New Roman"/>
          <w:lang w:val="en-GB" w:eastAsia="de-DE"/>
        </w:rPr>
        <w:t>fecal</w:t>
      </w:r>
      <w:proofErr w:type="spellEnd"/>
      <w:r w:rsidRPr="001B5D4F">
        <w:rPr>
          <w:rFonts w:eastAsia="Times New Roman"/>
          <w:lang w:val="en-GB" w:eastAsia="de-DE"/>
        </w:rPr>
        <w:t xml:space="preserve"> SARS-COV-2 RNA in patients with COVID-19 infection: a systematic review and meta-analysis. </w:t>
      </w:r>
      <w:r w:rsidRPr="00695BCD">
        <w:rPr>
          <w:rFonts w:eastAsia="Times New Roman"/>
          <w:i/>
          <w:iCs/>
          <w:lang w:val="en-GB" w:eastAsia="de-DE"/>
        </w:rPr>
        <w:t>Clinical and Translational Gastroenterology</w:t>
      </w:r>
      <w:r w:rsidRPr="00695BCD">
        <w:rPr>
          <w:rFonts w:eastAsia="Times New Roman"/>
          <w:lang w:val="en-GB" w:eastAsia="de-DE"/>
        </w:rPr>
        <w:t xml:space="preserve"> </w:t>
      </w:r>
      <w:r w:rsidRPr="00695BCD">
        <w:rPr>
          <w:rFonts w:eastAsia="Times New Roman"/>
          <w:b/>
          <w:bCs/>
          <w:lang w:val="en-GB" w:eastAsia="de-DE"/>
        </w:rPr>
        <w:t>2021</w:t>
      </w:r>
      <w:r w:rsidRPr="00695BCD">
        <w:rPr>
          <w:rFonts w:eastAsia="Times New Roman"/>
          <w:lang w:val="en-GB" w:eastAsia="de-DE"/>
        </w:rPr>
        <w:t xml:space="preserve">, </w:t>
      </w:r>
      <w:r w:rsidRPr="00695BCD">
        <w:rPr>
          <w:rFonts w:eastAsia="Times New Roman"/>
          <w:i/>
          <w:iCs/>
          <w:lang w:val="en-GB" w:eastAsia="de-DE"/>
        </w:rPr>
        <w:t>12</w:t>
      </w:r>
      <w:r w:rsidRPr="00695BCD">
        <w:rPr>
          <w:rFonts w:eastAsia="Times New Roman"/>
          <w:lang w:val="en-GB" w:eastAsia="de-DE"/>
        </w:rPr>
        <w:t xml:space="preserve"> (4), e00343. </w:t>
      </w:r>
      <w:hyperlink r:id="rId57" w:history="1">
        <w:r w:rsidR="00EA580C" w:rsidRPr="00135562">
          <w:rPr>
            <w:rStyle w:val="Collegamentoipertestuale"/>
            <w:rFonts w:eastAsia="Times New Roman"/>
            <w:lang w:val="en-GB" w:eastAsia="de-DE"/>
          </w:rPr>
          <w:t>https://doi.org/10.14309/ctg.0000000000000343</w:t>
        </w:r>
      </w:hyperlink>
      <w:r w:rsidRPr="00695BCD">
        <w:rPr>
          <w:rFonts w:eastAsia="Times New Roman"/>
          <w:lang w:val="en-GB" w:eastAsia="de-DE"/>
        </w:rPr>
        <w:t>.</w:t>
      </w:r>
      <w:bookmarkEnd w:id="40"/>
    </w:p>
    <w:p w:rsidR="00EA580C" w:rsidRDefault="00EA580C" w:rsidP="00EA580C">
      <w:pPr>
        <w:pStyle w:val="MDPI63Notes"/>
        <w:numPr>
          <w:ilvl w:val="0"/>
          <w:numId w:val="24"/>
        </w:numPr>
        <w:spacing w:before="0"/>
        <w:rPr>
          <w:rFonts w:eastAsia="Times New Roman"/>
          <w:lang w:val="en-GB" w:eastAsia="de-DE"/>
        </w:rPr>
      </w:pPr>
      <w:bookmarkStart w:id="41" w:name="natarajan"/>
      <w:proofErr w:type="spellStart"/>
      <w:r w:rsidRPr="001B5D4F">
        <w:rPr>
          <w:rFonts w:eastAsia="Times New Roman"/>
          <w:lang w:val="en-GB" w:eastAsia="de-DE"/>
        </w:rPr>
        <w:t>Natarajan</w:t>
      </w:r>
      <w:proofErr w:type="spellEnd"/>
      <w:r w:rsidRPr="001B5D4F">
        <w:rPr>
          <w:rFonts w:eastAsia="Times New Roman"/>
          <w:lang w:val="en-GB" w:eastAsia="de-DE"/>
        </w:rPr>
        <w:t xml:space="preserve">, A.; </w:t>
      </w:r>
      <w:proofErr w:type="spellStart"/>
      <w:r w:rsidRPr="001B5D4F">
        <w:rPr>
          <w:rFonts w:eastAsia="Times New Roman"/>
          <w:lang w:val="en-GB" w:eastAsia="de-DE"/>
        </w:rPr>
        <w:t>Zlitni</w:t>
      </w:r>
      <w:proofErr w:type="spellEnd"/>
      <w:r w:rsidRPr="001B5D4F">
        <w:rPr>
          <w:rFonts w:eastAsia="Times New Roman"/>
          <w:lang w:val="en-GB" w:eastAsia="de-DE"/>
        </w:rPr>
        <w:t xml:space="preserve">, S.; Brooks, E. F.; Vance, S. E.; </w:t>
      </w:r>
      <w:proofErr w:type="spellStart"/>
      <w:r w:rsidRPr="001B5D4F">
        <w:rPr>
          <w:rFonts w:eastAsia="Times New Roman"/>
          <w:lang w:val="en-GB" w:eastAsia="de-DE"/>
        </w:rPr>
        <w:t>Dahlen</w:t>
      </w:r>
      <w:proofErr w:type="spellEnd"/>
      <w:r w:rsidRPr="001B5D4F">
        <w:rPr>
          <w:rFonts w:eastAsia="Times New Roman"/>
          <w:lang w:val="en-GB" w:eastAsia="de-DE"/>
        </w:rPr>
        <w:t xml:space="preserve">, A.; </w:t>
      </w:r>
      <w:proofErr w:type="spellStart"/>
      <w:r w:rsidRPr="001B5D4F">
        <w:rPr>
          <w:rFonts w:eastAsia="Times New Roman"/>
          <w:lang w:val="en-GB" w:eastAsia="de-DE"/>
        </w:rPr>
        <w:t>Hedlin</w:t>
      </w:r>
      <w:proofErr w:type="spellEnd"/>
      <w:r w:rsidRPr="001B5D4F">
        <w:rPr>
          <w:rFonts w:eastAsia="Times New Roman"/>
          <w:lang w:val="en-GB" w:eastAsia="de-DE"/>
        </w:rPr>
        <w:t xml:space="preserve">, H.; Park, R.; Han, A. X.; </w:t>
      </w:r>
      <w:proofErr w:type="spellStart"/>
      <w:r w:rsidRPr="001B5D4F">
        <w:rPr>
          <w:rFonts w:eastAsia="Times New Roman"/>
          <w:lang w:val="en-GB" w:eastAsia="de-DE"/>
        </w:rPr>
        <w:t>Schmidtke</w:t>
      </w:r>
      <w:proofErr w:type="spellEnd"/>
      <w:r w:rsidRPr="001B5D4F">
        <w:rPr>
          <w:rFonts w:eastAsia="Times New Roman"/>
          <w:lang w:val="en-GB" w:eastAsia="de-DE"/>
        </w:rPr>
        <w:t xml:space="preserve">, D. T.; </w:t>
      </w:r>
      <w:proofErr w:type="spellStart"/>
      <w:r w:rsidRPr="001B5D4F">
        <w:rPr>
          <w:rFonts w:eastAsia="Times New Roman"/>
          <w:lang w:val="en-GB" w:eastAsia="de-DE"/>
        </w:rPr>
        <w:t>Verma</w:t>
      </w:r>
      <w:proofErr w:type="spellEnd"/>
      <w:r w:rsidRPr="001B5D4F">
        <w:rPr>
          <w:rFonts w:eastAsia="Times New Roman"/>
          <w:lang w:val="en-GB" w:eastAsia="de-DE"/>
        </w:rPr>
        <w:t xml:space="preserve">, R.; Jacobson, K.; </w:t>
      </w:r>
      <w:proofErr w:type="spellStart"/>
      <w:r w:rsidRPr="001B5D4F">
        <w:rPr>
          <w:rFonts w:eastAsia="Times New Roman"/>
          <w:lang w:val="en-GB" w:eastAsia="de-DE"/>
        </w:rPr>
        <w:t>Parsonnet</w:t>
      </w:r>
      <w:proofErr w:type="spellEnd"/>
      <w:r w:rsidRPr="001B5D4F">
        <w:rPr>
          <w:rFonts w:eastAsia="Times New Roman"/>
          <w:lang w:val="en-GB" w:eastAsia="de-DE"/>
        </w:rPr>
        <w:t xml:space="preserve">, J.; Bonilla, H.; Singh, U.; </w:t>
      </w:r>
      <w:proofErr w:type="spellStart"/>
      <w:r w:rsidRPr="001B5D4F">
        <w:rPr>
          <w:rFonts w:eastAsia="Times New Roman"/>
          <w:lang w:val="en-GB" w:eastAsia="de-DE"/>
        </w:rPr>
        <w:t>Pinsky</w:t>
      </w:r>
      <w:proofErr w:type="spellEnd"/>
      <w:r w:rsidRPr="001B5D4F">
        <w:rPr>
          <w:rFonts w:eastAsia="Times New Roman"/>
          <w:lang w:val="en-GB" w:eastAsia="de-DE"/>
        </w:rPr>
        <w:t xml:space="preserve">, B. A.; Andrews, J. R.; </w:t>
      </w:r>
      <w:proofErr w:type="spellStart"/>
      <w:r w:rsidRPr="001B5D4F">
        <w:rPr>
          <w:rFonts w:eastAsia="Times New Roman"/>
          <w:lang w:val="en-GB" w:eastAsia="de-DE"/>
        </w:rPr>
        <w:t>Jagannathan</w:t>
      </w:r>
      <w:proofErr w:type="spellEnd"/>
      <w:r w:rsidRPr="001B5D4F">
        <w:rPr>
          <w:rFonts w:eastAsia="Times New Roman"/>
          <w:lang w:val="en-GB" w:eastAsia="de-DE"/>
        </w:rPr>
        <w:t xml:space="preserve">, P.; Bhatt, A. S. Gastrointestinal symptoms and </w:t>
      </w:r>
      <w:proofErr w:type="spellStart"/>
      <w:r w:rsidRPr="001B5D4F">
        <w:rPr>
          <w:rFonts w:eastAsia="Times New Roman"/>
          <w:lang w:val="en-GB" w:eastAsia="de-DE"/>
        </w:rPr>
        <w:t>fecal</w:t>
      </w:r>
      <w:proofErr w:type="spellEnd"/>
      <w:r w:rsidRPr="001B5D4F">
        <w:rPr>
          <w:rFonts w:eastAsia="Times New Roman"/>
          <w:lang w:val="en-GB" w:eastAsia="de-DE"/>
        </w:rPr>
        <w:t xml:space="preserve"> shedding of SARS-CoV-2 RNA suggest prolonged gastrointestinal infection. </w:t>
      </w:r>
      <w:r w:rsidRPr="00D454B4">
        <w:rPr>
          <w:rFonts w:eastAsia="Times New Roman"/>
          <w:i/>
          <w:iCs/>
          <w:lang w:val="en-GB" w:eastAsia="de-DE"/>
        </w:rPr>
        <w:t>Med</w:t>
      </w:r>
      <w:r w:rsidRPr="00D454B4">
        <w:rPr>
          <w:rFonts w:eastAsia="Times New Roman"/>
          <w:lang w:val="en-GB" w:eastAsia="de-DE"/>
        </w:rPr>
        <w:t xml:space="preserve"> </w:t>
      </w:r>
      <w:r w:rsidRPr="00D454B4">
        <w:rPr>
          <w:rFonts w:eastAsia="Times New Roman"/>
          <w:b/>
          <w:bCs/>
          <w:lang w:val="en-GB" w:eastAsia="de-DE"/>
        </w:rPr>
        <w:t>2022</w:t>
      </w:r>
      <w:r w:rsidRPr="00D454B4">
        <w:rPr>
          <w:rFonts w:eastAsia="Times New Roman"/>
          <w:lang w:val="en-GB" w:eastAsia="de-DE"/>
        </w:rPr>
        <w:t xml:space="preserve">, </w:t>
      </w:r>
      <w:r w:rsidRPr="00D454B4">
        <w:rPr>
          <w:rFonts w:eastAsia="Times New Roman"/>
          <w:i/>
          <w:iCs/>
          <w:lang w:val="en-GB" w:eastAsia="de-DE"/>
        </w:rPr>
        <w:t>3</w:t>
      </w:r>
      <w:r w:rsidRPr="00D454B4">
        <w:rPr>
          <w:rFonts w:eastAsia="Times New Roman"/>
          <w:lang w:val="en-GB" w:eastAsia="de-DE"/>
        </w:rPr>
        <w:t xml:space="preserve"> (6), 371-387.e9. </w:t>
      </w:r>
      <w:hyperlink r:id="rId58" w:history="1">
        <w:r w:rsidRPr="00135562">
          <w:rPr>
            <w:rStyle w:val="Collegamentoipertestuale"/>
            <w:rFonts w:eastAsia="Times New Roman"/>
            <w:lang w:val="en-GB" w:eastAsia="de-DE"/>
          </w:rPr>
          <w:t>https://doi.org/10.1016/j.medj.2022.04.001</w:t>
        </w:r>
      </w:hyperlink>
      <w:r w:rsidRPr="00D454B4">
        <w:rPr>
          <w:rFonts w:eastAsia="Times New Roman"/>
          <w:lang w:val="en-GB" w:eastAsia="de-DE"/>
        </w:rPr>
        <w:t>.</w:t>
      </w:r>
    </w:p>
    <w:p w:rsidR="00EA580C" w:rsidRDefault="00EA580C" w:rsidP="00EA580C">
      <w:pPr>
        <w:pStyle w:val="MDPI63Notes"/>
        <w:numPr>
          <w:ilvl w:val="0"/>
          <w:numId w:val="24"/>
        </w:numPr>
        <w:spacing w:before="0"/>
        <w:rPr>
          <w:rFonts w:eastAsia="Times New Roman"/>
          <w:lang w:val="en-GB" w:eastAsia="de-DE"/>
        </w:rPr>
      </w:pPr>
      <w:bookmarkStart w:id="42" w:name="cheung"/>
      <w:r w:rsidRPr="001B5D4F">
        <w:rPr>
          <w:rFonts w:eastAsia="Times New Roman"/>
          <w:lang w:val="en-GB" w:eastAsia="de-DE"/>
        </w:rPr>
        <w:t xml:space="preserve">Cheung, K.; Hung, I.; Chan, P. P. Y.; Lung, K.-C.; </w:t>
      </w:r>
      <w:proofErr w:type="spellStart"/>
      <w:r w:rsidRPr="001B5D4F">
        <w:rPr>
          <w:rFonts w:eastAsia="Times New Roman"/>
          <w:lang w:val="en-GB" w:eastAsia="de-DE"/>
        </w:rPr>
        <w:t>Tso</w:t>
      </w:r>
      <w:proofErr w:type="spellEnd"/>
      <w:r w:rsidRPr="001B5D4F">
        <w:rPr>
          <w:rFonts w:eastAsia="Times New Roman"/>
          <w:lang w:val="en-GB" w:eastAsia="de-DE"/>
        </w:rPr>
        <w:t xml:space="preserve">, E. Y.; Liu, R.; Ng, Y. Y.; Chu, M. Y.; Chung, T. W.-H.; Tam, A. R.; Yip, C. C.-Y.; Leung, K. H.; Fung, A. Y. F.; Zhang, R. R.; Lin, Y.; Cheng, H. M.; Zhang, A. J.; To, K. K.; Chan, K. H.; Yuen, K. Y.; Leung, W. K. Gastrointestinal manifestations of SARS-COV-2 infection and virus load in </w:t>
      </w:r>
      <w:proofErr w:type="spellStart"/>
      <w:r w:rsidRPr="001B5D4F">
        <w:rPr>
          <w:rFonts w:eastAsia="Times New Roman"/>
          <w:lang w:val="en-GB" w:eastAsia="de-DE"/>
        </w:rPr>
        <w:t>fecal</w:t>
      </w:r>
      <w:proofErr w:type="spellEnd"/>
      <w:r w:rsidRPr="001B5D4F">
        <w:rPr>
          <w:rFonts w:eastAsia="Times New Roman"/>
          <w:lang w:val="en-GB" w:eastAsia="de-DE"/>
        </w:rPr>
        <w:t xml:space="preserve"> samples from a Hong Kong cohort: systematic review and meta-analysis. </w:t>
      </w:r>
      <w:r w:rsidRPr="00C62286">
        <w:rPr>
          <w:rFonts w:eastAsia="Times New Roman"/>
          <w:i/>
          <w:iCs/>
          <w:lang w:val="en-GB" w:eastAsia="de-DE"/>
        </w:rPr>
        <w:t>Gastroenterology</w:t>
      </w:r>
      <w:r w:rsidRPr="00C62286">
        <w:rPr>
          <w:rFonts w:eastAsia="Times New Roman"/>
          <w:lang w:val="en-GB" w:eastAsia="de-DE"/>
        </w:rPr>
        <w:t xml:space="preserve"> </w:t>
      </w:r>
      <w:r w:rsidRPr="00C62286">
        <w:rPr>
          <w:rFonts w:eastAsia="Times New Roman"/>
          <w:b/>
          <w:bCs/>
          <w:lang w:val="en-GB" w:eastAsia="de-DE"/>
        </w:rPr>
        <w:t>2020</w:t>
      </w:r>
      <w:r w:rsidRPr="00C62286">
        <w:rPr>
          <w:rFonts w:eastAsia="Times New Roman"/>
          <w:lang w:val="en-GB" w:eastAsia="de-DE"/>
        </w:rPr>
        <w:t xml:space="preserve">, </w:t>
      </w:r>
      <w:r w:rsidRPr="00C62286">
        <w:rPr>
          <w:rFonts w:eastAsia="Times New Roman"/>
          <w:i/>
          <w:iCs/>
          <w:lang w:val="en-GB" w:eastAsia="de-DE"/>
        </w:rPr>
        <w:t>159</w:t>
      </w:r>
      <w:r w:rsidRPr="00C62286">
        <w:rPr>
          <w:rFonts w:eastAsia="Times New Roman"/>
          <w:lang w:val="en-GB" w:eastAsia="de-DE"/>
        </w:rPr>
        <w:t xml:space="preserve"> (1), 81–95. </w:t>
      </w:r>
      <w:hyperlink r:id="rId59" w:history="1">
        <w:r w:rsidRPr="00135562">
          <w:rPr>
            <w:rStyle w:val="Collegamentoipertestuale"/>
            <w:rFonts w:eastAsia="Times New Roman"/>
            <w:lang w:val="en-GB" w:eastAsia="de-DE"/>
          </w:rPr>
          <w:t>https://doi.org/10.1053/j.gastro.2020.03.065</w:t>
        </w:r>
      </w:hyperlink>
      <w:r w:rsidRPr="00C62286">
        <w:rPr>
          <w:rFonts w:eastAsia="Times New Roman"/>
          <w:lang w:val="en-GB" w:eastAsia="de-DE"/>
        </w:rPr>
        <w:t>.</w:t>
      </w:r>
    </w:p>
    <w:p w:rsidR="00EA580C" w:rsidRDefault="00EA580C" w:rsidP="00EA580C">
      <w:pPr>
        <w:pStyle w:val="MDPI63Notes"/>
        <w:numPr>
          <w:ilvl w:val="0"/>
          <w:numId w:val="24"/>
        </w:numPr>
        <w:spacing w:before="0"/>
        <w:rPr>
          <w:rFonts w:eastAsia="Times New Roman"/>
          <w:lang w:val="en-GB" w:eastAsia="de-DE"/>
        </w:rPr>
      </w:pPr>
      <w:bookmarkStart w:id="43" w:name="cavany"/>
      <w:proofErr w:type="spellStart"/>
      <w:r w:rsidRPr="001B5D4F">
        <w:rPr>
          <w:rFonts w:eastAsia="Times New Roman"/>
          <w:lang w:val="en-GB" w:eastAsia="de-DE"/>
        </w:rPr>
        <w:t>Cavany</w:t>
      </w:r>
      <w:proofErr w:type="spellEnd"/>
      <w:r w:rsidRPr="001B5D4F">
        <w:rPr>
          <w:rFonts w:eastAsia="Times New Roman"/>
          <w:lang w:val="en-GB" w:eastAsia="de-DE"/>
        </w:rPr>
        <w:t xml:space="preserve">, S.; </w:t>
      </w:r>
      <w:proofErr w:type="spellStart"/>
      <w:r w:rsidRPr="001B5D4F">
        <w:rPr>
          <w:rFonts w:eastAsia="Times New Roman"/>
          <w:lang w:val="en-GB" w:eastAsia="de-DE"/>
        </w:rPr>
        <w:t>Bivins</w:t>
      </w:r>
      <w:proofErr w:type="spellEnd"/>
      <w:r w:rsidRPr="001B5D4F">
        <w:rPr>
          <w:rFonts w:eastAsia="Times New Roman"/>
          <w:lang w:val="en-GB" w:eastAsia="de-DE"/>
        </w:rPr>
        <w:t xml:space="preserve">, A.; Wu, Z.; North, D.; </w:t>
      </w:r>
      <w:proofErr w:type="spellStart"/>
      <w:r w:rsidRPr="001B5D4F">
        <w:rPr>
          <w:rFonts w:eastAsia="Times New Roman"/>
          <w:lang w:val="en-GB" w:eastAsia="de-DE"/>
        </w:rPr>
        <w:t>Bibby</w:t>
      </w:r>
      <w:proofErr w:type="spellEnd"/>
      <w:r w:rsidRPr="001B5D4F">
        <w:rPr>
          <w:rFonts w:eastAsia="Times New Roman"/>
          <w:lang w:val="en-GB" w:eastAsia="de-DE"/>
        </w:rPr>
        <w:t xml:space="preserve">, K.; Perkins, A. Inferring SARS-CoV-2 RNA shedding into wastewater relative to the time of infection. </w:t>
      </w:r>
      <w:r w:rsidRPr="00D352CD">
        <w:rPr>
          <w:rFonts w:eastAsia="Times New Roman"/>
          <w:i/>
          <w:iCs/>
          <w:lang w:val="en-GB" w:eastAsia="de-DE"/>
        </w:rPr>
        <w:t>Epidemiology and Infection</w:t>
      </w:r>
      <w:r w:rsidRPr="00D352CD">
        <w:rPr>
          <w:rFonts w:eastAsia="Times New Roman"/>
          <w:lang w:val="en-GB" w:eastAsia="de-DE"/>
        </w:rPr>
        <w:t xml:space="preserve"> </w:t>
      </w:r>
      <w:r w:rsidRPr="00D352CD">
        <w:rPr>
          <w:rFonts w:eastAsia="Times New Roman"/>
          <w:b/>
          <w:bCs/>
          <w:lang w:val="en-GB" w:eastAsia="de-DE"/>
        </w:rPr>
        <w:t>2022</w:t>
      </w:r>
      <w:r w:rsidRPr="00D352CD">
        <w:rPr>
          <w:rFonts w:eastAsia="Times New Roman"/>
          <w:lang w:val="en-GB" w:eastAsia="de-DE"/>
        </w:rPr>
        <w:t xml:space="preserve">, </w:t>
      </w:r>
      <w:r w:rsidRPr="00D352CD">
        <w:rPr>
          <w:rFonts w:eastAsia="Times New Roman"/>
          <w:i/>
          <w:iCs/>
          <w:lang w:val="en-GB" w:eastAsia="de-DE"/>
        </w:rPr>
        <w:t>150</w:t>
      </w:r>
      <w:r w:rsidRPr="00D352CD">
        <w:rPr>
          <w:rFonts w:eastAsia="Times New Roman"/>
          <w:lang w:val="en-GB" w:eastAsia="de-DE"/>
        </w:rPr>
        <w:t xml:space="preserve">. </w:t>
      </w:r>
      <w:hyperlink r:id="rId60" w:history="1">
        <w:r w:rsidR="001A7F2E" w:rsidRPr="00135562">
          <w:rPr>
            <w:rStyle w:val="Collegamentoipertestuale"/>
            <w:rFonts w:eastAsia="Times New Roman"/>
            <w:lang w:val="en-GB" w:eastAsia="de-DE"/>
          </w:rPr>
          <w:t>https://doi.org/10.1017/s0950268821002752</w:t>
        </w:r>
      </w:hyperlink>
      <w:r w:rsidRPr="00D352CD">
        <w:rPr>
          <w:rFonts w:eastAsia="Times New Roman"/>
          <w:lang w:val="en-GB" w:eastAsia="de-DE"/>
        </w:rPr>
        <w:t>.</w:t>
      </w:r>
    </w:p>
    <w:p w:rsidR="001A7F2E" w:rsidRDefault="001A7F2E" w:rsidP="001A7F2E">
      <w:pPr>
        <w:pStyle w:val="MDPI63Notes"/>
        <w:numPr>
          <w:ilvl w:val="0"/>
          <w:numId w:val="24"/>
        </w:numPr>
        <w:spacing w:before="0"/>
        <w:rPr>
          <w:rFonts w:eastAsia="Times New Roman"/>
          <w:lang w:val="en-GB" w:eastAsia="de-DE"/>
        </w:rPr>
      </w:pPr>
      <w:bookmarkStart w:id="44" w:name="hart"/>
      <w:r w:rsidRPr="001B5D4F">
        <w:rPr>
          <w:rFonts w:eastAsia="Times New Roman"/>
          <w:lang w:val="en-GB" w:eastAsia="de-DE"/>
        </w:rPr>
        <w:t xml:space="preserve">Hart, O. E.; </w:t>
      </w:r>
      <w:proofErr w:type="spellStart"/>
      <w:r w:rsidRPr="001B5D4F">
        <w:rPr>
          <w:rFonts w:eastAsia="Times New Roman"/>
          <w:lang w:val="en-GB" w:eastAsia="de-DE"/>
        </w:rPr>
        <w:t>Halden</w:t>
      </w:r>
      <w:proofErr w:type="spellEnd"/>
      <w:r w:rsidRPr="001B5D4F">
        <w:rPr>
          <w:rFonts w:eastAsia="Times New Roman"/>
          <w:lang w:val="en-GB" w:eastAsia="de-DE"/>
        </w:rPr>
        <w:t>, R. U. Computational analysis of SARS-CoV-2/COVID-19 surveillance by wastewater-based epidem</w:t>
      </w:r>
      <w:r w:rsidRPr="001B5D4F">
        <w:rPr>
          <w:rFonts w:eastAsia="Times New Roman"/>
          <w:lang w:val="en-GB" w:eastAsia="de-DE"/>
        </w:rPr>
        <w:t>i</w:t>
      </w:r>
      <w:r w:rsidRPr="001B5D4F">
        <w:rPr>
          <w:rFonts w:eastAsia="Times New Roman"/>
          <w:lang w:val="en-GB" w:eastAsia="de-DE"/>
        </w:rPr>
        <w:t xml:space="preserve">ology locally and globally: Feasibility, economy, opportunities and challenges. </w:t>
      </w:r>
      <w:r w:rsidRPr="001B5D4F">
        <w:rPr>
          <w:rFonts w:eastAsia="Times New Roman"/>
          <w:i/>
          <w:iCs/>
          <w:lang w:val="en-GB" w:eastAsia="de-DE"/>
        </w:rPr>
        <w:t>Science of the Total Environment</w:t>
      </w:r>
      <w:r w:rsidRPr="001B5D4F">
        <w:rPr>
          <w:rFonts w:eastAsia="Times New Roman"/>
          <w:lang w:val="en-GB" w:eastAsia="de-DE"/>
        </w:rPr>
        <w:t xml:space="preserve"> </w:t>
      </w:r>
      <w:r w:rsidRPr="001B5D4F">
        <w:rPr>
          <w:rFonts w:eastAsia="Times New Roman"/>
          <w:b/>
          <w:bCs/>
          <w:lang w:val="en-GB" w:eastAsia="de-DE"/>
        </w:rPr>
        <w:t>2020</w:t>
      </w:r>
      <w:r w:rsidRPr="001B5D4F">
        <w:rPr>
          <w:rFonts w:eastAsia="Times New Roman"/>
          <w:lang w:val="en-GB" w:eastAsia="de-DE"/>
        </w:rPr>
        <w:t xml:space="preserve">, </w:t>
      </w:r>
      <w:r w:rsidRPr="001B5D4F">
        <w:rPr>
          <w:rFonts w:eastAsia="Times New Roman"/>
          <w:i/>
          <w:iCs/>
          <w:lang w:val="en-GB" w:eastAsia="de-DE"/>
        </w:rPr>
        <w:t>730</w:t>
      </w:r>
      <w:r w:rsidRPr="001B5D4F">
        <w:rPr>
          <w:rFonts w:eastAsia="Times New Roman"/>
          <w:lang w:val="en-GB" w:eastAsia="de-DE"/>
        </w:rPr>
        <w:t xml:space="preserve">, 138875. </w:t>
      </w:r>
      <w:hyperlink r:id="rId61" w:history="1">
        <w:r w:rsidR="005C4FD0" w:rsidRPr="00135562">
          <w:rPr>
            <w:rStyle w:val="Collegamentoipertestuale"/>
            <w:rFonts w:eastAsia="Times New Roman"/>
            <w:lang w:val="en-GB" w:eastAsia="de-DE"/>
          </w:rPr>
          <w:t>https://doi.org/10.1016/j.scitotenv.2020.138875</w:t>
        </w:r>
      </w:hyperlink>
      <w:r w:rsidRPr="001B5D4F">
        <w:rPr>
          <w:rFonts w:eastAsia="Times New Roman"/>
          <w:lang w:val="en-GB" w:eastAsia="de-DE"/>
        </w:rPr>
        <w:t>.</w:t>
      </w:r>
      <w:bookmarkEnd w:id="44"/>
    </w:p>
    <w:p w:rsidR="005C4FD0" w:rsidRDefault="005C4FD0" w:rsidP="005C4FD0">
      <w:pPr>
        <w:pStyle w:val="MDPI63Notes"/>
        <w:numPr>
          <w:ilvl w:val="0"/>
          <w:numId w:val="24"/>
        </w:numPr>
        <w:spacing w:before="0"/>
        <w:rPr>
          <w:rFonts w:eastAsia="Times New Roman"/>
          <w:lang w:val="en-GB" w:eastAsia="de-DE"/>
        </w:rPr>
      </w:pPr>
      <w:bookmarkStart w:id="45" w:name="petala"/>
      <w:proofErr w:type="spellStart"/>
      <w:r w:rsidRPr="00E64463">
        <w:rPr>
          <w:rFonts w:eastAsia="Times New Roman"/>
          <w:lang w:val="en-GB" w:eastAsia="de-DE"/>
        </w:rPr>
        <w:t>Petala</w:t>
      </w:r>
      <w:proofErr w:type="spellEnd"/>
      <w:r w:rsidRPr="00E64463">
        <w:rPr>
          <w:rFonts w:eastAsia="Times New Roman"/>
          <w:lang w:val="en-GB" w:eastAsia="de-DE"/>
        </w:rPr>
        <w:t xml:space="preserve">, M.; </w:t>
      </w:r>
      <w:proofErr w:type="spellStart"/>
      <w:r w:rsidRPr="00E64463">
        <w:rPr>
          <w:rFonts w:eastAsia="Times New Roman"/>
          <w:lang w:val="en-GB" w:eastAsia="de-DE"/>
        </w:rPr>
        <w:t>Dafou</w:t>
      </w:r>
      <w:proofErr w:type="spellEnd"/>
      <w:r w:rsidRPr="00E64463">
        <w:rPr>
          <w:rFonts w:eastAsia="Times New Roman"/>
          <w:lang w:val="en-GB" w:eastAsia="de-DE"/>
        </w:rPr>
        <w:t xml:space="preserve">, D.; </w:t>
      </w:r>
      <w:proofErr w:type="spellStart"/>
      <w:r w:rsidRPr="00E64463">
        <w:rPr>
          <w:rFonts w:eastAsia="Times New Roman"/>
          <w:lang w:val="en-GB" w:eastAsia="de-DE"/>
        </w:rPr>
        <w:t>Kostoglou</w:t>
      </w:r>
      <w:proofErr w:type="spellEnd"/>
      <w:r w:rsidRPr="00E64463">
        <w:rPr>
          <w:rFonts w:eastAsia="Times New Roman"/>
          <w:lang w:val="en-GB" w:eastAsia="de-DE"/>
        </w:rPr>
        <w:t xml:space="preserve">, M.; </w:t>
      </w:r>
      <w:proofErr w:type="spellStart"/>
      <w:r w:rsidRPr="00E64463">
        <w:rPr>
          <w:rFonts w:eastAsia="Times New Roman"/>
          <w:lang w:val="en-GB" w:eastAsia="de-DE"/>
        </w:rPr>
        <w:t>Karapantsios</w:t>
      </w:r>
      <w:proofErr w:type="spellEnd"/>
      <w:r w:rsidRPr="00E64463">
        <w:rPr>
          <w:rFonts w:eastAsia="Times New Roman"/>
          <w:lang w:val="en-GB" w:eastAsia="de-DE"/>
        </w:rPr>
        <w:t xml:space="preserve">, Th. D.; Kanata, </w:t>
      </w:r>
      <w:r w:rsidRPr="001B5D4F">
        <w:rPr>
          <w:rFonts w:eastAsia="Times New Roman"/>
          <w:lang w:val="it-IT" w:eastAsia="de-DE"/>
        </w:rPr>
        <w:t>Ε</w:t>
      </w:r>
      <w:r w:rsidRPr="00E64463">
        <w:rPr>
          <w:rFonts w:eastAsia="Times New Roman"/>
          <w:lang w:val="en-GB" w:eastAsia="de-DE"/>
        </w:rPr>
        <w:t xml:space="preserve">.; </w:t>
      </w:r>
      <w:proofErr w:type="spellStart"/>
      <w:r w:rsidRPr="001B5D4F">
        <w:rPr>
          <w:rFonts w:eastAsia="Times New Roman"/>
          <w:lang w:val="en-GB" w:eastAsia="de-DE"/>
        </w:rPr>
        <w:t>Chatziefstathiou</w:t>
      </w:r>
      <w:proofErr w:type="spellEnd"/>
      <w:r w:rsidRPr="001B5D4F">
        <w:rPr>
          <w:rFonts w:eastAsia="Times New Roman"/>
          <w:lang w:val="en-GB" w:eastAsia="de-DE"/>
        </w:rPr>
        <w:t xml:space="preserve">, A.; </w:t>
      </w:r>
      <w:proofErr w:type="spellStart"/>
      <w:r w:rsidRPr="001B5D4F">
        <w:rPr>
          <w:rFonts w:eastAsia="Times New Roman"/>
          <w:lang w:val="en-GB" w:eastAsia="de-DE"/>
        </w:rPr>
        <w:t>Sakaveli</w:t>
      </w:r>
      <w:proofErr w:type="spellEnd"/>
      <w:r w:rsidRPr="001B5D4F">
        <w:rPr>
          <w:rFonts w:eastAsia="Times New Roman"/>
          <w:lang w:val="en-GB" w:eastAsia="de-DE"/>
        </w:rPr>
        <w:t xml:space="preserve">, F.; </w:t>
      </w:r>
      <w:proofErr w:type="spellStart"/>
      <w:r w:rsidRPr="001B5D4F">
        <w:rPr>
          <w:rFonts w:eastAsia="Times New Roman"/>
          <w:lang w:val="en-GB" w:eastAsia="de-DE"/>
        </w:rPr>
        <w:t>Kotoulas</w:t>
      </w:r>
      <w:proofErr w:type="spellEnd"/>
      <w:r w:rsidRPr="001B5D4F">
        <w:rPr>
          <w:rFonts w:eastAsia="Times New Roman"/>
          <w:lang w:val="en-GB" w:eastAsia="de-DE"/>
        </w:rPr>
        <w:t xml:space="preserve">, K.; </w:t>
      </w:r>
      <w:proofErr w:type="spellStart"/>
      <w:r w:rsidRPr="001B5D4F">
        <w:rPr>
          <w:rFonts w:eastAsia="Times New Roman"/>
          <w:lang w:val="en-GB" w:eastAsia="de-DE"/>
        </w:rPr>
        <w:t>A</w:t>
      </w:r>
      <w:r w:rsidRPr="001B5D4F">
        <w:rPr>
          <w:rFonts w:eastAsia="Times New Roman"/>
          <w:lang w:val="en-GB" w:eastAsia="de-DE"/>
        </w:rPr>
        <w:t>r</w:t>
      </w:r>
      <w:r w:rsidRPr="001B5D4F">
        <w:rPr>
          <w:rFonts w:eastAsia="Times New Roman"/>
          <w:lang w:val="en-GB" w:eastAsia="de-DE"/>
        </w:rPr>
        <w:t>senakis</w:t>
      </w:r>
      <w:proofErr w:type="spellEnd"/>
      <w:r w:rsidRPr="001B5D4F">
        <w:rPr>
          <w:rFonts w:eastAsia="Times New Roman"/>
          <w:lang w:val="en-GB" w:eastAsia="de-DE"/>
        </w:rPr>
        <w:t xml:space="preserve">, M.; </w:t>
      </w:r>
      <w:proofErr w:type="spellStart"/>
      <w:r w:rsidRPr="001B5D4F">
        <w:rPr>
          <w:rFonts w:eastAsia="Times New Roman"/>
          <w:lang w:val="en-GB" w:eastAsia="de-DE"/>
        </w:rPr>
        <w:t>Roilides</w:t>
      </w:r>
      <w:proofErr w:type="spellEnd"/>
      <w:r w:rsidRPr="001B5D4F">
        <w:rPr>
          <w:rFonts w:eastAsia="Times New Roman"/>
          <w:lang w:val="en-GB" w:eastAsia="de-DE"/>
        </w:rPr>
        <w:t xml:space="preserve">, E.; </w:t>
      </w:r>
      <w:proofErr w:type="spellStart"/>
      <w:r w:rsidRPr="001B5D4F">
        <w:rPr>
          <w:rFonts w:eastAsia="Times New Roman"/>
          <w:lang w:val="en-GB" w:eastAsia="de-DE"/>
        </w:rPr>
        <w:t>Metallidis</w:t>
      </w:r>
      <w:proofErr w:type="spellEnd"/>
      <w:r w:rsidRPr="001B5D4F">
        <w:rPr>
          <w:rFonts w:eastAsia="Times New Roman"/>
          <w:lang w:val="en-GB" w:eastAsia="de-DE"/>
        </w:rPr>
        <w:t xml:space="preserve">, S.; Papa, A.; </w:t>
      </w:r>
      <w:proofErr w:type="spellStart"/>
      <w:r w:rsidRPr="001B5D4F">
        <w:rPr>
          <w:rFonts w:eastAsia="Times New Roman"/>
          <w:lang w:val="en-GB" w:eastAsia="de-DE"/>
        </w:rPr>
        <w:t>Stylianidis</w:t>
      </w:r>
      <w:proofErr w:type="spellEnd"/>
      <w:r w:rsidRPr="001B5D4F">
        <w:rPr>
          <w:rFonts w:eastAsia="Times New Roman"/>
          <w:lang w:val="en-GB" w:eastAsia="de-DE"/>
        </w:rPr>
        <w:t xml:space="preserve">, E.; Papadopoulos, A. M.; </w:t>
      </w:r>
      <w:proofErr w:type="spellStart"/>
      <w:r w:rsidRPr="001B5D4F">
        <w:rPr>
          <w:rFonts w:eastAsia="Times New Roman"/>
          <w:lang w:val="en-GB" w:eastAsia="de-DE"/>
        </w:rPr>
        <w:t>Papaioannou</w:t>
      </w:r>
      <w:proofErr w:type="spellEnd"/>
      <w:r w:rsidRPr="001B5D4F">
        <w:rPr>
          <w:rFonts w:eastAsia="Times New Roman"/>
          <w:lang w:val="en-GB" w:eastAsia="de-DE"/>
        </w:rPr>
        <w:t xml:space="preserve">, N. A physicochemical </w:t>
      </w:r>
      <w:r w:rsidRPr="001B5D4F">
        <w:rPr>
          <w:rFonts w:eastAsia="Times New Roman"/>
          <w:lang w:val="en-GB" w:eastAsia="de-DE"/>
        </w:rPr>
        <w:lastRenderedPageBreak/>
        <w:t xml:space="preserve">model for rationalizing SARS-CoV-2 concentration in sewage. Case study: The city of Thessaloniki in Greece. </w:t>
      </w:r>
      <w:r w:rsidRPr="001B5D4F">
        <w:rPr>
          <w:rFonts w:eastAsia="Times New Roman"/>
          <w:i/>
          <w:iCs/>
          <w:lang w:val="en-GB" w:eastAsia="de-DE"/>
        </w:rPr>
        <w:t>Science of the Total Environment</w:t>
      </w:r>
      <w:r w:rsidRPr="001B5D4F">
        <w:rPr>
          <w:rFonts w:eastAsia="Times New Roman"/>
          <w:lang w:val="en-GB" w:eastAsia="de-DE"/>
        </w:rPr>
        <w:t xml:space="preserve"> </w:t>
      </w:r>
      <w:r w:rsidRPr="001B5D4F">
        <w:rPr>
          <w:rFonts w:eastAsia="Times New Roman"/>
          <w:b/>
          <w:bCs/>
          <w:lang w:val="en-GB" w:eastAsia="de-DE"/>
        </w:rPr>
        <w:t>2021</w:t>
      </w:r>
      <w:r w:rsidRPr="001B5D4F">
        <w:rPr>
          <w:rFonts w:eastAsia="Times New Roman"/>
          <w:lang w:val="en-GB" w:eastAsia="de-DE"/>
        </w:rPr>
        <w:t xml:space="preserve">, </w:t>
      </w:r>
      <w:r w:rsidRPr="001B5D4F">
        <w:rPr>
          <w:rFonts w:eastAsia="Times New Roman"/>
          <w:i/>
          <w:iCs/>
          <w:lang w:val="en-GB" w:eastAsia="de-DE"/>
        </w:rPr>
        <w:t>755</w:t>
      </w:r>
      <w:r w:rsidRPr="001B5D4F">
        <w:rPr>
          <w:rFonts w:eastAsia="Times New Roman"/>
          <w:lang w:val="en-GB" w:eastAsia="de-DE"/>
        </w:rPr>
        <w:t xml:space="preserve">, 142855. </w:t>
      </w:r>
      <w:hyperlink r:id="rId62" w:history="1">
        <w:r w:rsidRPr="00135562">
          <w:rPr>
            <w:rStyle w:val="Collegamentoipertestuale"/>
            <w:rFonts w:eastAsia="Times New Roman"/>
            <w:lang w:val="en-GB" w:eastAsia="de-DE"/>
          </w:rPr>
          <w:t>https://doi.org/10.1016/j.scitotenv.2020.142855</w:t>
        </w:r>
      </w:hyperlink>
      <w:r w:rsidRPr="001B5D4F">
        <w:rPr>
          <w:rFonts w:eastAsia="Times New Roman"/>
          <w:lang w:val="en-GB" w:eastAsia="de-DE"/>
        </w:rPr>
        <w:t>.</w:t>
      </w:r>
    </w:p>
    <w:p w:rsidR="005C4FD0" w:rsidRDefault="005C4FD0" w:rsidP="005C4FD0">
      <w:pPr>
        <w:pStyle w:val="MDPI63Notes"/>
        <w:numPr>
          <w:ilvl w:val="0"/>
          <w:numId w:val="24"/>
        </w:numPr>
        <w:spacing w:before="0"/>
        <w:rPr>
          <w:rFonts w:eastAsia="Times New Roman"/>
          <w:lang w:val="en-GB" w:eastAsia="de-DE"/>
        </w:rPr>
      </w:pPr>
      <w:bookmarkStart w:id="46" w:name="Li_2023"/>
      <w:r w:rsidRPr="001B5D4F">
        <w:rPr>
          <w:rFonts w:eastAsia="Times New Roman"/>
          <w:lang w:val="en-GB" w:eastAsia="de-DE"/>
        </w:rPr>
        <w:t xml:space="preserve">Li, J.; Ahmed, W.; Metcalfe, S.; Smith, W.; </w:t>
      </w:r>
      <w:proofErr w:type="spellStart"/>
      <w:r w:rsidRPr="001B5D4F">
        <w:rPr>
          <w:rFonts w:eastAsia="Times New Roman"/>
          <w:lang w:val="en-GB" w:eastAsia="de-DE"/>
        </w:rPr>
        <w:t>Choi</w:t>
      </w:r>
      <w:proofErr w:type="spellEnd"/>
      <w:r w:rsidRPr="001B5D4F">
        <w:rPr>
          <w:rFonts w:eastAsia="Times New Roman"/>
          <w:lang w:val="en-GB" w:eastAsia="de-DE"/>
        </w:rPr>
        <w:t xml:space="preserve">, P. M.; Jackson, G.; </w:t>
      </w:r>
      <w:proofErr w:type="spellStart"/>
      <w:r w:rsidRPr="001B5D4F">
        <w:rPr>
          <w:rFonts w:eastAsia="Times New Roman"/>
          <w:lang w:val="en-GB" w:eastAsia="de-DE"/>
        </w:rPr>
        <w:t>Cen</w:t>
      </w:r>
      <w:proofErr w:type="spellEnd"/>
      <w:r w:rsidRPr="001B5D4F">
        <w:rPr>
          <w:rFonts w:eastAsia="Times New Roman"/>
          <w:lang w:val="en-GB" w:eastAsia="de-DE"/>
        </w:rPr>
        <w:t xml:space="preserve">, X.; </w:t>
      </w:r>
      <w:proofErr w:type="spellStart"/>
      <w:r w:rsidRPr="001B5D4F">
        <w:rPr>
          <w:rFonts w:eastAsia="Times New Roman"/>
          <w:lang w:val="en-GB" w:eastAsia="de-DE"/>
        </w:rPr>
        <w:t>Zheng</w:t>
      </w:r>
      <w:proofErr w:type="spellEnd"/>
      <w:r w:rsidRPr="001B5D4F">
        <w:rPr>
          <w:rFonts w:eastAsia="Times New Roman"/>
          <w:lang w:val="en-GB" w:eastAsia="de-DE"/>
        </w:rPr>
        <w:t xml:space="preserve">, M.; Simpson, S.; Thomas, K. V.; Mueller, J. F.; Thai, P. K. Impact of sewer </w:t>
      </w:r>
      <w:proofErr w:type="spellStart"/>
      <w:r w:rsidRPr="001B5D4F">
        <w:rPr>
          <w:rFonts w:eastAsia="Times New Roman"/>
          <w:lang w:val="en-GB" w:eastAsia="de-DE"/>
        </w:rPr>
        <w:t>biofilms</w:t>
      </w:r>
      <w:proofErr w:type="spellEnd"/>
      <w:r w:rsidRPr="001B5D4F">
        <w:rPr>
          <w:rFonts w:eastAsia="Times New Roman"/>
          <w:lang w:val="en-GB" w:eastAsia="de-DE"/>
        </w:rPr>
        <w:t xml:space="preserve"> on fate of SARS-CoV-2 RNA and wastewater surveillance. </w:t>
      </w:r>
      <w:r w:rsidRPr="006B5A31">
        <w:rPr>
          <w:rFonts w:eastAsia="Times New Roman"/>
          <w:i/>
          <w:iCs/>
          <w:lang w:val="en-GB" w:eastAsia="de-DE"/>
        </w:rPr>
        <w:t>Nature Water</w:t>
      </w:r>
      <w:r w:rsidRPr="006B5A31">
        <w:rPr>
          <w:rFonts w:eastAsia="Times New Roman"/>
          <w:lang w:val="en-GB" w:eastAsia="de-DE"/>
        </w:rPr>
        <w:t xml:space="preserve"> </w:t>
      </w:r>
      <w:r w:rsidRPr="006B5A31">
        <w:rPr>
          <w:rFonts w:eastAsia="Times New Roman"/>
          <w:b/>
          <w:bCs/>
          <w:lang w:val="en-GB" w:eastAsia="de-DE"/>
        </w:rPr>
        <w:t>2023</w:t>
      </w:r>
      <w:r w:rsidRPr="006B5A31">
        <w:rPr>
          <w:rFonts w:eastAsia="Times New Roman"/>
          <w:lang w:val="en-GB" w:eastAsia="de-DE"/>
        </w:rPr>
        <w:t xml:space="preserve">, </w:t>
      </w:r>
      <w:r w:rsidRPr="006B5A31">
        <w:rPr>
          <w:rFonts w:eastAsia="Times New Roman"/>
          <w:i/>
          <w:iCs/>
          <w:lang w:val="en-GB" w:eastAsia="de-DE"/>
        </w:rPr>
        <w:t>1</w:t>
      </w:r>
      <w:r w:rsidRPr="006B5A31">
        <w:rPr>
          <w:rFonts w:eastAsia="Times New Roman"/>
          <w:lang w:val="en-GB" w:eastAsia="de-DE"/>
        </w:rPr>
        <w:t xml:space="preserve"> (3), 272–280. </w:t>
      </w:r>
      <w:hyperlink r:id="rId63" w:history="1">
        <w:r w:rsidR="00DA6781" w:rsidRPr="00135562">
          <w:rPr>
            <w:rStyle w:val="Collegamentoipertestuale"/>
            <w:rFonts w:eastAsia="Times New Roman"/>
            <w:lang w:val="en-GB" w:eastAsia="de-DE"/>
          </w:rPr>
          <w:t>https://doi.org/10.1038/s44221-023-00033-4</w:t>
        </w:r>
      </w:hyperlink>
      <w:r w:rsidRPr="006B5A31">
        <w:rPr>
          <w:rFonts w:eastAsia="Times New Roman"/>
          <w:lang w:val="en-GB" w:eastAsia="de-DE"/>
        </w:rPr>
        <w:t>.</w:t>
      </w:r>
    </w:p>
    <w:p w:rsidR="00DA6781" w:rsidRDefault="00DA6781" w:rsidP="00DA6781">
      <w:pPr>
        <w:pStyle w:val="MDPI63Notes"/>
        <w:numPr>
          <w:ilvl w:val="0"/>
          <w:numId w:val="24"/>
        </w:numPr>
        <w:spacing w:before="0"/>
        <w:rPr>
          <w:rFonts w:eastAsia="Times New Roman"/>
          <w:lang w:val="en-GB" w:eastAsia="de-DE"/>
        </w:rPr>
      </w:pPr>
      <w:bookmarkStart w:id="47" w:name="verani"/>
      <w:proofErr w:type="spellStart"/>
      <w:r w:rsidRPr="00F51CD5">
        <w:rPr>
          <w:rFonts w:eastAsia="Times New Roman"/>
          <w:lang w:val="en-GB" w:eastAsia="de-DE"/>
        </w:rPr>
        <w:t>Verani</w:t>
      </w:r>
      <w:proofErr w:type="spellEnd"/>
      <w:r w:rsidRPr="00F51CD5">
        <w:rPr>
          <w:rFonts w:eastAsia="Times New Roman"/>
          <w:lang w:val="en-GB" w:eastAsia="de-DE"/>
        </w:rPr>
        <w:t xml:space="preserve">, M.; </w:t>
      </w:r>
      <w:proofErr w:type="spellStart"/>
      <w:r w:rsidRPr="00F51CD5">
        <w:rPr>
          <w:rFonts w:eastAsia="Times New Roman"/>
          <w:lang w:val="en-GB" w:eastAsia="de-DE"/>
        </w:rPr>
        <w:t>Federigi</w:t>
      </w:r>
      <w:proofErr w:type="spellEnd"/>
      <w:r w:rsidRPr="00F51CD5">
        <w:rPr>
          <w:rFonts w:eastAsia="Times New Roman"/>
          <w:lang w:val="en-GB" w:eastAsia="de-DE"/>
        </w:rPr>
        <w:t xml:space="preserve">, I.; </w:t>
      </w:r>
      <w:proofErr w:type="spellStart"/>
      <w:r w:rsidRPr="00F51CD5">
        <w:rPr>
          <w:rFonts w:eastAsia="Times New Roman"/>
          <w:lang w:val="en-GB" w:eastAsia="de-DE"/>
        </w:rPr>
        <w:t>Muzio</w:t>
      </w:r>
      <w:proofErr w:type="spellEnd"/>
      <w:r w:rsidRPr="00F51CD5">
        <w:rPr>
          <w:rFonts w:eastAsia="Times New Roman"/>
          <w:lang w:val="en-GB" w:eastAsia="de-DE"/>
        </w:rPr>
        <w:t xml:space="preserve">, S.; </w:t>
      </w:r>
      <w:proofErr w:type="spellStart"/>
      <w:r w:rsidRPr="00F51CD5">
        <w:rPr>
          <w:rFonts w:eastAsia="Times New Roman"/>
          <w:lang w:val="en-GB" w:eastAsia="de-DE"/>
        </w:rPr>
        <w:t>Lauretani</w:t>
      </w:r>
      <w:proofErr w:type="spellEnd"/>
      <w:r w:rsidRPr="00F51CD5">
        <w:rPr>
          <w:rFonts w:eastAsia="Times New Roman"/>
          <w:lang w:val="en-GB" w:eastAsia="de-DE"/>
        </w:rPr>
        <w:t xml:space="preserve">, G.; </w:t>
      </w:r>
      <w:proofErr w:type="spellStart"/>
      <w:r w:rsidRPr="00F51CD5">
        <w:rPr>
          <w:rFonts w:eastAsia="Times New Roman"/>
          <w:lang w:val="en-GB" w:eastAsia="de-DE"/>
        </w:rPr>
        <w:t>Calà</w:t>
      </w:r>
      <w:proofErr w:type="spellEnd"/>
      <w:r w:rsidRPr="00F51CD5">
        <w:rPr>
          <w:rFonts w:eastAsia="Times New Roman"/>
          <w:lang w:val="en-GB" w:eastAsia="de-DE"/>
        </w:rPr>
        <w:t xml:space="preserve">, P.; Mancuso, F.; </w:t>
      </w:r>
      <w:proofErr w:type="spellStart"/>
      <w:r w:rsidRPr="00F51CD5">
        <w:rPr>
          <w:rFonts w:eastAsia="Times New Roman"/>
          <w:lang w:val="en-GB" w:eastAsia="de-DE"/>
        </w:rPr>
        <w:t>Salvadori</w:t>
      </w:r>
      <w:proofErr w:type="spellEnd"/>
      <w:r w:rsidRPr="00F51CD5">
        <w:rPr>
          <w:rFonts w:eastAsia="Times New Roman"/>
          <w:lang w:val="en-GB" w:eastAsia="de-DE"/>
        </w:rPr>
        <w:t xml:space="preserve">, R.; </w:t>
      </w:r>
      <w:proofErr w:type="spellStart"/>
      <w:r w:rsidRPr="00F51CD5">
        <w:rPr>
          <w:rFonts w:eastAsia="Times New Roman"/>
          <w:lang w:val="en-GB" w:eastAsia="de-DE"/>
        </w:rPr>
        <w:t>Valentini</w:t>
      </w:r>
      <w:proofErr w:type="spellEnd"/>
      <w:r w:rsidRPr="00F51CD5">
        <w:rPr>
          <w:rFonts w:eastAsia="Times New Roman"/>
          <w:lang w:val="en-GB" w:eastAsia="de-DE"/>
        </w:rPr>
        <w:t xml:space="preserve">, C.; La Rosa, G.; </w:t>
      </w:r>
      <w:proofErr w:type="spellStart"/>
      <w:r w:rsidRPr="00F51CD5">
        <w:rPr>
          <w:rFonts w:eastAsia="Times New Roman"/>
          <w:lang w:val="en-GB" w:eastAsia="de-DE"/>
        </w:rPr>
        <w:t>Suffredini</w:t>
      </w:r>
      <w:proofErr w:type="spellEnd"/>
      <w:r w:rsidRPr="00F51CD5">
        <w:rPr>
          <w:rFonts w:eastAsia="Times New Roman"/>
          <w:lang w:val="en-GB" w:eastAsia="de-DE"/>
        </w:rPr>
        <w:t>, E.; Carducci, A. Calibration of Methods for SARS-CoV-2 Environmental Surveillance: A Case Study from Northwest Tu</w:t>
      </w:r>
      <w:r w:rsidRPr="00F51CD5">
        <w:rPr>
          <w:rFonts w:eastAsia="Times New Roman"/>
          <w:lang w:val="en-GB" w:eastAsia="de-DE"/>
        </w:rPr>
        <w:t>s</w:t>
      </w:r>
      <w:r w:rsidRPr="00F51CD5">
        <w:rPr>
          <w:rFonts w:eastAsia="Times New Roman"/>
          <w:lang w:val="en-GB" w:eastAsia="de-DE"/>
        </w:rPr>
        <w:t xml:space="preserve">cany. </w:t>
      </w:r>
      <w:r w:rsidRPr="001B5D4F">
        <w:rPr>
          <w:rFonts w:eastAsia="Times New Roman"/>
          <w:i/>
          <w:iCs/>
          <w:lang w:val="en-GB" w:eastAsia="de-DE"/>
        </w:rPr>
        <w:t>International Journal of Environmental Research and Public Health</w:t>
      </w:r>
      <w:r w:rsidRPr="001B5D4F">
        <w:rPr>
          <w:rFonts w:eastAsia="Times New Roman"/>
          <w:lang w:val="en-GB" w:eastAsia="de-DE"/>
        </w:rPr>
        <w:t xml:space="preserve"> </w:t>
      </w:r>
      <w:r w:rsidRPr="001B5D4F">
        <w:rPr>
          <w:rFonts w:eastAsia="Times New Roman"/>
          <w:b/>
          <w:bCs/>
          <w:lang w:val="en-GB" w:eastAsia="de-DE"/>
        </w:rPr>
        <w:t>2022</w:t>
      </w:r>
      <w:r w:rsidRPr="001B5D4F">
        <w:rPr>
          <w:rFonts w:eastAsia="Times New Roman"/>
          <w:lang w:val="en-GB" w:eastAsia="de-DE"/>
        </w:rPr>
        <w:t xml:space="preserve">, </w:t>
      </w:r>
      <w:r w:rsidRPr="001B5D4F">
        <w:rPr>
          <w:rFonts w:eastAsia="Times New Roman"/>
          <w:i/>
          <w:iCs/>
          <w:lang w:val="en-GB" w:eastAsia="de-DE"/>
        </w:rPr>
        <w:t>19</w:t>
      </w:r>
      <w:r w:rsidRPr="001B5D4F">
        <w:rPr>
          <w:rFonts w:eastAsia="Times New Roman"/>
          <w:lang w:val="en-GB" w:eastAsia="de-DE"/>
        </w:rPr>
        <w:t xml:space="preserve"> (24), 16588. </w:t>
      </w:r>
      <w:hyperlink r:id="rId64" w:history="1">
        <w:r w:rsidRPr="00135562">
          <w:rPr>
            <w:rStyle w:val="Collegamentoipertestuale"/>
            <w:rFonts w:eastAsia="Times New Roman"/>
            <w:lang w:val="en-GB" w:eastAsia="de-DE"/>
          </w:rPr>
          <w:t>https://doi.org/10.3390/ijerph192416588</w:t>
        </w:r>
      </w:hyperlink>
      <w:r w:rsidRPr="001B5D4F">
        <w:rPr>
          <w:rFonts w:eastAsia="Times New Roman"/>
          <w:lang w:val="en-GB" w:eastAsia="de-DE"/>
        </w:rPr>
        <w:t>.</w:t>
      </w:r>
    </w:p>
    <w:p w:rsidR="00A838FF" w:rsidRPr="00B42B1F" w:rsidRDefault="00A838FF" w:rsidP="00A838FF">
      <w:pPr>
        <w:pStyle w:val="MDPI63Notes"/>
        <w:numPr>
          <w:ilvl w:val="0"/>
          <w:numId w:val="24"/>
        </w:numPr>
        <w:spacing w:before="0"/>
        <w:rPr>
          <w:rFonts w:eastAsia="Times New Roman"/>
          <w:lang w:eastAsia="de-DE"/>
        </w:rPr>
      </w:pPr>
      <w:bookmarkStart w:id="48" w:name="ISS"/>
      <w:proofErr w:type="spellStart"/>
      <w:r w:rsidRPr="001B5D4F">
        <w:rPr>
          <w:rFonts w:eastAsia="Times New Roman"/>
          <w:lang w:val="it-IT" w:eastAsia="de-DE"/>
        </w:rPr>
        <w:t>EpiCentro</w:t>
      </w:r>
      <w:proofErr w:type="spellEnd"/>
      <w:r w:rsidRPr="001B5D4F">
        <w:rPr>
          <w:rFonts w:eastAsia="Times New Roman"/>
          <w:lang w:val="it-IT" w:eastAsia="de-DE"/>
        </w:rPr>
        <w:t xml:space="preserve">. </w:t>
      </w:r>
      <w:r w:rsidRPr="001B5D4F">
        <w:rPr>
          <w:rFonts w:eastAsia="Times New Roman"/>
          <w:i/>
          <w:iCs/>
          <w:lang w:val="it-IT" w:eastAsia="de-DE"/>
        </w:rPr>
        <w:t>Sorveglianza genomica del virus SARS-CoV-2 e delle sue varianti di interesse in sanità pubblica in Italia</w:t>
      </w:r>
      <w:r w:rsidRPr="001B5D4F">
        <w:rPr>
          <w:rFonts w:eastAsia="Times New Roman"/>
          <w:lang w:val="it-IT" w:eastAsia="de-DE"/>
        </w:rPr>
        <w:t xml:space="preserve">. </w:t>
      </w:r>
      <w:hyperlink r:id="rId65" w:history="1">
        <w:r w:rsidRPr="00B42B1F">
          <w:rPr>
            <w:rStyle w:val="Collegamentoipertestuale"/>
            <w:rFonts w:eastAsia="Times New Roman"/>
            <w:lang w:eastAsia="de-DE"/>
          </w:rPr>
          <w:t>https://www.epicentro.iss.it/coronavirus/sars-cov-2-monitoraggio-varianti</w:t>
        </w:r>
      </w:hyperlink>
      <w:bookmarkEnd w:id="48"/>
      <w:r w:rsidRPr="00B42B1F">
        <w:rPr>
          <w:rFonts w:eastAsia="Times New Roman"/>
          <w:lang w:eastAsia="de-DE"/>
        </w:rPr>
        <w:t>.</w:t>
      </w:r>
    </w:p>
    <w:p w:rsidR="00636A20" w:rsidRPr="00023778" w:rsidRDefault="00E01087" w:rsidP="008E0BAD">
      <w:pPr>
        <w:pStyle w:val="MDPI63Notes"/>
        <w:numPr>
          <w:ilvl w:val="0"/>
          <w:numId w:val="24"/>
        </w:numPr>
        <w:spacing w:before="0"/>
        <w:rPr>
          <w:rFonts w:eastAsia="Times New Roman"/>
          <w:lang w:val="en-GB" w:eastAsia="de-DE"/>
        </w:rPr>
      </w:pPr>
      <w:bookmarkStart w:id="49" w:name="rector"/>
      <w:r w:rsidRPr="001B5D4F">
        <w:rPr>
          <w:rFonts w:eastAsia="Times New Roman"/>
          <w:lang w:val="en-GB" w:eastAsia="de-DE"/>
        </w:rPr>
        <w:t xml:space="preserve">Rector, A.; </w:t>
      </w:r>
      <w:proofErr w:type="spellStart"/>
      <w:r w:rsidRPr="001B5D4F">
        <w:rPr>
          <w:rFonts w:eastAsia="Times New Roman"/>
          <w:lang w:val="en-GB" w:eastAsia="de-DE"/>
        </w:rPr>
        <w:t>Bloemen</w:t>
      </w:r>
      <w:proofErr w:type="spellEnd"/>
      <w:r w:rsidRPr="001B5D4F">
        <w:rPr>
          <w:rFonts w:eastAsia="Times New Roman"/>
          <w:lang w:val="en-GB" w:eastAsia="de-DE"/>
        </w:rPr>
        <w:t xml:space="preserve">, M.; </w:t>
      </w:r>
      <w:proofErr w:type="spellStart"/>
      <w:r w:rsidRPr="001B5D4F">
        <w:rPr>
          <w:rFonts w:eastAsia="Times New Roman"/>
          <w:lang w:val="en-GB" w:eastAsia="de-DE"/>
        </w:rPr>
        <w:t>Thijssen</w:t>
      </w:r>
      <w:proofErr w:type="spellEnd"/>
      <w:r w:rsidRPr="001B5D4F">
        <w:rPr>
          <w:rFonts w:eastAsia="Times New Roman"/>
          <w:lang w:val="en-GB" w:eastAsia="de-DE"/>
        </w:rPr>
        <w:t xml:space="preserve">, M.; </w:t>
      </w:r>
      <w:proofErr w:type="spellStart"/>
      <w:r w:rsidRPr="001B5D4F">
        <w:rPr>
          <w:rFonts w:eastAsia="Times New Roman"/>
          <w:lang w:val="en-GB" w:eastAsia="de-DE"/>
        </w:rPr>
        <w:t>Delang</w:t>
      </w:r>
      <w:proofErr w:type="spellEnd"/>
      <w:r w:rsidRPr="001B5D4F">
        <w:rPr>
          <w:rFonts w:eastAsia="Times New Roman"/>
          <w:lang w:val="en-GB" w:eastAsia="de-DE"/>
        </w:rPr>
        <w:t xml:space="preserve">, L.; </w:t>
      </w:r>
      <w:proofErr w:type="spellStart"/>
      <w:r w:rsidRPr="001B5D4F">
        <w:rPr>
          <w:rFonts w:eastAsia="Times New Roman"/>
          <w:lang w:val="en-GB" w:eastAsia="de-DE"/>
        </w:rPr>
        <w:t>Raymenants</w:t>
      </w:r>
      <w:proofErr w:type="spellEnd"/>
      <w:r w:rsidRPr="001B5D4F">
        <w:rPr>
          <w:rFonts w:eastAsia="Times New Roman"/>
          <w:lang w:val="en-GB" w:eastAsia="de-DE"/>
        </w:rPr>
        <w:t xml:space="preserve">, J.; </w:t>
      </w:r>
      <w:proofErr w:type="spellStart"/>
      <w:r w:rsidRPr="001B5D4F">
        <w:rPr>
          <w:rFonts w:eastAsia="Times New Roman"/>
          <w:lang w:val="en-GB" w:eastAsia="de-DE"/>
        </w:rPr>
        <w:t>Thibaut</w:t>
      </w:r>
      <w:proofErr w:type="spellEnd"/>
      <w:r w:rsidRPr="001B5D4F">
        <w:rPr>
          <w:rFonts w:eastAsia="Times New Roman"/>
          <w:lang w:val="en-GB" w:eastAsia="de-DE"/>
        </w:rPr>
        <w:t xml:space="preserve">, J.; </w:t>
      </w:r>
      <w:proofErr w:type="spellStart"/>
      <w:r w:rsidRPr="001B5D4F">
        <w:rPr>
          <w:rFonts w:eastAsia="Times New Roman"/>
          <w:lang w:val="en-GB" w:eastAsia="de-DE"/>
        </w:rPr>
        <w:t>Pussig</w:t>
      </w:r>
      <w:proofErr w:type="spellEnd"/>
      <w:r w:rsidRPr="001B5D4F">
        <w:rPr>
          <w:rFonts w:eastAsia="Times New Roman"/>
          <w:lang w:val="en-GB" w:eastAsia="de-DE"/>
        </w:rPr>
        <w:t xml:space="preserve">, B.; </w:t>
      </w:r>
      <w:proofErr w:type="spellStart"/>
      <w:r w:rsidRPr="001B5D4F">
        <w:rPr>
          <w:rFonts w:eastAsia="Times New Roman"/>
          <w:lang w:val="en-GB" w:eastAsia="de-DE"/>
        </w:rPr>
        <w:t>Fondu</w:t>
      </w:r>
      <w:proofErr w:type="spellEnd"/>
      <w:r w:rsidRPr="001B5D4F">
        <w:rPr>
          <w:rFonts w:eastAsia="Times New Roman"/>
          <w:lang w:val="en-GB" w:eastAsia="de-DE"/>
        </w:rPr>
        <w:t xml:space="preserve">, L.; </w:t>
      </w:r>
      <w:proofErr w:type="spellStart"/>
      <w:r w:rsidRPr="001B5D4F">
        <w:rPr>
          <w:rFonts w:eastAsia="Times New Roman"/>
          <w:lang w:val="en-GB" w:eastAsia="de-DE"/>
        </w:rPr>
        <w:t>Aertgeerts</w:t>
      </w:r>
      <w:proofErr w:type="spellEnd"/>
      <w:r w:rsidRPr="001B5D4F">
        <w:rPr>
          <w:rFonts w:eastAsia="Times New Roman"/>
          <w:lang w:val="en-GB" w:eastAsia="de-DE"/>
        </w:rPr>
        <w:t xml:space="preserve">, B.; Van </w:t>
      </w:r>
      <w:proofErr w:type="spellStart"/>
      <w:r w:rsidRPr="001B5D4F">
        <w:rPr>
          <w:rFonts w:eastAsia="Times New Roman"/>
          <w:lang w:val="en-GB" w:eastAsia="de-DE"/>
        </w:rPr>
        <w:t>Ranst</w:t>
      </w:r>
      <w:proofErr w:type="spellEnd"/>
      <w:r w:rsidRPr="001B5D4F">
        <w:rPr>
          <w:rFonts w:eastAsia="Times New Roman"/>
          <w:lang w:val="en-GB" w:eastAsia="de-DE"/>
        </w:rPr>
        <w:t xml:space="preserve">, M.; Van </w:t>
      </w:r>
      <w:proofErr w:type="spellStart"/>
      <w:r w:rsidRPr="001B5D4F">
        <w:rPr>
          <w:rFonts w:eastAsia="Times New Roman"/>
          <w:lang w:val="en-GB" w:eastAsia="de-DE"/>
        </w:rPr>
        <w:t>Geet</w:t>
      </w:r>
      <w:proofErr w:type="spellEnd"/>
      <w:r w:rsidRPr="001B5D4F">
        <w:rPr>
          <w:rFonts w:eastAsia="Times New Roman"/>
          <w:lang w:val="en-GB" w:eastAsia="de-DE"/>
        </w:rPr>
        <w:t xml:space="preserve">, C.; </w:t>
      </w:r>
      <w:proofErr w:type="spellStart"/>
      <w:r w:rsidRPr="001B5D4F">
        <w:rPr>
          <w:rFonts w:eastAsia="Times New Roman"/>
          <w:lang w:val="en-GB" w:eastAsia="de-DE"/>
        </w:rPr>
        <w:t>Arnout</w:t>
      </w:r>
      <w:proofErr w:type="spellEnd"/>
      <w:r w:rsidRPr="001B5D4F">
        <w:rPr>
          <w:rFonts w:eastAsia="Times New Roman"/>
          <w:lang w:val="en-GB" w:eastAsia="de-DE"/>
        </w:rPr>
        <w:t xml:space="preserve">, J.; </w:t>
      </w:r>
      <w:proofErr w:type="spellStart"/>
      <w:r w:rsidRPr="001B5D4F">
        <w:rPr>
          <w:rFonts w:eastAsia="Times New Roman"/>
          <w:lang w:val="en-GB" w:eastAsia="de-DE"/>
        </w:rPr>
        <w:t>Wollants</w:t>
      </w:r>
      <w:proofErr w:type="spellEnd"/>
      <w:r w:rsidRPr="001B5D4F">
        <w:rPr>
          <w:rFonts w:eastAsia="Times New Roman"/>
          <w:lang w:val="en-GB" w:eastAsia="de-DE"/>
        </w:rPr>
        <w:t xml:space="preserve">, E. Monitoring of SARS‐CoV‐2 concentration and circulation of variants of concern in wastewater of Leuven, Belgium. </w:t>
      </w:r>
      <w:r w:rsidRPr="001A7F2E">
        <w:rPr>
          <w:rFonts w:eastAsia="Times New Roman"/>
          <w:i/>
          <w:iCs/>
          <w:lang w:val="en-GB" w:eastAsia="de-DE"/>
        </w:rPr>
        <w:t>Journal of Medical Virology</w:t>
      </w:r>
      <w:r w:rsidRPr="001A7F2E">
        <w:rPr>
          <w:rFonts w:eastAsia="Times New Roman"/>
          <w:lang w:val="en-GB" w:eastAsia="de-DE"/>
        </w:rPr>
        <w:t xml:space="preserve"> </w:t>
      </w:r>
      <w:r w:rsidRPr="001A7F2E">
        <w:rPr>
          <w:rFonts w:eastAsia="Times New Roman"/>
          <w:b/>
          <w:bCs/>
          <w:lang w:val="en-GB" w:eastAsia="de-DE"/>
        </w:rPr>
        <w:t>2023</w:t>
      </w:r>
      <w:r w:rsidRPr="001A7F2E">
        <w:rPr>
          <w:rFonts w:eastAsia="Times New Roman"/>
          <w:lang w:val="en-GB" w:eastAsia="de-DE"/>
        </w:rPr>
        <w:t xml:space="preserve">, </w:t>
      </w:r>
      <w:r w:rsidRPr="001A7F2E">
        <w:rPr>
          <w:rFonts w:eastAsia="Times New Roman"/>
          <w:i/>
          <w:iCs/>
          <w:lang w:val="en-GB" w:eastAsia="de-DE"/>
        </w:rPr>
        <w:t>95</w:t>
      </w:r>
      <w:r w:rsidRPr="001A7F2E">
        <w:rPr>
          <w:rFonts w:eastAsia="Times New Roman"/>
          <w:lang w:val="en-GB" w:eastAsia="de-DE"/>
        </w:rPr>
        <w:t xml:space="preserve"> (2). </w:t>
      </w:r>
      <w:hyperlink r:id="rId66" w:history="1">
        <w:r w:rsidR="00023778" w:rsidRPr="00135562">
          <w:rPr>
            <w:rStyle w:val="Collegamentoipertestuale"/>
            <w:rFonts w:eastAsia="Times New Roman"/>
            <w:lang w:val="en-GB" w:eastAsia="de-DE"/>
          </w:rPr>
          <w:t>https://doi.org/10.1002/jmv.28587</w:t>
        </w:r>
      </w:hyperlink>
      <w:r w:rsidRPr="001A7F2E">
        <w:rPr>
          <w:rFonts w:eastAsia="Times New Roman"/>
          <w:lang w:val="en-GB" w:eastAsia="de-DE"/>
        </w:rPr>
        <w:t>.</w:t>
      </w:r>
      <w:bookmarkEnd w:id="35"/>
      <w:bookmarkEnd w:id="36"/>
      <w:bookmarkEnd w:id="37"/>
      <w:bookmarkEnd w:id="39"/>
      <w:bookmarkEnd w:id="41"/>
      <w:bookmarkEnd w:id="42"/>
      <w:bookmarkEnd w:id="43"/>
      <w:bookmarkEnd w:id="45"/>
      <w:bookmarkEnd w:id="46"/>
      <w:bookmarkEnd w:id="47"/>
      <w:bookmarkEnd w:id="49"/>
    </w:p>
    <w:p w:rsidR="001B5D4F" w:rsidRDefault="001B5D4F" w:rsidP="001B5D4F">
      <w:pPr>
        <w:pStyle w:val="MDPI63Notes"/>
        <w:numPr>
          <w:ilvl w:val="0"/>
          <w:numId w:val="24"/>
        </w:numPr>
        <w:spacing w:before="0"/>
        <w:rPr>
          <w:rFonts w:eastAsia="Times New Roman"/>
          <w:lang w:val="en-GB" w:eastAsia="de-DE"/>
        </w:rPr>
      </w:pPr>
      <w:bookmarkStart w:id="50" w:name="Ho_2020"/>
      <w:bookmarkEnd w:id="33"/>
      <w:bookmarkEnd w:id="34"/>
      <w:r w:rsidRPr="001B5D4F">
        <w:rPr>
          <w:rFonts w:eastAsia="Times New Roman"/>
          <w:lang w:val="en-GB" w:eastAsia="de-DE"/>
        </w:rPr>
        <w:t xml:space="preserve">Ho, J. S.-Y.; Fernando, D.; Chan, M. Y.; </w:t>
      </w:r>
      <w:proofErr w:type="spellStart"/>
      <w:r w:rsidRPr="001B5D4F">
        <w:rPr>
          <w:rFonts w:eastAsia="Times New Roman"/>
          <w:lang w:val="en-GB" w:eastAsia="de-DE"/>
        </w:rPr>
        <w:t>Sia</w:t>
      </w:r>
      <w:proofErr w:type="spellEnd"/>
      <w:r w:rsidRPr="001B5D4F">
        <w:rPr>
          <w:rFonts w:eastAsia="Times New Roman"/>
          <w:lang w:val="en-GB" w:eastAsia="de-DE"/>
        </w:rPr>
        <w:t xml:space="preserve">, C. Obesity in COVID-19: A Systematic review and Meta-analysis. </w:t>
      </w:r>
      <w:r w:rsidRPr="001B5D4F">
        <w:rPr>
          <w:rFonts w:eastAsia="Times New Roman"/>
          <w:i/>
          <w:iCs/>
          <w:lang w:val="en-GB" w:eastAsia="de-DE"/>
        </w:rPr>
        <w:t>Annals Academy of Medicine Singapore</w:t>
      </w:r>
      <w:r w:rsidRPr="001B5D4F">
        <w:rPr>
          <w:rFonts w:eastAsia="Times New Roman"/>
          <w:lang w:val="en-GB" w:eastAsia="de-DE"/>
        </w:rPr>
        <w:t xml:space="preserve"> </w:t>
      </w:r>
      <w:r w:rsidRPr="001B5D4F">
        <w:rPr>
          <w:rFonts w:eastAsia="Times New Roman"/>
          <w:b/>
          <w:bCs/>
          <w:lang w:val="en-GB" w:eastAsia="de-DE"/>
        </w:rPr>
        <w:t>2020</w:t>
      </w:r>
      <w:r w:rsidRPr="001B5D4F">
        <w:rPr>
          <w:rFonts w:eastAsia="Times New Roman"/>
          <w:lang w:val="en-GB" w:eastAsia="de-DE"/>
        </w:rPr>
        <w:t xml:space="preserve">, </w:t>
      </w:r>
      <w:r w:rsidRPr="001B5D4F">
        <w:rPr>
          <w:rFonts w:eastAsia="Times New Roman"/>
          <w:i/>
          <w:iCs/>
          <w:lang w:val="en-GB" w:eastAsia="de-DE"/>
        </w:rPr>
        <w:t>49</w:t>
      </w:r>
      <w:r w:rsidRPr="001B5D4F">
        <w:rPr>
          <w:rFonts w:eastAsia="Times New Roman"/>
          <w:lang w:val="en-GB" w:eastAsia="de-DE"/>
        </w:rPr>
        <w:t xml:space="preserve"> (12), 996–1008. </w:t>
      </w:r>
      <w:hyperlink r:id="rId67" w:history="1">
        <w:r w:rsidR="00023778" w:rsidRPr="00135562">
          <w:rPr>
            <w:rStyle w:val="Collegamentoipertestuale"/>
            <w:rFonts w:eastAsia="Times New Roman"/>
            <w:lang w:val="en-GB" w:eastAsia="de-DE"/>
          </w:rPr>
          <w:t>https://doi.org/10.47102/annals-acadmedsg.2020299</w:t>
        </w:r>
      </w:hyperlink>
      <w:r w:rsidRPr="001B5D4F">
        <w:rPr>
          <w:rFonts w:eastAsia="Times New Roman"/>
          <w:lang w:val="en-GB" w:eastAsia="de-DE"/>
        </w:rPr>
        <w:t>.</w:t>
      </w:r>
    </w:p>
    <w:bookmarkEnd w:id="50"/>
    <w:p w:rsidR="00023778" w:rsidRPr="001B5D4F" w:rsidRDefault="00023778" w:rsidP="00023778">
      <w:pPr>
        <w:pStyle w:val="MDPI63Notes"/>
        <w:spacing w:before="0"/>
        <w:rPr>
          <w:rFonts w:eastAsia="Times New Roman"/>
          <w:lang w:val="en-GB" w:eastAsia="de-DE"/>
        </w:rPr>
      </w:pPr>
    </w:p>
    <w:p w:rsidR="001B5D4F" w:rsidRPr="00B42B1F" w:rsidRDefault="001B5D4F" w:rsidP="001B5D4F">
      <w:pPr>
        <w:pStyle w:val="MDPI63Notes"/>
        <w:spacing w:before="0"/>
        <w:ind w:left="720"/>
        <w:rPr>
          <w:rFonts w:eastAsia="Times New Roman"/>
          <w:lang w:val="en-GB" w:eastAsia="de-DE"/>
        </w:rPr>
      </w:pPr>
    </w:p>
    <w:p w:rsidR="00522304" w:rsidRPr="007F1B92" w:rsidRDefault="007F1B92" w:rsidP="001B5D4F">
      <w:pPr>
        <w:pStyle w:val="MDPI63Notes"/>
        <w:spacing w:before="0"/>
      </w:pPr>
      <w:r w:rsidRPr="007F1B92">
        <w:rPr>
          <w:b/>
        </w:rPr>
        <w:t>Disclaimer/Publisher’s Note:</w:t>
      </w:r>
      <w:r w:rsidRPr="007F1B92">
        <w:t xml:space="preserve"> The statements, opinions and data contained in all publications are solely those of the individual author(s) and contributor(s) and not of MDPI and/or the editor(s). MDPI and/or the editor(s) disclaim responsibility for any injury to people or property resulting from any ideas, methods, instructions or products referred to in the content.</w:t>
      </w:r>
    </w:p>
    <w:sectPr w:rsidR="00522304" w:rsidRPr="007F1B92" w:rsidSect="00284BEB">
      <w:headerReference w:type="even" r:id="rId68"/>
      <w:headerReference w:type="default" r:id="rId69"/>
      <w:footerReference w:type="default" r:id="rId70"/>
      <w:headerReference w:type="first" r:id="rId71"/>
      <w:footerReference w:type="first" r:id="rId72"/>
      <w:type w:val="continuous"/>
      <w:pgSz w:w="11906" w:h="16838" w:code="9"/>
      <w:pgMar w:top="1417" w:right="720" w:bottom="1077" w:left="720" w:header="1020" w:footer="340" w:gutter="0"/>
      <w:lnNumType w:countBy="1" w:distance="255" w:restart="continuous"/>
      <w:pgNumType w:start="1"/>
      <w:cols w:space="425"/>
      <w:titlePg/>
      <w:bidi/>
      <w:docGrid w:type="lines"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9505E" w:rsidRDefault="0059505E">
      <w:pPr>
        <w:spacing w:line="240" w:lineRule="auto"/>
      </w:pPr>
      <w:r>
        <w:separator/>
      </w:r>
    </w:p>
  </w:endnote>
  <w:endnote w:type="continuationSeparator" w:id="0">
    <w:p w:rsidR="0059505E" w:rsidRDefault="0059505E">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Palatino Linotype">
    <w:panose1 w:val="02040502050505030304"/>
    <w:charset w:val="00"/>
    <w:family w:val="roman"/>
    <w:pitch w:val="variable"/>
    <w:sig w:usb0="E0000287" w:usb1="40000013"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rdia New">
    <w:altName w:val="Arial Unicode MS"/>
    <w:panose1 w:val="020B0304020202020204"/>
    <w:charset w:val="DE"/>
    <w:family w:val="roman"/>
    <w:notTrueType/>
    <w:pitch w:val="variable"/>
    <w:sig w:usb0="01000000" w:usb1="00000000" w:usb2="00000000" w:usb3="00000000" w:csb0="00010000" w:csb1="00000000"/>
  </w:font>
  <w:font w:name="Tahoma">
    <w:panose1 w:val="020B0604030504040204"/>
    <w:charset w:val="00"/>
    <w:family w:val="swiss"/>
    <w:pitch w:val="variable"/>
    <w:sig w:usb0="E1002EFF" w:usb1="C000605B" w:usb2="00000029" w:usb3="00000000" w:csb0="000101FF" w:csb1="00000000"/>
  </w:font>
  <w:font w:name="等线">
    <w:altName w:val="Arial Unicode MS"/>
    <w:charset w:val="86"/>
    <w:family w:val="auto"/>
    <w:pitch w:val="variable"/>
    <w:sig w:usb0="00000000" w:usb1="38CF7CFA" w:usb2="00000016" w:usb3="00000000" w:csb0="0004000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A4375" w:rsidRPr="00590BF9" w:rsidRDefault="006A4375" w:rsidP="00E90986">
    <w:pPr>
      <w:pStyle w:val="Pidipagina"/>
      <w:spacing w:line="240" w:lineRule="auto"/>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A4375" w:rsidRDefault="006A4375" w:rsidP="00F32F04">
    <w:pPr>
      <w:pStyle w:val="MDPIfooterfirstpage"/>
      <w:pBdr>
        <w:top w:val="single" w:sz="4" w:space="0" w:color="000000"/>
      </w:pBdr>
      <w:adjustRightInd w:val="0"/>
      <w:snapToGrid w:val="0"/>
      <w:spacing w:before="480" w:line="100" w:lineRule="exact"/>
      <w:rPr>
        <w:i/>
        <w:szCs w:val="16"/>
      </w:rPr>
    </w:pPr>
  </w:p>
  <w:p w:rsidR="006A4375" w:rsidRPr="008B308E" w:rsidRDefault="006A4375" w:rsidP="00B200C8">
    <w:pPr>
      <w:pStyle w:val="MDPIfooterfirstpage"/>
      <w:tabs>
        <w:tab w:val="clear" w:pos="8845"/>
        <w:tab w:val="right" w:pos="10466"/>
      </w:tabs>
      <w:spacing w:line="240" w:lineRule="auto"/>
      <w:jc w:val="both"/>
      <w:rPr>
        <w:lang w:val="fr-CH"/>
      </w:rPr>
    </w:pPr>
    <w:r w:rsidRPr="009231ED">
      <w:rPr>
        <w:i/>
        <w:szCs w:val="16"/>
      </w:rPr>
      <w:t>Int. J. Environ. Res. Public Health</w:t>
    </w:r>
    <w:r w:rsidRPr="009231ED">
      <w:rPr>
        <w:szCs w:val="16"/>
      </w:rPr>
      <w:t xml:space="preserve"> </w:t>
    </w:r>
    <w:r>
      <w:rPr>
        <w:b/>
        <w:szCs w:val="16"/>
      </w:rPr>
      <w:t>2024</w:t>
    </w:r>
    <w:r w:rsidRPr="00AE348C">
      <w:rPr>
        <w:szCs w:val="16"/>
      </w:rPr>
      <w:t>,</w:t>
    </w:r>
    <w:r>
      <w:rPr>
        <w:i/>
        <w:szCs w:val="16"/>
      </w:rPr>
      <w:t xml:space="preserve"> 21</w:t>
    </w:r>
    <w:r w:rsidRPr="00AE348C">
      <w:rPr>
        <w:szCs w:val="16"/>
      </w:rPr>
      <w:t xml:space="preserve">, </w:t>
    </w:r>
    <w:r>
      <w:rPr>
        <w:szCs w:val="16"/>
      </w:rPr>
      <w:t>x. https://doi.org/10.3390/xxxxx</w:t>
    </w:r>
    <w:r w:rsidRPr="008B308E">
      <w:rPr>
        <w:lang w:val="fr-CH"/>
      </w:rPr>
      <w:tab/>
      <w:t>www.mdpi.com/journal/</w:t>
    </w:r>
    <w:proofErr w:type="spellStart"/>
    <w:r>
      <w:t>ijerph</w:t>
    </w:r>
    <w:proofErr w:type="spellEnd"/>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9505E" w:rsidRDefault="0059505E">
      <w:pPr>
        <w:spacing w:line="240" w:lineRule="auto"/>
      </w:pPr>
      <w:r>
        <w:separator/>
      </w:r>
    </w:p>
  </w:footnote>
  <w:footnote w:type="continuationSeparator" w:id="0">
    <w:p w:rsidR="0059505E" w:rsidRDefault="0059505E">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A4375" w:rsidRDefault="006A4375" w:rsidP="00E90986">
    <w:pPr>
      <w:pStyle w:val="Intestazione"/>
      <w:pBdr>
        <w:bottom w:val="none" w:sz="0" w:space="0" w:color="auto"/>
      </w:pBd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A4375" w:rsidRDefault="006A4375" w:rsidP="00B200C8">
    <w:pPr>
      <w:tabs>
        <w:tab w:val="right" w:pos="10466"/>
      </w:tabs>
      <w:adjustRightInd w:val="0"/>
      <w:snapToGrid w:val="0"/>
      <w:spacing w:line="240" w:lineRule="auto"/>
      <w:rPr>
        <w:sz w:val="16"/>
      </w:rPr>
    </w:pPr>
    <w:r>
      <w:rPr>
        <w:i/>
        <w:sz w:val="16"/>
      </w:rPr>
      <w:t xml:space="preserve">Int. J. Environ. Res. Public Health </w:t>
    </w:r>
    <w:r>
      <w:rPr>
        <w:b/>
        <w:sz w:val="16"/>
      </w:rPr>
      <w:t>2024</w:t>
    </w:r>
    <w:r w:rsidRPr="00AE348C">
      <w:rPr>
        <w:sz w:val="16"/>
      </w:rPr>
      <w:t>,</w:t>
    </w:r>
    <w:r>
      <w:rPr>
        <w:i/>
        <w:sz w:val="16"/>
      </w:rPr>
      <w:t xml:space="preserve"> 21</w:t>
    </w:r>
    <w:r>
      <w:rPr>
        <w:sz w:val="16"/>
      </w:rPr>
      <w:t>, x FOR PEER REVIEW</w:t>
    </w:r>
    <w:r>
      <w:rPr>
        <w:sz w:val="16"/>
      </w:rPr>
      <w:tab/>
    </w:r>
    <w:r w:rsidR="009F0FD2">
      <w:rPr>
        <w:sz w:val="16"/>
      </w:rPr>
      <w:fldChar w:fldCharType="begin"/>
    </w:r>
    <w:r>
      <w:rPr>
        <w:sz w:val="16"/>
      </w:rPr>
      <w:instrText xml:space="preserve"> PAGE   \* MERGEFORMAT </w:instrText>
    </w:r>
    <w:r w:rsidR="009F0FD2">
      <w:rPr>
        <w:sz w:val="16"/>
      </w:rPr>
      <w:fldChar w:fldCharType="separate"/>
    </w:r>
    <w:r w:rsidR="00A20F1A">
      <w:rPr>
        <w:sz w:val="16"/>
      </w:rPr>
      <w:t>16</w:t>
    </w:r>
    <w:r w:rsidR="009F0FD2">
      <w:rPr>
        <w:sz w:val="16"/>
      </w:rPr>
      <w:fldChar w:fldCharType="end"/>
    </w:r>
    <w:r>
      <w:rPr>
        <w:sz w:val="16"/>
      </w:rPr>
      <w:t xml:space="preserve"> of </w:t>
    </w:r>
    <w:fldSimple w:instr=" NUMPAGES   \* MERGEFORMAT ">
      <w:r w:rsidR="00A20F1A" w:rsidRPr="00A20F1A">
        <w:rPr>
          <w:sz w:val="16"/>
        </w:rPr>
        <w:t>19</w:t>
      </w:r>
    </w:fldSimple>
  </w:p>
  <w:p w:rsidR="006A4375" w:rsidRPr="00305CED" w:rsidRDefault="006A4375" w:rsidP="00F32F04">
    <w:pPr>
      <w:pBdr>
        <w:bottom w:val="single" w:sz="4" w:space="1" w:color="000000"/>
      </w:pBdr>
      <w:tabs>
        <w:tab w:val="right" w:pos="8844"/>
      </w:tabs>
      <w:adjustRightInd w:val="0"/>
      <w:snapToGrid w:val="0"/>
      <w:spacing w:after="480" w:line="100" w:lineRule="exact"/>
      <w:jc w:val="left"/>
      <w:rPr>
        <w:sz w:val="16"/>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487" w:type="dxa"/>
      <w:tblCellMar>
        <w:left w:w="0" w:type="dxa"/>
        <w:right w:w="0" w:type="dxa"/>
      </w:tblCellMar>
      <w:tblLook w:val="04A0"/>
    </w:tblPr>
    <w:tblGrid>
      <w:gridCol w:w="3679"/>
      <w:gridCol w:w="4535"/>
      <w:gridCol w:w="2273"/>
    </w:tblGrid>
    <w:tr w:rsidR="006A4375" w:rsidRPr="00B200C8" w:rsidTr="00C61193">
      <w:trPr>
        <w:trHeight w:val="686"/>
      </w:trPr>
      <w:tc>
        <w:tcPr>
          <w:tcW w:w="3679" w:type="dxa"/>
          <w:shd w:val="clear" w:color="auto" w:fill="auto"/>
          <w:vAlign w:val="center"/>
        </w:tcPr>
        <w:p w:rsidR="006A4375" w:rsidRPr="006331AD" w:rsidRDefault="006A4375" w:rsidP="00B200C8">
          <w:pPr>
            <w:pStyle w:val="Intestazione"/>
            <w:pBdr>
              <w:bottom w:val="none" w:sz="0" w:space="0" w:color="auto"/>
            </w:pBdr>
            <w:jc w:val="left"/>
            <w:rPr>
              <w:rFonts w:eastAsia="等线"/>
              <w:b/>
              <w:bCs/>
            </w:rPr>
          </w:pPr>
          <w:r w:rsidRPr="006331AD">
            <w:rPr>
              <w:rFonts w:eastAsia="等线"/>
              <w:b/>
              <w:bCs/>
              <w:lang w:val="it-IT" w:eastAsia="it-IT"/>
            </w:rPr>
            <w:drawing>
              <wp:inline distT="0" distB="0" distL="0" distR="0">
                <wp:extent cx="1828800" cy="429260"/>
                <wp:effectExtent l="0" t="0" r="0" b="0"/>
                <wp:docPr id="1" name="Picture 3" descr="C:\Users\home\Desktop\logos\png\ijerph-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png\ijerph-logo.png"/>
                        <pic:cNvPicPr>
                          <a:picLocks noChangeAspect="1" noChangeArrowheads="1"/>
                        </pic:cNvPicPr>
                      </pic:nvPicPr>
                      <pic:blipFill>
                        <a:blip r:embed="rId1">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28800" cy="429260"/>
                        </a:xfrm>
                        <a:prstGeom prst="rect">
                          <a:avLst/>
                        </a:prstGeom>
                        <a:noFill/>
                        <a:ln>
                          <a:noFill/>
                        </a:ln>
                      </pic:spPr>
                    </pic:pic>
                  </a:graphicData>
                </a:graphic>
              </wp:inline>
            </w:drawing>
          </w:r>
        </w:p>
      </w:tc>
      <w:tc>
        <w:tcPr>
          <w:tcW w:w="4535" w:type="dxa"/>
          <w:shd w:val="clear" w:color="auto" w:fill="auto"/>
          <w:vAlign w:val="center"/>
        </w:tcPr>
        <w:p w:rsidR="006A4375" w:rsidRPr="006331AD" w:rsidRDefault="006A4375" w:rsidP="00B200C8">
          <w:pPr>
            <w:pStyle w:val="Intestazione"/>
            <w:pBdr>
              <w:bottom w:val="none" w:sz="0" w:space="0" w:color="auto"/>
            </w:pBdr>
            <w:rPr>
              <w:rFonts w:eastAsia="等线"/>
              <w:b/>
              <w:bCs/>
            </w:rPr>
          </w:pPr>
        </w:p>
      </w:tc>
      <w:tc>
        <w:tcPr>
          <w:tcW w:w="2273" w:type="dxa"/>
          <w:shd w:val="clear" w:color="auto" w:fill="auto"/>
          <w:vAlign w:val="center"/>
        </w:tcPr>
        <w:p w:rsidR="006A4375" w:rsidRPr="006331AD" w:rsidRDefault="006A4375" w:rsidP="00C61193">
          <w:pPr>
            <w:pStyle w:val="Intestazione"/>
            <w:pBdr>
              <w:bottom w:val="none" w:sz="0" w:space="0" w:color="auto"/>
            </w:pBdr>
            <w:jc w:val="right"/>
            <w:rPr>
              <w:rFonts w:eastAsia="等线"/>
              <w:b/>
              <w:bCs/>
            </w:rPr>
          </w:pPr>
          <w:r>
            <w:rPr>
              <w:rFonts w:eastAsia="等线"/>
              <w:b/>
              <w:bCs/>
              <w:lang w:val="it-IT" w:eastAsia="it-IT"/>
            </w:rPr>
            <w:drawing>
              <wp:inline distT="0" distB="0" distL="0" distR="0">
                <wp:extent cx="540000" cy="360000"/>
                <wp:effectExtent l="0" t="0" r="0" b="2540"/>
                <wp:docPr id="1248682580" name="Picture 1"/>
                <wp:cNvGraphicFramePr/>
                <a:graphic xmlns:a="http://schemas.openxmlformats.org/drawingml/2006/main">
                  <a:graphicData uri="http://schemas.openxmlformats.org/drawingml/2006/picture">
                    <pic:pic xmlns:pic="http://schemas.openxmlformats.org/drawingml/2006/picture">
                      <pic:nvPicPr>
                        <pic:cNvPr id="1248682580" name=""/>
                        <pic:cNvPicPr/>
                      </pic:nvPicPr>
                      <pic:blipFill>
                        <a:blip r:embed="rId2"/>
                        <a:stretch>
                          <a:fillRect/>
                        </a:stretch>
                      </pic:blipFill>
                      <pic:spPr>
                        <a:xfrm>
                          <a:off x="0" y="0"/>
                          <a:ext cx="540000" cy="360000"/>
                        </a:xfrm>
                        <a:prstGeom prst="rect">
                          <a:avLst/>
                        </a:prstGeom>
                      </pic:spPr>
                    </pic:pic>
                  </a:graphicData>
                </a:graphic>
              </wp:inline>
            </w:drawing>
          </w:r>
        </w:p>
      </w:tc>
    </w:tr>
  </w:tbl>
  <w:p w:rsidR="006A4375" w:rsidRPr="00953C94" w:rsidRDefault="006A4375" w:rsidP="00F32F04">
    <w:pPr>
      <w:pBdr>
        <w:bottom w:val="single" w:sz="4" w:space="1" w:color="000000"/>
      </w:pBdr>
      <w:adjustRightInd w:val="0"/>
      <w:snapToGrid w:val="0"/>
      <w:spacing w:line="100" w:lineRule="exact"/>
      <w:jc w:val="left"/>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1E94180"/>
    <w:multiLevelType w:val="hybridMultilevel"/>
    <w:tmpl w:val="8B2EE27E"/>
    <w:lvl w:ilvl="0" w:tplc="8510346A">
      <w:start w:val="1"/>
      <w:numFmt w:val="decimal"/>
      <w:lvlText w:val="%1)"/>
      <w:lvlJc w:val="left"/>
      <w:pPr>
        <w:ind w:left="720" w:hanging="360"/>
      </w:pPr>
      <w:rPr>
        <w:rFonts w:ascii="Palatino Linotype" w:eastAsia="SimSun" w:hAnsi="Palatino Linotype" w:cs="Times New Roman"/>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nsid w:val="16B12E6D"/>
    <w:multiLevelType w:val="hybridMultilevel"/>
    <w:tmpl w:val="89DE7AB4"/>
    <w:lvl w:ilvl="0" w:tplc="F270330A">
      <w:start w:val="1"/>
      <w:numFmt w:val="decimal"/>
      <w:lvlRestart w:val="0"/>
      <w:pStyle w:val="MDPI71References"/>
      <w:lvlText w:val="%1."/>
      <w:lvlJc w:val="left"/>
      <w:pPr>
        <w:ind w:left="425" w:hanging="425"/>
      </w:pPr>
      <w:rPr>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8B468F5"/>
    <w:multiLevelType w:val="hybridMultilevel"/>
    <w:tmpl w:val="E4EA68C0"/>
    <w:lvl w:ilvl="0" w:tplc="76342416">
      <w:start w:val="1"/>
      <w:numFmt w:val="bullet"/>
      <w:lvlRestart w:val="0"/>
      <w:pStyle w:val="MDPI38bullet"/>
      <w:lvlText w:val=""/>
      <w:lvlJc w:val="left"/>
      <w:pPr>
        <w:ind w:left="3033" w:hanging="425"/>
      </w:pPr>
      <w:rPr>
        <w:rFonts w:ascii="Symbol" w:hAnsi="Symbol" w:hint="default"/>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E0C6F5D"/>
    <w:multiLevelType w:val="hybridMultilevel"/>
    <w:tmpl w:val="8BFE0D56"/>
    <w:lvl w:ilvl="0" w:tplc="CCCE9BD4">
      <w:start w:val="1"/>
      <w:numFmt w:val="bullet"/>
      <w:lvlRestart w:val="0"/>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4">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6">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1EB46A9"/>
    <w:multiLevelType w:val="hybridMultilevel"/>
    <w:tmpl w:val="0F36FAF2"/>
    <w:lvl w:ilvl="0" w:tplc="278A6020">
      <w:start w:val="1"/>
      <w:numFmt w:val="decimal"/>
      <w:lvlRestart w:val="0"/>
      <w:pStyle w:val="MDPI37itemize"/>
      <w:lvlText w:val="%1."/>
      <w:lvlJc w:val="left"/>
      <w:pPr>
        <w:ind w:left="3033" w:hanging="425"/>
      </w:pPr>
      <w:rPr>
        <w:b w:val="0"/>
        <w:i w:val="0"/>
        <w:sz w:val="20"/>
        <w:vertAlign w:val="baseline"/>
      </w:rPr>
    </w:lvl>
    <w:lvl w:ilvl="1" w:tplc="04090019" w:tentative="1">
      <w:start w:val="1"/>
      <w:numFmt w:val="lowerLetter"/>
      <w:lvlText w:val="%2."/>
      <w:lvlJc w:val="left"/>
      <w:pPr>
        <w:ind w:left="4048" w:hanging="360"/>
      </w:pPr>
    </w:lvl>
    <w:lvl w:ilvl="2" w:tplc="0409001B" w:tentative="1">
      <w:start w:val="1"/>
      <w:numFmt w:val="lowerRoman"/>
      <w:lvlText w:val="%3."/>
      <w:lvlJc w:val="right"/>
      <w:pPr>
        <w:ind w:left="4768" w:hanging="180"/>
      </w:pPr>
    </w:lvl>
    <w:lvl w:ilvl="3" w:tplc="0409000F" w:tentative="1">
      <w:start w:val="1"/>
      <w:numFmt w:val="decimal"/>
      <w:lvlText w:val="%4."/>
      <w:lvlJc w:val="left"/>
      <w:pPr>
        <w:ind w:left="5488" w:hanging="360"/>
      </w:pPr>
    </w:lvl>
    <w:lvl w:ilvl="4" w:tplc="04090019" w:tentative="1">
      <w:start w:val="1"/>
      <w:numFmt w:val="lowerLetter"/>
      <w:lvlText w:val="%5."/>
      <w:lvlJc w:val="left"/>
      <w:pPr>
        <w:ind w:left="6208" w:hanging="360"/>
      </w:pPr>
    </w:lvl>
    <w:lvl w:ilvl="5" w:tplc="0409001B" w:tentative="1">
      <w:start w:val="1"/>
      <w:numFmt w:val="lowerRoman"/>
      <w:lvlText w:val="%6."/>
      <w:lvlJc w:val="right"/>
      <w:pPr>
        <w:ind w:left="6928" w:hanging="180"/>
      </w:pPr>
    </w:lvl>
    <w:lvl w:ilvl="6" w:tplc="0409000F" w:tentative="1">
      <w:start w:val="1"/>
      <w:numFmt w:val="decimal"/>
      <w:lvlText w:val="%7."/>
      <w:lvlJc w:val="left"/>
      <w:pPr>
        <w:ind w:left="7648" w:hanging="360"/>
      </w:pPr>
    </w:lvl>
    <w:lvl w:ilvl="7" w:tplc="04090019" w:tentative="1">
      <w:start w:val="1"/>
      <w:numFmt w:val="lowerLetter"/>
      <w:lvlText w:val="%8."/>
      <w:lvlJc w:val="left"/>
      <w:pPr>
        <w:ind w:left="8368" w:hanging="360"/>
      </w:pPr>
    </w:lvl>
    <w:lvl w:ilvl="8" w:tplc="0409001B" w:tentative="1">
      <w:start w:val="1"/>
      <w:numFmt w:val="lowerRoman"/>
      <w:lvlText w:val="%9."/>
      <w:lvlJc w:val="right"/>
      <w:pPr>
        <w:ind w:left="9088" w:hanging="180"/>
      </w:pPr>
    </w:lvl>
  </w:abstractNum>
  <w:abstractNum w:abstractNumId="8">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9">
    <w:nsid w:val="52E2771B"/>
    <w:multiLevelType w:val="hybridMultilevel"/>
    <w:tmpl w:val="A2A06AAC"/>
    <w:lvl w:ilvl="0" w:tplc="C788203A">
      <w:start w:val="1"/>
      <w:numFmt w:val="decimal"/>
      <w:lvlRestart w:val="0"/>
      <w:lvlText w:val="%1"/>
      <w:lvlJc w:val="left"/>
      <w:pPr>
        <w:ind w:left="425" w:hanging="425"/>
      </w:pPr>
      <w:rPr>
        <w:rFonts w:hint="eastAsia"/>
        <w:caps w:val="0"/>
        <w:strike w:val="0"/>
        <w:dstrike w:val="0"/>
        <w:vanish w:val="0"/>
        <w:sz w:val="18"/>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53C440C7"/>
    <w:multiLevelType w:val="hybridMultilevel"/>
    <w:tmpl w:val="77241A6A"/>
    <w:lvl w:ilvl="0" w:tplc="D92C0296">
      <w:start w:val="1"/>
      <w:numFmt w:val="decimal"/>
      <w:lvlRestart w:val="0"/>
      <w:pStyle w:val="MDPI71FootNotes"/>
      <w:lvlText w:val="%1."/>
      <w:lvlJc w:val="left"/>
      <w:pPr>
        <w:ind w:left="425" w:hanging="425"/>
      </w:pPr>
      <w:rPr>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54075B53"/>
    <w:multiLevelType w:val="hybridMultilevel"/>
    <w:tmpl w:val="A0DCA02E"/>
    <w:lvl w:ilvl="0" w:tplc="5CB0595C">
      <w:start w:val="1"/>
      <w:numFmt w:val="decimal"/>
      <w:lvlRestart w:val="0"/>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12">
    <w:nsid w:val="706D5736"/>
    <w:multiLevelType w:val="hybridMultilevel"/>
    <w:tmpl w:val="7E201858"/>
    <w:lvl w:ilvl="0" w:tplc="7736F520">
      <w:start w:val="1"/>
      <w:numFmt w:val="decimal"/>
      <w:lvlRestart w:val="0"/>
      <w:lvlText w:val="%1."/>
      <w:lvlJc w:val="left"/>
      <w:pPr>
        <w:ind w:left="425" w:hanging="425"/>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78FE7EF9"/>
    <w:multiLevelType w:val="hybridMultilevel"/>
    <w:tmpl w:val="F3E8A392"/>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5"/>
  </w:num>
  <w:num w:numId="2">
    <w:abstractNumId w:val="8"/>
  </w:num>
  <w:num w:numId="3">
    <w:abstractNumId w:val="4"/>
  </w:num>
  <w:num w:numId="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6"/>
  </w:num>
  <w:num w:numId="6">
    <w:abstractNumId w:val="11"/>
  </w:num>
  <w:num w:numId="7">
    <w:abstractNumId w:val="3"/>
  </w:num>
  <w:num w:numId="8">
    <w:abstractNumId w:val="11"/>
  </w:num>
  <w:num w:numId="9">
    <w:abstractNumId w:val="3"/>
  </w:num>
  <w:num w:numId="10">
    <w:abstractNumId w:val="11"/>
  </w:num>
  <w:num w:numId="11">
    <w:abstractNumId w:val="3"/>
  </w:num>
  <w:num w:numId="12">
    <w:abstractNumId w:val="12"/>
  </w:num>
  <w:num w:numId="13">
    <w:abstractNumId w:val="11"/>
  </w:num>
  <w:num w:numId="14">
    <w:abstractNumId w:val="3"/>
  </w:num>
  <w:num w:numId="15">
    <w:abstractNumId w:val="2"/>
  </w:num>
  <w:num w:numId="16">
    <w:abstractNumId w:val="9"/>
  </w:num>
  <w:num w:numId="17">
    <w:abstractNumId w:val="1"/>
  </w:num>
  <w:num w:numId="18">
    <w:abstractNumId w:val="11"/>
  </w:num>
  <w:num w:numId="19">
    <w:abstractNumId w:val="3"/>
  </w:num>
  <w:num w:numId="20">
    <w:abstractNumId w:val="2"/>
  </w:num>
  <w:num w:numId="21">
    <w:abstractNumId w:val="10"/>
  </w:num>
  <w:num w:numId="22">
    <w:abstractNumId w:val="7"/>
  </w:num>
  <w:num w:numId="23">
    <w:abstractNumId w:val="1"/>
  </w:num>
  <w:num w:numId="24">
    <w:abstractNumId w:val="13"/>
  </w:num>
  <w:num w:numId="25">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bordersDoNotSurroundHeader/>
  <w:bordersDoNotSurroundFooter/>
  <w:proofState w:spelling="clean"/>
  <w:attachedTemplate r:id="rId1"/>
  <w:stylePaneFormatFilter w:val="1021"/>
  <w:stylePaneSortMethod w:val="0000"/>
  <w:defaultTabStop w:val="510"/>
  <w:autoHyphenation/>
  <w:hyphenationZone w:val="283"/>
  <w:drawingGridHorizontalSpacing w:val="100"/>
  <w:drawingGridVerticalSpacing w:val="163"/>
  <w:displayHorizontalDrawingGridEvery w:val="0"/>
  <w:displayVerticalDrawingGridEvery w:val="2"/>
  <w:characterSpacingControl w:val="compressPunctuation"/>
  <w:hdrShapeDefaults>
    <o:shapedefaults v:ext="edit" spidmax="92162"/>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F04133"/>
    <w:rsid w:val="00010682"/>
    <w:rsid w:val="00023778"/>
    <w:rsid w:val="0002554A"/>
    <w:rsid w:val="0003183D"/>
    <w:rsid w:val="00034F25"/>
    <w:rsid w:val="00041937"/>
    <w:rsid w:val="00047950"/>
    <w:rsid w:val="00047C14"/>
    <w:rsid w:val="00055C8D"/>
    <w:rsid w:val="00062D64"/>
    <w:rsid w:val="0006442A"/>
    <w:rsid w:val="00070BC3"/>
    <w:rsid w:val="0007111C"/>
    <w:rsid w:val="00072F70"/>
    <w:rsid w:val="0008598A"/>
    <w:rsid w:val="000946E3"/>
    <w:rsid w:val="000A1C30"/>
    <w:rsid w:val="000B181F"/>
    <w:rsid w:val="000B6171"/>
    <w:rsid w:val="000C1731"/>
    <w:rsid w:val="000C3D95"/>
    <w:rsid w:val="000C4573"/>
    <w:rsid w:val="000D3350"/>
    <w:rsid w:val="000D40A8"/>
    <w:rsid w:val="000D4CAC"/>
    <w:rsid w:val="000E62B7"/>
    <w:rsid w:val="000E7BAC"/>
    <w:rsid w:val="000F3B21"/>
    <w:rsid w:val="000F707B"/>
    <w:rsid w:val="00100681"/>
    <w:rsid w:val="001035B5"/>
    <w:rsid w:val="001059AA"/>
    <w:rsid w:val="00107A5E"/>
    <w:rsid w:val="00113A18"/>
    <w:rsid w:val="00121956"/>
    <w:rsid w:val="001228BC"/>
    <w:rsid w:val="00123939"/>
    <w:rsid w:val="0012768A"/>
    <w:rsid w:val="00135BAB"/>
    <w:rsid w:val="00135C94"/>
    <w:rsid w:val="0014200C"/>
    <w:rsid w:val="00142293"/>
    <w:rsid w:val="00142723"/>
    <w:rsid w:val="0014604B"/>
    <w:rsid w:val="00150766"/>
    <w:rsid w:val="001627A5"/>
    <w:rsid w:val="0017399F"/>
    <w:rsid w:val="00177995"/>
    <w:rsid w:val="00183AB8"/>
    <w:rsid w:val="00187A46"/>
    <w:rsid w:val="00194C32"/>
    <w:rsid w:val="001957FA"/>
    <w:rsid w:val="001A30C9"/>
    <w:rsid w:val="001A7E1E"/>
    <w:rsid w:val="001A7F2E"/>
    <w:rsid w:val="001B5D4F"/>
    <w:rsid w:val="001B6C34"/>
    <w:rsid w:val="001C0AA9"/>
    <w:rsid w:val="001C2398"/>
    <w:rsid w:val="001C3A2B"/>
    <w:rsid w:val="001D41F9"/>
    <w:rsid w:val="001D76C9"/>
    <w:rsid w:val="001E2AEB"/>
    <w:rsid w:val="001F0C32"/>
    <w:rsid w:val="001F2F1B"/>
    <w:rsid w:val="001F53CA"/>
    <w:rsid w:val="001F6D18"/>
    <w:rsid w:val="001F7455"/>
    <w:rsid w:val="002019E5"/>
    <w:rsid w:val="0020566A"/>
    <w:rsid w:val="00205AC7"/>
    <w:rsid w:val="0020625A"/>
    <w:rsid w:val="00214A6A"/>
    <w:rsid w:val="00221B1C"/>
    <w:rsid w:val="00223336"/>
    <w:rsid w:val="002260B7"/>
    <w:rsid w:val="00226AB2"/>
    <w:rsid w:val="00236323"/>
    <w:rsid w:val="00240692"/>
    <w:rsid w:val="0025278B"/>
    <w:rsid w:val="00257BA9"/>
    <w:rsid w:val="00260112"/>
    <w:rsid w:val="00262314"/>
    <w:rsid w:val="00263156"/>
    <w:rsid w:val="002704A2"/>
    <w:rsid w:val="00271140"/>
    <w:rsid w:val="00274161"/>
    <w:rsid w:val="00280CFF"/>
    <w:rsid w:val="002847C1"/>
    <w:rsid w:val="00284BEB"/>
    <w:rsid w:val="0028607E"/>
    <w:rsid w:val="00287267"/>
    <w:rsid w:val="0028726C"/>
    <w:rsid w:val="00290BCF"/>
    <w:rsid w:val="002A2E68"/>
    <w:rsid w:val="002A475E"/>
    <w:rsid w:val="002C2D8C"/>
    <w:rsid w:val="002D18CB"/>
    <w:rsid w:val="002D57A5"/>
    <w:rsid w:val="002D5C57"/>
    <w:rsid w:val="002D6A07"/>
    <w:rsid w:val="002E3019"/>
    <w:rsid w:val="002E3A6F"/>
    <w:rsid w:val="002F00AE"/>
    <w:rsid w:val="002F11AD"/>
    <w:rsid w:val="002F3D49"/>
    <w:rsid w:val="00302C67"/>
    <w:rsid w:val="00304113"/>
    <w:rsid w:val="0030636E"/>
    <w:rsid w:val="00306807"/>
    <w:rsid w:val="0031364F"/>
    <w:rsid w:val="003210B8"/>
    <w:rsid w:val="00322655"/>
    <w:rsid w:val="00322BD2"/>
    <w:rsid w:val="0032363A"/>
    <w:rsid w:val="00326141"/>
    <w:rsid w:val="00331D9D"/>
    <w:rsid w:val="00334A5E"/>
    <w:rsid w:val="003441F3"/>
    <w:rsid w:val="00350E83"/>
    <w:rsid w:val="003537C8"/>
    <w:rsid w:val="00363C90"/>
    <w:rsid w:val="00363E1E"/>
    <w:rsid w:val="003663D4"/>
    <w:rsid w:val="00371386"/>
    <w:rsid w:val="00376358"/>
    <w:rsid w:val="0039002C"/>
    <w:rsid w:val="003938DA"/>
    <w:rsid w:val="003B1504"/>
    <w:rsid w:val="003B1624"/>
    <w:rsid w:val="003B546C"/>
    <w:rsid w:val="003B7054"/>
    <w:rsid w:val="003C2B90"/>
    <w:rsid w:val="003C5BBD"/>
    <w:rsid w:val="003E4610"/>
    <w:rsid w:val="003E58EA"/>
    <w:rsid w:val="00401B3A"/>
    <w:rsid w:val="00401D30"/>
    <w:rsid w:val="00404014"/>
    <w:rsid w:val="004047D8"/>
    <w:rsid w:val="00404FC7"/>
    <w:rsid w:val="00407587"/>
    <w:rsid w:val="00414DE1"/>
    <w:rsid w:val="00417958"/>
    <w:rsid w:val="00421077"/>
    <w:rsid w:val="00421150"/>
    <w:rsid w:val="0042738E"/>
    <w:rsid w:val="00433F0C"/>
    <w:rsid w:val="0045191B"/>
    <w:rsid w:val="00456C78"/>
    <w:rsid w:val="00461F43"/>
    <w:rsid w:val="00464069"/>
    <w:rsid w:val="004657D7"/>
    <w:rsid w:val="0046726B"/>
    <w:rsid w:val="004714F9"/>
    <w:rsid w:val="00477E7B"/>
    <w:rsid w:val="00481E91"/>
    <w:rsid w:val="00484C66"/>
    <w:rsid w:val="00487181"/>
    <w:rsid w:val="00487C4E"/>
    <w:rsid w:val="004A1D09"/>
    <w:rsid w:val="004A751A"/>
    <w:rsid w:val="004B1AF0"/>
    <w:rsid w:val="004B5280"/>
    <w:rsid w:val="004C557C"/>
    <w:rsid w:val="004C655F"/>
    <w:rsid w:val="004C722F"/>
    <w:rsid w:val="004D0D3D"/>
    <w:rsid w:val="004D4B19"/>
    <w:rsid w:val="004D5A80"/>
    <w:rsid w:val="004D6B8D"/>
    <w:rsid w:val="004D7ED4"/>
    <w:rsid w:val="004E6E22"/>
    <w:rsid w:val="00502571"/>
    <w:rsid w:val="0050641B"/>
    <w:rsid w:val="00510707"/>
    <w:rsid w:val="00514646"/>
    <w:rsid w:val="005204CD"/>
    <w:rsid w:val="00522304"/>
    <w:rsid w:val="00523576"/>
    <w:rsid w:val="00524369"/>
    <w:rsid w:val="005244A2"/>
    <w:rsid w:val="00525772"/>
    <w:rsid w:val="00527484"/>
    <w:rsid w:val="00533DAD"/>
    <w:rsid w:val="00543DC3"/>
    <w:rsid w:val="00545486"/>
    <w:rsid w:val="005463D3"/>
    <w:rsid w:val="00547C19"/>
    <w:rsid w:val="00551910"/>
    <w:rsid w:val="00564D9F"/>
    <w:rsid w:val="00576272"/>
    <w:rsid w:val="0057792D"/>
    <w:rsid w:val="0059163B"/>
    <w:rsid w:val="00592A97"/>
    <w:rsid w:val="005940DE"/>
    <w:rsid w:val="0059505E"/>
    <w:rsid w:val="005A593B"/>
    <w:rsid w:val="005B0E8A"/>
    <w:rsid w:val="005B6C3D"/>
    <w:rsid w:val="005C08E8"/>
    <w:rsid w:val="005C4FD0"/>
    <w:rsid w:val="005D71B5"/>
    <w:rsid w:val="005E04FC"/>
    <w:rsid w:val="005E213E"/>
    <w:rsid w:val="0060423E"/>
    <w:rsid w:val="00611AC1"/>
    <w:rsid w:val="0061351E"/>
    <w:rsid w:val="00615FFE"/>
    <w:rsid w:val="006211DD"/>
    <w:rsid w:val="00627040"/>
    <w:rsid w:val="0062794C"/>
    <w:rsid w:val="00632D12"/>
    <w:rsid w:val="006331AD"/>
    <w:rsid w:val="00633B00"/>
    <w:rsid w:val="00636719"/>
    <w:rsid w:val="00636A20"/>
    <w:rsid w:val="00643EB0"/>
    <w:rsid w:val="00650ECC"/>
    <w:rsid w:val="00653999"/>
    <w:rsid w:val="00662E41"/>
    <w:rsid w:val="006646EE"/>
    <w:rsid w:val="00665E9D"/>
    <w:rsid w:val="00670E8E"/>
    <w:rsid w:val="006768B1"/>
    <w:rsid w:val="006822FA"/>
    <w:rsid w:val="00683357"/>
    <w:rsid w:val="00686327"/>
    <w:rsid w:val="0068663D"/>
    <w:rsid w:val="00692393"/>
    <w:rsid w:val="00695BCD"/>
    <w:rsid w:val="006A4375"/>
    <w:rsid w:val="006A705D"/>
    <w:rsid w:val="006B1B72"/>
    <w:rsid w:val="006B5A31"/>
    <w:rsid w:val="006B7998"/>
    <w:rsid w:val="006C21D4"/>
    <w:rsid w:val="006C40C6"/>
    <w:rsid w:val="006C61EE"/>
    <w:rsid w:val="006E7A7A"/>
    <w:rsid w:val="006F1164"/>
    <w:rsid w:val="006F4EE5"/>
    <w:rsid w:val="006F6D9D"/>
    <w:rsid w:val="00711C0C"/>
    <w:rsid w:val="00713758"/>
    <w:rsid w:val="00721097"/>
    <w:rsid w:val="00721712"/>
    <w:rsid w:val="007267FB"/>
    <w:rsid w:val="007274E4"/>
    <w:rsid w:val="00733AF9"/>
    <w:rsid w:val="00740A53"/>
    <w:rsid w:val="00741486"/>
    <w:rsid w:val="00744DB7"/>
    <w:rsid w:val="0075560D"/>
    <w:rsid w:val="007617D1"/>
    <w:rsid w:val="00762BF4"/>
    <w:rsid w:val="007679AA"/>
    <w:rsid w:val="00782F9F"/>
    <w:rsid w:val="00792EB7"/>
    <w:rsid w:val="007955A9"/>
    <w:rsid w:val="00796611"/>
    <w:rsid w:val="007A0755"/>
    <w:rsid w:val="007A1FB6"/>
    <w:rsid w:val="007A48D9"/>
    <w:rsid w:val="007B3E14"/>
    <w:rsid w:val="007B4104"/>
    <w:rsid w:val="007C437A"/>
    <w:rsid w:val="007C470A"/>
    <w:rsid w:val="007C52A2"/>
    <w:rsid w:val="007D0C01"/>
    <w:rsid w:val="007D1435"/>
    <w:rsid w:val="007D65CB"/>
    <w:rsid w:val="007E5A5B"/>
    <w:rsid w:val="007E7652"/>
    <w:rsid w:val="007F1B92"/>
    <w:rsid w:val="007F6262"/>
    <w:rsid w:val="00804E3A"/>
    <w:rsid w:val="00805579"/>
    <w:rsid w:val="00811B24"/>
    <w:rsid w:val="00825662"/>
    <w:rsid w:val="00826149"/>
    <w:rsid w:val="008416DF"/>
    <w:rsid w:val="00856478"/>
    <w:rsid w:val="00861A54"/>
    <w:rsid w:val="008723C2"/>
    <w:rsid w:val="008747F0"/>
    <w:rsid w:val="008771DE"/>
    <w:rsid w:val="00877F43"/>
    <w:rsid w:val="0088318A"/>
    <w:rsid w:val="00884352"/>
    <w:rsid w:val="00891508"/>
    <w:rsid w:val="008A0BBA"/>
    <w:rsid w:val="008A5808"/>
    <w:rsid w:val="008B4E46"/>
    <w:rsid w:val="008B5ADF"/>
    <w:rsid w:val="008C5CBF"/>
    <w:rsid w:val="008D41CD"/>
    <w:rsid w:val="008E00B4"/>
    <w:rsid w:val="008E0BAD"/>
    <w:rsid w:val="008E3B5E"/>
    <w:rsid w:val="008E415E"/>
    <w:rsid w:val="008F1132"/>
    <w:rsid w:val="008F61A2"/>
    <w:rsid w:val="00904094"/>
    <w:rsid w:val="009079A6"/>
    <w:rsid w:val="009145BE"/>
    <w:rsid w:val="00917FC0"/>
    <w:rsid w:val="00925384"/>
    <w:rsid w:val="0092538A"/>
    <w:rsid w:val="009313A7"/>
    <w:rsid w:val="009313EF"/>
    <w:rsid w:val="009367AA"/>
    <w:rsid w:val="009452DB"/>
    <w:rsid w:val="00945CF9"/>
    <w:rsid w:val="00947A61"/>
    <w:rsid w:val="00950618"/>
    <w:rsid w:val="00953C94"/>
    <w:rsid w:val="00957BD7"/>
    <w:rsid w:val="00966418"/>
    <w:rsid w:val="00970386"/>
    <w:rsid w:val="00971830"/>
    <w:rsid w:val="00985746"/>
    <w:rsid w:val="00991985"/>
    <w:rsid w:val="00994D55"/>
    <w:rsid w:val="0099519E"/>
    <w:rsid w:val="00997B86"/>
    <w:rsid w:val="009A52C8"/>
    <w:rsid w:val="009A63E8"/>
    <w:rsid w:val="009A6E45"/>
    <w:rsid w:val="009A7257"/>
    <w:rsid w:val="009B03B9"/>
    <w:rsid w:val="009B152D"/>
    <w:rsid w:val="009B2C30"/>
    <w:rsid w:val="009B4121"/>
    <w:rsid w:val="009C731C"/>
    <w:rsid w:val="009C735C"/>
    <w:rsid w:val="009E13F0"/>
    <w:rsid w:val="009F0FD2"/>
    <w:rsid w:val="009F274E"/>
    <w:rsid w:val="009F70E6"/>
    <w:rsid w:val="00A0136F"/>
    <w:rsid w:val="00A02301"/>
    <w:rsid w:val="00A04771"/>
    <w:rsid w:val="00A07B60"/>
    <w:rsid w:val="00A146C0"/>
    <w:rsid w:val="00A15A96"/>
    <w:rsid w:val="00A15EF1"/>
    <w:rsid w:val="00A20F1A"/>
    <w:rsid w:val="00A25C45"/>
    <w:rsid w:val="00A360D5"/>
    <w:rsid w:val="00A367E1"/>
    <w:rsid w:val="00A41EC8"/>
    <w:rsid w:val="00A42DB8"/>
    <w:rsid w:val="00A53B1F"/>
    <w:rsid w:val="00A54AF5"/>
    <w:rsid w:val="00A64950"/>
    <w:rsid w:val="00A65005"/>
    <w:rsid w:val="00A67EE4"/>
    <w:rsid w:val="00A72F9D"/>
    <w:rsid w:val="00A74C02"/>
    <w:rsid w:val="00A7664D"/>
    <w:rsid w:val="00A838FF"/>
    <w:rsid w:val="00A972D4"/>
    <w:rsid w:val="00AA032F"/>
    <w:rsid w:val="00AA4EA9"/>
    <w:rsid w:val="00AC2928"/>
    <w:rsid w:val="00AC3293"/>
    <w:rsid w:val="00AC61B4"/>
    <w:rsid w:val="00AD2D7B"/>
    <w:rsid w:val="00AE0291"/>
    <w:rsid w:val="00AE0E14"/>
    <w:rsid w:val="00AE2272"/>
    <w:rsid w:val="00AE348C"/>
    <w:rsid w:val="00AE465D"/>
    <w:rsid w:val="00AE5CFB"/>
    <w:rsid w:val="00AF44C1"/>
    <w:rsid w:val="00AF51F7"/>
    <w:rsid w:val="00AF6448"/>
    <w:rsid w:val="00AF7CB5"/>
    <w:rsid w:val="00B00E09"/>
    <w:rsid w:val="00B04091"/>
    <w:rsid w:val="00B06823"/>
    <w:rsid w:val="00B11714"/>
    <w:rsid w:val="00B14F4B"/>
    <w:rsid w:val="00B200C8"/>
    <w:rsid w:val="00B20394"/>
    <w:rsid w:val="00B230E1"/>
    <w:rsid w:val="00B24932"/>
    <w:rsid w:val="00B3557F"/>
    <w:rsid w:val="00B42B1F"/>
    <w:rsid w:val="00B432DE"/>
    <w:rsid w:val="00B54505"/>
    <w:rsid w:val="00B57E35"/>
    <w:rsid w:val="00B670B5"/>
    <w:rsid w:val="00B76BFF"/>
    <w:rsid w:val="00B80928"/>
    <w:rsid w:val="00B82082"/>
    <w:rsid w:val="00B84FC6"/>
    <w:rsid w:val="00B8508C"/>
    <w:rsid w:val="00B87F5F"/>
    <w:rsid w:val="00B91113"/>
    <w:rsid w:val="00B92BB9"/>
    <w:rsid w:val="00BA1001"/>
    <w:rsid w:val="00BA2090"/>
    <w:rsid w:val="00BA2424"/>
    <w:rsid w:val="00BA429A"/>
    <w:rsid w:val="00BB4FD0"/>
    <w:rsid w:val="00BC233F"/>
    <w:rsid w:val="00BD5E17"/>
    <w:rsid w:val="00BE6750"/>
    <w:rsid w:val="00BE6BC2"/>
    <w:rsid w:val="00BF437C"/>
    <w:rsid w:val="00BF602E"/>
    <w:rsid w:val="00BF63ED"/>
    <w:rsid w:val="00C1150F"/>
    <w:rsid w:val="00C13470"/>
    <w:rsid w:val="00C17F5E"/>
    <w:rsid w:val="00C22823"/>
    <w:rsid w:val="00C243C9"/>
    <w:rsid w:val="00C30A89"/>
    <w:rsid w:val="00C33ECE"/>
    <w:rsid w:val="00C43339"/>
    <w:rsid w:val="00C45AE0"/>
    <w:rsid w:val="00C521EC"/>
    <w:rsid w:val="00C60965"/>
    <w:rsid w:val="00C61193"/>
    <w:rsid w:val="00C62286"/>
    <w:rsid w:val="00C639EA"/>
    <w:rsid w:val="00C65B0B"/>
    <w:rsid w:val="00C728EF"/>
    <w:rsid w:val="00C75376"/>
    <w:rsid w:val="00C82596"/>
    <w:rsid w:val="00C82B61"/>
    <w:rsid w:val="00C85B91"/>
    <w:rsid w:val="00C869BE"/>
    <w:rsid w:val="00C87B34"/>
    <w:rsid w:val="00C940A9"/>
    <w:rsid w:val="00CA4827"/>
    <w:rsid w:val="00CA7505"/>
    <w:rsid w:val="00CB597B"/>
    <w:rsid w:val="00CB6573"/>
    <w:rsid w:val="00CC0F07"/>
    <w:rsid w:val="00CC3BD2"/>
    <w:rsid w:val="00CC57CC"/>
    <w:rsid w:val="00CC61C5"/>
    <w:rsid w:val="00CC6377"/>
    <w:rsid w:val="00CD0B46"/>
    <w:rsid w:val="00CD259E"/>
    <w:rsid w:val="00CE48F1"/>
    <w:rsid w:val="00CF1245"/>
    <w:rsid w:val="00CF1604"/>
    <w:rsid w:val="00D034D5"/>
    <w:rsid w:val="00D1351A"/>
    <w:rsid w:val="00D23AD9"/>
    <w:rsid w:val="00D331C8"/>
    <w:rsid w:val="00D350C5"/>
    <w:rsid w:val="00D352CD"/>
    <w:rsid w:val="00D37C5A"/>
    <w:rsid w:val="00D412C1"/>
    <w:rsid w:val="00D428B2"/>
    <w:rsid w:val="00D42ADB"/>
    <w:rsid w:val="00D454B4"/>
    <w:rsid w:val="00D456DB"/>
    <w:rsid w:val="00D63331"/>
    <w:rsid w:val="00D63F7E"/>
    <w:rsid w:val="00D714E3"/>
    <w:rsid w:val="00D75394"/>
    <w:rsid w:val="00D76468"/>
    <w:rsid w:val="00D808A2"/>
    <w:rsid w:val="00D81521"/>
    <w:rsid w:val="00D84E70"/>
    <w:rsid w:val="00D956F0"/>
    <w:rsid w:val="00D96023"/>
    <w:rsid w:val="00DA6781"/>
    <w:rsid w:val="00DB7453"/>
    <w:rsid w:val="00DC2E3C"/>
    <w:rsid w:val="00DC7F54"/>
    <w:rsid w:val="00DD3E4D"/>
    <w:rsid w:val="00DD4271"/>
    <w:rsid w:val="00DD5900"/>
    <w:rsid w:val="00DF001F"/>
    <w:rsid w:val="00DF270C"/>
    <w:rsid w:val="00DF76B0"/>
    <w:rsid w:val="00E000E8"/>
    <w:rsid w:val="00E00ADA"/>
    <w:rsid w:val="00E01087"/>
    <w:rsid w:val="00E04E7D"/>
    <w:rsid w:val="00E0768D"/>
    <w:rsid w:val="00E16DB1"/>
    <w:rsid w:val="00E212F4"/>
    <w:rsid w:val="00E217B9"/>
    <w:rsid w:val="00E24635"/>
    <w:rsid w:val="00E34F73"/>
    <w:rsid w:val="00E4528C"/>
    <w:rsid w:val="00E509EF"/>
    <w:rsid w:val="00E64463"/>
    <w:rsid w:val="00E66088"/>
    <w:rsid w:val="00E702C5"/>
    <w:rsid w:val="00E706A1"/>
    <w:rsid w:val="00E707A5"/>
    <w:rsid w:val="00E755FF"/>
    <w:rsid w:val="00E762A5"/>
    <w:rsid w:val="00E76A91"/>
    <w:rsid w:val="00E90986"/>
    <w:rsid w:val="00E95C4C"/>
    <w:rsid w:val="00EA0CAF"/>
    <w:rsid w:val="00EA580C"/>
    <w:rsid w:val="00EB6076"/>
    <w:rsid w:val="00EC1FE2"/>
    <w:rsid w:val="00ED1BAB"/>
    <w:rsid w:val="00ED33AD"/>
    <w:rsid w:val="00ED4240"/>
    <w:rsid w:val="00ED5CC1"/>
    <w:rsid w:val="00ED5CF0"/>
    <w:rsid w:val="00EE4CC1"/>
    <w:rsid w:val="00EE4DA1"/>
    <w:rsid w:val="00EE6E00"/>
    <w:rsid w:val="00EF7242"/>
    <w:rsid w:val="00F005AA"/>
    <w:rsid w:val="00F01EEE"/>
    <w:rsid w:val="00F04133"/>
    <w:rsid w:val="00F05728"/>
    <w:rsid w:val="00F22F3D"/>
    <w:rsid w:val="00F26820"/>
    <w:rsid w:val="00F26F6C"/>
    <w:rsid w:val="00F32F04"/>
    <w:rsid w:val="00F35C92"/>
    <w:rsid w:val="00F47272"/>
    <w:rsid w:val="00F47293"/>
    <w:rsid w:val="00F50014"/>
    <w:rsid w:val="00F51CD5"/>
    <w:rsid w:val="00F5675A"/>
    <w:rsid w:val="00F61740"/>
    <w:rsid w:val="00F62C5C"/>
    <w:rsid w:val="00F66D4B"/>
    <w:rsid w:val="00F71A55"/>
    <w:rsid w:val="00F71EC5"/>
    <w:rsid w:val="00F8582A"/>
    <w:rsid w:val="00F91D15"/>
    <w:rsid w:val="00FA21D8"/>
    <w:rsid w:val="00FA6084"/>
    <w:rsid w:val="00FB0BFB"/>
    <w:rsid w:val="00FB0D48"/>
    <w:rsid w:val="00FB2540"/>
    <w:rsid w:val="00FB4BC7"/>
    <w:rsid w:val="00FC6370"/>
    <w:rsid w:val="00FD33BF"/>
    <w:rsid w:val="00FE59A6"/>
    <w:rsid w:val="00FE6577"/>
    <w:rsid w:val="00FF1726"/>
    <w:rsid w:val="00FF4EC8"/>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92162"/>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SimSun"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annotation reference" w:uiPriority="0"/>
    <w:lsdException w:name="page number" w:uiPriority="0"/>
    <w:lsdException w:name="endnote reference" w:uiPriority="0"/>
    <w:lsdException w:name="endnote tex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FollowedHyperlink" w:uiPriority="0"/>
    <w:lsdException w:name="Strong" w:semiHidden="0" w:uiPriority="22" w:unhideWhenUsed="0" w:qFormat="1"/>
    <w:lsdException w:name="Emphasis" w:semiHidden="0" w:uiPriority="20" w:unhideWhenUsed="0" w:qFormat="1"/>
    <w:lsdException w:name="annotation subjec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F04133"/>
    <w:pPr>
      <w:spacing w:line="260" w:lineRule="atLeast"/>
      <w:jc w:val="both"/>
    </w:pPr>
    <w:rPr>
      <w:rFonts w:ascii="Palatino Linotype" w:hAnsi="Palatino Linotype"/>
      <w:noProof/>
      <w:color w:val="00000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MDPI11articletype">
    <w:name w:val="MDPI_1.1_article_type"/>
    <w:next w:val="Normale"/>
    <w:qFormat/>
    <w:rsid w:val="00522304"/>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Normale"/>
    <w:qFormat/>
    <w:rsid w:val="00522304"/>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Normale"/>
    <w:qFormat/>
    <w:rsid w:val="00522304"/>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Normale"/>
    <w:next w:val="Normale"/>
    <w:qFormat/>
    <w:rsid w:val="00522304"/>
    <w:pPr>
      <w:adjustRightInd w:val="0"/>
      <w:snapToGrid w:val="0"/>
      <w:spacing w:line="240" w:lineRule="atLeast"/>
      <w:ind w:right="113"/>
      <w:jc w:val="left"/>
    </w:pPr>
    <w:rPr>
      <w:rFonts w:eastAsia="Times New Roman"/>
      <w:noProof w:val="0"/>
      <w:sz w:val="14"/>
      <w:lang w:eastAsia="de-DE" w:bidi="en-US"/>
    </w:rPr>
  </w:style>
  <w:style w:type="paragraph" w:customStyle="1" w:styleId="MDPI16affiliation">
    <w:name w:val="MDPI_1.6_affiliation"/>
    <w:qFormat/>
    <w:rsid w:val="00522304"/>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Normale"/>
    <w:qFormat/>
    <w:rsid w:val="00522304"/>
    <w:pPr>
      <w:adjustRightInd w:val="0"/>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Normale"/>
    <w:qFormat/>
    <w:rsid w:val="00522304"/>
    <w:pPr>
      <w:adjustRightInd w:val="0"/>
      <w:snapToGrid w:val="0"/>
      <w:spacing w:before="240" w:line="260" w:lineRule="atLeast"/>
      <w:ind w:left="2608"/>
      <w:jc w:val="both"/>
    </w:pPr>
    <w:rPr>
      <w:rFonts w:ascii="Palatino Linotype" w:eastAsia="Times New Roman" w:hAnsi="Palatino Linotype"/>
      <w:snapToGrid w:val="0"/>
      <w:color w:val="000000"/>
      <w:sz w:val="18"/>
      <w:szCs w:val="22"/>
      <w:lang w:eastAsia="de-DE" w:bidi="en-US"/>
    </w:rPr>
  </w:style>
  <w:style w:type="paragraph" w:customStyle="1" w:styleId="MDPI19line">
    <w:name w:val="MDPI_1.9_line"/>
    <w:qFormat/>
    <w:rsid w:val="00522304"/>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eastAsia="de-DE" w:bidi="en-US"/>
    </w:rPr>
  </w:style>
  <w:style w:type="table" w:customStyle="1" w:styleId="Mdeck5tablebodythreelines">
    <w:name w:val="M_deck_5_table_body_three_lines"/>
    <w:basedOn w:val="Tabellanormale"/>
    <w:uiPriority w:val="99"/>
    <w:rsid w:val="0046726B"/>
    <w:pPr>
      <w:adjustRightInd w:val="0"/>
      <w:snapToGrid w:val="0"/>
      <w:spacing w:line="300" w:lineRule="exact"/>
      <w:jc w:val="center"/>
    </w:pPr>
    <w:rPr>
      <w:rFonts w:ascii="Times New Roman" w:hAnsi="Times New Roman"/>
      <w:lang w:val="de-DE" w:eastAsia="de-DE"/>
    </w:rPr>
    <w:tblPr>
      <w:jc w:val="center"/>
      <w:tblInd w:w="0" w:type="dxa"/>
      <w:tblBorders>
        <w:bottom w:val="single" w:sz="8" w:space="0" w:color="auto"/>
      </w:tblBorders>
      <w:tblCellMar>
        <w:top w:w="0" w:type="dxa"/>
        <w:left w:w="108" w:type="dxa"/>
        <w:bottom w:w="0" w:type="dxa"/>
        <w:right w:w="108" w:type="dxa"/>
      </w:tblCellMar>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Grigliatabella">
    <w:name w:val="Table Grid"/>
    <w:basedOn w:val="Tabellanormale"/>
    <w:uiPriority w:val="59"/>
    <w:rsid w:val="00522304"/>
    <w:pPr>
      <w:spacing w:line="260" w:lineRule="atLeast"/>
      <w:jc w:val="both"/>
    </w:pPr>
    <w:rPr>
      <w:rFonts w:ascii="Palatino Linotype" w:hAnsi="Palatino Linotype"/>
      <w:color w:val="00000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idipagina">
    <w:name w:val="footer"/>
    <w:basedOn w:val="Normale"/>
    <w:link w:val="PidipaginaCarattere"/>
    <w:uiPriority w:val="99"/>
    <w:rsid w:val="00522304"/>
    <w:pPr>
      <w:tabs>
        <w:tab w:val="center" w:pos="4153"/>
        <w:tab w:val="right" w:pos="8306"/>
      </w:tabs>
      <w:snapToGrid w:val="0"/>
      <w:spacing w:line="240" w:lineRule="atLeast"/>
    </w:pPr>
    <w:rPr>
      <w:szCs w:val="18"/>
    </w:rPr>
  </w:style>
  <w:style w:type="character" w:customStyle="1" w:styleId="PidipaginaCarattere">
    <w:name w:val="Piè di pagina Carattere"/>
    <w:link w:val="Pidipagina"/>
    <w:uiPriority w:val="99"/>
    <w:rsid w:val="00522304"/>
    <w:rPr>
      <w:rFonts w:ascii="Palatino Linotype" w:hAnsi="Palatino Linotype"/>
      <w:noProof/>
      <w:color w:val="000000"/>
      <w:szCs w:val="18"/>
    </w:rPr>
  </w:style>
  <w:style w:type="paragraph" w:styleId="Intestazione">
    <w:name w:val="header"/>
    <w:basedOn w:val="Normale"/>
    <w:link w:val="IntestazioneCarattere"/>
    <w:uiPriority w:val="99"/>
    <w:rsid w:val="00522304"/>
    <w:pPr>
      <w:pBdr>
        <w:bottom w:val="single" w:sz="6" w:space="1" w:color="auto"/>
      </w:pBdr>
      <w:tabs>
        <w:tab w:val="center" w:pos="4153"/>
        <w:tab w:val="right" w:pos="8306"/>
      </w:tabs>
      <w:snapToGrid w:val="0"/>
      <w:spacing w:line="240" w:lineRule="atLeast"/>
      <w:jc w:val="center"/>
    </w:pPr>
    <w:rPr>
      <w:szCs w:val="18"/>
    </w:rPr>
  </w:style>
  <w:style w:type="character" w:customStyle="1" w:styleId="IntestazioneCarattere">
    <w:name w:val="Intestazione Carattere"/>
    <w:link w:val="Intestazione"/>
    <w:uiPriority w:val="99"/>
    <w:rsid w:val="00522304"/>
    <w:rPr>
      <w:rFonts w:ascii="Palatino Linotype" w:hAnsi="Palatino Linotype"/>
      <w:noProof/>
      <w:color w:val="000000"/>
      <w:szCs w:val="18"/>
    </w:rPr>
  </w:style>
  <w:style w:type="paragraph" w:customStyle="1" w:styleId="MDPIheaderjournallogo">
    <w:name w:val="MDPI_header_journal_logo"/>
    <w:qFormat/>
    <w:rsid w:val="00522304"/>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522304"/>
    <w:pPr>
      <w:ind w:firstLine="0"/>
    </w:pPr>
  </w:style>
  <w:style w:type="paragraph" w:customStyle="1" w:styleId="MDPI31text">
    <w:name w:val="MDPI_3.1_text"/>
    <w:qFormat/>
    <w:rsid w:val="00322BD2"/>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522304"/>
    <w:pPr>
      <w:adjustRightInd w:val="0"/>
      <w:snapToGrid w:val="0"/>
      <w:spacing w:after="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4textspacebefore">
    <w:name w:val="MDPI_3.4_text_space_before"/>
    <w:qFormat/>
    <w:rsid w:val="00522304"/>
    <w:pPr>
      <w:adjustRightInd w:val="0"/>
      <w:snapToGrid w:val="0"/>
      <w:spacing w:before="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522304"/>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522304"/>
    <w:pPr>
      <w:adjustRightInd w:val="0"/>
      <w:snapToGrid w:val="0"/>
      <w:spacing w:before="12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510707"/>
    <w:pPr>
      <w:numPr>
        <w:numId w:val="22"/>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rsid w:val="00510707"/>
    <w:pPr>
      <w:numPr>
        <w:numId w:val="20"/>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rsid w:val="00522304"/>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522304"/>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tablecaption">
    <w:name w:val="MDPI_4.1_table_caption"/>
    <w:qFormat/>
    <w:rsid w:val="00522304"/>
    <w:pPr>
      <w:adjustRightInd w:val="0"/>
      <w:snapToGrid w:val="0"/>
      <w:spacing w:before="240" w:after="120"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42tablebody">
    <w:name w:val="MDPI_4.2_table_body"/>
    <w:qFormat/>
    <w:rsid w:val="007D1435"/>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rsid w:val="00522304"/>
    <w:pPr>
      <w:adjustRightInd w:val="0"/>
      <w:snapToGrid w:val="0"/>
      <w:spacing w:line="228" w:lineRule="auto"/>
      <w:ind w:left="2608"/>
      <w:jc w:val="both"/>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qFormat/>
    <w:rsid w:val="00522304"/>
    <w:pPr>
      <w:adjustRightInd w:val="0"/>
      <w:snapToGrid w:val="0"/>
      <w:spacing w:before="120" w:after="240" w:line="228" w:lineRule="auto"/>
      <w:ind w:left="2608"/>
      <w:jc w:val="both"/>
    </w:pPr>
    <w:rPr>
      <w:rFonts w:ascii="Palatino Linotype" w:eastAsia="Times New Roman" w:hAnsi="Palatino Linotype"/>
      <w:color w:val="000000"/>
      <w:sz w:val="18"/>
      <w:lang w:eastAsia="de-DE" w:bidi="en-US"/>
    </w:rPr>
  </w:style>
  <w:style w:type="paragraph" w:customStyle="1" w:styleId="MDPI52figure">
    <w:name w:val="MDPI_5.2_figure"/>
    <w:qFormat/>
    <w:rsid w:val="00522304"/>
    <w:pPr>
      <w:adjustRightInd w:val="0"/>
      <w:snapToGrid w:val="0"/>
      <w:spacing w:before="240" w:after="120"/>
      <w:jc w:val="center"/>
    </w:pPr>
    <w:rPr>
      <w:rFonts w:ascii="Palatino Linotype" w:eastAsia="Times New Roman" w:hAnsi="Palatino Linotype"/>
      <w:snapToGrid w:val="0"/>
      <w:color w:val="000000"/>
      <w:lang w:eastAsia="de-DE" w:bidi="en-US"/>
    </w:rPr>
  </w:style>
  <w:style w:type="paragraph" w:customStyle="1" w:styleId="MDPI81theorem">
    <w:name w:val="MDPI_8.1_theorem"/>
    <w:qFormat/>
    <w:rsid w:val="00522304"/>
    <w:pPr>
      <w:adjustRightInd w:val="0"/>
      <w:snapToGrid w:val="0"/>
      <w:spacing w:line="228" w:lineRule="auto"/>
      <w:ind w:left="2608"/>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522304"/>
    <w:pPr>
      <w:adjustRightInd w:val="0"/>
      <w:snapToGrid w:val="0"/>
      <w:spacing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footerfirstpage">
    <w:name w:val="MDPI_footer_firstpage"/>
    <w:qFormat/>
    <w:rsid w:val="00522304"/>
    <w:pPr>
      <w:tabs>
        <w:tab w:val="right" w:pos="8845"/>
      </w:tabs>
      <w:spacing w:line="160" w:lineRule="exact"/>
    </w:pPr>
    <w:rPr>
      <w:rFonts w:ascii="Palatino Linotype" w:eastAsia="Times New Roman" w:hAnsi="Palatino Linotype"/>
      <w:color w:val="000000"/>
      <w:sz w:val="16"/>
      <w:lang w:eastAsia="de-DE"/>
    </w:rPr>
  </w:style>
  <w:style w:type="paragraph" w:customStyle="1" w:styleId="MDPI23heading3">
    <w:name w:val="MDPI_2.3_heading3"/>
    <w:qFormat/>
    <w:rsid w:val="00522304"/>
    <w:pPr>
      <w:adjustRightInd w:val="0"/>
      <w:snapToGrid w:val="0"/>
      <w:spacing w:before="60" w:after="60" w:line="228" w:lineRule="auto"/>
      <w:ind w:left="2608"/>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qFormat/>
    <w:rsid w:val="00522304"/>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rsid w:val="00522304"/>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eastAsia="de-DE" w:bidi="en-US"/>
    </w:rPr>
  </w:style>
  <w:style w:type="paragraph" w:customStyle="1" w:styleId="MDPI71References">
    <w:name w:val="MDPI_7.1_References"/>
    <w:qFormat/>
    <w:rsid w:val="00187A46"/>
    <w:pPr>
      <w:numPr>
        <w:numId w:val="23"/>
      </w:numPr>
      <w:adjustRightInd w:val="0"/>
      <w:snapToGrid w:val="0"/>
      <w:spacing w:line="228" w:lineRule="auto"/>
      <w:jc w:val="both"/>
    </w:pPr>
    <w:rPr>
      <w:rFonts w:ascii="Palatino Linotype" w:eastAsia="Times New Roman" w:hAnsi="Palatino Linotype"/>
      <w:color w:val="000000"/>
      <w:sz w:val="18"/>
      <w:lang w:eastAsia="de-DE" w:bidi="en-US"/>
    </w:rPr>
  </w:style>
  <w:style w:type="paragraph" w:styleId="Testofumetto">
    <w:name w:val="Balloon Text"/>
    <w:basedOn w:val="Normale"/>
    <w:link w:val="TestofumettoCarattere"/>
    <w:uiPriority w:val="99"/>
    <w:rsid w:val="00522304"/>
    <w:rPr>
      <w:rFonts w:cs="Tahoma"/>
      <w:szCs w:val="18"/>
    </w:rPr>
  </w:style>
  <w:style w:type="character" w:customStyle="1" w:styleId="TestofumettoCarattere">
    <w:name w:val="Testo fumetto Carattere"/>
    <w:link w:val="Testofumetto"/>
    <w:uiPriority w:val="99"/>
    <w:rsid w:val="00522304"/>
    <w:rPr>
      <w:rFonts w:ascii="Palatino Linotype" w:hAnsi="Palatino Linotype" w:cs="Tahoma"/>
      <w:noProof/>
      <w:color w:val="000000"/>
      <w:szCs w:val="18"/>
    </w:rPr>
  </w:style>
  <w:style w:type="character" w:styleId="Numeroriga">
    <w:name w:val="line number"/>
    <w:uiPriority w:val="99"/>
    <w:rsid w:val="00284BEB"/>
    <w:rPr>
      <w:rFonts w:ascii="Palatino Linotype" w:hAnsi="Palatino Linotype"/>
      <w:sz w:val="16"/>
    </w:rPr>
  </w:style>
  <w:style w:type="table" w:customStyle="1" w:styleId="MDPI41threelinetable">
    <w:name w:val="MDPI_4.1_three_line_table"/>
    <w:basedOn w:val="Tabellanormale"/>
    <w:uiPriority w:val="99"/>
    <w:rsid w:val="00522304"/>
    <w:pPr>
      <w:adjustRightInd w:val="0"/>
      <w:snapToGrid w:val="0"/>
      <w:jc w:val="center"/>
    </w:pPr>
    <w:rPr>
      <w:rFonts w:ascii="Palatino Linotype" w:hAnsi="Palatino Linotype"/>
      <w:color w:val="000000"/>
    </w:rPr>
    <w:tblPr>
      <w:jc w:val="center"/>
      <w:tblInd w:w="0" w:type="dxa"/>
      <w:tblBorders>
        <w:top w:val="single" w:sz="8" w:space="0" w:color="auto"/>
        <w:bottom w:val="single" w:sz="8" w:space="0" w:color="auto"/>
      </w:tblBorders>
      <w:tblCellMar>
        <w:top w:w="0" w:type="dxa"/>
        <w:left w:w="108" w:type="dxa"/>
        <w:bottom w:w="0" w:type="dxa"/>
        <w:right w:w="108" w:type="dxa"/>
      </w:tblCellMar>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Collegamentoipertestuale">
    <w:name w:val="Hyperlink"/>
    <w:uiPriority w:val="99"/>
    <w:rsid w:val="00522304"/>
    <w:rPr>
      <w:color w:val="0000FF"/>
      <w:u w:val="single"/>
    </w:rPr>
  </w:style>
  <w:style w:type="character" w:customStyle="1" w:styleId="UnresolvedMention">
    <w:name w:val="Unresolved Mention"/>
    <w:uiPriority w:val="99"/>
    <w:semiHidden/>
    <w:unhideWhenUsed/>
    <w:rsid w:val="00C243C9"/>
    <w:rPr>
      <w:color w:val="605E5C"/>
      <w:shd w:val="clear" w:color="auto" w:fill="E1DFDD"/>
    </w:rPr>
  </w:style>
  <w:style w:type="table" w:customStyle="1" w:styleId="PlainTable4">
    <w:name w:val="Plain Table 4"/>
    <w:basedOn w:val="Tabellanormale"/>
    <w:uiPriority w:val="44"/>
    <w:rsid w:val="00AE348C"/>
    <w:tblPr>
      <w:tblStyleRowBandSize w:val="1"/>
      <w:tblStyleColBandSize w:val="1"/>
      <w:tblInd w:w="0" w:type="dxa"/>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61Citation">
    <w:name w:val="MDPI_6.1_Citation"/>
    <w:qFormat/>
    <w:rsid w:val="00522304"/>
    <w:pPr>
      <w:adjustRightInd w:val="0"/>
      <w:snapToGrid w:val="0"/>
      <w:spacing w:line="240" w:lineRule="atLeast"/>
      <w:ind w:right="113"/>
    </w:pPr>
    <w:rPr>
      <w:rFonts w:ascii="Palatino Linotype" w:hAnsi="Palatino Linotype" w:cs="Cordia New"/>
      <w:sz w:val="14"/>
      <w:szCs w:val="22"/>
    </w:rPr>
  </w:style>
  <w:style w:type="paragraph" w:customStyle="1" w:styleId="MDPI62BackMatter">
    <w:name w:val="MDPI_6.2_BackMatter"/>
    <w:qFormat/>
    <w:rsid w:val="00522304"/>
    <w:pPr>
      <w:adjustRightInd w:val="0"/>
      <w:snapToGrid w:val="0"/>
      <w:spacing w:after="120" w:line="228" w:lineRule="auto"/>
      <w:ind w:left="2608"/>
      <w:jc w:val="both"/>
    </w:pPr>
    <w:rPr>
      <w:rFonts w:ascii="Palatino Linotype" w:eastAsia="Times New Roman" w:hAnsi="Palatino Linotype"/>
      <w:snapToGrid w:val="0"/>
      <w:color w:val="000000"/>
      <w:sz w:val="18"/>
      <w:lang w:eastAsia="en-US" w:bidi="en-US"/>
    </w:rPr>
  </w:style>
  <w:style w:type="paragraph" w:customStyle="1" w:styleId="MDPI63Notes">
    <w:name w:val="MDPI_6.3_Notes"/>
    <w:qFormat/>
    <w:rsid w:val="00522304"/>
    <w:pPr>
      <w:adjustRightInd w:val="0"/>
      <w:snapToGrid w:val="0"/>
      <w:spacing w:before="240" w:line="228" w:lineRule="auto"/>
      <w:jc w:val="both"/>
    </w:pPr>
    <w:rPr>
      <w:rFonts w:ascii="Palatino Linotype" w:hAnsi="Palatino Linotype"/>
      <w:snapToGrid w:val="0"/>
      <w:color w:val="000000"/>
      <w:sz w:val="18"/>
      <w:lang w:eastAsia="en-US" w:bidi="en-US"/>
    </w:rPr>
  </w:style>
  <w:style w:type="paragraph" w:customStyle="1" w:styleId="MDPI15academiceditor">
    <w:name w:val="MDPI_1.5_academic_editor"/>
    <w:qFormat/>
    <w:rsid w:val="0006442A"/>
    <w:pPr>
      <w:adjustRightInd w:val="0"/>
      <w:snapToGrid w:val="0"/>
      <w:spacing w:before="12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rsid w:val="00522304"/>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522304"/>
    <w:pPr>
      <w:adjustRightInd w:val="0"/>
      <w:snapToGrid w:val="0"/>
      <w:spacing w:before="240" w:after="120" w:line="260" w:lineRule="atLeast"/>
      <w:jc w:val="center"/>
    </w:pPr>
    <w:rPr>
      <w:rFonts w:ascii="Palatino Linotype" w:hAnsi="Palatino Linotype" w:cs="Cordia New"/>
      <w:noProof/>
      <w:color w:val="000000"/>
      <w:sz w:val="18"/>
      <w:szCs w:val="22"/>
      <w:lang w:bidi="en-US"/>
    </w:rPr>
  </w:style>
  <w:style w:type="paragraph" w:customStyle="1" w:styleId="MDPI511onefigurecaption">
    <w:name w:val="MDPI_5.1.1_one_figure_caption"/>
    <w:qFormat/>
    <w:rsid w:val="00522304"/>
    <w:pPr>
      <w:adjustRightInd w:val="0"/>
      <w:snapToGrid w:val="0"/>
      <w:spacing w:before="240" w:after="120" w:line="260" w:lineRule="atLeast"/>
      <w:jc w:val="center"/>
    </w:pPr>
    <w:rPr>
      <w:rFonts w:ascii="Palatino Linotype" w:hAnsi="Palatino Linotype"/>
      <w:noProof/>
      <w:color w:val="000000"/>
      <w:sz w:val="18"/>
      <w:lang w:bidi="en-US"/>
    </w:rPr>
  </w:style>
  <w:style w:type="paragraph" w:customStyle="1" w:styleId="MDPI72Copyright">
    <w:name w:val="MDPI_7.2_Copyright"/>
    <w:qFormat/>
    <w:rsid w:val="0028726C"/>
    <w:pPr>
      <w:adjustRightInd w:val="0"/>
      <w:snapToGrid w:val="0"/>
      <w:spacing w:before="60" w:line="240" w:lineRule="atLeast"/>
      <w:ind w:right="113"/>
      <w:jc w:val="both"/>
    </w:pPr>
    <w:rPr>
      <w:rFonts w:ascii="Palatino Linotype" w:eastAsia="Times New Roman" w:hAnsi="Palatino Linotype"/>
      <w:noProof/>
      <w:snapToGrid w:val="0"/>
      <w:color w:val="000000"/>
      <w:sz w:val="14"/>
      <w:lang w:val="en-GB" w:eastAsia="en-GB"/>
    </w:rPr>
  </w:style>
  <w:style w:type="paragraph" w:customStyle="1" w:styleId="MDPI73CopyrightImage">
    <w:name w:val="MDPI_7.3_CopyrightImage"/>
    <w:rsid w:val="00522304"/>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522304"/>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522304"/>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header">
    <w:name w:val="MDPI_header"/>
    <w:qFormat/>
    <w:rsid w:val="00522304"/>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522304"/>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rsid w:val="00522304"/>
    <w:pPr>
      <w:adjustRightInd w:val="0"/>
      <w:snapToGrid w:val="0"/>
      <w:spacing w:line="260" w:lineRule="atLeast"/>
      <w:jc w:val="right"/>
    </w:pPr>
    <w:rPr>
      <w:rFonts w:ascii="Palatino Linotype" w:eastAsia="Times New Roman" w:hAnsi="Palatino Linotype"/>
      <w:color w:val="000000"/>
      <w:sz w:val="24"/>
      <w:szCs w:val="22"/>
      <w:lang w:eastAsia="de-CH"/>
    </w:rPr>
  </w:style>
  <w:style w:type="table" w:customStyle="1" w:styleId="MDPITable">
    <w:name w:val="MDPI_Table"/>
    <w:basedOn w:val="Tabellanormale"/>
    <w:uiPriority w:val="99"/>
    <w:rsid w:val="00522304"/>
    <w:rPr>
      <w:rFonts w:ascii="Palatino Linotype" w:hAnsi="Palatino Linotype"/>
      <w:color w:val="000000"/>
      <w:lang w:val="en-CA" w:eastAsia="en-US"/>
    </w:rPr>
    <w:tblPr>
      <w:tblInd w:w="0" w:type="dxa"/>
      <w:tblCellMar>
        <w:top w:w="0" w:type="dxa"/>
        <w:left w:w="0" w:type="dxa"/>
        <w:bottom w:w="0" w:type="dxa"/>
        <w:right w:w="0" w:type="dxa"/>
      </w:tblCellMar>
    </w:tblPr>
  </w:style>
  <w:style w:type="paragraph" w:customStyle="1" w:styleId="MDPItext">
    <w:name w:val="MDPI_text"/>
    <w:qFormat/>
    <w:rsid w:val="00522304"/>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522304"/>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customStyle="1" w:styleId="apple-converted-space">
    <w:name w:val="apple-converted-space"/>
    <w:rsid w:val="00522304"/>
  </w:style>
  <w:style w:type="paragraph" w:styleId="Bibliografia">
    <w:name w:val="Bibliography"/>
    <w:basedOn w:val="Normale"/>
    <w:next w:val="Normale"/>
    <w:uiPriority w:val="37"/>
    <w:semiHidden/>
    <w:unhideWhenUsed/>
    <w:rsid w:val="00522304"/>
  </w:style>
  <w:style w:type="paragraph" w:styleId="Corpodeltesto">
    <w:name w:val="Body Text"/>
    <w:link w:val="CorpodeltestoCarattere"/>
    <w:rsid w:val="00522304"/>
    <w:pPr>
      <w:spacing w:after="120" w:line="340" w:lineRule="atLeast"/>
      <w:jc w:val="both"/>
    </w:pPr>
    <w:rPr>
      <w:rFonts w:ascii="Palatino Linotype" w:hAnsi="Palatino Linotype"/>
      <w:color w:val="000000"/>
      <w:sz w:val="24"/>
      <w:lang w:eastAsia="de-DE"/>
    </w:rPr>
  </w:style>
  <w:style w:type="character" w:customStyle="1" w:styleId="CorpodeltestoCarattere">
    <w:name w:val="Corpo del testo Carattere"/>
    <w:link w:val="Corpodeltesto"/>
    <w:rsid w:val="00522304"/>
    <w:rPr>
      <w:rFonts w:ascii="Palatino Linotype" w:hAnsi="Palatino Linotype"/>
      <w:color w:val="000000"/>
      <w:sz w:val="24"/>
      <w:lang w:eastAsia="de-DE"/>
    </w:rPr>
  </w:style>
  <w:style w:type="character" w:styleId="Rimandocommento">
    <w:name w:val="annotation reference"/>
    <w:rsid w:val="00522304"/>
    <w:rPr>
      <w:sz w:val="21"/>
      <w:szCs w:val="21"/>
    </w:rPr>
  </w:style>
  <w:style w:type="paragraph" w:styleId="Testocommento">
    <w:name w:val="annotation text"/>
    <w:basedOn w:val="Normale"/>
    <w:link w:val="TestocommentoCarattere"/>
    <w:rsid w:val="00522304"/>
  </w:style>
  <w:style w:type="character" w:customStyle="1" w:styleId="TestocommentoCarattere">
    <w:name w:val="Testo commento Carattere"/>
    <w:link w:val="Testocommento"/>
    <w:rsid w:val="00522304"/>
    <w:rPr>
      <w:rFonts w:ascii="Palatino Linotype" w:hAnsi="Palatino Linotype"/>
      <w:noProof/>
      <w:color w:val="000000"/>
    </w:rPr>
  </w:style>
  <w:style w:type="paragraph" w:styleId="Soggettocommento">
    <w:name w:val="annotation subject"/>
    <w:basedOn w:val="Testocommento"/>
    <w:next w:val="Testocommento"/>
    <w:link w:val="SoggettocommentoCarattere"/>
    <w:rsid w:val="00522304"/>
    <w:rPr>
      <w:b/>
      <w:bCs/>
    </w:rPr>
  </w:style>
  <w:style w:type="character" w:customStyle="1" w:styleId="SoggettocommentoCarattere">
    <w:name w:val="Soggetto commento Carattere"/>
    <w:link w:val="Soggettocommento"/>
    <w:rsid w:val="00522304"/>
    <w:rPr>
      <w:rFonts w:ascii="Palatino Linotype" w:hAnsi="Palatino Linotype"/>
      <w:b/>
      <w:bCs/>
      <w:noProof/>
      <w:color w:val="000000"/>
    </w:rPr>
  </w:style>
  <w:style w:type="character" w:styleId="Rimandonotadichiusura">
    <w:name w:val="endnote reference"/>
    <w:rsid w:val="00522304"/>
    <w:rPr>
      <w:vertAlign w:val="superscript"/>
    </w:rPr>
  </w:style>
  <w:style w:type="paragraph" w:styleId="Testonotadichiusura">
    <w:name w:val="endnote text"/>
    <w:basedOn w:val="Normale"/>
    <w:link w:val="TestonotadichiusuraCarattere"/>
    <w:semiHidden/>
    <w:unhideWhenUsed/>
    <w:rsid w:val="00522304"/>
    <w:pPr>
      <w:spacing w:line="240" w:lineRule="auto"/>
    </w:pPr>
  </w:style>
  <w:style w:type="character" w:customStyle="1" w:styleId="TestonotadichiusuraCarattere">
    <w:name w:val="Testo nota di chiusura Carattere"/>
    <w:link w:val="Testonotadichiusura"/>
    <w:semiHidden/>
    <w:rsid w:val="00522304"/>
    <w:rPr>
      <w:rFonts w:ascii="Palatino Linotype" w:hAnsi="Palatino Linotype"/>
      <w:noProof/>
      <w:color w:val="000000"/>
    </w:rPr>
  </w:style>
  <w:style w:type="character" w:styleId="Collegamentovisitato">
    <w:name w:val="FollowedHyperlink"/>
    <w:rsid w:val="00522304"/>
    <w:rPr>
      <w:color w:val="954F72"/>
      <w:u w:val="single"/>
    </w:rPr>
  </w:style>
  <w:style w:type="paragraph" w:styleId="Testonotaapidipagina">
    <w:name w:val="footnote text"/>
    <w:basedOn w:val="Normale"/>
    <w:link w:val="TestonotaapidipaginaCarattere"/>
    <w:semiHidden/>
    <w:unhideWhenUsed/>
    <w:rsid w:val="00522304"/>
    <w:pPr>
      <w:spacing w:line="240" w:lineRule="auto"/>
    </w:pPr>
  </w:style>
  <w:style w:type="character" w:customStyle="1" w:styleId="TestonotaapidipaginaCarattere">
    <w:name w:val="Testo nota a piè di pagina Carattere"/>
    <w:link w:val="Testonotaapidipagina"/>
    <w:semiHidden/>
    <w:rsid w:val="00522304"/>
    <w:rPr>
      <w:rFonts w:ascii="Palatino Linotype" w:hAnsi="Palatino Linotype"/>
      <w:noProof/>
      <w:color w:val="000000"/>
    </w:rPr>
  </w:style>
  <w:style w:type="paragraph" w:styleId="NormaleWeb">
    <w:name w:val="Normal (Web)"/>
    <w:basedOn w:val="Normale"/>
    <w:uiPriority w:val="99"/>
    <w:rsid w:val="00522304"/>
    <w:rPr>
      <w:szCs w:val="24"/>
    </w:rPr>
  </w:style>
  <w:style w:type="paragraph" w:customStyle="1" w:styleId="MsoFootnoteText0">
    <w:name w:val="MsoFootnoteText"/>
    <w:basedOn w:val="NormaleWeb"/>
    <w:qFormat/>
    <w:rsid w:val="00522304"/>
    <w:rPr>
      <w:rFonts w:ascii="Times New Roman" w:hAnsi="Times New Roman"/>
    </w:rPr>
  </w:style>
  <w:style w:type="character" w:styleId="Numeropagina">
    <w:name w:val="page number"/>
    <w:rsid w:val="00522304"/>
  </w:style>
  <w:style w:type="character" w:styleId="Testosegnaposto">
    <w:name w:val="Placeholder Text"/>
    <w:uiPriority w:val="99"/>
    <w:semiHidden/>
    <w:rsid w:val="00522304"/>
    <w:rPr>
      <w:color w:val="808080"/>
    </w:rPr>
  </w:style>
  <w:style w:type="paragraph" w:customStyle="1" w:styleId="MDPI71FootNotes">
    <w:name w:val="MDPI_7.1_FootNotes"/>
    <w:qFormat/>
    <w:rsid w:val="00262314"/>
    <w:pPr>
      <w:numPr>
        <w:numId w:val="21"/>
      </w:numPr>
      <w:adjustRightInd w:val="0"/>
      <w:snapToGrid w:val="0"/>
      <w:spacing w:line="228" w:lineRule="auto"/>
    </w:pPr>
    <w:rPr>
      <w:rFonts w:ascii="Palatino Linotype" w:eastAsiaTheme="minorEastAsia" w:hAnsi="Palatino Linotype"/>
      <w:noProof/>
      <w:color w:val="000000"/>
      <w:sz w:val="18"/>
    </w:rPr>
  </w:style>
  <w:style w:type="paragraph" w:styleId="Didascalia">
    <w:name w:val="caption"/>
    <w:basedOn w:val="Normale"/>
    <w:next w:val="Normale"/>
    <w:uiPriority w:val="35"/>
    <w:unhideWhenUsed/>
    <w:qFormat/>
    <w:rsid w:val="00221B1C"/>
    <w:pPr>
      <w:spacing w:after="200" w:line="240" w:lineRule="auto"/>
    </w:pPr>
    <w:rPr>
      <w:b/>
      <w:bCs/>
      <w:color w:val="4472C4" w:themeColor="accent1"/>
      <w:sz w:val="18"/>
      <w:szCs w:val="18"/>
    </w:rPr>
  </w:style>
  <w:style w:type="paragraph" w:styleId="Revisione">
    <w:name w:val="Revision"/>
    <w:hidden/>
    <w:uiPriority w:val="99"/>
    <w:semiHidden/>
    <w:rsid w:val="00CD259E"/>
    <w:rPr>
      <w:rFonts w:ascii="Palatino Linotype" w:hAnsi="Palatino Linotype"/>
      <w:noProof/>
      <w:color w:val="000000"/>
    </w:rPr>
  </w:style>
</w:styles>
</file>

<file path=word/webSettings.xml><?xml version="1.0" encoding="utf-8"?>
<w:webSettings xmlns:r="http://schemas.openxmlformats.org/officeDocument/2006/relationships" xmlns:w="http://schemas.openxmlformats.org/wordprocessingml/2006/main">
  <w:divs>
    <w:div w:id="931594856">
      <w:bodyDiv w:val="1"/>
      <w:marLeft w:val="0"/>
      <w:marRight w:val="0"/>
      <w:marTop w:val="0"/>
      <w:marBottom w:val="0"/>
      <w:divBdr>
        <w:top w:val="none" w:sz="0" w:space="0" w:color="auto"/>
        <w:left w:val="none" w:sz="0" w:space="0" w:color="auto"/>
        <w:bottom w:val="none" w:sz="0" w:space="0" w:color="auto"/>
        <w:right w:val="none" w:sz="0" w:space="0" w:color="auto"/>
      </w:divBdr>
    </w:div>
    <w:div w:id="1993368223">
      <w:bodyDiv w:val="1"/>
      <w:marLeft w:val="0"/>
      <w:marRight w:val="0"/>
      <w:marTop w:val="0"/>
      <w:marBottom w:val="0"/>
      <w:divBdr>
        <w:top w:val="none" w:sz="0" w:space="0" w:color="auto"/>
        <w:left w:val="none" w:sz="0" w:space="0" w:color="auto"/>
        <w:bottom w:val="none" w:sz="0" w:space="0" w:color="auto"/>
        <w:right w:val="none" w:sz="0" w:space="0" w:color="auto"/>
      </w:divBdr>
      <w:divsChild>
        <w:div w:id="573465860">
          <w:marLeft w:val="0"/>
          <w:marRight w:val="0"/>
          <w:marTop w:val="0"/>
          <w:marBottom w:val="0"/>
          <w:divBdr>
            <w:top w:val="none" w:sz="0" w:space="0" w:color="auto"/>
            <w:left w:val="none" w:sz="0" w:space="0" w:color="auto"/>
            <w:bottom w:val="none" w:sz="0" w:space="0" w:color="auto"/>
            <w:right w:val="none" w:sz="0" w:space="0" w:color="auto"/>
          </w:divBdr>
        </w:div>
      </w:divsChild>
    </w:div>
  </w:divs>
  <w:encoding w:val="iso-8859-6"/>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s://simc.arpae.it/dext3r" TargetMode="External"/><Relationship Id="rId26" Type="http://schemas.openxmlformats.org/officeDocument/2006/relationships/hyperlink" Target="https://doi.org/10.1016/j.scitotenv.2022.155767" TargetMode="External"/><Relationship Id="rId39" Type="http://schemas.openxmlformats.org/officeDocument/2006/relationships/hyperlink" Target="https://doi.org/10.5281/zenodo.5758725" TargetMode="External"/><Relationship Id="rId21" Type="http://schemas.openxmlformats.org/officeDocument/2006/relationships/hyperlink" Target="https://doi.org/10.1016/j.cej.2021.129039" TargetMode="External"/><Relationship Id="rId34" Type="http://schemas.openxmlformats.org/officeDocument/2006/relationships/hyperlink" Target="https://doi.org/10.1016/j.scitotenv.2021.149794" TargetMode="External"/><Relationship Id="rId42" Type="http://schemas.openxmlformats.org/officeDocument/2006/relationships/hyperlink" Target="https://doi.org/10.1016/j.scitotenv.2020.141711" TargetMode="External"/><Relationship Id="rId47" Type="http://schemas.openxmlformats.org/officeDocument/2006/relationships/hyperlink" Target="https://doi.org/10.1016/j.scitotenv.2020.140444" TargetMode="External"/><Relationship Id="rId50" Type="http://schemas.openxmlformats.org/officeDocument/2006/relationships/hyperlink" Target="https://doi.org/10.1080/10643389.2014.1000761" TargetMode="External"/><Relationship Id="rId55" Type="http://schemas.openxmlformats.org/officeDocument/2006/relationships/hyperlink" Target="https://doi.org/10.1016/j.jenvman.2019.05.139" TargetMode="External"/><Relationship Id="rId63" Type="http://schemas.openxmlformats.org/officeDocument/2006/relationships/hyperlink" Target="https://doi.org/10.1038/s44221-023-00033-4" TargetMode="External"/><Relationship Id="rId68" Type="http://schemas.openxmlformats.org/officeDocument/2006/relationships/header" Target="header1.xml"/><Relationship Id="rId7" Type="http://schemas.openxmlformats.org/officeDocument/2006/relationships/endnotes" Target="endnotes.xml"/><Relationship Id="rId71"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hyperlink" Target="https://www.istat.it/en/analysis-and-products/databases" TargetMode="External"/><Relationship Id="rId29" Type="http://schemas.openxmlformats.org/officeDocument/2006/relationships/hyperlink" Target="https://doi.org/10.1016/j.envres.2022.113809" TargetMode="External"/><Relationship Id="rId11" Type="http://schemas.openxmlformats.org/officeDocument/2006/relationships/image" Target="media/image4.png"/><Relationship Id="rId24" Type="http://schemas.openxmlformats.org/officeDocument/2006/relationships/hyperlink" Target="https://doi.org/10.1016/j.heliyon.2023.e20571" TargetMode="External"/><Relationship Id="rId32" Type="http://schemas.openxmlformats.org/officeDocument/2006/relationships/hyperlink" Target="https://doi.org/10.1016/j.scitotenv.2020.138764" TargetMode="External"/><Relationship Id="rId37" Type="http://schemas.openxmlformats.org/officeDocument/2006/relationships/hyperlink" Target="https://www.istat.it/en/analysis-and-products/databases" TargetMode="External"/><Relationship Id="rId40" Type="http://schemas.openxmlformats.org/officeDocument/2006/relationships/hyperlink" Target="https://doi.org/10.1128/msystems.00614-20" TargetMode="External"/><Relationship Id="rId45" Type="http://schemas.openxmlformats.org/officeDocument/2006/relationships/hyperlink" Target="https://doi.org/10.1093/mnras/stt644" TargetMode="External"/><Relationship Id="rId53" Type="http://schemas.openxmlformats.org/officeDocument/2006/relationships/hyperlink" Target="https://doi.org/10.1021/acs.estlett.0c00313" TargetMode="External"/><Relationship Id="rId58" Type="http://schemas.openxmlformats.org/officeDocument/2006/relationships/hyperlink" Target="https://doi.org/10.1016/j.medj.2022.04.001" TargetMode="External"/><Relationship Id="rId66" Type="http://schemas.openxmlformats.org/officeDocument/2006/relationships/hyperlink" Target="https://doi.org/10.1002/jmv.28587" TargetMode="External"/><Relationship Id="rId7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s://doi.org/10.1016/j.envres.2021.111901" TargetMode="External"/><Relationship Id="rId28" Type="http://schemas.openxmlformats.org/officeDocument/2006/relationships/hyperlink" Target="https://doi.org/10.1016/j.scitotenv.2023.162953" TargetMode="External"/><Relationship Id="rId36" Type="http://schemas.openxmlformats.org/officeDocument/2006/relationships/hyperlink" Target="https://doi.org/10.1039/d1ew00717c" TargetMode="External"/><Relationship Id="rId49" Type="http://schemas.openxmlformats.org/officeDocument/2006/relationships/hyperlink" Target="https://doi.org/10.1016/j.scitotenv.2022.159165" TargetMode="External"/><Relationship Id="rId57" Type="http://schemas.openxmlformats.org/officeDocument/2006/relationships/hyperlink" Target="https://doi.org/10.14309/ctg.0000000000000343" TargetMode="External"/><Relationship Id="rId61" Type="http://schemas.openxmlformats.org/officeDocument/2006/relationships/hyperlink" Target="https://doi.org/10.1016/j.scitotenv.2020.138875" TargetMode="External"/><Relationship Id="rId10" Type="http://schemas.openxmlformats.org/officeDocument/2006/relationships/image" Target="media/image3.png"/><Relationship Id="rId19" Type="http://schemas.openxmlformats.org/officeDocument/2006/relationships/hyperlink" Target="https://doi.org/10.1128/spectrum.00792-21" TargetMode="External"/><Relationship Id="rId31" Type="http://schemas.openxmlformats.org/officeDocument/2006/relationships/hyperlink" Target="https://doi.org/10.1016/j.watres.2022.118451" TargetMode="External"/><Relationship Id="rId44" Type="http://schemas.openxmlformats.org/officeDocument/2006/relationships/hyperlink" Target="https://doi.org/10.1080/01621459.1988.10478639" TargetMode="External"/><Relationship Id="rId52" Type="http://schemas.openxmlformats.org/officeDocument/2006/relationships/hyperlink" Target="https://doi.org/10.1016/j.jhazmat.2022.128358" TargetMode="External"/><Relationship Id="rId60" Type="http://schemas.openxmlformats.org/officeDocument/2006/relationships/hyperlink" Target="https://doi.org/10.1017/s0950268821002752" TargetMode="External"/><Relationship Id="rId65" Type="http://schemas.openxmlformats.org/officeDocument/2006/relationships/hyperlink" Target="https://www.epicentro.iss.it/coronavirus/sars-cov-2-monitoraggio-varianti" TargetMode="External"/><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https://doi.org/10.1016/j.scitotenv.2021.145790" TargetMode="External"/><Relationship Id="rId27" Type="http://schemas.openxmlformats.org/officeDocument/2006/relationships/hyperlink" Target="https://eur-lex.europa.eu/legal-content/EN/TXT/?uri=CELEX%3A32021H0472&amp;qid=1628798981209" TargetMode="External"/><Relationship Id="rId30" Type="http://schemas.openxmlformats.org/officeDocument/2006/relationships/hyperlink" Target="https://doi.org/10.1038/s41467-022-31753-y" TargetMode="External"/><Relationship Id="rId35" Type="http://schemas.openxmlformats.org/officeDocument/2006/relationships/hyperlink" Target="https://doi.org/10.1007/s12560-023-09555-2" TargetMode="External"/><Relationship Id="rId43" Type="http://schemas.openxmlformats.org/officeDocument/2006/relationships/hyperlink" Target="https://simc.arpae.it/dext3r" TargetMode="External"/><Relationship Id="rId48" Type="http://schemas.openxmlformats.org/officeDocument/2006/relationships/hyperlink" Target="https://doi.org/10.4081/gh.2022.1145" TargetMode="External"/><Relationship Id="rId56" Type="http://schemas.openxmlformats.org/officeDocument/2006/relationships/hyperlink" Target="https://doi.org/10.1016/j.flowmeasinst.2007.06.002" TargetMode="External"/><Relationship Id="rId64" Type="http://schemas.openxmlformats.org/officeDocument/2006/relationships/hyperlink" Target="https://doi.org/10.3390/ijerph192416588" TargetMode="External"/><Relationship Id="rId69" Type="http://schemas.openxmlformats.org/officeDocument/2006/relationships/header" Target="header2.xml"/><Relationship Id="rId8" Type="http://schemas.openxmlformats.org/officeDocument/2006/relationships/image" Target="media/image1.png"/><Relationship Id="rId51" Type="http://schemas.openxmlformats.org/officeDocument/2006/relationships/hyperlink" Target="https://doi.org/10.1021/acs.estlett.0c00730" TargetMode="External"/><Relationship Id="rId72" Type="http://schemas.openxmlformats.org/officeDocument/2006/relationships/footer" Target="footer2.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hyperlink" Target="https://opendata.comune.bologna.it/explore/dataset/aree-statistiche/information/" TargetMode="External"/><Relationship Id="rId25" Type="http://schemas.openxmlformats.org/officeDocument/2006/relationships/hyperlink" Target="https://doi.org/10.1016/s2542-5196(21)00230-8" TargetMode="External"/><Relationship Id="rId33" Type="http://schemas.openxmlformats.org/officeDocument/2006/relationships/hyperlink" Target="https://doi.org/10.1016/j.scitotenv.2022.156535" TargetMode="External"/><Relationship Id="rId38" Type="http://schemas.openxmlformats.org/officeDocument/2006/relationships/hyperlink" Target="https://opendata.comune.bologna.it/explore/dataset/aree-statistiche/information/" TargetMode="External"/><Relationship Id="rId46" Type="http://schemas.openxmlformats.org/officeDocument/2006/relationships/hyperlink" Target="https://doi.org/10.1101/2020.09.28.20202028" TargetMode="External"/><Relationship Id="rId59" Type="http://schemas.openxmlformats.org/officeDocument/2006/relationships/hyperlink" Target="https://doi.org/10.1053/j.gastro.2020.03.065" TargetMode="External"/><Relationship Id="rId67" Type="http://schemas.openxmlformats.org/officeDocument/2006/relationships/hyperlink" Target="https://doi.org/10.47102/annals-acadmedsg.2020299" TargetMode="External"/><Relationship Id="rId20" Type="http://schemas.openxmlformats.org/officeDocument/2006/relationships/hyperlink" Target="https://doi.org/10.1016/j.scitotenv.2022.153290" TargetMode="External"/><Relationship Id="rId41" Type="http://schemas.openxmlformats.org/officeDocument/2006/relationships/hyperlink" Target="https://doi.org/10.1016/j.envres.2020.110092" TargetMode="External"/><Relationship Id="rId54" Type="http://schemas.openxmlformats.org/officeDocument/2006/relationships/hyperlink" Target="https://doi.org/10.1016/j.egypro.2014.01.031" TargetMode="External"/><Relationship Id="rId62" Type="http://schemas.openxmlformats.org/officeDocument/2006/relationships/hyperlink" Target="https://doi.org/10.1016/j.scitotenv.2020.142855" TargetMode="External"/><Relationship Id="rId7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s>
</file>

<file path=word/_rels/header3.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_rels/settings.xml.rels><?xml version="1.0" encoding="UTF-8" standalone="yes"?>
<Relationships xmlns="http://schemas.openxmlformats.org/package/2006/relationships"><Relationship Id="rId1" Type="http://schemas.openxmlformats.org/officeDocument/2006/relationships/attachedTemplate" Target="file:///J:\Drive%20condivisi\SARI\Report\Articolo\articolo%20con%20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E273C10-113C-4DDA-B461-075CAE1267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articolo con template</Template>
  <TotalTime>1693</TotalTime>
  <Pages>19</Pages>
  <Words>11198</Words>
  <Characters>63832</Characters>
  <Application>Microsoft Office Word</Application>
  <DocSecurity>0</DocSecurity>
  <Lines>531</Lines>
  <Paragraphs>149</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Type of the Paper (Article</vt:lpstr>
      <vt:lpstr>Type of the Paper (Article</vt:lpstr>
    </vt:vector>
  </TitlesOfParts>
  <Company/>
  <LinksUpToDate>false</LinksUpToDate>
  <CharactersWithSpaces>74881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creator>mfondriest</dc:creator>
  <cp:lastModifiedBy>mfondriest</cp:lastModifiedBy>
  <cp:revision>188</cp:revision>
  <dcterms:created xsi:type="dcterms:W3CDTF">2024-03-06T11:43:00Z</dcterms:created>
  <dcterms:modified xsi:type="dcterms:W3CDTF">2024-04-04T09:43:00Z</dcterms:modified>
</cp:coreProperties>
</file>