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44BB19" w14:textId="77777777" w:rsidR="00456D63" w:rsidRDefault="00456D63" w:rsidP="00456D63">
      <w:pPr>
        <w:jc w:val="both"/>
        <w:rPr>
          <w:rFonts w:ascii="Arial" w:hAnsi="Arial" w:cs="Arial"/>
          <w:b/>
          <w:bCs/>
        </w:rPr>
      </w:pPr>
      <w:r w:rsidRPr="003C3E6A">
        <w:rPr>
          <w:rFonts w:ascii="Arial" w:hAnsi="Arial" w:cs="Arial"/>
          <w:b/>
          <w:bCs/>
          <w:sz w:val="24"/>
          <w:szCs w:val="24"/>
        </w:rPr>
        <w:t>Supplementary Material S</w:t>
      </w:r>
      <w:r>
        <w:rPr>
          <w:rFonts w:ascii="Arial" w:hAnsi="Arial" w:cs="Arial"/>
          <w:b/>
          <w:bCs/>
          <w:sz w:val="24"/>
          <w:szCs w:val="24"/>
        </w:rPr>
        <w:t>1</w:t>
      </w:r>
    </w:p>
    <w:p w14:paraId="7ACA7BEE" w14:textId="77777777" w:rsidR="00456D63" w:rsidRPr="00C2770C" w:rsidRDefault="00456D63" w:rsidP="00456D63">
      <w:pPr>
        <w:jc w:val="both"/>
        <w:rPr>
          <w:rFonts w:ascii="Arial" w:hAnsi="Arial" w:cs="Arial"/>
          <w:b/>
          <w:bCs/>
        </w:rPr>
      </w:pPr>
      <w:r>
        <w:rPr>
          <w:rFonts w:ascii="Arial" w:hAnsi="Arial" w:cs="Arial"/>
          <w:b/>
          <w:bCs/>
        </w:rPr>
        <w:t>I</w:t>
      </w:r>
      <w:r w:rsidRPr="00C2770C">
        <w:rPr>
          <w:rFonts w:ascii="Arial" w:hAnsi="Arial" w:cs="Arial"/>
          <w:b/>
          <w:bCs/>
        </w:rPr>
        <w:t>nput variables selection</w:t>
      </w:r>
    </w:p>
    <w:p w14:paraId="45014F19" w14:textId="34A964C5" w:rsidR="00456D63" w:rsidRPr="00C2770C" w:rsidRDefault="00456D63" w:rsidP="00456D63">
      <w:pPr>
        <w:jc w:val="both"/>
        <w:rPr>
          <w:rFonts w:ascii="Arial" w:hAnsi="Arial" w:cs="Arial"/>
        </w:rPr>
      </w:pPr>
      <w:r w:rsidRPr="00C2770C">
        <w:rPr>
          <w:rFonts w:ascii="Arial" w:hAnsi="Arial" w:cs="Arial"/>
        </w:rPr>
        <w:t xml:space="preserve">The input variable selection for the vegetation bias removal algorithm </w:t>
      </w:r>
      <w:r>
        <w:rPr>
          <w:rFonts w:ascii="Arial" w:hAnsi="Arial" w:cs="Arial"/>
        </w:rPr>
        <w:t>comprised</w:t>
      </w:r>
      <w:r w:rsidRPr="00C2770C">
        <w:rPr>
          <w:rFonts w:ascii="Arial" w:hAnsi="Arial" w:cs="Arial"/>
        </w:rPr>
        <w:t xml:space="preserve"> two sequential steps. In the first </w:t>
      </w:r>
      <w:r>
        <w:rPr>
          <w:rFonts w:ascii="Arial" w:hAnsi="Arial" w:cs="Arial"/>
        </w:rPr>
        <w:t>step</w:t>
      </w:r>
      <w:r w:rsidRPr="00C2770C">
        <w:rPr>
          <w:rFonts w:ascii="Arial" w:hAnsi="Arial" w:cs="Arial"/>
        </w:rPr>
        <w:t>, 50 variables were selected for initial testing, described in Table S1. All variables are available in the Google Earth Engine (GEE) public catalog (earthengine.google.com)</w:t>
      </w:r>
    </w:p>
    <w:p w14:paraId="5E4452D0" w14:textId="618B962F" w:rsidR="00456D63" w:rsidRPr="00C2770C" w:rsidRDefault="00456D63" w:rsidP="00456D63">
      <w:pPr>
        <w:spacing w:after="0"/>
        <w:jc w:val="both"/>
        <w:rPr>
          <w:rFonts w:ascii="Arial" w:hAnsi="Arial" w:cs="Arial"/>
        </w:rPr>
      </w:pPr>
      <w:r w:rsidRPr="00456D63">
        <w:rPr>
          <w:rFonts w:ascii="Arial" w:hAnsi="Arial" w:cs="Arial"/>
          <w:b/>
          <w:bCs/>
        </w:rPr>
        <w:t>Table S1.</w:t>
      </w:r>
      <w:r w:rsidRPr="00C2770C">
        <w:rPr>
          <w:rFonts w:ascii="Arial" w:hAnsi="Arial" w:cs="Arial"/>
        </w:rPr>
        <w:t xml:space="preserve"> Candidate variables analyzed for vegetation bias removal in South America.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29" w:type="dxa"/>
          <w:bottom w:w="14" w:type="dxa"/>
          <w:right w:w="29" w:type="dxa"/>
        </w:tblCellMar>
        <w:tblLook w:val="04A0" w:firstRow="1" w:lastRow="0" w:firstColumn="1" w:lastColumn="0" w:noHBand="0" w:noVBand="1"/>
      </w:tblPr>
      <w:tblGrid>
        <w:gridCol w:w="1633"/>
        <w:gridCol w:w="654"/>
        <w:gridCol w:w="3268"/>
        <w:gridCol w:w="1225"/>
        <w:gridCol w:w="1714"/>
      </w:tblGrid>
      <w:tr w:rsidR="00456D63" w:rsidRPr="00C2770C" w14:paraId="6B3B380F" w14:textId="77777777" w:rsidTr="00083DEA">
        <w:trPr>
          <w:trHeight w:val="144"/>
        </w:trPr>
        <w:tc>
          <w:tcPr>
            <w:tcW w:w="961" w:type="pct"/>
            <w:shd w:val="clear" w:color="auto" w:fill="auto"/>
            <w:noWrap/>
            <w:vAlign w:val="center"/>
            <w:hideMark/>
          </w:tcPr>
          <w:p w14:paraId="7E29E281" w14:textId="77777777" w:rsidR="00456D63" w:rsidRPr="00C2770C" w:rsidRDefault="00456D63" w:rsidP="00083DEA">
            <w:pPr>
              <w:keepNext/>
              <w:keepLines/>
              <w:spacing w:after="0" w:line="240" w:lineRule="auto"/>
              <w:jc w:val="both"/>
              <w:rPr>
                <w:rFonts w:ascii="Arial" w:eastAsia="Times New Roman" w:hAnsi="Arial" w:cs="Arial"/>
                <w:b/>
                <w:bCs/>
                <w:color w:val="000000"/>
                <w:sz w:val="14"/>
                <w:szCs w:val="14"/>
              </w:rPr>
            </w:pPr>
            <w:r w:rsidRPr="00C2770C">
              <w:rPr>
                <w:rFonts w:ascii="Arial" w:eastAsia="Times New Roman" w:hAnsi="Arial" w:cs="Arial"/>
                <w:b/>
                <w:bCs/>
                <w:color w:val="000000"/>
                <w:sz w:val="14"/>
                <w:szCs w:val="14"/>
              </w:rPr>
              <w:t>Source</w:t>
            </w:r>
          </w:p>
          <w:p w14:paraId="27E3731D" w14:textId="77777777" w:rsidR="00456D63" w:rsidRPr="00C2770C" w:rsidRDefault="00456D63" w:rsidP="00083DEA">
            <w:pPr>
              <w:keepNext/>
              <w:keepLines/>
              <w:spacing w:after="0" w:line="240" w:lineRule="auto"/>
              <w:jc w:val="both"/>
              <w:rPr>
                <w:rFonts w:ascii="Arial" w:eastAsia="Times New Roman" w:hAnsi="Arial" w:cs="Arial"/>
                <w:b/>
                <w:bCs/>
                <w:color w:val="000000"/>
                <w:sz w:val="14"/>
                <w:szCs w:val="14"/>
              </w:rPr>
            </w:pPr>
            <w:r w:rsidRPr="00C2770C">
              <w:rPr>
                <w:rFonts w:ascii="Arial" w:eastAsia="Times New Roman" w:hAnsi="Arial" w:cs="Arial"/>
                <w:b/>
                <w:bCs/>
                <w:color w:val="000000"/>
                <w:sz w:val="14"/>
                <w:szCs w:val="14"/>
              </w:rPr>
              <w:t>GEE address</w:t>
            </w:r>
          </w:p>
        </w:tc>
        <w:tc>
          <w:tcPr>
            <w:tcW w:w="385" w:type="pct"/>
            <w:shd w:val="clear" w:color="auto" w:fill="auto"/>
            <w:noWrap/>
            <w:vAlign w:val="center"/>
            <w:hideMark/>
          </w:tcPr>
          <w:p w14:paraId="5BC3E9F0" w14:textId="77777777" w:rsidR="00456D63" w:rsidRPr="00C2770C" w:rsidRDefault="00456D63" w:rsidP="00083DEA">
            <w:pPr>
              <w:keepNext/>
              <w:keepLines/>
              <w:spacing w:after="0" w:line="240" w:lineRule="auto"/>
              <w:jc w:val="both"/>
              <w:rPr>
                <w:rFonts w:ascii="Arial" w:eastAsia="Times New Roman" w:hAnsi="Arial" w:cs="Arial"/>
                <w:b/>
                <w:bCs/>
                <w:color w:val="000000"/>
                <w:sz w:val="14"/>
                <w:szCs w:val="14"/>
              </w:rPr>
            </w:pPr>
            <w:r w:rsidRPr="00C2770C">
              <w:rPr>
                <w:rFonts w:ascii="Arial" w:eastAsia="Times New Roman" w:hAnsi="Arial" w:cs="Arial"/>
                <w:b/>
                <w:bCs/>
                <w:color w:val="000000"/>
                <w:sz w:val="14"/>
                <w:szCs w:val="14"/>
              </w:rPr>
              <w:t>Acronym</w:t>
            </w:r>
          </w:p>
        </w:tc>
        <w:tc>
          <w:tcPr>
            <w:tcW w:w="1924" w:type="pct"/>
            <w:shd w:val="clear" w:color="auto" w:fill="auto"/>
            <w:noWrap/>
            <w:vAlign w:val="center"/>
            <w:hideMark/>
          </w:tcPr>
          <w:p w14:paraId="05F28431" w14:textId="77777777" w:rsidR="00456D63" w:rsidRPr="00C2770C" w:rsidRDefault="00456D63" w:rsidP="00083DEA">
            <w:pPr>
              <w:keepNext/>
              <w:keepLines/>
              <w:spacing w:after="0" w:line="240" w:lineRule="auto"/>
              <w:jc w:val="both"/>
              <w:rPr>
                <w:rFonts w:ascii="Arial" w:eastAsia="Times New Roman" w:hAnsi="Arial" w:cs="Arial"/>
                <w:b/>
                <w:bCs/>
                <w:color w:val="000000"/>
                <w:sz w:val="14"/>
                <w:szCs w:val="14"/>
              </w:rPr>
            </w:pPr>
            <w:r w:rsidRPr="00C2770C">
              <w:rPr>
                <w:rFonts w:ascii="Arial" w:eastAsia="Times New Roman" w:hAnsi="Arial" w:cs="Arial"/>
                <w:b/>
                <w:bCs/>
                <w:color w:val="000000"/>
                <w:sz w:val="14"/>
                <w:szCs w:val="14"/>
              </w:rPr>
              <w:t>Variable name</w:t>
            </w:r>
          </w:p>
        </w:tc>
        <w:tc>
          <w:tcPr>
            <w:tcW w:w="721" w:type="pct"/>
            <w:shd w:val="clear" w:color="auto" w:fill="auto"/>
            <w:noWrap/>
            <w:vAlign w:val="center"/>
            <w:hideMark/>
          </w:tcPr>
          <w:p w14:paraId="43C603C6" w14:textId="77777777" w:rsidR="00456D63" w:rsidRPr="00C2770C" w:rsidRDefault="00456D63" w:rsidP="00083DEA">
            <w:pPr>
              <w:keepNext/>
              <w:keepLines/>
              <w:spacing w:after="0" w:line="240" w:lineRule="auto"/>
              <w:jc w:val="both"/>
              <w:rPr>
                <w:rFonts w:ascii="Arial" w:eastAsia="Times New Roman" w:hAnsi="Arial" w:cs="Arial"/>
                <w:b/>
                <w:bCs/>
                <w:color w:val="000000"/>
                <w:sz w:val="14"/>
                <w:szCs w:val="14"/>
              </w:rPr>
            </w:pPr>
            <w:r w:rsidRPr="00C2770C">
              <w:rPr>
                <w:rFonts w:ascii="Arial" w:eastAsia="Times New Roman" w:hAnsi="Arial" w:cs="Arial"/>
                <w:b/>
                <w:bCs/>
                <w:color w:val="000000"/>
                <w:sz w:val="14"/>
                <w:szCs w:val="14"/>
              </w:rPr>
              <w:t>Spatial resolution (meters)</w:t>
            </w:r>
          </w:p>
        </w:tc>
        <w:tc>
          <w:tcPr>
            <w:tcW w:w="1009" w:type="pct"/>
            <w:shd w:val="clear" w:color="auto" w:fill="auto"/>
            <w:noWrap/>
            <w:vAlign w:val="center"/>
            <w:hideMark/>
          </w:tcPr>
          <w:p w14:paraId="1E8B90B5" w14:textId="77777777" w:rsidR="00456D63" w:rsidRPr="00C2770C" w:rsidRDefault="00456D63" w:rsidP="00083DEA">
            <w:pPr>
              <w:keepNext/>
              <w:keepLines/>
              <w:spacing w:after="0" w:line="240" w:lineRule="auto"/>
              <w:jc w:val="both"/>
              <w:rPr>
                <w:rFonts w:ascii="Arial" w:eastAsia="Times New Roman" w:hAnsi="Arial" w:cs="Arial"/>
                <w:b/>
                <w:bCs/>
                <w:color w:val="000000"/>
                <w:sz w:val="14"/>
                <w:szCs w:val="14"/>
              </w:rPr>
            </w:pPr>
            <w:r w:rsidRPr="00C2770C">
              <w:rPr>
                <w:rFonts w:ascii="Arial" w:eastAsia="Times New Roman" w:hAnsi="Arial" w:cs="Arial"/>
                <w:b/>
                <w:bCs/>
                <w:color w:val="000000"/>
                <w:sz w:val="14"/>
                <w:szCs w:val="14"/>
              </w:rPr>
              <w:t>Temporal Aggregation</w:t>
            </w:r>
          </w:p>
        </w:tc>
      </w:tr>
      <w:tr w:rsidR="00456D63" w:rsidRPr="00C2770C" w14:paraId="792F0EDE" w14:textId="77777777" w:rsidTr="00083DEA">
        <w:trPr>
          <w:trHeight w:val="144"/>
        </w:trPr>
        <w:tc>
          <w:tcPr>
            <w:tcW w:w="961" w:type="pct"/>
            <w:vMerge w:val="restart"/>
            <w:shd w:val="clear" w:color="auto" w:fill="auto"/>
            <w:noWrap/>
            <w:vAlign w:val="center"/>
            <w:hideMark/>
          </w:tcPr>
          <w:p w14:paraId="59E27C27" w14:textId="77777777" w:rsidR="00456D63" w:rsidRPr="00456D63" w:rsidRDefault="00456D63" w:rsidP="00083DEA">
            <w:pPr>
              <w:keepNext/>
              <w:keepLines/>
              <w:spacing w:after="0" w:line="240" w:lineRule="auto"/>
              <w:jc w:val="both"/>
              <w:rPr>
                <w:rFonts w:ascii="Arial" w:eastAsia="Times New Roman" w:hAnsi="Arial" w:cs="Arial"/>
                <w:color w:val="000000"/>
                <w:sz w:val="14"/>
                <w:szCs w:val="14"/>
                <w:lang w:val="fr-FR"/>
              </w:rPr>
            </w:pPr>
            <w:r w:rsidRPr="00456D63">
              <w:rPr>
                <w:rFonts w:ascii="Arial" w:eastAsia="Times New Roman" w:hAnsi="Arial" w:cs="Arial"/>
                <w:color w:val="000000"/>
                <w:sz w:val="14"/>
                <w:szCs w:val="14"/>
                <w:lang w:val="fr-FR"/>
              </w:rPr>
              <w:t>LANDSAT 8</w:t>
            </w:r>
          </w:p>
          <w:p w14:paraId="60C1C2CD" w14:textId="77777777" w:rsidR="00456D63" w:rsidRPr="00456D63" w:rsidRDefault="00456D63" w:rsidP="00083DEA">
            <w:pPr>
              <w:keepNext/>
              <w:keepLines/>
              <w:spacing w:after="0" w:line="240" w:lineRule="auto"/>
              <w:jc w:val="both"/>
              <w:rPr>
                <w:rFonts w:ascii="Arial" w:eastAsia="Times New Roman" w:hAnsi="Arial" w:cs="Arial"/>
                <w:color w:val="000000"/>
                <w:sz w:val="14"/>
                <w:szCs w:val="14"/>
                <w:lang w:val="fr-FR"/>
              </w:rPr>
            </w:pPr>
            <w:r w:rsidRPr="00456D63">
              <w:rPr>
                <w:rFonts w:ascii="Arial" w:eastAsia="Times New Roman" w:hAnsi="Arial" w:cs="Arial"/>
                <w:color w:val="000000"/>
                <w:sz w:val="14"/>
                <w:szCs w:val="14"/>
                <w:lang w:val="fr-FR"/>
              </w:rPr>
              <w:t>LANDSAT/LC08/C02/T2_L2</w:t>
            </w:r>
          </w:p>
        </w:tc>
        <w:tc>
          <w:tcPr>
            <w:tcW w:w="385" w:type="pct"/>
            <w:shd w:val="clear" w:color="auto" w:fill="auto"/>
            <w:noWrap/>
            <w:vAlign w:val="center"/>
            <w:hideMark/>
          </w:tcPr>
          <w:p w14:paraId="045B1C20"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SR_B1</w:t>
            </w:r>
          </w:p>
        </w:tc>
        <w:tc>
          <w:tcPr>
            <w:tcW w:w="1924" w:type="pct"/>
            <w:shd w:val="clear" w:color="auto" w:fill="auto"/>
            <w:noWrap/>
            <w:vAlign w:val="center"/>
            <w:hideMark/>
          </w:tcPr>
          <w:p w14:paraId="3652AF73"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Ultra blue, coastal aerosol</w:t>
            </w:r>
          </w:p>
        </w:tc>
        <w:tc>
          <w:tcPr>
            <w:tcW w:w="721" w:type="pct"/>
            <w:shd w:val="clear" w:color="auto" w:fill="auto"/>
            <w:noWrap/>
            <w:vAlign w:val="center"/>
            <w:hideMark/>
          </w:tcPr>
          <w:p w14:paraId="1D218E9E"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30</w:t>
            </w:r>
          </w:p>
        </w:tc>
        <w:tc>
          <w:tcPr>
            <w:tcW w:w="1009" w:type="pct"/>
            <w:shd w:val="clear" w:color="auto" w:fill="auto"/>
            <w:noWrap/>
            <w:vAlign w:val="center"/>
            <w:hideMark/>
          </w:tcPr>
          <w:p w14:paraId="2B6913F3"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681E7B76" w14:textId="77777777" w:rsidTr="00083DEA">
        <w:trPr>
          <w:trHeight w:val="144"/>
        </w:trPr>
        <w:tc>
          <w:tcPr>
            <w:tcW w:w="961" w:type="pct"/>
            <w:vMerge/>
            <w:shd w:val="clear" w:color="auto" w:fill="auto"/>
            <w:noWrap/>
            <w:vAlign w:val="center"/>
            <w:hideMark/>
          </w:tcPr>
          <w:p w14:paraId="1D5A4054"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2A629CBA"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SR_B2</w:t>
            </w:r>
          </w:p>
        </w:tc>
        <w:tc>
          <w:tcPr>
            <w:tcW w:w="1924" w:type="pct"/>
            <w:shd w:val="clear" w:color="auto" w:fill="auto"/>
            <w:noWrap/>
            <w:vAlign w:val="center"/>
            <w:hideMark/>
          </w:tcPr>
          <w:p w14:paraId="2423469E"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Blue</w:t>
            </w:r>
          </w:p>
        </w:tc>
        <w:tc>
          <w:tcPr>
            <w:tcW w:w="721" w:type="pct"/>
            <w:shd w:val="clear" w:color="auto" w:fill="auto"/>
            <w:noWrap/>
            <w:vAlign w:val="center"/>
            <w:hideMark/>
          </w:tcPr>
          <w:p w14:paraId="7858D3F7"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30</w:t>
            </w:r>
          </w:p>
        </w:tc>
        <w:tc>
          <w:tcPr>
            <w:tcW w:w="1009" w:type="pct"/>
            <w:shd w:val="clear" w:color="auto" w:fill="auto"/>
            <w:noWrap/>
            <w:vAlign w:val="center"/>
            <w:hideMark/>
          </w:tcPr>
          <w:p w14:paraId="02C8B042"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7A0AB024" w14:textId="77777777" w:rsidTr="00083DEA">
        <w:trPr>
          <w:trHeight w:val="144"/>
        </w:trPr>
        <w:tc>
          <w:tcPr>
            <w:tcW w:w="961" w:type="pct"/>
            <w:vMerge/>
            <w:shd w:val="clear" w:color="auto" w:fill="auto"/>
            <w:noWrap/>
            <w:vAlign w:val="center"/>
            <w:hideMark/>
          </w:tcPr>
          <w:p w14:paraId="74735381"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07577374"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SR_B3</w:t>
            </w:r>
          </w:p>
        </w:tc>
        <w:tc>
          <w:tcPr>
            <w:tcW w:w="1924" w:type="pct"/>
            <w:shd w:val="clear" w:color="auto" w:fill="auto"/>
            <w:noWrap/>
            <w:vAlign w:val="center"/>
            <w:hideMark/>
          </w:tcPr>
          <w:p w14:paraId="40F4D8B8"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Green</w:t>
            </w:r>
          </w:p>
        </w:tc>
        <w:tc>
          <w:tcPr>
            <w:tcW w:w="721" w:type="pct"/>
            <w:shd w:val="clear" w:color="auto" w:fill="auto"/>
            <w:noWrap/>
            <w:vAlign w:val="center"/>
            <w:hideMark/>
          </w:tcPr>
          <w:p w14:paraId="0C2AF1CC"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30</w:t>
            </w:r>
          </w:p>
        </w:tc>
        <w:tc>
          <w:tcPr>
            <w:tcW w:w="1009" w:type="pct"/>
            <w:shd w:val="clear" w:color="auto" w:fill="auto"/>
            <w:noWrap/>
            <w:vAlign w:val="center"/>
            <w:hideMark/>
          </w:tcPr>
          <w:p w14:paraId="668AE89D"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25F40C58" w14:textId="77777777" w:rsidTr="00083DEA">
        <w:trPr>
          <w:trHeight w:val="144"/>
        </w:trPr>
        <w:tc>
          <w:tcPr>
            <w:tcW w:w="961" w:type="pct"/>
            <w:vMerge/>
            <w:shd w:val="clear" w:color="auto" w:fill="auto"/>
            <w:noWrap/>
            <w:vAlign w:val="center"/>
            <w:hideMark/>
          </w:tcPr>
          <w:p w14:paraId="07143E82"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2EAEA438"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SR_B4</w:t>
            </w:r>
          </w:p>
        </w:tc>
        <w:tc>
          <w:tcPr>
            <w:tcW w:w="1924" w:type="pct"/>
            <w:shd w:val="clear" w:color="auto" w:fill="auto"/>
            <w:noWrap/>
            <w:vAlign w:val="center"/>
            <w:hideMark/>
          </w:tcPr>
          <w:p w14:paraId="7CDECB83"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Red</w:t>
            </w:r>
          </w:p>
        </w:tc>
        <w:tc>
          <w:tcPr>
            <w:tcW w:w="721" w:type="pct"/>
            <w:shd w:val="clear" w:color="auto" w:fill="auto"/>
            <w:noWrap/>
            <w:vAlign w:val="center"/>
            <w:hideMark/>
          </w:tcPr>
          <w:p w14:paraId="0A325242"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30</w:t>
            </w:r>
          </w:p>
        </w:tc>
        <w:tc>
          <w:tcPr>
            <w:tcW w:w="1009" w:type="pct"/>
            <w:shd w:val="clear" w:color="auto" w:fill="auto"/>
            <w:noWrap/>
            <w:vAlign w:val="center"/>
            <w:hideMark/>
          </w:tcPr>
          <w:p w14:paraId="478A7695"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69A1743C" w14:textId="77777777" w:rsidTr="00083DEA">
        <w:trPr>
          <w:trHeight w:val="144"/>
        </w:trPr>
        <w:tc>
          <w:tcPr>
            <w:tcW w:w="961" w:type="pct"/>
            <w:vMerge/>
            <w:shd w:val="clear" w:color="auto" w:fill="auto"/>
            <w:noWrap/>
            <w:vAlign w:val="center"/>
            <w:hideMark/>
          </w:tcPr>
          <w:p w14:paraId="1E8A5A1F"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3CB01C0C"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SR_B5</w:t>
            </w:r>
          </w:p>
        </w:tc>
        <w:tc>
          <w:tcPr>
            <w:tcW w:w="1924" w:type="pct"/>
            <w:shd w:val="clear" w:color="auto" w:fill="auto"/>
            <w:noWrap/>
            <w:vAlign w:val="center"/>
            <w:hideMark/>
          </w:tcPr>
          <w:p w14:paraId="4B30C875"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Near infrared</w:t>
            </w:r>
          </w:p>
        </w:tc>
        <w:tc>
          <w:tcPr>
            <w:tcW w:w="721" w:type="pct"/>
            <w:shd w:val="clear" w:color="auto" w:fill="auto"/>
            <w:noWrap/>
            <w:vAlign w:val="center"/>
            <w:hideMark/>
          </w:tcPr>
          <w:p w14:paraId="29871103"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30</w:t>
            </w:r>
          </w:p>
        </w:tc>
        <w:tc>
          <w:tcPr>
            <w:tcW w:w="1009" w:type="pct"/>
            <w:shd w:val="clear" w:color="auto" w:fill="auto"/>
            <w:noWrap/>
            <w:vAlign w:val="center"/>
            <w:hideMark/>
          </w:tcPr>
          <w:p w14:paraId="3DA47822"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359669C7" w14:textId="77777777" w:rsidTr="00083DEA">
        <w:trPr>
          <w:trHeight w:val="144"/>
        </w:trPr>
        <w:tc>
          <w:tcPr>
            <w:tcW w:w="961" w:type="pct"/>
            <w:vMerge/>
            <w:shd w:val="clear" w:color="auto" w:fill="auto"/>
            <w:noWrap/>
            <w:vAlign w:val="center"/>
            <w:hideMark/>
          </w:tcPr>
          <w:p w14:paraId="71F5115D"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61A80861"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SR_B6</w:t>
            </w:r>
          </w:p>
        </w:tc>
        <w:tc>
          <w:tcPr>
            <w:tcW w:w="1924" w:type="pct"/>
            <w:shd w:val="clear" w:color="auto" w:fill="auto"/>
            <w:noWrap/>
            <w:vAlign w:val="center"/>
            <w:hideMark/>
          </w:tcPr>
          <w:p w14:paraId="06566B27"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Shortwave infrared 1</w:t>
            </w:r>
          </w:p>
        </w:tc>
        <w:tc>
          <w:tcPr>
            <w:tcW w:w="721" w:type="pct"/>
            <w:shd w:val="clear" w:color="auto" w:fill="auto"/>
            <w:noWrap/>
            <w:vAlign w:val="center"/>
            <w:hideMark/>
          </w:tcPr>
          <w:p w14:paraId="3C595896"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30</w:t>
            </w:r>
          </w:p>
        </w:tc>
        <w:tc>
          <w:tcPr>
            <w:tcW w:w="1009" w:type="pct"/>
            <w:shd w:val="clear" w:color="auto" w:fill="auto"/>
            <w:noWrap/>
            <w:vAlign w:val="center"/>
            <w:hideMark/>
          </w:tcPr>
          <w:p w14:paraId="4AA84CC8"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732AB8EA" w14:textId="77777777" w:rsidTr="00083DEA">
        <w:trPr>
          <w:trHeight w:val="144"/>
        </w:trPr>
        <w:tc>
          <w:tcPr>
            <w:tcW w:w="961" w:type="pct"/>
            <w:vMerge/>
            <w:shd w:val="clear" w:color="auto" w:fill="auto"/>
            <w:noWrap/>
            <w:vAlign w:val="center"/>
            <w:hideMark/>
          </w:tcPr>
          <w:p w14:paraId="6664B7F4"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40F2027A"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SR_B7</w:t>
            </w:r>
          </w:p>
        </w:tc>
        <w:tc>
          <w:tcPr>
            <w:tcW w:w="1924" w:type="pct"/>
            <w:shd w:val="clear" w:color="auto" w:fill="auto"/>
            <w:noWrap/>
            <w:vAlign w:val="center"/>
            <w:hideMark/>
          </w:tcPr>
          <w:p w14:paraId="1F55DF4F"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Shortwave infrared 2</w:t>
            </w:r>
          </w:p>
        </w:tc>
        <w:tc>
          <w:tcPr>
            <w:tcW w:w="721" w:type="pct"/>
            <w:shd w:val="clear" w:color="auto" w:fill="auto"/>
            <w:noWrap/>
            <w:vAlign w:val="center"/>
            <w:hideMark/>
          </w:tcPr>
          <w:p w14:paraId="3C649D23"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30</w:t>
            </w:r>
          </w:p>
        </w:tc>
        <w:tc>
          <w:tcPr>
            <w:tcW w:w="1009" w:type="pct"/>
            <w:shd w:val="clear" w:color="auto" w:fill="auto"/>
            <w:noWrap/>
            <w:vAlign w:val="center"/>
            <w:hideMark/>
          </w:tcPr>
          <w:p w14:paraId="7AED0D78"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24C315D9" w14:textId="77777777" w:rsidTr="00083DEA">
        <w:trPr>
          <w:trHeight w:val="144"/>
        </w:trPr>
        <w:tc>
          <w:tcPr>
            <w:tcW w:w="961" w:type="pct"/>
            <w:vMerge/>
            <w:shd w:val="clear" w:color="auto" w:fill="auto"/>
            <w:noWrap/>
            <w:vAlign w:val="center"/>
            <w:hideMark/>
          </w:tcPr>
          <w:p w14:paraId="4904E0D1"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5B319CD9"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ST_B10</w:t>
            </w:r>
          </w:p>
        </w:tc>
        <w:tc>
          <w:tcPr>
            <w:tcW w:w="1924" w:type="pct"/>
            <w:shd w:val="clear" w:color="auto" w:fill="auto"/>
            <w:noWrap/>
            <w:vAlign w:val="center"/>
            <w:hideMark/>
          </w:tcPr>
          <w:p w14:paraId="195B1264"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Surface temperature</w:t>
            </w:r>
          </w:p>
        </w:tc>
        <w:tc>
          <w:tcPr>
            <w:tcW w:w="721" w:type="pct"/>
            <w:shd w:val="clear" w:color="auto" w:fill="auto"/>
            <w:noWrap/>
            <w:vAlign w:val="center"/>
            <w:hideMark/>
          </w:tcPr>
          <w:p w14:paraId="55DD4CD6"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100</w:t>
            </w:r>
          </w:p>
        </w:tc>
        <w:tc>
          <w:tcPr>
            <w:tcW w:w="1009" w:type="pct"/>
            <w:shd w:val="clear" w:color="auto" w:fill="auto"/>
            <w:noWrap/>
            <w:vAlign w:val="center"/>
            <w:hideMark/>
          </w:tcPr>
          <w:p w14:paraId="25D984A9"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51083FD4" w14:textId="77777777" w:rsidTr="00083DEA">
        <w:trPr>
          <w:trHeight w:val="144"/>
        </w:trPr>
        <w:tc>
          <w:tcPr>
            <w:tcW w:w="961" w:type="pct"/>
            <w:vMerge/>
            <w:shd w:val="clear" w:color="auto" w:fill="auto"/>
            <w:noWrap/>
            <w:vAlign w:val="center"/>
            <w:hideMark/>
          </w:tcPr>
          <w:p w14:paraId="6B29E020"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4088119A"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NDVI</w:t>
            </w:r>
          </w:p>
        </w:tc>
        <w:tc>
          <w:tcPr>
            <w:tcW w:w="1924" w:type="pct"/>
            <w:shd w:val="clear" w:color="auto" w:fill="auto"/>
            <w:noWrap/>
            <w:vAlign w:val="center"/>
            <w:hideMark/>
          </w:tcPr>
          <w:p w14:paraId="3F182307"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Normalized difference vegetation index</w:t>
            </w:r>
          </w:p>
        </w:tc>
        <w:tc>
          <w:tcPr>
            <w:tcW w:w="721" w:type="pct"/>
            <w:shd w:val="clear" w:color="auto" w:fill="auto"/>
            <w:noWrap/>
            <w:vAlign w:val="center"/>
            <w:hideMark/>
          </w:tcPr>
          <w:p w14:paraId="1C049478"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30</w:t>
            </w:r>
          </w:p>
        </w:tc>
        <w:tc>
          <w:tcPr>
            <w:tcW w:w="1009" w:type="pct"/>
            <w:shd w:val="clear" w:color="auto" w:fill="auto"/>
            <w:noWrap/>
            <w:vAlign w:val="center"/>
            <w:hideMark/>
          </w:tcPr>
          <w:p w14:paraId="76C079A9"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 interquartile range</w:t>
            </w:r>
          </w:p>
        </w:tc>
      </w:tr>
      <w:tr w:rsidR="00456D63" w:rsidRPr="00C2770C" w14:paraId="446C22EE" w14:textId="77777777" w:rsidTr="00083DEA">
        <w:trPr>
          <w:trHeight w:val="144"/>
        </w:trPr>
        <w:tc>
          <w:tcPr>
            <w:tcW w:w="961" w:type="pct"/>
            <w:vMerge/>
            <w:shd w:val="clear" w:color="auto" w:fill="auto"/>
            <w:noWrap/>
            <w:vAlign w:val="center"/>
            <w:hideMark/>
          </w:tcPr>
          <w:p w14:paraId="44859689"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53ECDC89"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NDWI</w:t>
            </w:r>
          </w:p>
        </w:tc>
        <w:tc>
          <w:tcPr>
            <w:tcW w:w="1924" w:type="pct"/>
            <w:shd w:val="clear" w:color="auto" w:fill="auto"/>
            <w:noWrap/>
            <w:vAlign w:val="center"/>
            <w:hideMark/>
          </w:tcPr>
          <w:p w14:paraId="40D55AA5"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Normalized difference water index</w:t>
            </w:r>
          </w:p>
        </w:tc>
        <w:tc>
          <w:tcPr>
            <w:tcW w:w="721" w:type="pct"/>
            <w:shd w:val="clear" w:color="auto" w:fill="auto"/>
            <w:noWrap/>
            <w:vAlign w:val="center"/>
            <w:hideMark/>
          </w:tcPr>
          <w:p w14:paraId="540354D7"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30</w:t>
            </w:r>
          </w:p>
        </w:tc>
        <w:tc>
          <w:tcPr>
            <w:tcW w:w="1009" w:type="pct"/>
            <w:shd w:val="clear" w:color="auto" w:fill="auto"/>
            <w:noWrap/>
            <w:vAlign w:val="center"/>
            <w:hideMark/>
          </w:tcPr>
          <w:p w14:paraId="1EDAA156"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 interquartile range</w:t>
            </w:r>
          </w:p>
        </w:tc>
      </w:tr>
      <w:tr w:rsidR="00456D63" w:rsidRPr="00C2770C" w14:paraId="2272D492" w14:textId="77777777" w:rsidTr="00083DEA">
        <w:trPr>
          <w:trHeight w:val="144"/>
        </w:trPr>
        <w:tc>
          <w:tcPr>
            <w:tcW w:w="961" w:type="pct"/>
            <w:vMerge/>
            <w:shd w:val="clear" w:color="auto" w:fill="auto"/>
            <w:noWrap/>
            <w:vAlign w:val="center"/>
            <w:hideMark/>
          </w:tcPr>
          <w:p w14:paraId="0384D144"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195CD826"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NDMI</w:t>
            </w:r>
          </w:p>
        </w:tc>
        <w:tc>
          <w:tcPr>
            <w:tcW w:w="1924" w:type="pct"/>
            <w:shd w:val="clear" w:color="auto" w:fill="auto"/>
            <w:noWrap/>
            <w:vAlign w:val="center"/>
            <w:hideMark/>
          </w:tcPr>
          <w:p w14:paraId="19DCF75C"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Normalized difference moisture index</w:t>
            </w:r>
          </w:p>
        </w:tc>
        <w:tc>
          <w:tcPr>
            <w:tcW w:w="721" w:type="pct"/>
            <w:shd w:val="clear" w:color="auto" w:fill="auto"/>
            <w:noWrap/>
            <w:vAlign w:val="center"/>
            <w:hideMark/>
          </w:tcPr>
          <w:p w14:paraId="4D0A37D2"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30</w:t>
            </w:r>
          </w:p>
        </w:tc>
        <w:tc>
          <w:tcPr>
            <w:tcW w:w="1009" w:type="pct"/>
            <w:shd w:val="clear" w:color="auto" w:fill="auto"/>
            <w:noWrap/>
            <w:vAlign w:val="center"/>
            <w:hideMark/>
          </w:tcPr>
          <w:p w14:paraId="1C0C645C"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 interquartile range</w:t>
            </w:r>
          </w:p>
        </w:tc>
      </w:tr>
      <w:tr w:rsidR="00456D63" w:rsidRPr="00C2770C" w14:paraId="313B1647" w14:textId="77777777" w:rsidTr="00083DEA">
        <w:trPr>
          <w:trHeight w:val="144"/>
        </w:trPr>
        <w:tc>
          <w:tcPr>
            <w:tcW w:w="961" w:type="pct"/>
            <w:vMerge/>
            <w:shd w:val="clear" w:color="auto" w:fill="auto"/>
            <w:noWrap/>
            <w:vAlign w:val="center"/>
            <w:hideMark/>
          </w:tcPr>
          <w:p w14:paraId="2A51B2E4"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1B48A41B"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EVI</w:t>
            </w:r>
          </w:p>
        </w:tc>
        <w:tc>
          <w:tcPr>
            <w:tcW w:w="1924" w:type="pct"/>
            <w:shd w:val="clear" w:color="auto" w:fill="auto"/>
            <w:noWrap/>
            <w:vAlign w:val="center"/>
            <w:hideMark/>
          </w:tcPr>
          <w:p w14:paraId="4CCC5A07"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Enhanced vegetation index</w:t>
            </w:r>
          </w:p>
        </w:tc>
        <w:tc>
          <w:tcPr>
            <w:tcW w:w="721" w:type="pct"/>
            <w:shd w:val="clear" w:color="auto" w:fill="auto"/>
            <w:noWrap/>
            <w:vAlign w:val="center"/>
            <w:hideMark/>
          </w:tcPr>
          <w:p w14:paraId="56A69D8D"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30</w:t>
            </w:r>
          </w:p>
        </w:tc>
        <w:tc>
          <w:tcPr>
            <w:tcW w:w="1009" w:type="pct"/>
            <w:shd w:val="clear" w:color="auto" w:fill="auto"/>
            <w:noWrap/>
            <w:vAlign w:val="center"/>
            <w:hideMark/>
          </w:tcPr>
          <w:p w14:paraId="50F71059"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 interquartile range</w:t>
            </w:r>
          </w:p>
        </w:tc>
      </w:tr>
      <w:tr w:rsidR="00456D63" w:rsidRPr="00C2770C" w14:paraId="667F3A2E" w14:textId="77777777" w:rsidTr="00083DEA">
        <w:trPr>
          <w:trHeight w:val="144"/>
        </w:trPr>
        <w:tc>
          <w:tcPr>
            <w:tcW w:w="961" w:type="pct"/>
            <w:vMerge/>
            <w:shd w:val="clear" w:color="auto" w:fill="auto"/>
            <w:noWrap/>
            <w:vAlign w:val="center"/>
            <w:hideMark/>
          </w:tcPr>
          <w:p w14:paraId="42D26381"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1C40312B"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SR</w:t>
            </w:r>
          </w:p>
        </w:tc>
        <w:tc>
          <w:tcPr>
            <w:tcW w:w="1924" w:type="pct"/>
            <w:shd w:val="clear" w:color="auto" w:fill="auto"/>
            <w:noWrap/>
            <w:vAlign w:val="center"/>
            <w:hideMark/>
          </w:tcPr>
          <w:p w14:paraId="65AB0846"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Simple ratio</w:t>
            </w:r>
          </w:p>
        </w:tc>
        <w:tc>
          <w:tcPr>
            <w:tcW w:w="721" w:type="pct"/>
            <w:shd w:val="clear" w:color="auto" w:fill="auto"/>
            <w:noWrap/>
            <w:vAlign w:val="center"/>
            <w:hideMark/>
          </w:tcPr>
          <w:p w14:paraId="6D695479"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30</w:t>
            </w:r>
          </w:p>
        </w:tc>
        <w:tc>
          <w:tcPr>
            <w:tcW w:w="1009" w:type="pct"/>
            <w:shd w:val="clear" w:color="auto" w:fill="auto"/>
            <w:noWrap/>
            <w:vAlign w:val="center"/>
            <w:hideMark/>
          </w:tcPr>
          <w:p w14:paraId="7CDA8723"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 interquartile range</w:t>
            </w:r>
          </w:p>
        </w:tc>
      </w:tr>
      <w:tr w:rsidR="00456D63" w:rsidRPr="00C2770C" w14:paraId="16CD9269" w14:textId="77777777" w:rsidTr="00083DEA">
        <w:trPr>
          <w:trHeight w:val="144"/>
        </w:trPr>
        <w:tc>
          <w:tcPr>
            <w:tcW w:w="961" w:type="pct"/>
            <w:vMerge/>
            <w:shd w:val="clear" w:color="auto" w:fill="auto"/>
            <w:noWrap/>
            <w:vAlign w:val="center"/>
            <w:hideMark/>
          </w:tcPr>
          <w:p w14:paraId="39E7E947"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10ED1838"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MSR</w:t>
            </w:r>
          </w:p>
        </w:tc>
        <w:tc>
          <w:tcPr>
            <w:tcW w:w="1924" w:type="pct"/>
            <w:shd w:val="clear" w:color="auto" w:fill="auto"/>
            <w:noWrap/>
            <w:vAlign w:val="center"/>
            <w:hideMark/>
          </w:tcPr>
          <w:p w14:paraId="72C6E47F"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Modified simple ratio</w:t>
            </w:r>
          </w:p>
        </w:tc>
        <w:tc>
          <w:tcPr>
            <w:tcW w:w="721" w:type="pct"/>
            <w:shd w:val="clear" w:color="auto" w:fill="auto"/>
            <w:noWrap/>
            <w:vAlign w:val="center"/>
            <w:hideMark/>
          </w:tcPr>
          <w:p w14:paraId="5338D944"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30</w:t>
            </w:r>
          </w:p>
        </w:tc>
        <w:tc>
          <w:tcPr>
            <w:tcW w:w="1009" w:type="pct"/>
            <w:shd w:val="clear" w:color="auto" w:fill="auto"/>
            <w:noWrap/>
            <w:vAlign w:val="center"/>
            <w:hideMark/>
          </w:tcPr>
          <w:p w14:paraId="46F3ECBB"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 interquartile range</w:t>
            </w:r>
          </w:p>
        </w:tc>
      </w:tr>
      <w:tr w:rsidR="00456D63" w:rsidRPr="00C2770C" w14:paraId="113A0B05" w14:textId="77777777" w:rsidTr="00083DEA">
        <w:trPr>
          <w:trHeight w:val="144"/>
        </w:trPr>
        <w:tc>
          <w:tcPr>
            <w:tcW w:w="961" w:type="pct"/>
            <w:vMerge/>
            <w:shd w:val="clear" w:color="auto" w:fill="auto"/>
            <w:noWrap/>
            <w:vAlign w:val="center"/>
            <w:hideMark/>
          </w:tcPr>
          <w:p w14:paraId="67767CC4"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479D5500"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SAVI</w:t>
            </w:r>
          </w:p>
        </w:tc>
        <w:tc>
          <w:tcPr>
            <w:tcW w:w="1924" w:type="pct"/>
            <w:shd w:val="clear" w:color="auto" w:fill="auto"/>
            <w:noWrap/>
            <w:vAlign w:val="center"/>
            <w:hideMark/>
          </w:tcPr>
          <w:p w14:paraId="79D2CD1E"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Soil adjusted vegetation index</w:t>
            </w:r>
          </w:p>
        </w:tc>
        <w:tc>
          <w:tcPr>
            <w:tcW w:w="721" w:type="pct"/>
            <w:shd w:val="clear" w:color="auto" w:fill="auto"/>
            <w:noWrap/>
            <w:vAlign w:val="center"/>
            <w:hideMark/>
          </w:tcPr>
          <w:p w14:paraId="2713FC39"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30</w:t>
            </w:r>
          </w:p>
        </w:tc>
        <w:tc>
          <w:tcPr>
            <w:tcW w:w="1009" w:type="pct"/>
            <w:shd w:val="clear" w:color="auto" w:fill="auto"/>
            <w:noWrap/>
            <w:vAlign w:val="center"/>
            <w:hideMark/>
          </w:tcPr>
          <w:p w14:paraId="44BFE827"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 interquartile range</w:t>
            </w:r>
          </w:p>
        </w:tc>
      </w:tr>
      <w:tr w:rsidR="00456D63" w:rsidRPr="00C2770C" w14:paraId="140E7581" w14:textId="77777777" w:rsidTr="00083DEA">
        <w:trPr>
          <w:trHeight w:val="144"/>
        </w:trPr>
        <w:tc>
          <w:tcPr>
            <w:tcW w:w="961" w:type="pct"/>
            <w:vMerge/>
            <w:shd w:val="clear" w:color="auto" w:fill="auto"/>
            <w:noWrap/>
            <w:vAlign w:val="center"/>
            <w:hideMark/>
          </w:tcPr>
          <w:p w14:paraId="7AC5730A"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03DB37A1"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MSAVI</w:t>
            </w:r>
          </w:p>
        </w:tc>
        <w:tc>
          <w:tcPr>
            <w:tcW w:w="1924" w:type="pct"/>
            <w:shd w:val="clear" w:color="auto" w:fill="auto"/>
            <w:noWrap/>
            <w:vAlign w:val="center"/>
            <w:hideMark/>
          </w:tcPr>
          <w:p w14:paraId="0BF1CBAC"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Modified soil adjusted vegetation index</w:t>
            </w:r>
          </w:p>
        </w:tc>
        <w:tc>
          <w:tcPr>
            <w:tcW w:w="721" w:type="pct"/>
            <w:shd w:val="clear" w:color="auto" w:fill="auto"/>
            <w:noWrap/>
            <w:vAlign w:val="center"/>
            <w:hideMark/>
          </w:tcPr>
          <w:p w14:paraId="561F3117"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30</w:t>
            </w:r>
          </w:p>
        </w:tc>
        <w:tc>
          <w:tcPr>
            <w:tcW w:w="1009" w:type="pct"/>
            <w:shd w:val="clear" w:color="auto" w:fill="auto"/>
            <w:noWrap/>
            <w:vAlign w:val="center"/>
            <w:hideMark/>
          </w:tcPr>
          <w:p w14:paraId="05AB349F"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 interquartile range</w:t>
            </w:r>
          </w:p>
        </w:tc>
      </w:tr>
      <w:tr w:rsidR="00456D63" w:rsidRPr="00C2770C" w14:paraId="061FE33B" w14:textId="77777777" w:rsidTr="00083DEA">
        <w:trPr>
          <w:trHeight w:val="144"/>
        </w:trPr>
        <w:tc>
          <w:tcPr>
            <w:tcW w:w="961" w:type="pct"/>
            <w:vMerge w:val="restart"/>
            <w:shd w:val="clear" w:color="auto" w:fill="auto"/>
            <w:noWrap/>
            <w:vAlign w:val="center"/>
            <w:hideMark/>
          </w:tcPr>
          <w:p w14:paraId="09BEA31E"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SENTINEL 2</w:t>
            </w:r>
          </w:p>
          <w:p w14:paraId="718473C9"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COPERNICUS/S2_HARMONIZED</w:t>
            </w:r>
          </w:p>
        </w:tc>
        <w:tc>
          <w:tcPr>
            <w:tcW w:w="385" w:type="pct"/>
            <w:shd w:val="clear" w:color="auto" w:fill="auto"/>
            <w:noWrap/>
            <w:vAlign w:val="center"/>
            <w:hideMark/>
          </w:tcPr>
          <w:p w14:paraId="015AE793"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B1</w:t>
            </w:r>
          </w:p>
        </w:tc>
        <w:tc>
          <w:tcPr>
            <w:tcW w:w="1924" w:type="pct"/>
            <w:shd w:val="clear" w:color="auto" w:fill="auto"/>
            <w:noWrap/>
            <w:vAlign w:val="center"/>
            <w:hideMark/>
          </w:tcPr>
          <w:p w14:paraId="1772A821"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Aerosols</w:t>
            </w:r>
          </w:p>
        </w:tc>
        <w:tc>
          <w:tcPr>
            <w:tcW w:w="721" w:type="pct"/>
            <w:shd w:val="clear" w:color="auto" w:fill="auto"/>
            <w:noWrap/>
            <w:vAlign w:val="center"/>
            <w:hideMark/>
          </w:tcPr>
          <w:p w14:paraId="24A8B689"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60</w:t>
            </w:r>
          </w:p>
        </w:tc>
        <w:tc>
          <w:tcPr>
            <w:tcW w:w="1009" w:type="pct"/>
            <w:shd w:val="clear" w:color="auto" w:fill="auto"/>
            <w:noWrap/>
            <w:vAlign w:val="center"/>
            <w:hideMark/>
          </w:tcPr>
          <w:p w14:paraId="776F5BC1"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6FDD32F3" w14:textId="77777777" w:rsidTr="00083DEA">
        <w:trPr>
          <w:trHeight w:val="144"/>
        </w:trPr>
        <w:tc>
          <w:tcPr>
            <w:tcW w:w="961" w:type="pct"/>
            <w:vMerge/>
            <w:shd w:val="clear" w:color="auto" w:fill="auto"/>
            <w:noWrap/>
            <w:vAlign w:val="center"/>
            <w:hideMark/>
          </w:tcPr>
          <w:p w14:paraId="105CFDB7"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5A7E208F"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B2</w:t>
            </w:r>
          </w:p>
        </w:tc>
        <w:tc>
          <w:tcPr>
            <w:tcW w:w="1924" w:type="pct"/>
            <w:shd w:val="clear" w:color="auto" w:fill="auto"/>
            <w:noWrap/>
            <w:vAlign w:val="center"/>
            <w:hideMark/>
          </w:tcPr>
          <w:p w14:paraId="33B3E7F0"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Blue</w:t>
            </w:r>
          </w:p>
        </w:tc>
        <w:tc>
          <w:tcPr>
            <w:tcW w:w="721" w:type="pct"/>
            <w:shd w:val="clear" w:color="auto" w:fill="auto"/>
            <w:noWrap/>
            <w:vAlign w:val="center"/>
            <w:hideMark/>
          </w:tcPr>
          <w:p w14:paraId="17D5C1CC"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10</w:t>
            </w:r>
          </w:p>
        </w:tc>
        <w:tc>
          <w:tcPr>
            <w:tcW w:w="1009" w:type="pct"/>
            <w:shd w:val="clear" w:color="auto" w:fill="auto"/>
            <w:noWrap/>
            <w:vAlign w:val="center"/>
            <w:hideMark/>
          </w:tcPr>
          <w:p w14:paraId="7E788041"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64E96870" w14:textId="77777777" w:rsidTr="00083DEA">
        <w:trPr>
          <w:trHeight w:val="144"/>
        </w:trPr>
        <w:tc>
          <w:tcPr>
            <w:tcW w:w="961" w:type="pct"/>
            <w:vMerge/>
            <w:shd w:val="clear" w:color="auto" w:fill="auto"/>
            <w:noWrap/>
            <w:vAlign w:val="center"/>
            <w:hideMark/>
          </w:tcPr>
          <w:p w14:paraId="13F87F81"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3F4028A4"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B3</w:t>
            </w:r>
          </w:p>
        </w:tc>
        <w:tc>
          <w:tcPr>
            <w:tcW w:w="1924" w:type="pct"/>
            <w:shd w:val="clear" w:color="auto" w:fill="auto"/>
            <w:noWrap/>
            <w:vAlign w:val="center"/>
            <w:hideMark/>
          </w:tcPr>
          <w:p w14:paraId="1B63FEF0"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Green</w:t>
            </w:r>
          </w:p>
        </w:tc>
        <w:tc>
          <w:tcPr>
            <w:tcW w:w="721" w:type="pct"/>
            <w:shd w:val="clear" w:color="auto" w:fill="auto"/>
            <w:noWrap/>
            <w:vAlign w:val="center"/>
            <w:hideMark/>
          </w:tcPr>
          <w:p w14:paraId="6637EB1E"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10</w:t>
            </w:r>
          </w:p>
        </w:tc>
        <w:tc>
          <w:tcPr>
            <w:tcW w:w="1009" w:type="pct"/>
            <w:shd w:val="clear" w:color="auto" w:fill="auto"/>
            <w:noWrap/>
            <w:vAlign w:val="center"/>
            <w:hideMark/>
          </w:tcPr>
          <w:p w14:paraId="0A43C501"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2088224D" w14:textId="77777777" w:rsidTr="00083DEA">
        <w:trPr>
          <w:trHeight w:val="144"/>
        </w:trPr>
        <w:tc>
          <w:tcPr>
            <w:tcW w:w="961" w:type="pct"/>
            <w:vMerge/>
            <w:shd w:val="clear" w:color="auto" w:fill="auto"/>
            <w:noWrap/>
            <w:vAlign w:val="center"/>
            <w:hideMark/>
          </w:tcPr>
          <w:p w14:paraId="69588FEA"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0595EE2F"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B4</w:t>
            </w:r>
          </w:p>
        </w:tc>
        <w:tc>
          <w:tcPr>
            <w:tcW w:w="1924" w:type="pct"/>
            <w:shd w:val="clear" w:color="auto" w:fill="auto"/>
            <w:noWrap/>
            <w:vAlign w:val="center"/>
            <w:hideMark/>
          </w:tcPr>
          <w:p w14:paraId="63DF434F"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Red</w:t>
            </w:r>
          </w:p>
        </w:tc>
        <w:tc>
          <w:tcPr>
            <w:tcW w:w="721" w:type="pct"/>
            <w:shd w:val="clear" w:color="auto" w:fill="auto"/>
            <w:noWrap/>
            <w:vAlign w:val="center"/>
            <w:hideMark/>
          </w:tcPr>
          <w:p w14:paraId="07261D6C"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10</w:t>
            </w:r>
          </w:p>
        </w:tc>
        <w:tc>
          <w:tcPr>
            <w:tcW w:w="1009" w:type="pct"/>
            <w:shd w:val="clear" w:color="auto" w:fill="auto"/>
            <w:noWrap/>
            <w:vAlign w:val="center"/>
            <w:hideMark/>
          </w:tcPr>
          <w:p w14:paraId="5C43650A"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7ECEE2F5" w14:textId="77777777" w:rsidTr="00083DEA">
        <w:trPr>
          <w:trHeight w:val="144"/>
        </w:trPr>
        <w:tc>
          <w:tcPr>
            <w:tcW w:w="961" w:type="pct"/>
            <w:vMerge/>
            <w:shd w:val="clear" w:color="auto" w:fill="auto"/>
            <w:noWrap/>
            <w:vAlign w:val="center"/>
            <w:hideMark/>
          </w:tcPr>
          <w:p w14:paraId="2198AC81"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791EA41B"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B5</w:t>
            </w:r>
          </w:p>
        </w:tc>
        <w:tc>
          <w:tcPr>
            <w:tcW w:w="1924" w:type="pct"/>
            <w:shd w:val="clear" w:color="auto" w:fill="auto"/>
            <w:noWrap/>
            <w:vAlign w:val="center"/>
            <w:hideMark/>
          </w:tcPr>
          <w:p w14:paraId="278A9872"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Red edge 1</w:t>
            </w:r>
          </w:p>
        </w:tc>
        <w:tc>
          <w:tcPr>
            <w:tcW w:w="721" w:type="pct"/>
            <w:shd w:val="clear" w:color="auto" w:fill="auto"/>
            <w:noWrap/>
            <w:vAlign w:val="center"/>
            <w:hideMark/>
          </w:tcPr>
          <w:p w14:paraId="0B0711FA"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20</w:t>
            </w:r>
          </w:p>
        </w:tc>
        <w:tc>
          <w:tcPr>
            <w:tcW w:w="1009" w:type="pct"/>
            <w:shd w:val="clear" w:color="auto" w:fill="auto"/>
            <w:noWrap/>
            <w:vAlign w:val="center"/>
            <w:hideMark/>
          </w:tcPr>
          <w:p w14:paraId="29495F04"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64335DB8" w14:textId="77777777" w:rsidTr="00083DEA">
        <w:trPr>
          <w:trHeight w:val="144"/>
        </w:trPr>
        <w:tc>
          <w:tcPr>
            <w:tcW w:w="961" w:type="pct"/>
            <w:vMerge/>
            <w:shd w:val="clear" w:color="auto" w:fill="auto"/>
            <w:noWrap/>
            <w:vAlign w:val="center"/>
            <w:hideMark/>
          </w:tcPr>
          <w:p w14:paraId="61E5CE48"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482794F8"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B6</w:t>
            </w:r>
          </w:p>
        </w:tc>
        <w:tc>
          <w:tcPr>
            <w:tcW w:w="1924" w:type="pct"/>
            <w:shd w:val="clear" w:color="auto" w:fill="auto"/>
            <w:noWrap/>
            <w:vAlign w:val="center"/>
            <w:hideMark/>
          </w:tcPr>
          <w:p w14:paraId="318ACEC1"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Red edge 2</w:t>
            </w:r>
          </w:p>
        </w:tc>
        <w:tc>
          <w:tcPr>
            <w:tcW w:w="721" w:type="pct"/>
            <w:shd w:val="clear" w:color="auto" w:fill="auto"/>
            <w:noWrap/>
            <w:vAlign w:val="center"/>
            <w:hideMark/>
          </w:tcPr>
          <w:p w14:paraId="352A81BA"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20</w:t>
            </w:r>
          </w:p>
        </w:tc>
        <w:tc>
          <w:tcPr>
            <w:tcW w:w="1009" w:type="pct"/>
            <w:shd w:val="clear" w:color="auto" w:fill="auto"/>
            <w:noWrap/>
            <w:vAlign w:val="center"/>
            <w:hideMark/>
          </w:tcPr>
          <w:p w14:paraId="3ABF9E94"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463E8BA3" w14:textId="77777777" w:rsidTr="00083DEA">
        <w:trPr>
          <w:trHeight w:val="144"/>
        </w:trPr>
        <w:tc>
          <w:tcPr>
            <w:tcW w:w="961" w:type="pct"/>
            <w:vMerge/>
            <w:shd w:val="clear" w:color="auto" w:fill="auto"/>
            <w:noWrap/>
            <w:vAlign w:val="center"/>
            <w:hideMark/>
          </w:tcPr>
          <w:p w14:paraId="219F4066"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757659C0"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B7</w:t>
            </w:r>
          </w:p>
        </w:tc>
        <w:tc>
          <w:tcPr>
            <w:tcW w:w="1924" w:type="pct"/>
            <w:shd w:val="clear" w:color="auto" w:fill="auto"/>
            <w:noWrap/>
            <w:vAlign w:val="center"/>
            <w:hideMark/>
          </w:tcPr>
          <w:p w14:paraId="585E0CA4"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Red edge 3</w:t>
            </w:r>
          </w:p>
        </w:tc>
        <w:tc>
          <w:tcPr>
            <w:tcW w:w="721" w:type="pct"/>
            <w:shd w:val="clear" w:color="auto" w:fill="auto"/>
            <w:noWrap/>
            <w:vAlign w:val="center"/>
            <w:hideMark/>
          </w:tcPr>
          <w:p w14:paraId="2B17CD04"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20</w:t>
            </w:r>
          </w:p>
        </w:tc>
        <w:tc>
          <w:tcPr>
            <w:tcW w:w="1009" w:type="pct"/>
            <w:shd w:val="clear" w:color="auto" w:fill="auto"/>
            <w:noWrap/>
            <w:vAlign w:val="center"/>
            <w:hideMark/>
          </w:tcPr>
          <w:p w14:paraId="4B20D956"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2690CF04" w14:textId="77777777" w:rsidTr="00083DEA">
        <w:trPr>
          <w:trHeight w:val="144"/>
        </w:trPr>
        <w:tc>
          <w:tcPr>
            <w:tcW w:w="961" w:type="pct"/>
            <w:vMerge/>
            <w:shd w:val="clear" w:color="auto" w:fill="auto"/>
            <w:noWrap/>
            <w:vAlign w:val="center"/>
            <w:hideMark/>
          </w:tcPr>
          <w:p w14:paraId="687FCC6C"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09D22DC5"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B8</w:t>
            </w:r>
          </w:p>
        </w:tc>
        <w:tc>
          <w:tcPr>
            <w:tcW w:w="1924" w:type="pct"/>
            <w:shd w:val="clear" w:color="auto" w:fill="auto"/>
            <w:noWrap/>
            <w:vAlign w:val="center"/>
            <w:hideMark/>
          </w:tcPr>
          <w:p w14:paraId="5F328C92"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NIR</w:t>
            </w:r>
          </w:p>
        </w:tc>
        <w:tc>
          <w:tcPr>
            <w:tcW w:w="721" w:type="pct"/>
            <w:shd w:val="clear" w:color="auto" w:fill="auto"/>
            <w:noWrap/>
            <w:vAlign w:val="center"/>
            <w:hideMark/>
          </w:tcPr>
          <w:p w14:paraId="3147AB1C"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10</w:t>
            </w:r>
          </w:p>
        </w:tc>
        <w:tc>
          <w:tcPr>
            <w:tcW w:w="1009" w:type="pct"/>
            <w:shd w:val="clear" w:color="auto" w:fill="auto"/>
            <w:noWrap/>
            <w:vAlign w:val="center"/>
            <w:hideMark/>
          </w:tcPr>
          <w:p w14:paraId="257C247E"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3891DD58" w14:textId="77777777" w:rsidTr="00083DEA">
        <w:trPr>
          <w:trHeight w:val="144"/>
        </w:trPr>
        <w:tc>
          <w:tcPr>
            <w:tcW w:w="961" w:type="pct"/>
            <w:vMerge/>
            <w:shd w:val="clear" w:color="auto" w:fill="auto"/>
            <w:noWrap/>
            <w:vAlign w:val="center"/>
            <w:hideMark/>
          </w:tcPr>
          <w:p w14:paraId="1C628CBE"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0BBE2906"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B8A</w:t>
            </w:r>
          </w:p>
        </w:tc>
        <w:tc>
          <w:tcPr>
            <w:tcW w:w="1924" w:type="pct"/>
            <w:shd w:val="clear" w:color="auto" w:fill="auto"/>
            <w:noWrap/>
            <w:vAlign w:val="center"/>
            <w:hideMark/>
          </w:tcPr>
          <w:p w14:paraId="1938700C"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Red edge 4</w:t>
            </w:r>
          </w:p>
        </w:tc>
        <w:tc>
          <w:tcPr>
            <w:tcW w:w="721" w:type="pct"/>
            <w:shd w:val="clear" w:color="auto" w:fill="auto"/>
            <w:noWrap/>
            <w:vAlign w:val="center"/>
            <w:hideMark/>
          </w:tcPr>
          <w:p w14:paraId="252F3DEC"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20</w:t>
            </w:r>
          </w:p>
        </w:tc>
        <w:tc>
          <w:tcPr>
            <w:tcW w:w="1009" w:type="pct"/>
            <w:shd w:val="clear" w:color="auto" w:fill="auto"/>
            <w:noWrap/>
            <w:vAlign w:val="center"/>
            <w:hideMark/>
          </w:tcPr>
          <w:p w14:paraId="20675E1A"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10B60BE0" w14:textId="77777777" w:rsidTr="00083DEA">
        <w:trPr>
          <w:trHeight w:val="144"/>
        </w:trPr>
        <w:tc>
          <w:tcPr>
            <w:tcW w:w="961" w:type="pct"/>
            <w:vMerge/>
            <w:shd w:val="clear" w:color="auto" w:fill="auto"/>
            <w:noWrap/>
            <w:vAlign w:val="center"/>
            <w:hideMark/>
          </w:tcPr>
          <w:p w14:paraId="4EE540E6"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4BF79FC8"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B9</w:t>
            </w:r>
          </w:p>
        </w:tc>
        <w:tc>
          <w:tcPr>
            <w:tcW w:w="1924" w:type="pct"/>
            <w:shd w:val="clear" w:color="auto" w:fill="auto"/>
            <w:noWrap/>
            <w:vAlign w:val="center"/>
            <w:hideMark/>
          </w:tcPr>
          <w:p w14:paraId="75B98888"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Water vapor</w:t>
            </w:r>
          </w:p>
        </w:tc>
        <w:tc>
          <w:tcPr>
            <w:tcW w:w="721" w:type="pct"/>
            <w:shd w:val="clear" w:color="auto" w:fill="auto"/>
            <w:noWrap/>
            <w:vAlign w:val="center"/>
            <w:hideMark/>
          </w:tcPr>
          <w:p w14:paraId="69B7B12E"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60</w:t>
            </w:r>
          </w:p>
        </w:tc>
        <w:tc>
          <w:tcPr>
            <w:tcW w:w="1009" w:type="pct"/>
            <w:shd w:val="clear" w:color="auto" w:fill="auto"/>
            <w:noWrap/>
            <w:vAlign w:val="center"/>
            <w:hideMark/>
          </w:tcPr>
          <w:p w14:paraId="47152194"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3CBB3A71" w14:textId="77777777" w:rsidTr="00083DEA">
        <w:trPr>
          <w:trHeight w:val="144"/>
        </w:trPr>
        <w:tc>
          <w:tcPr>
            <w:tcW w:w="961" w:type="pct"/>
            <w:vMerge/>
            <w:shd w:val="clear" w:color="auto" w:fill="auto"/>
            <w:noWrap/>
            <w:vAlign w:val="center"/>
            <w:hideMark/>
          </w:tcPr>
          <w:p w14:paraId="32F25370"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1577B8F8"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B10</w:t>
            </w:r>
          </w:p>
        </w:tc>
        <w:tc>
          <w:tcPr>
            <w:tcW w:w="1924" w:type="pct"/>
            <w:shd w:val="clear" w:color="auto" w:fill="auto"/>
            <w:noWrap/>
            <w:vAlign w:val="center"/>
            <w:hideMark/>
          </w:tcPr>
          <w:p w14:paraId="2CFFCE4C"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Cirrus</w:t>
            </w:r>
          </w:p>
        </w:tc>
        <w:tc>
          <w:tcPr>
            <w:tcW w:w="721" w:type="pct"/>
            <w:shd w:val="clear" w:color="auto" w:fill="auto"/>
            <w:noWrap/>
            <w:vAlign w:val="center"/>
            <w:hideMark/>
          </w:tcPr>
          <w:p w14:paraId="6C9A0908"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60</w:t>
            </w:r>
          </w:p>
        </w:tc>
        <w:tc>
          <w:tcPr>
            <w:tcW w:w="1009" w:type="pct"/>
            <w:shd w:val="clear" w:color="auto" w:fill="auto"/>
            <w:noWrap/>
            <w:vAlign w:val="center"/>
            <w:hideMark/>
          </w:tcPr>
          <w:p w14:paraId="6C59666C"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7AF7E563" w14:textId="77777777" w:rsidTr="00083DEA">
        <w:trPr>
          <w:trHeight w:val="144"/>
        </w:trPr>
        <w:tc>
          <w:tcPr>
            <w:tcW w:w="961" w:type="pct"/>
            <w:vMerge/>
            <w:shd w:val="clear" w:color="auto" w:fill="auto"/>
            <w:noWrap/>
            <w:vAlign w:val="center"/>
            <w:hideMark/>
          </w:tcPr>
          <w:p w14:paraId="75BDC89B"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0CC5CE0F"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B11</w:t>
            </w:r>
          </w:p>
        </w:tc>
        <w:tc>
          <w:tcPr>
            <w:tcW w:w="1924" w:type="pct"/>
            <w:shd w:val="clear" w:color="auto" w:fill="auto"/>
            <w:noWrap/>
            <w:vAlign w:val="center"/>
            <w:hideMark/>
          </w:tcPr>
          <w:p w14:paraId="1B7ED0B8"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SWIR 1</w:t>
            </w:r>
          </w:p>
        </w:tc>
        <w:tc>
          <w:tcPr>
            <w:tcW w:w="721" w:type="pct"/>
            <w:shd w:val="clear" w:color="auto" w:fill="auto"/>
            <w:noWrap/>
            <w:vAlign w:val="center"/>
            <w:hideMark/>
          </w:tcPr>
          <w:p w14:paraId="6B19F051"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20</w:t>
            </w:r>
          </w:p>
        </w:tc>
        <w:tc>
          <w:tcPr>
            <w:tcW w:w="1009" w:type="pct"/>
            <w:shd w:val="clear" w:color="auto" w:fill="auto"/>
            <w:noWrap/>
            <w:vAlign w:val="center"/>
            <w:hideMark/>
          </w:tcPr>
          <w:p w14:paraId="5D254C95"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0B14724C" w14:textId="77777777" w:rsidTr="00083DEA">
        <w:trPr>
          <w:trHeight w:val="144"/>
        </w:trPr>
        <w:tc>
          <w:tcPr>
            <w:tcW w:w="961" w:type="pct"/>
            <w:vMerge/>
            <w:shd w:val="clear" w:color="auto" w:fill="auto"/>
            <w:noWrap/>
            <w:vAlign w:val="center"/>
            <w:hideMark/>
          </w:tcPr>
          <w:p w14:paraId="1328116F"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03319C94"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B12</w:t>
            </w:r>
          </w:p>
        </w:tc>
        <w:tc>
          <w:tcPr>
            <w:tcW w:w="1924" w:type="pct"/>
            <w:shd w:val="clear" w:color="auto" w:fill="auto"/>
            <w:noWrap/>
            <w:vAlign w:val="center"/>
            <w:hideMark/>
          </w:tcPr>
          <w:p w14:paraId="215097A9"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SWIR 2</w:t>
            </w:r>
          </w:p>
        </w:tc>
        <w:tc>
          <w:tcPr>
            <w:tcW w:w="721" w:type="pct"/>
            <w:shd w:val="clear" w:color="auto" w:fill="auto"/>
            <w:noWrap/>
            <w:vAlign w:val="center"/>
            <w:hideMark/>
          </w:tcPr>
          <w:p w14:paraId="2BD6E339"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20</w:t>
            </w:r>
          </w:p>
        </w:tc>
        <w:tc>
          <w:tcPr>
            <w:tcW w:w="1009" w:type="pct"/>
            <w:shd w:val="clear" w:color="auto" w:fill="auto"/>
            <w:noWrap/>
            <w:vAlign w:val="center"/>
            <w:hideMark/>
          </w:tcPr>
          <w:p w14:paraId="6DD7CE5B"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216B073D" w14:textId="77777777" w:rsidTr="00083DEA">
        <w:trPr>
          <w:trHeight w:val="144"/>
        </w:trPr>
        <w:tc>
          <w:tcPr>
            <w:tcW w:w="961" w:type="pct"/>
            <w:vMerge/>
            <w:shd w:val="clear" w:color="auto" w:fill="auto"/>
            <w:noWrap/>
            <w:vAlign w:val="center"/>
            <w:hideMark/>
          </w:tcPr>
          <w:p w14:paraId="2A717D31"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5EDC8163"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NDVI</w:t>
            </w:r>
          </w:p>
        </w:tc>
        <w:tc>
          <w:tcPr>
            <w:tcW w:w="1924" w:type="pct"/>
            <w:shd w:val="clear" w:color="auto" w:fill="auto"/>
            <w:noWrap/>
            <w:vAlign w:val="center"/>
            <w:hideMark/>
          </w:tcPr>
          <w:p w14:paraId="4C5CA2D5"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Normalized difference vegetation index</w:t>
            </w:r>
          </w:p>
        </w:tc>
        <w:tc>
          <w:tcPr>
            <w:tcW w:w="721" w:type="pct"/>
            <w:shd w:val="clear" w:color="auto" w:fill="auto"/>
            <w:noWrap/>
            <w:vAlign w:val="center"/>
            <w:hideMark/>
          </w:tcPr>
          <w:p w14:paraId="18DFA67D"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10</w:t>
            </w:r>
          </w:p>
        </w:tc>
        <w:tc>
          <w:tcPr>
            <w:tcW w:w="1009" w:type="pct"/>
            <w:shd w:val="clear" w:color="auto" w:fill="auto"/>
            <w:noWrap/>
            <w:vAlign w:val="center"/>
            <w:hideMark/>
          </w:tcPr>
          <w:p w14:paraId="5702CC78"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 interquartile range</w:t>
            </w:r>
          </w:p>
        </w:tc>
      </w:tr>
      <w:tr w:rsidR="00456D63" w:rsidRPr="00C2770C" w14:paraId="1EB5F8C7" w14:textId="77777777" w:rsidTr="00083DEA">
        <w:trPr>
          <w:trHeight w:val="144"/>
        </w:trPr>
        <w:tc>
          <w:tcPr>
            <w:tcW w:w="961" w:type="pct"/>
            <w:vMerge/>
            <w:shd w:val="clear" w:color="auto" w:fill="auto"/>
            <w:noWrap/>
            <w:vAlign w:val="center"/>
            <w:hideMark/>
          </w:tcPr>
          <w:p w14:paraId="22017B5D"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2DE66E36"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NDWI</w:t>
            </w:r>
          </w:p>
        </w:tc>
        <w:tc>
          <w:tcPr>
            <w:tcW w:w="1924" w:type="pct"/>
            <w:shd w:val="clear" w:color="auto" w:fill="auto"/>
            <w:noWrap/>
            <w:vAlign w:val="center"/>
            <w:hideMark/>
          </w:tcPr>
          <w:p w14:paraId="7C1ED5C5"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Normalized difference water index</w:t>
            </w:r>
          </w:p>
        </w:tc>
        <w:tc>
          <w:tcPr>
            <w:tcW w:w="721" w:type="pct"/>
            <w:shd w:val="clear" w:color="auto" w:fill="auto"/>
            <w:noWrap/>
            <w:vAlign w:val="center"/>
            <w:hideMark/>
          </w:tcPr>
          <w:p w14:paraId="45FBE3B2"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10</w:t>
            </w:r>
          </w:p>
        </w:tc>
        <w:tc>
          <w:tcPr>
            <w:tcW w:w="1009" w:type="pct"/>
            <w:shd w:val="clear" w:color="auto" w:fill="auto"/>
            <w:noWrap/>
            <w:vAlign w:val="center"/>
            <w:hideMark/>
          </w:tcPr>
          <w:p w14:paraId="6B5B0AB0"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 interquartile range</w:t>
            </w:r>
          </w:p>
        </w:tc>
      </w:tr>
      <w:tr w:rsidR="00456D63" w:rsidRPr="00C2770C" w14:paraId="51B53057" w14:textId="77777777" w:rsidTr="00083DEA">
        <w:trPr>
          <w:trHeight w:val="144"/>
        </w:trPr>
        <w:tc>
          <w:tcPr>
            <w:tcW w:w="961" w:type="pct"/>
            <w:vMerge/>
            <w:shd w:val="clear" w:color="auto" w:fill="auto"/>
            <w:noWrap/>
            <w:vAlign w:val="center"/>
            <w:hideMark/>
          </w:tcPr>
          <w:p w14:paraId="4615A111"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46D0DA8C"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NDMI</w:t>
            </w:r>
          </w:p>
        </w:tc>
        <w:tc>
          <w:tcPr>
            <w:tcW w:w="1924" w:type="pct"/>
            <w:shd w:val="clear" w:color="auto" w:fill="auto"/>
            <w:noWrap/>
            <w:vAlign w:val="center"/>
            <w:hideMark/>
          </w:tcPr>
          <w:p w14:paraId="555D10BD"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Normalized difference moisture index</w:t>
            </w:r>
          </w:p>
        </w:tc>
        <w:tc>
          <w:tcPr>
            <w:tcW w:w="721" w:type="pct"/>
            <w:shd w:val="clear" w:color="auto" w:fill="auto"/>
            <w:noWrap/>
            <w:vAlign w:val="center"/>
            <w:hideMark/>
          </w:tcPr>
          <w:p w14:paraId="6E58015E"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20</w:t>
            </w:r>
          </w:p>
        </w:tc>
        <w:tc>
          <w:tcPr>
            <w:tcW w:w="1009" w:type="pct"/>
            <w:shd w:val="clear" w:color="auto" w:fill="auto"/>
            <w:noWrap/>
            <w:vAlign w:val="center"/>
            <w:hideMark/>
          </w:tcPr>
          <w:p w14:paraId="413963C4"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 interquartile range</w:t>
            </w:r>
          </w:p>
        </w:tc>
      </w:tr>
      <w:tr w:rsidR="00456D63" w:rsidRPr="00C2770C" w14:paraId="0397A9F1" w14:textId="77777777" w:rsidTr="00083DEA">
        <w:trPr>
          <w:trHeight w:val="144"/>
        </w:trPr>
        <w:tc>
          <w:tcPr>
            <w:tcW w:w="961" w:type="pct"/>
            <w:vMerge/>
            <w:shd w:val="clear" w:color="auto" w:fill="auto"/>
            <w:noWrap/>
            <w:vAlign w:val="center"/>
            <w:hideMark/>
          </w:tcPr>
          <w:p w14:paraId="2F0C6727"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09DE0C14"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EVI</w:t>
            </w:r>
          </w:p>
        </w:tc>
        <w:tc>
          <w:tcPr>
            <w:tcW w:w="1924" w:type="pct"/>
            <w:shd w:val="clear" w:color="auto" w:fill="auto"/>
            <w:noWrap/>
            <w:vAlign w:val="center"/>
            <w:hideMark/>
          </w:tcPr>
          <w:p w14:paraId="268204A1"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Enhanced vegetation index</w:t>
            </w:r>
          </w:p>
        </w:tc>
        <w:tc>
          <w:tcPr>
            <w:tcW w:w="721" w:type="pct"/>
            <w:shd w:val="clear" w:color="auto" w:fill="auto"/>
            <w:noWrap/>
            <w:vAlign w:val="center"/>
            <w:hideMark/>
          </w:tcPr>
          <w:p w14:paraId="64F85227"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10</w:t>
            </w:r>
          </w:p>
        </w:tc>
        <w:tc>
          <w:tcPr>
            <w:tcW w:w="1009" w:type="pct"/>
            <w:shd w:val="clear" w:color="auto" w:fill="auto"/>
            <w:noWrap/>
            <w:vAlign w:val="center"/>
            <w:hideMark/>
          </w:tcPr>
          <w:p w14:paraId="25748ED1"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 interquartile range</w:t>
            </w:r>
          </w:p>
        </w:tc>
      </w:tr>
      <w:tr w:rsidR="00456D63" w:rsidRPr="00C2770C" w14:paraId="4D6DD379" w14:textId="77777777" w:rsidTr="00083DEA">
        <w:trPr>
          <w:trHeight w:val="144"/>
        </w:trPr>
        <w:tc>
          <w:tcPr>
            <w:tcW w:w="961" w:type="pct"/>
            <w:vMerge/>
            <w:shd w:val="clear" w:color="auto" w:fill="auto"/>
            <w:noWrap/>
            <w:vAlign w:val="center"/>
            <w:hideMark/>
          </w:tcPr>
          <w:p w14:paraId="6C5F3700"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1BCDDA89"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SR</w:t>
            </w:r>
          </w:p>
        </w:tc>
        <w:tc>
          <w:tcPr>
            <w:tcW w:w="1924" w:type="pct"/>
            <w:shd w:val="clear" w:color="auto" w:fill="auto"/>
            <w:noWrap/>
            <w:vAlign w:val="center"/>
            <w:hideMark/>
          </w:tcPr>
          <w:p w14:paraId="43458406"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Simple ratio</w:t>
            </w:r>
          </w:p>
        </w:tc>
        <w:tc>
          <w:tcPr>
            <w:tcW w:w="721" w:type="pct"/>
            <w:shd w:val="clear" w:color="auto" w:fill="auto"/>
            <w:noWrap/>
            <w:vAlign w:val="center"/>
            <w:hideMark/>
          </w:tcPr>
          <w:p w14:paraId="5CE6B43E"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10</w:t>
            </w:r>
          </w:p>
        </w:tc>
        <w:tc>
          <w:tcPr>
            <w:tcW w:w="1009" w:type="pct"/>
            <w:shd w:val="clear" w:color="auto" w:fill="auto"/>
            <w:noWrap/>
            <w:vAlign w:val="center"/>
            <w:hideMark/>
          </w:tcPr>
          <w:p w14:paraId="199D951A"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 interquartile range</w:t>
            </w:r>
          </w:p>
        </w:tc>
      </w:tr>
      <w:tr w:rsidR="00456D63" w:rsidRPr="00C2770C" w14:paraId="7CD9E4F5" w14:textId="77777777" w:rsidTr="00083DEA">
        <w:trPr>
          <w:trHeight w:val="144"/>
        </w:trPr>
        <w:tc>
          <w:tcPr>
            <w:tcW w:w="961" w:type="pct"/>
            <w:vMerge/>
            <w:shd w:val="clear" w:color="auto" w:fill="auto"/>
            <w:noWrap/>
            <w:vAlign w:val="center"/>
            <w:hideMark/>
          </w:tcPr>
          <w:p w14:paraId="0956984F"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5A1DCFE3"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MSR</w:t>
            </w:r>
          </w:p>
        </w:tc>
        <w:tc>
          <w:tcPr>
            <w:tcW w:w="1924" w:type="pct"/>
            <w:shd w:val="clear" w:color="auto" w:fill="auto"/>
            <w:noWrap/>
            <w:vAlign w:val="center"/>
            <w:hideMark/>
          </w:tcPr>
          <w:p w14:paraId="44BD125A"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Modified simple ratio</w:t>
            </w:r>
          </w:p>
        </w:tc>
        <w:tc>
          <w:tcPr>
            <w:tcW w:w="721" w:type="pct"/>
            <w:shd w:val="clear" w:color="auto" w:fill="auto"/>
            <w:noWrap/>
            <w:vAlign w:val="center"/>
            <w:hideMark/>
          </w:tcPr>
          <w:p w14:paraId="2475ED33"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10</w:t>
            </w:r>
          </w:p>
        </w:tc>
        <w:tc>
          <w:tcPr>
            <w:tcW w:w="1009" w:type="pct"/>
            <w:shd w:val="clear" w:color="auto" w:fill="auto"/>
            <w:noWrap/>
            <w:vAlign w:val="center"/>
            <w:hideMark/>
          </w:tcPr>
          <w:p w14:paraId="5B198395"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 interquartile range</w:t>
            </w:r>
          </w:p>
        </w:tc>
      </w:tr>
      <w:tr w:rsidR="00456D63" w:rsidRPr="00C2770C" w14:paraId="14361DCA" w14:textId="77777777" w:rsidTr="00083DEA">
        <w:trPr>
          <w:trHeight w:val="144"/>
        </w:trPr>
        <w:tc>
          <w:tcPr>
            <w:tcW w:w="961" w:type="pct"/>
            <w:vMerge/>
            <w:shd w:val="clear" w:color="auto" w:fill="auto"/>
            <w:noWrap/>
            <w:vAlign w:val="center"/>
            <w:hideMark/>
          </w:tcPr>
          <w:p w14:paraId="4E31988B"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5FB5EAFB"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SAVI</w:t>
            </w:r>
          </w:p>
        </w:tc>
        <w:tc>
          <w:tcPr>
            <w:tcW w:w="1924" w:type="pct"/>
            <w:shd w:val="clear" w:color="auto" w:fill="auto"/>
            <w:noWrap/>
            <w:vAlign w:val="center"/>
            <w:hideMark/>
          </w:tcPr>
          <w:p w14:paraId="61047AE5"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Soil adjusted vegetation index</w:t>
            </w:r>
          </w:p>
        </w:tc>
        <w:tc>
          <w:tcPr>
            <w:tcW w:w="721" w:type="pct"/>
            <w:shd w:val="clear" w:color="auto" w:fill="auto"/>
            <w:noWrap/>
            <w:vAlign w:val="center"/>
            <w:hideMark/>
          </w:tcPr>
          <w:p w14:paraId="03EB899F"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10</w:t>
            </w:r>
          </w:p>
        </w:tc>
        <w:tc>
          <w:tcPr>
            <w:tcW w:w="1009" w:type="pct"/>
            <w:shd w:val="clear" w:color="auto" w:fill="auto"/>
            <w:noWrap/>
            <w:vAlign w:val="center"/>
            <w:hideMark/>
          </w:tcPr>
          <w:p w14:paraId="7E0B57D9"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 interquartile range</w:t>
            </w:r>
          </w:p>
        </w:tc>
      </w:tr>
      <w:tr w:rsidR="00456D63" w:rsidRPr="00C2770C" w14:paraId="4BC83766" w14:textId="77777777" w:rsidTr="00083DEA">
        <w:trPr>
          <w:trHeight w:val="144"/>
        </w:trPr>
        <w:tc>
          <w:tcPr>
            <w:tcW w:w="961" w:type="pct"/>
            <w:vMerge/>
            <w:shd w:val="clear" w:color="auto" w:fill="auto"/>
            <w:noWrap/>
            <w:vAlign w:val="center"/>
            <w:hideMark/>
          </w:tcPr>
          <w:p w14:paraId="7B218EE5"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5173D017"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MSAVI</w:t>
            </w:r>
          </w:p>
        </w:tc>
        <w:tc>
          <w:tcPr>
            <w:tcW w:w="1924" w:type="pct"/>
            <w:shd w:val="clear" w:color="auto" w:fill="auto"/>
            <w:noWrap/>
            <w:vAlign w:val="center"/>
            <w:hideMark/>
          </w:tcPr>
          <w:p w14:paraId="6302E795"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Modified soil adjusted vegetation index</w:t>
            </w:r>
          </w:p>
        </w:tc>
        <w:tc>
          <w:tcPr>
            <w:tcW w:w="721" w:type="pct"/>
            <w:shd w:val="clear" w:color="auto" w:fill="auto"/>
            <w:noWrap/>
            <w:vAlign w:val="center"/>
            <w:hideMark/>
          </w:tcPr>
          <w:p w14:paraId="017B282F"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10</w:t>
            </w:r>
          </w:p>
        </w:tc>
        <w:tc>
          <w:tcPr>
            <w:tcW w:w="1009" w:type="pct"/>
            <w:shd w:val="clear" w:color="auto" w:fill="auto"/>
            <w:noWrap/>
            <w:vAlign w:val="center"/>
            <w:hideMark/>
          </w:tcPr>
          <w:p w14:paraId="6CC13983"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 interquartile range</w:t>
            </w:r>
          </w:p>
        </w:tc>
      </w:tr>
      <w:tr w:rsidR="00456D63" w:rsidRPr="00C2770C" w14:paraId="7FC7D243" w14:textId="77777777" w:rsidTr="00083DEA">
        <w:trPr>
          <w:trHeight w:val="144"/>
        </w:trPr>
        <w:tc>
          <w:tcPr>
            <w:tcW w:w="961" w:type="pct"/>
            <w:vMerge w:val="restart"/>
            <w:shd w:val="clear" w:color="auto" w:fill="auto"/>
            <w:noWrap/>
            <w:vAlign w:val="center"/>
            <w:hideMark/>
          </w:tcPr>
          <w:p w14:paraId="5B021D25" w14:textId="243424F2" w:rsidR="00456D63" w:rsidRPr="00C2770C" w:rsidRDefault="00456D63" w:rsidP="00083DEA">
            <w:pPr>
              <w:keepNext/>
              <w:keepLines/>
              <w:spacing w:after="0" w:line="240" w:lineRule="auto"/>
              <w:jc w:val="both"/>
              <w:rPr>
                <w:rFonts w:ascii="Arial" w:eastAsia="Times New Roman" w:hAnsi="Arial" w:cs="Arial"/>
                <w:color w:val="000000"/>
                <w:sz w:val="14"/>
                <w:szCs w:val="14"/>
                <w:lang w:val="pt-BR"/>
              </w:rPr>
            </w:pPr>
            <w:proofErr w:type="spellStart"/>
            <w:r w:rsidRPr="00C2770C">
              <w:rPr>
                <w:rFonts w:ascii="Arial" w:eastAsia="Times New Roman" w:hAnsi="Arial" w:cs="Arial"/>
                <w:color w:val="000000"/>
                <w:sz w:val="14"/>
                <w:szCs w:val="14"/>
                <w:lang w:val="pt-BR"/>
              </w:rPr>
              <w:t>Copernicus</w:t>
            </w:r>
            <w:proofErr w:type="spellEnd"/>
            <w:r w:rsidRPr="00C2770C">
              <w:rPr>
                <w:rFonts w:ascii="Arial" w:eastAsia="Times New Roman" w:hAnsi="Arial" w:cs="Arial"/>
                <w:color w:val="000000"/>
                <w:sz w:val="14"/>
                <w:szCs w:val="14"/>
                <w:lang w:val="pt-BR"/>
              </w:rPr>
              <w:t xml:space="preserve"> </w:t>
            </w:r>
            <w:r>
              <w:rPr>
                <w:rFonts w:ascii="Arial" w:eastAsia="Times New Roman" w:hAnsi="Arial" w:cs="Arial"/>
                <w:color w:val="000000"/>
                <w:sz w:val="14"/>
                <w:szCs w:val="14"/>
                <w:lang w:val="pt-BR"/>
              </w:rPr>
              <w:t xml:space="preserve">DEM </w:t>
            </w:r>
            <w:r w:rsidRPr="00C2770C">
              <w:rPr>
                <w:rFonts w:ascii="Arial" w:eastAsia="Times New Roman" w:hAnsi="Arial" w:cs="Arial"/>
                <w:color w:val="000000"/>
                <w:sz w:val="14"/>
                <w:szCs w:val="14"/>
                <w:lang w:val="pt-BR"/>
              </w:rPr>
              <w:t>GLO-30 (COPDEM)</w:t>
            </w:r>
          </w:p>
          <w:p w14:paraId="7B24ED27"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lang w:val="pt-BR"/>
              </w:rPr>
            </w:pPr>
            <w:r w:rsidRPr="00C2770C">
              <w:rPr>
                <w:rFonts w:ascii="Arial" w:eastAsia="Times New Roman" w:hAnsi="Arial" w:cs="Arial"/>
                <w:color w:val="000000"/>
                <w:sz w:val="14"/>
                <w:szCs w:val="14"/>
                <w:lang w:val="pt-BR"/>
              </w:rPr>
              <w:t>COPERNICUS/DEM/GLO30</w:t>
            </w:r>
          </w:p>
        </w:tc>
        <w:tc>
          <w:tcPr>
            <w:tcW w:w="385" w:type="pct"/>
            <w:shd w:val="clear" w:color="auto" w:fill="auto"/>
            <w:noWrap/>
            <w:vAlign w:val="center"/>
            <w:hideMark/>
          </w:tcPr>
          <w:p w14:paraId="52AAF3C4"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z</w:t>
            </w:r>
          </w:p>
        </w:tc>
        <w:tc>
          <w:tcPr>
            <w:tcW w:w="1924" w:type="pct"/>
            <w:shd w:val="clear" w:color="auto" w:fill="auto"/>
            <w:noWrap/>
            <w:vAlign w:val="center"/>
            <w:hideMark/>
          </w:tcPr>
          <w:p w14:paraId="03569720"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Surface elevation</w:t>
            </w:r>
          </w:p>
        </w:tc>
        <w:tc>
          <w:tcPr>
            <w:tcW w:w="721" w:type="pct"/>
            <w:shd w:val="clear" w:color="auto" w:fill="auto"/>
            <w:noWrap/>
            <w:vAlign w:val="center"/>
            <w:hideMark/>
          </w:tcPr>
          <w:p w14:paraId="2BF04FD6"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30</w:t>
            </w:r>
          </w:p>
        </w:tc>
        <w:tc>
          <w:tcPr>
            <w:tcW w:w="1009" w:type="pct"/>
            <w:shd w:val="clear" w:color="auto" w:fill="auto"/>
            <w:noWrap/>
            <w:vAlign w:val="center"/>
            <w:hideMark/>
          </w:tcPr>
          <w:p w14:paraId="3D339AD6"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None</w:t>
            </w:r>
          </w:p>
        </w:tc>
      </w:tr>
      <w:tr w:rsidR="00456D63" w:rsidRPr="00C2770C" w14:paraId="522D3BD7" w14:textId="77777777" w:rsidTr="00083DEA">
        <w:trPr>
          <w:trHeight w:val="144"/>
        </w:trPr>
        <w:tc>
          <w:tcPr>
            <w:tcW w:w="961" w:type="pct"/>
            <w:vMerge/>
            <w:shd w:val="clear" w:color="auto" w:fill="auto"/>
            <w:noWrap/>
            <w:vAlign w:val="center"/>
            <w:hideMark/>
          </w:tcPr>
          <w:p w14:paraId="2FDA6255"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67FB1272"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s</w:t>
            </w:r>
          </w:p>
        </w:tc>
        <w:tc>
          <w:tcPr>
            <w:tcW w:w="1924" w:type="pct"/>
            <w:shd w:val="clear" w:color="auto" w:fill="auto"/>
            <w:noWrap/>
            <w:vAlign w:val="center"/>
            <w:hideMark/>
          </w:tcPr>
          <w:p w14:paraId="25FF88C4" w14:textId="77777777" w:rsidR="00456D63" w:rsidRPr="00C2770C" w:rsidRDefault="00456D63" w:rsidP="00083DEA">
            <w:pPr>
              <w:keepNext/>
              <w:keepLines/>
              <w:spacing w:after="0" w:line="240" w:lineRule="auto"/>
              <w:jc w:val="both"/>
              <w:rPr>
                <w:rFonts w:ascii="Arial" w:eastAsia="Times New Roman" w:hAnsi="Arial" w:cs="Arial"/>
                <w:color w:val="212121"/>
                <w:sz w:val="14"/>
                <w:szCs w:val="14"/>
              </w:rPr>
            </w:pPr>
            <w:r w:rsidRPr="00C2770C">
              <w:rPr>
                <w:rFonts w:ascii="Arial" w:eastAsia="Times New Roman" w:hAnsi="Arial" w:cs="Arial"/>
                <w:color w:val="212121"/>
                <w:sz w:val="14"/>
                <w:szCs w:val="14"/>
              </w:rPr>
              <w:t>Surface slope</w:t>
            </w:r>
          </w:p>
        </w:tc>
        <w:tc>
          <w:tcPr>
            <w:tcW w:w="721" w:type="pct"/>
            <w:shd w:val="clear" w:color="auto" w:fill="auto"/>
            <w:noWrap/>
            <w:vAlign w:val="center"/>
            <w:hideMark/>
          </w:tcPr>
          <w:p w14:paraId="572E8983"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30</w:t>
            </w:r>
          </w:p>
        </w:tc>
        <w:tc>
          <w:tcPr>
            <w:tcW w:w="1009" w:type="pct"/>
            <w:shd w:val="clear" w:color="auto" w:fill="auto"/>
            <w:noWrap/>
            <w:vAlign w:val="center"/>
            <w:hideMark/>
          </w:tcPr>
          <w:p w14:paraId="2F5E5D47"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None</w:t>
            </w:r>
          </w:p>
        </w:tc>
      </w:tr>
      <w:tr w:rsidR="00456D63" w:rsidRPr="00C2770C" w14:paraId="1AA1B1C5" w14:textId="77777777" w:rsidTr="00083DEA">
        <w:trPr>
          <w:trHeight w:val="144"/>
        </w:trPr>
        <w:tc>
          <w:tcPr>
            <w:tcW w:w="961" w:type="pct"/>
            <w:vMerge w:val="restart"/>
            <w:shd w:val="clear" w:color="auto" w:fill="auto"/>
            <w:noWrap/>
            <w:vAlign w:val="center"/>
            <w:hideMark/>
          </w:tcPr>
          <w:p w14:paraId="2C5D9926"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lang w:val="pt-BR"/>
              </w:rPr>
            </w:pPr>
            <w:r w:rsidRPr="00C2770C">
              <w:rPr>
                <w:rFonts w:ascii="Arial" w:eastAsia="Times New Roman" w:hAnsi="Arial" w:cs="Arial"/>
                <w:color w:val="000000"/>
                <w:sz w:val="14"/>
                <w:szCs w:val="14"/>
                <w:lang w:val="pt-BR"/>
              </w:rPr>
              <w:t>PALSAR</w:t>
            </w:r>
          </w:p>
          <w:p w14:paraId="1DC90BD1"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lang w:val="pt-BR"/>
              </w:rPr>
            </w:pPr>
            <w:r w:rsidRPr="00C2770C">
              <w:rPr>
                <w:rFonts w:ascii="Arial" w:eastAsia="Times New Roman" w:hAnsi="Arial" w:cs="Arial"/>
                <w:color w:val="000000"/>
                <w:sz w:val="14"/>
                <w:szCs w:val="14"/>
                <w:lang w:val="pt-BR"/>
              </w:rPr>
              <w:t>JAXA/ALOS/PALSAR/YEARLY/SAR</w:t>
            </w:r>
          </w:p>
        </w:tc>
        <w:tc>
          <w:tcPr>
            <w:tcW w:w="385" w:type="pct"/>
            <w:shd w:val="clear" w:color="auto" w:fill="auto"/>
            <w:noWrap/>
            <w:vAlign w:val="center"/>
            <w:hideMark/>
          </w:tcPr>
          <w:p w14:paraId="44D70F91"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HH</w:t>
            </w:r>
          </w:p>
        </w:tc>
        <w:tc>
          <w:tcPr>
            <w:tcW w:w="1924" w:type="pct"/>
            <w:shd w:val="clear" w:color="auto" w:fill="auto"/>
            <w:noWrap/>
            <w:vAlign w:val="center"/>
            <w:hideMark/>
          </w:tcPr>
          <w:p w14:paraId="097D01D3"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HH polarization backscattering coefficient</w:t>
            </w:r>
          </w:p>
        </w:tc>
        <w:tc>
          <w:tcPr>
            <w:tcW w:w="721" w:type="pct"/>
            <w:shd w:val="clear" w:color="auto" w:fill="auto"/>
            <w:noWrap/>
            <w:vAlign w:val="center"/>
            <w:hideMark/>
          </w:tcPr>
          <w:p w14:paraId="1BBBAE75"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25</w:t>
            </w:r>
          </w:p>
        </w:tc>
        <w:tc>
          <w:tcPr>
            <w:tcW w:w="1009" w:type="pct"/>
            <w:shd w:val="clear" w:color="auto" w:fill="auto"/>
            <w:noWrap/>
            <w:vAlign w:val="center"/>
            <w:hideMark/>
          </w:tcPr>
          <w:p w14:paraId="0A2077D4"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410CABFF" w14:textId="77777777" w:rsidTr="00083DEA">
        <w:trPr>
          <w:trHeight w:val="144"/>
        </w:trPr>
        <w:tc>
          <w:tcPr>
            <w:tcW w:w="961" w:type="pct"/>
            <w:vMerge/>
            <w:shd w:val="clear" w:color="auto" w:fill="auto"/>
            <w:noWrap/>
            <w:vAlign w:val="center"/>
            <w:hideMark/>
          </w:tcPr>
          <w:p w14:paraId="482D9D6B"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18FCFD52"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HV</w:t>
            </w:r>
          </w:p>
        </w:tc>
        <w:tc>
          <w:tcPr>
            <w:tcW w:w="1924" w:type="pct"/>
            <w:shd w:val="clear" w:color="auto" w:fill="auto"/>
            <w:noWrap/>
            <w:vAlign w:val="center"/>
            <w:hideMark/>
          </w:tcPr>
          <w:p w14:paraId="3C8EF866"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HV polarization backscattering coefficient</w:t>
            </w:r>
          </w:p>
        </w:tc>
        <w:tc>
          <w:tcPr>
            <w:tcW w:w="721" w:type="pct"/>
            <w:shd w:val="clear" w:color="auto" w:fill="auto"/>
            <w:noWrap/>
            <w:vAlign w:val="center"/>
            <w:hideMark/>
          </w:tcPr>
          <w:p w14:paraId="53DC3114"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25</w:t>
            </w:r>
          </w:p>
        </w:tc>
        <w:tc>
          <w:tcPr>
            <w:tcW w:w="1009" w:type="pct"/>
            <w:shd w:val="clear" w:color="auto" w:fill="auto"/>
            <w:noWrap/>
            <w:vAlign w:val="center"/>
            <w:hideMark/>
          </w:tcPr>
          <w:p w14:paraId="4153A5CE"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3A506EEE" w14:textId="77777777" w:rsidTr="00083DEA">
        <w:trPr>
          <w:trHeight w:val="144"/>
        </w:trPr>
        <w:tc>
          <w:tcPr>
            <w:tcW w:w="961" w:type="pct"/>
            <w:vMerge/>
            <w:shd w:val="clear" w:color="auto" w:fill="auto"/>
            <w:noWrap/>
            <w:vAlign w:val="center"/>
            <w:hideMark/>
          </w:tcPr>
          <w:p w14:paraId="1E2F3F83"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15A45152"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HV/HH</w:t>
            </w:r>
          </w:p>
        </w:tc>
        <w:tc>
          <w:tcPr>
            <w:tcW w:w="1924" w:type="pct"/>
            <w:shd w:val="clear" w:color="auto" w:fill="auto"/>
            <w:noWrap/>
            <w:vAlign w:val="center"/>
            <w:hideMark/>
          </w:tcPr>
          <w:p w14:paraId="5BD06A43"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HV divided by HH</w:t>
            </w:r>
          </w:p>
        </w:tc>
        <w:tc>
          <w:tcPr>
            <w:tcW w:w="721" w:type="pct"/>
            <w:shd w:val="clear" w:color="auto" w:fill="auto"/>
            <w:noWrap/>
            <w:vAlign w:val="center"/>
            <w:hideMark/>
          </w:tcPr>
          <w:p w14:paraId="6589845F"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25</w:t>
            </w:r>
          </w:p>
        </w:tc>
        <w:tc>
          <w:tcPr>
            <w:tcW w:w="1009" w:type="pct"/>
            <w:shd w:val="clear" w:color="auto" w:fill="auto"/>
            <w:noWrap/>
            <w:vAlign w:val="center"/>
            <w:hideMark/>
          </w:tcPr>
          <w:p w14:paraId="67A83043"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0E5D6CBB" w14:textId="77777777" w:rsidTr="00083DEA">
        <w:trPr>
          <w:trHeight w:val="144"/>
        </w:trPr>
        <w:tc>
          <w:tcPr>
            <w:tcW w:w="961" w:type="pct"/>
            <w:vMerge w:val="restart"/>
            <w:shd w:val="clear" w:color="auto" w:fill="auto"/>
            <w:noWrap/>
            <w:vAlign w:val="center"/>
            <w:hideMark/>
          </w:tcPr>
          <w:p w14:paraId="3ABC6C37"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SENTINEL</w:t>
            </w:r>
          </w:p>
          <w:p w14:paraId="699045F5"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COPERNICUS/S1_GRD</w:t>
            </w:r>
          </w:p>
        </w:tc>
        <w:tc>
          <w:tcPr>
            <w:tcW w:w="385" w:type="pct"/>
            <w:shd w:val="clear" w:color="auto" w:fill="auto"/>
            <w:noWrap/>
            <w:vAlign w:val="center"/>
            <w:hideMark/>
          </w:tcPr>
          <w:p w14:paraId="5ED8A8E2"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VV</w:t>
            </w:r>
          </w:p>
        </w:tc>
        <w:tc>
          <w:tcPr>
            <w:tcW w:w="1924" w:type="pct"/>
            <w:shd w:val="clear" w:color="auto" w:fill="auto"/>
            <w:noWrap/>
            <w:vAlign w:val="center"/>
            <w:hideMark/>
          </w:tcPr>
          <w:p w14:paraId="38D3E0FC"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Single co-polarization, vertical transmit/vertical receive</w:t>
            </w:r>
          </w:p>
        </w:tc>
        <w:tc>
          <w:tcPr>
            <w:tcW w:w="721" w:type="pct"/>
            <w:shd w:val="clear" w:color="auto" w:fill="auto"/>
            <w:noWrap/>
            <w:vAlign w:val="center"/>
            <w:hideMark/>
          </w:tcPr>
          <w:p w14:paraId="336AF931"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10</w:t>
            </w:r>
          </w:p>
        </w:tc>
        <w:tc>
          <w:tcPr>
            <w:tcW w:w="1009" w:type="pct"/>
            <w:shd w:val="clear" w:color="auto" w:fill="auto"/>
            <w:noWrap/>
            <w:vAlign w:val="center"/>
            <w:hideMark/>
          </w:tcPr>
          <w:p w14:paraId="29E697E1" w14:textId="77777777" w:rsidR="00456D63" w:rsidRPr="00C2770C" w:rsidRDefault="00456D63" w:rsidP="00083DEA">
            <w:pPr>
              <w:keepNext/>
              <w:keepLines/>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r w:rsidR="00456D63" w:rsidRPr="00C2770C" w14:paraId="4A386302" w14:textId="77777777" w:rsidTr="00083DEA">
        <w:trPr>
          <w:trHeight w:val="144"/>
        </w:trPr>
        <w:tc>
          <w:tcPr>
            <w:tcW w:w="961" w:type="pct"/>
            <w:vMerge/>
            <w:shd w:val="clear" w:color="auto" w:fill="auto"/>
            <w:noWrap/>
            <w:vAlign w:val="center"/>
            <w:hideMark/>
          </w:tcPr>
          <w:p w14:paraId="3120FB2E" w14:textId="77777777" w:rsidR="00456D63" w:rsidRPr="00C2770C" w:rsidRDefault="00456D63" w:rsidP="00083DEA">
            <w:pPr>
              <w:spacing w:after="0" w:line="240" w:lineRule="auto"/>
              <w:jc w:val="both"/>
              <w:rPr>
                <w:rFonts w:ascii="Arial" w:eastAsia="Times New Roman" w:hAnsi="Arial" w:cs="Arial"/>
                <w:color w:val="000000"/>
                <w:sz w:val="14"/>
                <w:szCs w:val="14"/>
              </w:rPr>
            </w:pPr>
          </w:p>
        </w:tc>
        <w:tc>
          <w:tcPr>
            <w:tcW w:w="385" w:type="pct"/>
            <w:shd w:val="clear" w:color="auto" w:fill="auto"/>
            <w:noWrap/>
            <w:vAlign w:val="center"/>
            <w:hideMark/>
          </w:tcPr>
          <w:p w14:paraId="5950E4DB" w14:textId="77777777" w:rsidR="00456D63" w:rsidRPr="00C2770C" w:rsidRDefault="00456D63" w:rsidP="00083DEA">
            <w:pPr>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VH</w:t>
            </w:r>
          </w:p>
        </w:tc>
        <w:tc>
          <w:tcPr>
            <w:tcW w:w="1924" w:type="pct"/>
            <w:shd w:val="clear" w:color="auto" w:fill="auto"/>
            <w:noWrap/>
            <w:vAlign w:val="center"/>
            <w:hideMark/>
          </w:tcPr>
          <w:p w14:paraId="0F689AE6" w14:textId="77777777" w:rsidR="00456D63" w:rsidRPr="00C2770C" w:rsidRDefault="00456D63" w:rsidP="00083DEA">
            <w:pPr>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Dual-band cross-polarization, vertical transmit/horizontal receive</w:t>
            </w:r>
          </w:p>
        </w:tc>
        <w:tc>
          <w:tcPr>
            <w:tcW w:w="721" w:type="pct"/>
            <w:shd w:val="clear" w:color="auto" w:fill="auto"/>
            <w:noWrap/>
            <w:vAlign w:val="center"/>
            <w:hideMark/>
          </w:tcPr>
          <w:p w14:paraId="3B0B2E44" w14:textId="77777777" w:rsidR="00456D63" w:rsidRPr="00C2770C" w:rsidRDefault="00456D63" w:rsidP="00083DEA">
            <w:pPr>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10</w:t>
            </w:r>
          </w:p>
        </w:tc>
        <w:tc>
          <w:tcPr>
            <w:tcW w:w="1009" w:type="pct"/>
            <w:shd w:val="clear" w:color="auto" w:fill="auto"/>
            <w:noWrap/>
            <w:vAlign w:val="center"/>
            <w:hideMark/>
          </w:tcPr>
          <w:p w14:paraId="36FAAFD6" w14:textId="77777777" w:rsidR="00456D63" w:rsidRPr="00C2770C" w:rsidRDefault="00456D63" w:rsidP="00083DEA">
            <w:pPr>
              <w:spacing w:after="0" w:line="240" w:lineRule="auto"/>
              <w:jc w:val="both"/>
              <w:rPr>
                <w:rFonts w:ascii="Arial" w:eastAsia="Times New Roman" w:hAnsi="Arial" w:cs="Arial"/>
                <w:color w:val="000000"/>
                <w:sz w:val="14"/>
                <w:szCs w:val="14"/>
              </w:rPr>
            </w:pPr>
            <w:r w:rsidRPr="00C2770C">
              <w:rPr>
                <w:rFonts w:ascii="Arial" w:eastAsia="Times New Roman" w:hAnsi="Arial" w:cs="Arial"/>
                <w:color w:val="000000"/>
                <w:sz w:val="14"/>
                <w:szCs w:val="14"/>
              </w:rPr>
              <w:t>Median</w:t>
            </w:r>
          </w:p>
        </w:tc>
      </w:tr>
    </w:tbl>
    <w:p w14:paraId="703B1B64" w14:textId="77777777" w:rsidR="00456D63" w:rsidRPr="00C2770C" w:rsidRDefault="00456D63" w:rsidP="00456D63">
      <w:pPr>
        <w:jc w:val="both"/>
        <w:rPr>
          <w:rFonts w:ascii="Arial" w:hAnsi="Arial" w:cs="Arial"/>
        </w:rPr>
      </w:pPr>
    </w:p>
    <w:p w14:paraId="2696B91A" w14:textId="1F9FE7D1" w:rsidR="00456D63" w:rsidRPr="00C2770C" w:rsidRDefault="00456D63" w:rsidP="00456D63">
      <w:pPr>
        <w:rPr>
          <w:rFonts w:ascii="Arial" w:hAnsi="Arial" w:cs="Arial"/>
        </w:rPr>
      </w:pPr>
      <w:r w:rsidRPr="00C2770C">
        <w:rPr>
          <w:rFonts w:ascii="Arial" w:hAnsi="Arial" w:cs="Arial"/>
        </w:rPr>
        <w:t>Table S2 presents the index equations used in this study, as well as the input bands for both Landsat 8 and Sentinel 2 images.</w:t>
      </w:r>
    </w:p>
    <w:p w14:paraId="7F47D1F7" w14:textId="548D0B60" w:rsidR="00456D63" w:rsidRPr="00C2770C" w:rsidRDefault="00456D63" w:rsidP="00456D63">
      <w:pPr>
        <w:spacing w:after="0"/>
        <w:rPr>
          <w:rFonts w:ascii="Arial" w:hAnsi="Arial" w:cs="Arial"/>
        </w:rPr>
      </w:pPr>
      <w:r w:rsidRPr="00456D63">
        <w:rPr>
          <w:rFonts w:ascii="Arial" w:hAnsi="Arial" w:cs="Arial"/>
          <w:b/>
          <w:bCs/>
        </w:rPr>
        <w:t>Table S2.</w:t>
      </w:r>
      <w:r w:rsidRPr="00C2770C">
        <w:rPr>
          <w:rFonts w:ascii="Arial" w:hAnsi="Arial" w:cs="Arial"/>
        </w:rPr>
        <w:t xml:space="preserve"> Index formulas and inputs.</w:t>
      </w:r>
    </w:p>
    <w:tbl>
      <w:tblPr>
        <w:tblStyle w:val="Tabelacomgrade"/>
        <w:tblW w:w="5000" w:type="pct"/>
        <w:tblLook w:val="04A0" w:firstRow="1" w:lastRow="0" w:firstColumn="1" w:lastColumn="0" w:noHBand="0" w:noVBand="1"/>
      </w:tblPr>
      <w:tblGrid>
        <w:gridCol w:w="901"/>
        <w:gridCol w:w="4837"/>
        <w:gridCol w:w="1361"/>
        <w:gridCol w:w="1395"/>
      </w:tblGrid>
      <w:tr w:rsidR="00456D63" w:rsidRPr="00C2770C" w14:paraId="17C0D1A7" w14:textId="77777777" w:rsidTr="00083DEA">
        <w:tc>
          <w:tcPr>
            <w:tcW w:w="447" w:type="pct"/>
            <w:vAlign w:val="center"/>
          </w:tcPr>
          <w:p w14:paraId="014EE16D" w14:textId="77777777" w:rsidR="00456D63" w:rsidRPr="00C2770C" w:rsidRDefault="00456D63" w:rsidP="00083DEA">
            <w:pPr>
              <w:spacing w:line="276" w:lineRule="auto"/>
              <w:jc w:val="center"/>
              <w:rPr>
                <w:rFonts w:ascii="Arial" w:hAnsi="Arial" w:cs="Arial"/>
                <w:b/>
                <w:bCs/>
                <w:szCs w:val="20"/>
              </w:rPr>
            </w:pPr>
            <w:r w:rsidRPr="00C2770C">
              <w:rPr>
                <w:rFonts w:ascii="Arial" w:hAnsi="Arial" w:cs="Arial"/>
                <w:b/>
                <w:bCs/>
                <w:szCs w:val="20"/>
              </w:rPr>
              <w:lastRenderedPageBreak/>
              <w:t>Index</w:t>
            </w:r>
          </w:p>
        </w:tc>
        <w:tc>
          <w:tcPr>
            <w:tcW w:w="2357" w:type="pct"/>
            <w:vAlign w:val="center"/>
          </w:tcPr>
          <w:p w14:paraId="4A2ACD44" w14:textId="77777777" w:rsidR="00456D63" w:rsidRPr="00C2770C" w:rsidRDefault="00456D63" w:rsidP="00083DEA">
            <w:pPr>
              <w:spacing w:line="276" w:lineRule="auto"/>
              <w:jc w:val="center"/>
              <w:rPr>
                <w:rFonts w:ascii="Arial" w:hAnsi="Arial" w:cs="Arial"/>
                <w:b/>
                <w:bCs/>
                <w:szCs w:val="20"/>
              </w:rPr>
            </w:pPr>
            <w:r w:rsidRPr="00C2770C">
              <w:rPr>
                <w:rFonts w:ascii="Arial" w:hAnsi="Arial" w:cs="Arial"/>
                <w:b/>
                <w:bCs/>
                <w:szCs w:val="20"/>
              </w:rPr>
              <w:t>Formula</w:t>
            </w:r>
          </w:p>
        </w:tc>
        <w:tc>
          <w:tcPr>
            <w:tcW w:w="1088" w:type="pct"/>
            <w:vAlign w:val="center"/>
          </w:tcPr>
          <w:p w14:paraId="67118C28" w14:textId="77777777" w:rsidR="00456D63" w:rsidRPr="00C2770C" w:rsidRDefault="00456D63" w:rsidP="00083DEA">
            <w:pPr>
              <w:spacing w:line="276" w:lineRule="auto"/>
              <w:jc w:val="center"/>
              <w:rPr>
                <w:rFonts w:ascii="Arial" w:hAnsi="Arial" w:cs="Arial"/>
                <w:b/>
                <w:bCs/>
                <w:szCs w:val="20"/>
              </w:rPr>
            </w:pPr>
            <w:r w:rsidRPr="00C2770C">
              <w:rPr>
                <w:rFonts w:ascii="Arial" w:hAnsi="Arial" w:cs="Arial"/>
                <w:b/>
                <w:bCs/>
                <w:szCs w:val="20"/>
              </w:rPr>
              <w:t>Landsat 8 bands</w:t>
            </w:r>
          </w:p>
        </w:tc>
        <w:tc>
          <w:tcPr>
            <w:tcW w:w="1108" w:type="pct"/>
            <w:vAlign w:val="center"/>
          </w:tcPr>
          <w:p w14:paraId="273AD9C3" w14:textId="77777777" w:rsidR="00456D63" w:rsidRPr="00C2770C" w:rsidRDefault="00456D63" w:rsidP="00083DEA">
            <w:pPr>
              <w:spacing w:line="276" w:lineRule="auto"/>
              <w:jc w:val="center"/>
              <w:rPr>
                <w:rFonts w:ascii="Arial" w:hAnsi="Arial" w:cs="Arial"/>
                <w:b/>
                <w:bCs/>
                <w:szCs w:val="20"/>
              </w:rPr>
            </w:pPr>
            <w:r w:rsidRPr="00C2770C">
              <w:rPr>
                <w:rFonts w:ascii="Arial" w:hAnsi="Arial" w:cs="Arial"/>
                <w:b/>
                <w:bCs/>
                <w:szCs w:val="20"/>
              </w:rPr>
              <w:t>Sentinel 2 bands</w:t>
            </w:r>
          </w:p>
        </w:tc>
      </w:tr>
      <w:tr w:rsidR="00456D63" w:rsidRPr="00C2770C" w14:paraId="13B245B9" w14:textId="77777777" w:rsidTr="00083DEA">
        <w:tc>
          <w:tcPr>
            <w:tcW w:w="447" w:type="pct"/>
            <w:vAlign w:val="center"/>
          </w:tcPr>
          <w:p w14:paraId="5B37B5E7" w14:textId="77777777" w:rsidR="00456D63" w:rsidRPr="00C2770C" w:rsidRDefault="00456D63" w:rsidP="00083DEA">
            <w:pPr>
              <w:spacing w:line="276" w:lineRule="auto"/>
              <w:jc w:val="center"/>
              <w:rPr>
                <w:rFonts w:ascii="Arial" w:hAnsi="Arial" w:cs="Arial"/>
                <w:szCs w:val="20"/>
              </w:rPr>
            </w:pPr>
            <w:r w:rsidRPr="00C2770C">
              <w:rPr>
                <w:rFonts w:ascii="Arial" w:hAnsi="Arial" w:cs="Arial"/>
                <w:szCs w:val="20"/>
              </w:rPr>
              <w:t>NDVI</w:t>
            </w:r>
          </w:p>
        </w:tc>
        <w:tc>
          <w:tcPr>
            <w:tcW w:w="2357" w:type="pct"/>
            <w:vAlign w:val="center"/>
          </w:tcPr>
          <w:p w14:paraId="034A4EA4" w14:textId="77777777" w:rsidR="00456D63" w:rsidRPr="00C2770C" w:rsidRDefault="00000000" w:rsidP="00083DEA">
            <w:pPr>
              <w:spacing w:line="276" w:lineRule="auto"/>
              <w:jc w:val="center"/>
              <w:rPr>
                <w:rFonts w:ascii="Arial" w:eastAsia="Calibri" w:hAnsi="Arial" w:cs="Arial"/>
                <w:szCs w:val="20"/>
              </w:rPr>
            </w:pPr>
            <m:oMathPara>
              <m:oMath>
                <m:f>
                  <m:fPr>
                    <m:ctrlPr>
                      <w:rPr>
                        <w:rFonts w:ascii="Cambria Math" w:hAnsi="Cambria Math" w:cs="Arial"/>
                        <w:i/>
                        <w:szCs w:val="20"/>
                      </w:rPr>
                    </m:ctrlPr>
                  </m:fPr>
                  <m:num>
                    <m:r>
                      <w:rPr>
                        <w:rFonts w:ascii="Cambria Math" w:hAnsi="Cambria Math" w:cs="Arial"/>
                        <w:szCs w:val="20"/>
                      </w:rPr>
                      <m:t>NIR-R</m:t>
                    </m:r>
                  </m:num>
                  <m:den>
                    <m:r>
                      <w:rPr>
                        <w:rFonts w:ascii="Cambria Math" w:hAnsi="Cambria Math" w:cs="Arial"/>
                        <w:szCs w:val="20"/>
                      </w:rPr>
                      <m:t>NIR+R</m:t>
                    </m:r>
                  </m:den>
                </m:f>
              </m:oMath>
            </m:oMathPara>
          </w:p>
        </w:tc>
        <w:tc>
          <w:tcPr>
            <w:tcW w:w="1088" w:type="pct"/>
            <w:vAlign w:val="center"/>
          </w:tcPr>
          <w:p w14:paraId="54B79662"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NIR: B5</w:t>
            </w:r>
          </w:p>
          <w:p w14:paraId="22111F46"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R: B4</w:t>
            </w:r>
          </w:p>
        </w:tc>
        <w:tc>
          <w:tcPr>
            <w:tcW w:w="1108" w:type="pct"/>
            <w:vAlign w:val="center"/>
          </w:tcPr>
          <w:p w14:paraId="05E9799B"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NIR: B8</w:t>
            </w:r>
          </w:p>
          <w:p w14:paraId="68EAD31F"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R: B4</w:t>
            </w:r>
          </w:p>
        </w:tc>
      </w:tr>
      <w:tr w:rsidR="00456D63" w:rsidRPr="00C2770C" w14:paraId="526CCAFA" w14:textId="77777777" w:rsidTr="00083DEA">
        <w:tc>
          <w:tcPr>
            <w:tcW w:w="447" w:type="pct"/>
            <w:vAlign w:val="center"/>
          </w:tcPr>
          <w:p w14:paraId="39298E8B" w14:textId="77777777" w:rsidR="00456D63" w:rsidRPr="00C2770C" w:rsidRDefault="00456D63" w:rsidP="00083DEA">
            <w:pPr>
              <w:spacing w:line="276" w:lineRule="auto"/>
              <w:jc w:val="center"/>
              <w:rPr>
                <w:rFonts w:ascii="Arial" w:hAnsi="Arial" w:cs="Arial"/>
                <w:szCs w:val="20"/>
              </w:rPr>
            </w:pPr>
            <w:r w:rsidRPr="00C2770C">
              <w:rPr>
                <w:rFonts w:ascii="Arial" w:hAnsi="Arial" w:cs="Arial"/>
                <w:szCs w:val="20"/>
              </w:rPr>
              <w:t>NDWI</w:t>
            </w:r>
          </w:p>
        </w:tc>
        <w:tc>
          <w:tcPr>
            <w:tcW w:w="2357" w:type="pct"/>
            <w:vAlign w:val="center"/>
          </w:tcPr>
          <w:p w14:paraId="0A4E3727" w14:textId="77777777" w:rsidR="00456D63" w:rsidRPr="00C2770C" w:rsidRDefault="00000000" w:rsidP="00083DEA">
            <w:pPr>
              <w:spacing w:line="276" w:lineRule="auto"/>
              <w:jc w:val="center"/>
              <w:rPr>
                <w:rFonts w:ascii="Arial" w:eastAsia="Calibri" w:hAnsi="Arial" w:cs="Arial"/>
                <w:szCs w:val="20"/>
              </w:rPr>
            </w:pPr>
            <m:oMathPara>
              <m:oMath>
                <m:f>
                  <m:fPr>
                    <m:ctrlPr>
                      <w:rPr>
                        <w:rFonts w:ascii="Cambria Math" w:hAnsi="Cambria Math" w:cs="Arial"/>
                        <w:i/>
                        <w:szCs w:val="20"/>
                      </w:rPr>
                    </m:ctrlPr>
                  </m:fPr>
                  <m:num>
                    <m:r>
                      <w:rPr>
                        <w:rFonts w:ascii="Cambria Math" w:hAnsi="Cambria Math" w:cs="Arial"/>
                        <w:szCs w:val="20"/>
                      </w:rPr>
                      <m:t>NIR-B</m:t>
                    </m:r>
                  </m:num>
                  <m:den>
                    <m:r>
                      <w:rPr>
                        <w:rFonts w:ascii="Cambria Math" w:hAnsi="Cambria Math" w:cs="Arial"/>
                        <w:szCs w:val="20"/>
                      </w:rPr>
                      <m:t>NIR+B</m:t>
                    </m:r>
                  </m:den>
                </m:f>
              </m:oMath>
            </m:oMathPara>
          </w:p>
        </w:tc>
        <w:tc>
          <w:tcPr>
            <w:tcW w:w="1088" w:type="pct"/>
            <w:vAlign w:val="center"/>
          </w:tcPr>
          <w:p w14:paraId="75A67FAC"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NIR: B5</w:t>
            </w:r>
          </w:p>
          <w:p w14:paraId="0F7CE5A5"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B: B2</w:t>
            </w:r>
          </w:p>
        </w:tc>
        <w:tc>
          <w:tcPr>
            <w:tcW w:w="1108" w:type="pct"/>
            <w:vAlign w:val="center"/>
          </w:tcPr>
          <w:p w14:paraId="45829DAB"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NIR: B8</w:t>
            </w:r>
          </w:p>
          <w:p w14:paraId="3EE781D6"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B: B2</w:t>
            </w:r>
          </w:p>
        </w:tc>
      </w:tr>
      <w:tr w:rsidR="00456D63" w:rsidRPr="00C2770C" w14:paraId="38383A2B" w14:textId="77777777" w:rsidTr="00083DEA">
        <w:tc>
          <w:tcPr>
            <w:tcW w:w="447" w:type="pct"/>
            <w:vAlign w:val="center"/>
          </w:tcPr>
          <w:p w14:paraId="32B3C9AA" w14:textId="77777777" w:rsidR="00456D63" w:rsidRPr="00C2770C" w:rsidRDefault="00456D63" w:rsidP="00083DEA">
            <w:pPr>
              <w:spacing w:line="276" w:lineRule="auto"/>
              <w:jc w:val="center"/>
              <w:rPr>
                <w:rFonts w:ascii="Arial" w:hAnsi="Arial" w:cs="Arial"/>
                <w:szCs w:val="20"/>
              </w:rPr>
            </w:pPr>
            <w:r w:rsidRPr="00C2770C">
              <w:rPr>
                <w:rFonts w:ascii="Arial" w:hAnsi="Arial" w:cs="Arial"/>
                <w:szCs w:val="20"/>
              </w:rPr>
              <w:t>NDMI</w:t>
            </w:r>
          </w:p>
        </w:tc>
        <w:tc>
          <w:tcPr>
            <w:tcW w:w="2357" w:type="pct"/>
            <w:vAlign w:val="center"/>
          </w:tcPr>
          <w:p w14:paraId="364C475D" w14:textId="77777777" w:rsidR="00456D63" w:rsidRPr="00C2770C" w:rsidRDefault="00000000" w:rsidP="00083DEA">
            <w:pPr>
              <w:spacing w:line="276" w:lineRule="auto"/>
              <w:jc w:val="center"/>
              <w:rPr>
                <w:rFonts w:ascii="Arial" w:hAnsi="Arial" w:cs="Arial"/>
                <w:szCs w:val="20"/>
              </w:rPr>
            </w:pPr>
            <m:oMathPara>
              <m:oMath>
                <m:f>
                  <m:fPr>
                    <m:ctrlPr>
                      <w:rPr>
                        <w:rFonts w:ascii="Cambria Math" w:hAnsi="Cambria Math" w:cs="Arial"/>
                        <w:i/>
                        <w:szCs w:val="20"/>
                      </w:rPr>
                    </m:ctrlPr>
                  </m:fPr>
                  <m:num>
                    <m:r>
                      <w:rPr>
                        <w:rFonts w:ascii="Cambria Math" w:hAnsi="Cambria Math" w:cs="Arial"/>
                        <w:szCs w:val="20"/>
                      </w:rPr>
                      <m:t>NIR-SWIR1</m:t>
                    </m:r>
                  </m:num>
                  <m:den>
                    <m:r>
                      <w:rPr>
                        <w:rFonts w:ascii="Cambria Math" w:hAnsi="Cambria Math" w:cs="Arial"/>
                        <w:szCs w:val="20"/>
                      </w:rPr>
                      <m:t>NIR+SWIR1</m:t>
                    </m:r>
                  </m:den>
                </m:f>
              </m:oMath>
            </m:oMathPara>
          </w:p>
        </w:tc>
        <w:tc>
          <w:tcPr>
            <w:tcW w:w="1088" w:type="pct"/>
            <w:vAlign w:val="center"/>
          </w:tcPr>
          <w:p w14:paraId="275A9500"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NIR: B5</w:t>
            </w:r>
          </w:p>
          <w:p w14:paraId="5912EF26"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SWIR1: B6</w:t>
            </w:r>
          </w:p>
        </w:tc>
        <w:tc>
          <w:tcPr>
            <w:tcW w:w="1108" w:type="pct"/>
            <w:vAlign w:val="center"/>
          </w:tcPr>
          <w:p w14:paraId="466D6FF4"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NIR: B8</w:t>
            </w:r>
          </w:p>
          <w:p w14:paraId="6F6CB3BD"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SWIR1: B11</w:t>
            </w:r>
          </w:p>
        </w:tc>
      </w:tr>
      <w:tr w:rsidR="00456D63" w:rsidRPr="00C2770C" w14:paraId="4E0D907D" w14:textId="77777777" w:rsidTr="00083DEA">
        <w:tc>
          <w:tcPr>
            <w:tcW w:w="447" w:type="pct"/>
            <w:vAlign w:val="center"/>
          </w:tcPr>
          <w:p w14:paraId="601C5BA9" w14:textId="77777777" w:rsidR="00456D63" w:rsidRPr="00C2770C" w:rsidRDefault="00456D63" w:rsidP="00083DEA">
            <w:pPr>
              <w:spacing w:line="276" w:lineRule="auto"/>
              <w:jc w:val="center"/>
              <w:rPr>
                <w:rFonts w:ascii="Arial" w:hAnsi="Arial" w:cs="Arial"/>
                <w:szCs w:val="20"/>
              </w:rPr>
            </w:pPr>
            <w:r w:rsidRPr="00C2770C">
              <w:rPr>
                <w:rFonts w:ascii="Arial" w:hAnsi="Arial" w:cs="Arial"/>
                <w:szCs w:val="20"/>
              </w:rPr>
              <w:t>EVI</w:t>
            </w:r>
          </w:p>
        </w:tc>
        <w:tc>
          <w:tcPr>
            <w:tcW w:w="2357" w:type="pct"/>
            <w:vAlign w:val="center"/>
          </w:tcPr>
          <w:p w14:paraId="3AF54CA5" w14:textId="77777777" w:rsidR="00456D63" w:rsidRPr="00C2770C" w:rsidRDefault="00000000" w:rsidP="00083DEA">
            <w:pPr>
              <w:spacing w:line="276" w:lineRule="auto"/>
              <w:jc w:val="center"/>
              <w:rPr>
                <w:rFonts w:ascii="Arial" w:eastAsia="Calibri" w:hAnsi="Arial" w:cs="Arial"/>
                <w:szCs w:val="20"/>
              </w:rPr>
            </w:pPr>
            <m:oMathPara>
              <m:oMath>
                <m:f>
                  <m:fPr>
                    <m:ctrlPr>
                      <w:rPr>
                        <w:rFonts w:ascii="Cambria Math" w:hAnsi="Cambria Math" w:cs="Arial"/>
                        <w:i/>
                        <w:szCs w:val="20"/>
                      </w:rPr>
                    </m:ctrlPr>
                  </m:fPr>
                  <m:num>
                    <m:r>
                      <w:rPr>
                        <w:rFonts w:ascii="Cambria Math" w:hAnsi="Cambria Math" w:cs="Arial"/>
                        <w:szCs w:val="20"/>
                      </w:rPr>
                      <m:t xml:space="preserve">2.5 </m:t>
                    </m:r>
                    <m:d>
                      <m:dPr>
                        <m:ctrlPr>
                          <w:rPr>
                            <w:rFonts w:ascii="Cambria Math" w:hAnsi="Cambria Math" w:cs="Arial"/>
                            <w:i/>
                            <w:szCs w:val="20"/>
                          </w:rPr>
                        </m:ctrlPr>
                      </m:dPr>
                      <m:e>
                        <m:r>
                          <w:rPr>
                            <w:rFonts w:ascii="Cambria Math" w:hAnsi="Cambria Math" w:cs="Arial"/>
                            <w:szCs w:val="20"/>
                          </w:rPr>
                          <m:t>NIR-R</m:t>
                        </m:r>
                      </m:e>
                    </m:d>
                  </m:num>
                  <m:den>
                    <m:d>
                      <m:dPr>
                        <m:ctrlPr>
                          <w:rPr>
                            <w:rFonts w:ascii="Cambria Math" w:hAnsi="Cambria Math" w:cs="Arial"/>
                            <w:i/>
                            <w:szCs w:val="20"/>
                          </w:rPr>
                        </m:ctrlPr>
                      </m:dPr>
                      <m:e>
                        <m:r>
                          <w:rPr>
                            <w:rFonts w:ascii="Cambria Math" w:hAnsi="Cambria Math" w:cs="Arial"/>
                            <w:szCs w:val="20"/>
                          </w:rPr>
                          <m:t>NIR+6 R-7.5 B</m:t>
                        </m:r>
                      </m:e>
                    </m:d>
                    <m:r>
                      <w:rPr>
                        <w:rFonts w:ascii="Cambria Math" w:hAnsi="Cambria Math" w:cs="Arial"/>
                        <w:szCs w:val="20"/>
                      </w:rPr>
                      <m:t>+1</m:t>
                    </m:r>
                  </m:den>
                </m:f>
              </m:oMath>
            </m:oMathPara>
          </w:p>
        </w:tc>
        <w:tc>
          <w:tcPr>
            <w:tcW w:w="1088" w:type="pct"/>
            <w:vAlign w:val="center"/>
          </w:tcPr>
          <w:p w14:paraId="6F8A1F25"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NIR: B5</w:t>
            </w:r>
          </w:p>
          <w:p w14:paraId="20D9BA0A"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R: B4</w:t>
            </w:r>
          </w:p>
          <w:p w14:paraId="5BC2E52D"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B: B2</w:t>
            </w:r>
          </w:p>
        </w:tc>
        <w:tc>
          <w:tcPr>
            <w:tcW w:w="1108" w:type="pct"/>
            <w:vAlign w:val="center"/>
          </w:tcPr>
          <w:p w14:paraId="5EDEDD7E"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NIR: B8</w:t>
            </w:r>
          </w:p>
          <w:p w14:paraId="26E40510"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R: B4</w:t>
            </w:r>
          </w:p>
          <w:p w14:paraId="14A30BEF"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B: B2</w:t>
            </w:r>
          </w:p>
        </w:tc>
      </w:tr>
      <w:tr w:rsidR="00456D63" w:rsidRPr="00C2770C" w14:paraId="09786F90" w14:textId="77777777" w:rsidTr="00083DEA">
        <w:tc>
          <w:tcPr>
            <w:tcW w:w="447" w:type="pct"/>
            <w:vAlign w:val="center"/>
          </w:tcPr>
          <w:p w14:paraId="796CDBE1" w14:textId="77777777" w:rsidR="00456D63" w:rsidRPr="00C2770C" w:rsidRDefault="00456D63" w:rsidP="00083DEA">
            <w:pPr>
              <w:spacing w:line="276" w:lineRule="auto"/>
              <w:jc w:val="center"/>
              <w:rPr>
                <w:rFonts w:ascii="Arial" w:hAnsi="Arial" w:cs="Arial"/>
                <w:szCs w:val="20"/>
              </w:rPr>
            </w:pPr>
            <w:r w:rsidRPr="00C2770C">
              <w:rPr>
                <w:rFonts w:ascii="Arial" w:hAnsi="Arial" w:cs="Arial"/>
                <w:szCs w:val="20"/>
              </w:rPr>
              <w:t>SR</w:t>
            </w:r>
          </w:p>
        </w:tc>
        <w:tc>
          <w:tcPr>
            <w:tcW w:w="2357" w:type="pct"/>
            <w:vAlign w:val="center"/>
          </w:tcPr>
          <w:p w14:paraId="603C4A16" w14:textId="77777777" w:rsidR="00456D63" w:rsidRPr="00C2770C" w:rsidRDefault="00000000" w:rsidP="00083DEA">
            <w:pPr>
              <w:spacing w:line="276" w:lineRule="auto"/>
              <w:jc w:val="center"/>
              <w:rPr>
                <w:rFonts w:ascii="Arial" w:hAnsi="Arial" w:cs="Arial"/>
                <w:szCs w:val="20"/>
              </w:rPr>
            </w:pPr>
            <m:oMathPara>
              <m:oMath>
                <m:f>
                  <m:fPr>
                    <m:ctrlPr>
                      <w:rPr>
                        <w:rFonts w:ascii="Cambria Math" w:hAnsi="Cambria Math" w:cs="Arial"/>
                        <w:i/>
                        <w:szCs w:val="20"/>
                      </w:rPr>
                    </m:ctrlPr>
                  </m:fPr>
                  <m:num>
                    <m:r>
                      <w:rPr>
                        <w:rFonts w:ascii="Cambria Math" w:hAnsi="Cambria Math" w:cs="Arial"/>
                        <w:szCs w:val="20"/>
                      </w:rPr>
                      <m:t>NIR</m:t>
                    </m:r>
                  </m:num>
                  <m:den>
                    <m:r>
                      <w:rPr>
                        <w:rFonts w:ascii="Cambria Math" w:hAnsi="Cambria Math" w:cs="Arial"/>
                        <w:szCs w:val="20"/>
                      </w:rPr>
                      <m:t>R</m:t>
                    </m:r>
                  </m:den>
                </m:f>
              </m:oMath>
            </m:oMathPara>
          </w:p>
        </w:tc>
        <w:tc>
          <w:tcPr>
            <w:tcW w:w="1088" w:type="pct"/>
            <w:vAlign w:val="center"/>
          </w:tcPr>
          <w:p w14:paraId="03F317DF"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NIR: B5</w:t>
            </w:r>
          </w:p>
          <w:p w14:paraId="1FE76C61"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R: B4</w:t>
            </w:r>
          </w:p>
        </w:tc>
        <w:tc>
          <w:tcPr>
            <w:tcW w:w="1108" w:type="pct"/>
            <w:vAlign w:val="center"/>
          </w:tcPr>
          <w:p w14:paraId="0C3578B8"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NIR: B8</w:t>
            </w:r>
          </w:p>
          <w:p w14:paraId="7A64D626"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R: B4</w:t>
            </w:r>
          </w:p>
        </w:tc>
      </w:tr>
      <w:tr w:rsidR="00456D63" w:rsidRPr="00C2770C" w14:paraId="5718AE2F" w14:textId="77777777" w:rsidTr="00083DEA">
        <w:tc>
          <w:tcPr>
            <w:tcW w:w="447" w:type="pct"/>
            <w:vAlign w:val="center"/>
          </w:tcPr>
          <w:p w14:paraId="6C5C8F3F" w14:textId="77777777" w:rsidR="00456D63" w:rsidRPr="00C2770C" w:rsidRDefault="00456D63" w:rsidP="00083DEA">
            <w:pPr>
              <w:spacing w:line="276" w:lineRule="auto"/>
              <w:jc w:val="center"/>
              <w:rPr>
                <w:rFonts w:ascii="Arial" w:hAnsi="Arial" w:cs="Arial"/>
                <w:szCs w:val="20"/>
              </w:rPr>
            </w:pPr>
            <w:r w:rsidRPr="00C2770C">
              <w:rPr>
                <w:rFonts w:ascii="Arial" w:hAnsi="Arial" w:cs="Arial"/>
                <w:szCs w:val="20"/>
              </w:rPr>
              <w:t>MSR</w:t>
            </w:r>
          </w:p>
        </w:tc>
        <w:tc>
          <w:tcPr>
            <w:tcW w:w="2357" w:type="pct"/>
            <w:vAlign w:val="center"/>
          </w:tcPr>
          <w:p w14:paraId="35F05CF9" w14:textId="77777777" w:rsidR="00456D63" w:rsidRPr="00C2770C" w:rsidRDefault="00000000" w:rsidP="00083DEA">
            <w:pPr>
              <w:spacing w:line="276" w:lineRule="auto"/>
              <w:jc w:val="center"/>
              <w:rPr>
                <w:rFonts w:ascii="Arial" w:hAnsi="Arial" w:cs="Arial"/>
                <w:szCs w:val="20"/>
              </w:rPr>
            </w:pPr>
            <m:oMathPara>
              <m:oMath>
                <m:f>
                  <m:fPr>
                    <m:ctrlPr>
                      <w:rPr>
                        <w:rFonts w:ascii="Cambria Math" w:hAnsi="Cambria Math" w:cs="Arial"/>
                        <w:i/>
                        <w:szCs w:val="20"/>
                      </w:rPr>
                    </m:ctrlPr>
                  </m:fPr>
                  <m:num>
                    <m:f>
                      <m:fPr>
                        <m:ctrlPr>
                          <w:rPr>
                            <w:rFonts w:ascii="Cambria Math" w:hAnsi="Cambria Math" w:cs="Arial"/>
                            <w:i/>
                            <w:szCs w:val="20"/>
                          </w:rPr>
                        </m:ctrlPr>
                      </m:fPr>
                      <m:num>
                        <m:r>
                          <w:rPr>
                            <w:rFonts w:ascii="Cambria Math" w:hAnsi="Cambria Math" w:cs="Arial"/>
                            <w:szCs w:val="20"/>
                          </w:rPr>
                          <m:t>NIR</m:t>
                        </m:r>
                      </m:num>
                      <m:den>
                        <m:r>
                          <w:rPr>
                            <w:rFonts w:ascii="Cambria Math" w:hAnsi="Cambria Math" w:cs="Arial"/>
                            <w:szCs w:val="20"/>
                          </w:rPr>
                          <m:t>R</m:t>
                        </m:r>
                      </m:den>
                    </m:f>
                    <m:r>
                      <w:rPr>
                        <w:rFonts w:ascii="Cambria Math" w:hAnsi="Cambria Math" w:cs="Arial"/>
                        <w:szCs w:val="20"/>
                      </w:rPr>
                      <m:t xml:space="preserve"> - 1</m:t>
                    </m:r>
                  </m:num>
                  <m:den>
                    <m:sSup>
                      <m:sSupPr>
                        <m:ctrlPr>
                          <w:rPr>
                            <w:rFonts w:ascii="Cambria Math" w:hAnsi="Cambria Math" w:cs="Arial"/>
                            <w:i/>
                            <w:szCs w:val="20"/>
                          </w:rPr>
                        </m:ctrlPr>
                      </m:sSupPr>
                      <m:e>
                        <m:d>
                          <m:dPr>
                            <m:ctrlPr>
                              <w:rPr>
                                <w:rFonts w:ascii="Cambria Math" w:hAnsi="Cambria Math" w:cs="Arial"/>
                                <w:i/>
                                <w:szCs w:val="20"/>
                              </w:rPr>
                            </m:ctrlPr>
                          </m:dPr>
                          <m:e>
                            <m:f>
                              <m:fPr>
                                <m:ctrlPr>
                                  <w:rPr>
                                    <w:rFonts w:ascii="Cambria Math" w:hAnsi="Cambria Math" w:cs="Arial"/>
                                    <w:i/>
                                    <w:szCs w:val="20"/>
                                  </w:rPr>
                                </m:ctrlPr>
                              </m:fPr>
                              <m:num>
                                <m:r>
                                  <w:rPr>
                                    <w:rFonts w:ascii="Cambria Math" w:hAnsi="Cambria Math" w:cs="Arial"/>
                                    <w:szCs w:val="20"/>
                                  </w:rPr>
                                  <m:t>NIR</m:t>
                                </m:r>
                              </m:num>
                              <m:den>
                                <m:r>
                                  <w:rPr>
                                    <w:rFonts w:ascii="Cambria Math" w:hAnsi="Cambria Math" w:cs="Arial"/>
                                    <w:szCs w:val="20"/>
                                  </w:rPr>
                                  <m:t>R</m:t>
                                </m:r>
                              </m:den>
                            </m:f>
                          </m:e>
                        </m:d>
                      </m:e>
                      <m:sup>
                        <m:r>
                          <w:rPr>
                            <w:rFonts w:ascii="Cambria Math" w:hAnsi="Cambria Math" w:cs="Arial"/>
                            <w:szCs w:val="20"/>
                          </w:rPr>
                          <m:t>0.5</m:t>
                        </m:r>
                      </m:sup>
                    </m:sSup>
                    <m:r>
                      <w:rPr>
                        <w:rFonts w:ascii="Cambria Math" w:hAnsi="Cambria Math" w:cs="Arial"/>
                        <w:szCs w:val="20"/>
                      </w:rPr>
                      <m:t>+1</m:t>
                    </m:r>
                  </m:den>
                </m:f>
              </m:oMath>
            </m:oMathPara>
          </w:p>
        </w:tc>
        <w:tc>
          <w:tcPr>
            <w:tcW w:w="1088" w:type="pct"/>
            <w:vAlign w:val="center"/>
          </w:tcPr>
          <w:p w14:paraId="612B8450"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NIR: B5</w:t>
            </w:r>
          </w:p>
          <w:p w14:paraId="5D7FD251"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R: B4</w:t>
            </w:r>
          </w:p>
        </w:tc>
        <w:tc>
          <w:tcPr>
            <w:tcW w:w="1108" w:type="pct"/>
            <w:vAlign w:val="center"/>
          </w:tcPr>
          <w:p w14:paraId="0BB464CA"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NIR: B8</w:t>
            </w:r>
          </w:p>
          <w:p w14:paraId="228B5A6C"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R: B4</w:t>
            </w:r>
          </w:p>
        </w:tc>
      </w:tr>
      <w:tr w:rsidR="00456D63" w:rsidRPr="00C2770C" w14:paraId="46AFF402" w14:textId="77777777" w:rsidTr="00083DEA">
        <w:tc>
          <w:tcPr>
            <w:tcW w:w="447" w:type="pct"/>
            <w:vAlign w:val="center"/>
          </w:tcPr>
          <w:p w14:paraId="68DF2FD1" w14:textId="77777777" w:rsidR="00456D63" w:rsidRPr="00C2770C" w:rsidRDefault="00456D63" w:rsidP="00083DEA">
            <w:pPr>
              <w:spacing w:line="276" w:lineRule="auto"/>
              <w:jc w:val="center"/>
              <w:rPr>
                <w:rFonts w:ascii="Arial" w:hAnsi="Arial" w:cs="Arial"/>
                <w:szCs w:val="20"/>
              </w:rPr>
            </w:pPr>
            <w:r w:rsidRPr="00C2770C">
              <w:rPr>
                <w:rFonts w:ascii="Arial" w:hAnsi="Arial" w:cs="Arial"/>
                <w:szCs w:val="20"/>
              </w:rPr>
              <w:t>SAVI</w:t>
            </w:r>
          </w:p>
        </w:tc>
        <w:tc>
          <w:tcPr>
            <w:tcW w:w="2357" w:type="pct"/>
            <w:vAlign w:val="center"/>
          </w:tcPr>
          <w:p w14:paraId="553A5099" w14:textId="77777777" w:rsidR="00456D63" w:rsidRPr="00C2770C" w:rsidRDefault="00456D63" w:rsidP="00083DEA">
            <w:pPr>
              <w:spacing w:line="276" w:lineRule="auto"/>
              <w:jc w:val="center"/>
              <w:rPr>
                <w:rFonts w:ascii="Arial" w:eastAsia="Calibri" w:hAnsi="Arial" w:cs="Arial"/>
                <w:szCs w:val="20"/>
              </w:rPr>
            </w:pPr>
            <m:oMathPara>
              <m:oMath>
                <m:r>
                  <w:rPr>
                    <w:rFonts w:ascii="Cambria Math" w:eastAsia="Calibri" w:hAnsi="Cambria Math" w:cs="Arial"/>
                    <w:szCs w:val="20"/>
                  </w:rPr>
                  <m:t xml:space="preserve">1.5 </m:t>
                </m:r>
                <m:d>
                  <m:dPr>
                    <m:ctrlPr>
                      <w:rPr>
                        <w:rFonts w:ascii="Cambria Math" w:eastAsia="Calibri" w:hAnsi="Cambria Math" w:cs="Arial"/>
                        <w:i/>
                        <w:szCs w:val="20"/>
                      </w:rPr>
                    </m:ctrlPr>
                  </m:dPr>
                  <m:e>
                    <m:f>
                      <m:fPr>
                        <m:ctrlPr>
                          <w:rPr>
                            <w:rFonts w:ascii="Cambria Math" w:eastAsia="Calibri" w:hAnsi="Cambria Math" w:cs="Arial"/>
                            <w:i/>
                            <w:szCs w:val="20"/>
                          </w:rPr>
                        </m:ctrlPr>
                      </m:fPr>
                      <m:num>
                        <m:d>
                          <m:dPr>
                            <m:ctrlPr>
                              <w:rPr>
                                <w:rFonts w:ascii="Cambria Math" w:eastAsia="Calibri" w:hAnsi="Cambria Math" w:cs="Arial"/>
                                <w:i/>
                                <w:szCs w:val="20"/>
                              </w:rPr>
                            </m:ctrlPr>
                          </m:dPr>
                          <m:e>
                            <m:r>
                              <w:rPr>
                                <w:rFonts w:ascii="Cambria Math" w:eastAsia="Calibri" w:hAnsi="Cambria Math" w:cs="Arial"/>
                                <w:szCs w:val="20"/>
                              </w:rPr>
                              <m:t>NIR - R</m:t>
                            </m:r>
                          </m:e>
                        </m:d>
                      </m:num>
                      <m:den>
                        <m:r>
                          <w:rPr>
                            <w:rFonts w:ascii="Cambria Math" w:eastAsia="Calibri" w:hAnsi="Cambria Math" w:cs="Arial"/>
                            <w:szCs w:val="20"/>
                          </w:rPr>
                          <m:t>NIR + R + 0.5</m:t>
                        </m:r>
                      </m:den>
                    </m:f>
                  </m:e>
                </m:d>
              </m:oMath>
            </m:oMathPara>
          </w:p>
        </w:tc>
        <w:tc>
          <w:tcPr>
            <w:tcW w:w="1088" w:type="pct"/>
            <w:vAlign w:val="center"/>
          </w:tcPr>
          <w:p w14:paraId="3932D819"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NIR: B5</w:t>
            </w:r>
          </w:p>
          <w:p w14:paraId="6E98FABD"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R: B4</w:t>
            </w:r>
          </w:p>
        </w:tc>
        <w:tc>
          <w:tcPr>
            <w:tcW w:w="1108" w:type="pct"/>
            <w:vAlign w:val="center"/>
          </w:tcPr>
          <w:p w14:paraId="7DD825AF"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NIR: B8</w:t>
            </w:r>
          </w:p>
          <w:p w14:paraId="682AA2AF"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R: B4</w:t>
            </w:r>
          </w:p>
        </w:tc>
      </w:tr>
      <w:tr w:rsidR="00456D63" w:rsidRPr="00C2770C" w14:paraId="5B4C3839" w14:textId="77777777" w:rsidTr="00083DEA">
        <w:tc>
          <w:tcPr>
            <w:tcW w:w="447" w:type="pct"/>
            <w:vAlign w:val="center"/>
          </w:tcPr>
          <w:p w14:paraId="6730C1CC" w14:textId="77777777" w:rsidR="00456D63" w:rsidRPr="00C2770C" w:rsidRDefault="00456D63" w:rsidP="00083DEA">
            <w:pPr>
              <w:spacing w:line="276" w:lineRule="auto"/>
              <w:jc w:val="center"/>
              <w:rPr>
                <w:rFonts w:ascii="Arial" w:hAnsi="Arial" w:cs="Arial"/>
                <w:szCs w:val="20"/>
              </w:rPr>
            </w:pPr>
            <w:r w:rsidRPr="00C2770C">
              <w:rPr>
                <w:rFonts w:ascii="Arial" w:hAnsi="Arial" w:cs="Arial"/>
                <w:szCs w:val="20"/>
              </w:rPr>
              <w:t>MSAVI</w:t>
            </w:r>
          </w:p>
        </w:tc>
        <w:tc>
          <w:tcPr>
            <w:tcW w:w="2357" w:type="pct"/>
            <w:vAlign w:val="center"/>
          </w:tcPr>
          <w:p w14:paraId="54879D7A" w14:textId="77777777" w:rsidR="00456D63" w:rsidRPr="00C2770C" w:rsidRDefault="00000000" w:rsidP="00083DEA">
            <w:pPr>
              <w:spacing w:line="276" w:lineRule="auto"/>
              <w:jc w:val="center"/>
              <w:rPr>
                <w:rFonts w:ascii="Arial" w:eastAsia="Calibri" w:hAnsi="Arial" w:cs="Arial"/>
                <w:szCs w:val="20"/>
              </w:rPr>
            </w:pPr>
            <m:oMathPara>
              <m:oMath>
                <m:f>
                  <m:fPr>
                    <m:ctrlPr>
                      <w:rPr>
                        <w:rFonts w:ascii="Cambria Math" w:eastAsia="Calibri" w:hAnsi="Cambria Math" w:cs="Arial"/>
                        <w:i/>
                        <w:szCs w:val="20"/>
                      </w:rPr>
                    </m:ctrlPr>
                  </m:fPr>
                  <m:num>
                    <m:r>
                      <w:rPr>
                        <w:rFonts w:ascii="Cambria Math" w:eastAsia="Calibri" w:hAnsi="Cambria Math" w:cs="Arial"/>
                        <w:szCs w:val="20"/>
                      </w:rPr>
                      <m:t xml:space="preserve">2 NIR + 1 - </m:t>
                    </m:r>
                    <m:sSup>
                      <m:sSupPr>
                        <m:ctrlPr>
                          <w:rPr>
                            <w:rFonts w:ascii="Cambria Math" w:eastAsia="Calibri" w:hAnsi="Cambria Math" w:cs="Arial"/>
                            <w:i/>
                            <w:szCs w:val="20"/>
                          </w:rPr>
                        </m:ctrlPr>
                      </m:sSupPr>
                      <m:e>
                        <m:d>
                          <m:dPr>
                            <m:begChr m:val="["/>
                            <m:endChr m:val="]"/>
                            <m:ctrlPr>
                              <w:rPr>
                                <w:rFonts w:ascii="Cambria Math" w:eastAsia="Calibri" w:hAnsi="Cambria Math" w:cs="Arial"/>
                                <w:i/>
                                <w:szCs w:val="20"/>
                              </w:rPr>
                            </m:ctrlPr>
                          </m:dPr>
                          <m:e>
                            <m:sSup>
                              <m:sSupPr>
                                <m:ctrlPr>
                                  <w:rPr>
                                    <w:rFonts w:ascii="Cambria Math" w:eastAsia="Calibri" w:hAnsi="Cambria Math" w:cs="Arial"/>
                                    <w:i/>
                                    <w:szCs w:val="20"/>
                                  </w:rPr>
                                </m:ctrlPr>
                              </m:sSupPr>
                              <m:e>
                                <m:d>
                                  <m:dPr>
                                    <m:ctrlPr>
                                      <w:rPr>
                                        <w:rFonts w:ascii="Cambria Math" w:eastAsia="Calibri" w:hAnsi="Cambria Math" w:cs="Arial"/>
                                        <w:i/>
                                        <w:szCs w:val="20"/>
                                      </w:rPr>
                                    </m:ctrlPr>
                                  </m:dPr>
                                  <m:e>
                                    <m:r>
                                      <w:rPr>
                                        <w:rFonts w:ascii="Cambria Math" w:eastAsia="Calibri" w:hAnsi="Cambria Math" w:cs="Arial"/>
                                        <w:szCs w:val="20"/>
                                      </w:rPr>
                                      <m:t>2 NIR + 1</m:t>
                                    </m:r>
                                  </m:e>
                                </m:d>
                              </m:e>
                              <m:sup>
                                <m:r>
                                  <w:rPr>
                                    <w:rFonts w:ascii="Cambria Math" w:eastAsia="Calibri" w:hAnsi="Cambria Math" w:cs="Arial"/>
                                    <w:szCs w:val="20"/>
                                  </w:rPr>
                                  <m:t>2</m:t>
                                </m:r>
                              </m:sup>
                            </m:sSup>
                            <m:r>
                              <w:rPr>
                                <w:rFonts w:ascii="Cambria Math" w:eastAsia="Calibri" w:hAnsi="Cambria Math" w:cs="Arial"/>
                                <w:szCs w:val="20"/>
                              </w:rPr>
                              <m:t xml:space="preserve"> - 8 </m:t>
                            </m:r>
                            <m:d>
                              <m:dPr>
                                <m:ctrlPr>
                                  <w:rPr>
                                    <w:rFonts w:ascii="Cambria Math" w:eastAsia="Calibri" w:hAnsi="Cambria Math" w:cs="Arial"/>
                                    <w:i/>
                                    <w:szCs w:val="20"/>
                                  </w:rPr>
                                </m:ctrlPr>
                              </m:dPr>
                              <m:e>
                                <m:r>
                                  <w:rPr>
                                    <w:rFonts w:ascii="Cambria Math" w:eastAsia="Calibri" w:hAnsi="Cambria Math" w:cs="Arial"/>
                                    <w:szCs w:val="20"/>
                                  </w:rPr>
                                  <m:t>NIR-R</m:t>
                                </m:r>
                              </m:e>
                            </m:d>
                          </m:e>
                        </m:d>
                      </m:e>
                      <m:sup>
                        <m:r>
                          <w:rPr>
                            <w:rFonts w:ascii="Cambria Math" w:eastAsia="Calibri" w:hAnsi="Cambria Math" w:cs="Arial"/>
                            <w:szCs w:val="20"/>
                          </w:rPr>
                          <m:t>0.5</m:t>
                        </m:r>
                      </m:sup>
                    </m:sSup>
                  </m:num>
                  <m:den>
                    <m:r>
                      <w:rPr>
                        <w:rFonts w:ascii="Cambria Math" w:eastAsia="Calibri" w:hAnsi="Cambria Math" w:cs="Arial"/>
                        <w:szCs w:val="20"/>
                      </w:rPr>
                      <m:t>2</m:t>
                    </m:r>
                  </m:den>
                </m:f>
              </m:oMath>
            </m:oMathPara>
          </w:p>
        </w:tc>
        <w:tc>
          <w:tcPr>
            <w:tcW w:w="1088" w:type="pct"/>
            <w:vAlign w:val="center"/>
          </w:tcPr>
          <w:p w14:paraId="71B14083"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NIR: B5</w:t>
            </w:r>
          </w:p>
          <w:p w14:paraId="3804D0B6"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R: B4</w:t>
            </w:r>
          </w:p>
        </w:tc>
        <w:tc>
          <w:tcPr>
            <w:tcW w:w="1108" w:type="pct"/>
            <w:vAlign w:val="center"/>
          </w:tcPr>
          <w:p w14:paraId="2BC797FB"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NIR: B8</w:t>
            </w:r>
          </w:p>
          <w:p w14:paraId="231E4510" w14:textId="77777777" w:rsidR="00456D63" w:rsidRPr="00C2770C" w:rsidRDefault="00456D63" w:rsidP="00083DEA">
            <w:pPr>
              <w:spacing w:line="276" w:lineRule="auto"/>
              <w:jc w:val="center"/>
              <w:rPr>
                <w:rFonts w:ascii="Arial" w:eastAsia="Calibri" w:hAnsi="Arial" w:cs="Arial"/>
                <w:szCs w:val="20"/>
              </w:rPr>
            </w:pPr>
            <w:r w:rsidRPr="00C2770C">
              <w:rPr>
                <w:rFonts w:ascii="Arial" w:eastAsia="Calibri" w:hAnsi="Arial" w:cs="Arial"/>
                <w:szCs w:val="20"/>
              </w:rPr>
              <w:t>R: B4</w:t>
            </w:r>
          </w:p>
        </w:tc>
      </w:tr>
    </w:tbl>
    <w:p w14:paraId="1615D281" w14:textId="77777777" w:rsidR="00456D63" w:rsidRPr="00C2770C" w:rsidRDefault="00456D63" w:rsidP="00456D63">
      <w:pPr>
        <w:jc w:val="both"/>
        <w:rPr>
          <w:rFonts w:ascii="Arial" w:hAnsi="Arial" w:cs="Arial"/>
        </w:rPr>
      </w:pPr>
    </w:p>
    <w:p w14:paraId="5E3952A3" w14:textId="4F4BFF36" w:rsidR="00456D63" w:rsidRPr="00C2770C" w:rsidRDefault="00456D63" w:rsidP="00456D63">
      <w:pPr>
        <w:jc w:val="both"/>
        <w:rPr>
          <w:rFonts w:ascii="Arial" w:hAnsi="Arial" w:cs="Arial"/>
        </w:rPr>
      </w:pPr>
      <w:r w:rsidRPr="00C2770C">
        <w:rPr>
          <w:rFonts w:ascii="Arial" w:hAnsi="Arial" w:cs="Arial"/>
        </w:rPr>
        <w:t>The importance</w:t>
      </w:r>
      <w:r>
        <w:rPr>
          <w:rFonts w:ascii="Arial" w:hAnsi="Arial" w:cs="Arial"/>
        </w:rPr>
        <w:t xml:space="preserve"> of variables</w:t>
      </w:r>
      <w:r w:rsidRPr="00C2770C">
        <w:rPr>
          <w:rFonts w:ascii="Arial" w:hAnsi="Arial" w:cs="Arial"/>
        </w:rPr>
        <w:t xml:space="preserve"> was ranked according to the Boruta algorithm </w:t>
      </w:r>
      <w:sdt>
        <w:sdtPr>
          <w:rPr>
            <w:rFonts w:ascii="Arial" w:hAnsi="Arial" w:cs="Arial"/>
            <w:color w:val="000000"/>
          </w:rPr>
          <w:tag w:val="MENDELEY_CITATION_v3_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"/>
          <w:id w:val="856078600"/>
          <w:placeholder>
            <w:docPart w:val="38E42A8BD4134861BFAB68628B9907E2"/>
          </w:placeholder>
        </w:sdtPr>
        <w:sdtContent>
          <w:r>
            <w:rPr>
              <w:rFonts w:eastAsia="Times New Roman"/>
            </w:rPr>
            <w:t>(</w:t>
          </w:r>
          <w:proofErr w:type="spellStart"/>
          <w:r>
            <w:rPr>
              <w:rFonts w:eastAsia="Times New Roman"/>
            </w:rPr>
            <w:t>Kursa</w:t>
          </w:r>
          <w:proofErr w:type="spellEnd"/>
          <w:r>
            <w:rPr>
              <w:rFonts w:eastAsia="Times New Roman"/>
            </w:rPr>
            <w:t xml:space="preserve"> &amp; Rudnicki, 2010)</w:t>
          </w:r>
        </w:sdtContent>
      </w:sdt>
      <w:r>
        <w:rPr>
          <w:rFonts w:ascii="Arial" w:hAnsi="Arial" w:cs="Arial"/>
          <w:color w:val="000000"/>
        </w:rPr>
        <w:t>, which</w:t>
      </w:r>
      <w:r w:rsidRPr="00C2770C">
        <w:rPr>
          <w:rFonts w:ascii="Arial" w:hAnsi="Arial" w:cs="Arial"/>
          <w:color w:val="000000"/>
        </w:rPr>
        <w:t xml:space="preserve"> </w:t>
      </w:r>
      <w:r w:rsidRPr="00C2770C">
        <w:rPr>
          <w:rFonts w:ascii="Arial" w:hAnsi="Arial" w:cs="Arial"/>
        </w:rPr>
        <w:t xml:space="preserve">uses random forest classification iteratively and selects variables that are statistically </w:t>
      </w:r>
      <w:r>
        <w:rPr>
          <w:rFonts w:ascii="Arial" w:hAnsi="Arial" w:cs="Arial"/>
        </w:rPr>
        <w:t>shown</w:t>
      </w:r>
      <w:r w:rsidRPr="00C2770C">
        <w:rPr>
          <w:rFonts w:ascii="Arial" w:hAnsi="Arial" w:cs="Arial"/>
        </w:rPr>
        <w:t xml:space="preserve"> to be more relevant than random data. </w:t>
      </w:r>
      <w:r>
        <w:rPr>
          <w:rFonts w:ascii="Arial" w:hAnsi="Arial" w:cs="Arial"/>
        </w:rPr>
        <w:t>T</w:t>
      </w:r>
      <w:r w:rsidRPr="00C2770C">
        <w:rPr>
          <w:rFonts w:ascii="Arial" w:hAnsi="Arial" w:cs="Arial"/>
        </w:rPr>
        <w:t xml:space="preserve">he Boruta algorithm was selected due to its low computation time, parsimonious framework, and higher overall efficiency </w:t>
      </w:r>
      <w:sdt>
        <w:sdtPr>
          <w:rPr>
            <w:rFonts w:ascii="Arial" w:hAnsi="Arial" w:cs="Arial"/>
            <w:color w:val="000000"/>
          </w:rPr>
          <w:tag w:val="MENDELEY_CITATION_v3_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"/>
          <w:id w:val="-843475085"/>
          <w:placeholder>
            <w:docPart w:val="38E42A8BD4134861BFAB68628B9907E2"/>
          </w:placeholder>
        </w:sdtPr>
        <w:sdtContent>
          <w:r w:rsidRPr="00456D63">
            <w:rPr>
              <w:rFonts w:ascii="Arial" w:hAnsi="Arial" w:cs="Arial"/>
              <w:color w:val="000000"/>
            </w:rPr>
            <w:t>(Speiser et al., 2019)</w:t>
          </w:r>
        </w:sdtContent>
      </w:sdt>
      <w:r w:rsidRPr="00C2770C">
        <w:rPr>
          <w:rFonts w:ascii="Arial" w:hAnsi="Arial" w:cs="Arial"/>
          <w:color w:val="000000"/>
        </w:rPr>
        <w:t xml:space="preserve">. </w:t>
      </w:r>
      <w:r w:rsidRPr="00C2770C">
        <w:rPr>
          <w:rFonts w:ascii="Arial" w:hAnsi="Arial" w:cs="Arial"/>
        </w:rPr>
        <w:t xml:space="preserve">Based on </w:t>
      </w:r>
      <w:r>
        <w:rPr>
          <w:rFonts w:ascii="Arial" w:hAnsi="Arial" w:cs="Arial"/>
        </w:rPr>
        <w:t>these</w:t>
      </w:r>
      <w:r w:rsidRPr="00C2770C">
        <w:rPr>
          <w:rFonts w:ascii="Arial" w:hAnsi="Arial" w:cs="Arial"/>
        </w:rPr>
        <w:t xml:space="preserve"> results, twenty variables were selected as the most statistically relevant for the estimation of vegetation bias from </w:t>
      </w:r>
      <w:r>
        <w:rPr>
          <w:rFonts w:ascii="Arial" w:hAnsi="Arial" w:cs="Arial"/>
        </w:rPr>
        <w:t xml:space="preserve">the </w:t>
      </w:r>
      <w:r w:rsidRPr="00C2770C">
        <w:rPr>
          <w:rFonts w:ascii="Arial" w:hAnsi="Arial" w:cs="Arial"/>
        </w:rPr>
        <w:t xml:space="preserve">Copernicus DEM. Among </w:t>
      </w:r>
      <w:r>
        <w:rPr>
          <w:rFonts w:ascii="Arial" w:hAnsi="Arial" w:cs="Arial"/>
        </w:rPr>
        <w:t>these variables</w:t>
      </w:r>
      <w:r w:rsidRPr="00C2770C">
        <w:rPr>
          <w:rFonts w:ascii="Arial" w:hAnsi="Arial" w:cs="Arial"/>
        </w:rPr>
        <w:t>, correlation analysis was performed to identify independent variables (Table S3).</w:t>
      </w:r>
    </w:p>
    <w:p w14:paraId="582424C2" w14:textId="6D01A2EE" w:rsidR="00456D63" w:rsidRPr="00C2770C" w:rsidRDefault="00456D63" w:rsidP="00456D63">
      <w:pPr>
        <w:spacing w:after="0"/>
        <w:jc w:val="both"/>
        <w:rPr>
          <w:rFonts w:ascii="Arial" w:hAnsi="Arial" w:cs="Arial"/>
        </w:rPr>
      </w:pPr>
      <w:r w:rsidRPr="00456D63">
        <w:rPr>
          <w:rFonts w:ascii="Arial" w:hAnsi="Arial" w:cs="Arial"/>
          <w:b/>
          <w:bCs/>
        </w:rPr>
        <w:t>Table S3.</w:t>
      </w:r>
      <w:r w:rsidRPr="00C2770C">
        <w:rPr>
          <w:rFonts w:ascii="Arial" w:hAnsi="Arial" w:cs="Arial"/>
        </w:rPr>
        <w:t xml:space="preserve"> Selected variables resulting from the Boruta algorithm correlation analysis application.</w:t>
      </w:r>
    </w:p>
    <w:tbl>
      <w:tblPr>
        <w:tblStyle w:val="Tabelacomgrade"/>
        <w:tblW w:w="0" w:type="auto"/>
        <w:tblLook w:val="04A0" w:firstRow="1" w:lastRow="0" w:firstColumn="1" w:lastColumn="0" w:noHBand="0" w:noVBand="1"/>
      </w:tblPr>
      <w:tblGrid>
        <w:gridCol w:w="2099"/>
        <w:gridCol w:w="2102"/>
        <w:gridCol w:w="1761"/>
        <w:gridCol w:w="2532"/>
      </w:tblGrid>
      <w:tr w:rsidR="00456D63" w:rsidRPr="00C2770C" w14:paraId="79DBA33A" w14:textId="77777777" w:rsidTr="00083DEA">
        <w:tc>
          <w:tcPr>
            <w:tcW w:w="2337" w:type="dxa"/>
            <w:vAlign w:val="center"/>
          </w:tcPr>
          <w:p w14:paraId="7DA315BE" w14:textId="77777777" w:rsidR="00456D63" w:rsidRPr="00C2770C" w:rsidRDefault="00456D63" w:rsidP="00083DEA">
            <w:pPr>
              <w:jc w:val="center"/>
              <w:rPr>
                <w:rFonts w:ascii="Arial" w:hAnsi="Arial" w:cs="Arial"/>
              </w:rPr>
            </w:pPr>
            <w:r w:rsidRPr="00C2770C">
              <w:rPr>
                <w:rFonts w:ascii="Arial" w:hAnsi="Arial" w:cs="Arial"/>
              </w:rPr>
              <w:t>Source</w:t>
            </w:r>
          </w:p>
        </w:tc>
        <w:tc>
          <w:tcPr>
            <w:tcW w:w="2338" w:type="dxa"/>
            <w:vAlign w:val="center"/>
          </w:tcPr>
          <w:p w14:paraId="7486101C" w14:textId="77777777" w:rsidR="00456D63" w:rsidRPr="00C2770C" w:rsidRDefault="00456D63" w:rsidP="00083DEA">
            <w:pPr>
              <w:jc w:val="center"/>
              <w:rPr>
                <w:rFonts w:ascii="Arial" w:hAnsi="Arial" w:cs="Arial"/>
              </w:rPr>
            </w:pPr>
            <w:r w:rsidRPr="00C2770C">
              <w:rPr>
                <w:rFonts w:ascii="Arial" w:hAnsi="Arial" w:cs="Arial"/>
              </w:rPr>
              <w:t>Variable</w:t>
            </w:r>
          </w:p>
        </w:tc>
        <w:tc>
          <w:tcPr>
            <w:tcW w:w="1890" w:type="dxa"/>
            <w:vAlign w:val="center"/>
          </w:tcPr>
          <w:p w14:paraId="5624E633" w14:textId="77777777" w:rsidR="00456D63" w:rsidRPr="00C2770C" w:rsidRDefault="00456D63" w:rsidP="00083DEA">
            <w:pPr>
              <w:jc w:val="center"/>
              <w:rPr>
                <w:rFonts w:ascii="Arial" w:hAnsi="Arial" w:cs="Arial"/>
              </w:rPr>
            </w:pPr>
            <w:r w:rsidRPr="00C2770C">
              <w:rPr>
                <w:rFonts w:ascii="Arial" w:hAnsi="Arial" w:cs="Arial"/>
              </w:rPr>
              <w:t>Spatial resolution</w:t>
            </w:r>
          </w:p>
        </w:tc>
        <w:tc>
          <w:tcPr>
            <w:tcW w:w="2785" w:type="dxa"/>
            <w:vAlign w:val="center"/>
          </w:tcPr>
          <w:p w14:paraId="60A01F3F" w14:textId="77777777" w:rsidR="00456D63" w:rsidRPr="00C2770C" w:rsidRDefault="00456D63" w:rsidP="00083DEA">
            <w:pPr>
              <w:jc w:val="center"/>
              <w:rPr>
                <w:rFonts w:ascii="Arial" w:hAnsi="Arial" w:cs="Arial"/>
              </w:rPr>
            </w:pPr>
            <w:r w:rsidRPr="00C2770C">
              <w:rPr>
                <w:rFonts w:ascii="Arial" w:hAnsi="Arial" w:cs="Arial"/>
              </w:rPr>
              <w:t>Temporal aggregation</w:t>
            </w:r>
          </w:p>
        </w:tc>
      </w:tr>
      <w:tr w:rsidR="00456D63" w:rsidRPr="00C2770C" w14:paraId="14567E72" w14:textId="77777777" w:rsidTr="00083DEA">
        <w:trPr>
          <w:trHeight w:val="212"/>
        </w:trPr>
        <w:tc>
          <w:tcPr>
            <w:tcW w:w="2337" w:type="dxa"/>
            <w:vMerge w:val="restart"/>
            <w:vAlign w:val="center"/>
          </w:tcPr>
          <w:p w14:paraId="7A11E51F" w14:textId="77777777" w:rsidR="00456D63" w:rsidRPr="00C2770C" w:rsidRDefault="00456D63" w:rsidP="00083DEA">
            <w:pPr>
              <w:jc w:val="center"/>
              <w:rPr>
                <w:rFonts w:ascii="Arial" w:hAnsi="Arial" w:cs="Arial"/>
              </w:rPr>
            </w:pPr>
            <w:r w:rsidRPr="00C2770C">
              <w:rPr>
                <w:rFonts w:ascii="Arial" w:hAnsi="Arial" w:cs="Arial"/>
              </w:rPr>
              <w:t>Landsat 8</w:t>
            </w:r>
          </w:p>
        </w:tc>
        <w:tc>
          <w:tcPr>
            <w:tcW w:w="2338" w:type="dxa"/>
            <w:vAlign w:val="center"/>
          </w:tcPr>
          <w:p w14:paraId="1B8FDC9C" w14:textId="77777777" w:rsidR="00456D63" w:rsidRPr="00C2770C" w:rsidRDefault="00456D63" w:rsidP="00083DEA">
            <w:pPr>
              <w:jc w:val="center"/>
              <w:rPr>
                <w:rFonts w:ascii="Arial" w:hAnsi="Arial" w:cs="Arial"/>
              </w:rPr>
            </w:pPr>
            <w:r w:rsidRPr="00C2770C">
              <w:rPr>
                <w:rFonts w:ascii="Arial" w:hAnsi="Arial" w:cs="Arial"/>
              </w:rPr>
              <w:t>EVI</w:t>
            </w:r>
          </w:p>
        </w:tc>
        <w:tc>
          <w:tcPr>
            <w:tcW w:w="1890" w:type="dxa"/>
            <w:vAlign w:val="center"/>
          </w:tcPr>
          <w:p w14:paraId="790F1A5F" w14:textId="77777777" w:rsidR="00456D63" w:rsidRPr="00C2770C" w:rsidRDefault="00456D63" w:rsidP="00083DEA">
            <w:pPr>
              <w:jc w:val="center"/>
              <w:rPr>
                <w:rFonts w:ascii="Arial" w:hAnsi="Arial" w:cs="Arial"/>
              </w:rPr>
            </w:pPr>
            <w:r w:rsidRPr="00C2770C">
              <w:rPr>
                <w:rFonts w:ascii="Arial" w:hAnsi="Arial" w:cs="Arial"/>
              </w:rPr>
              <w:t>30</w:t>
            </w:r>
          </w:p>
        </w:tc>
        <w:tc>
          <w:tcPr>
            <w:tcW w:w="2785" w:type="dxa"/>
            <w:vAlign w:val="center"/>
          </w:tcPr>
          <w:p w14:paraId="53739636" w14:textId="77777777" w:rsidR="00456D63" w:rsidRPr="00C2770C" w:rsidRDefault="00456D63" w:rsidP="00083DEA">
            <w:pPr>
              <w:jc w:val="center"/>
              <w:rPr>
                <w:rFonts w:ascii="Arial" w:hAnsi="Arial" w:cs="Arial"/>
              </w:rPr>
            </w:pPr>
            <w:r w:rsidRPr="00C2770C">
              <w:rPr>
                <w:rFonts w:ascii="Arial" w:hAnsi="Arial" w:cs="Arial"/>
              </w:rPr>
              <w:t>Median, interquartile range</w:t>
            </w:r>
          </w:p>
        </w:tc>
      </w:tr>
      <w:tr w:rsidR="00456D63" w:rsidRPr="00C2770C" w14:paraId="31A5559C" w14:textId="77777777" w:rsidTr="00083DEA">
        <w:trPr>
          <w:trHeight w:val="209"/>
        </w:trPr>
        <w:tc>
          <w:tcPr>
            <w:tcW w:w="2337" w:type="dxa"/>
            <w:vMerge/>
            <w:vAlign w:val="center"/>
          </w:tcPr>
          <w:p w14:paraId="553D934F" w14:textId="77777777" w:rsidR="00456D63" w:rsidRPr="00C2770C" w:rsidRDefault="00456D63" w:rsidP="00083DEA">
            <w:pPr>
              <w:jc w:val="center"/>
              <w:rPr>
                <w:rFonts w:ascii="Arial" w:hAnsi="Arial" w:cs="Arial"/>
              </w:rPr>
            </w:pPr>
          </w:p>
        </w:tc>
        <w:tc>
          <w:tcPr>
            <w:tcW w:w="2338" w:type="dxa"/>
            <w:vAlign w:val="center"/>
          </w:tcPr>
          <w:p w14:paraId="36492ADF" w14:textId="77777777" w:rsidR="00456D63" w:rsidRPr="00C2770C" w:rsidRDefault="00456D63" w:rsidP="00083DEA">
            <w:pPr>
              <w:jc w:val="center"/>
              <w:rPr>
                <w:rFonts w:ascii="Arial" w:hAnsi="Arial" w:cs="Arial"/>
              </w:rPr>
            </w:pPr>
            <w:r w:rsidRPr="00C2770C">
              <w:rPr>
                <w:rFonts w:ascii="Arial" w:hAnsi="Arial" w:cs="Arial"/>
              </w:rPr>
              <w:t>MSAVI</w:t>
            </w:r>
          </w:p>
        </w:tc>
        <w:tc>
          <w:tcPr>
            <w:tcW w:w="1890" w:type="dxa"/>
            <w:vAlign w:val="center"/>
          </w:tcPr>
          <w:p w14:paraId="2FFE7971" w14:textId="77777777" w:rsidR="00456D63" w:rsidRPr="00C2770C" w:rsidRDefault="00456D63" w:rsidP="00083DEA">
            <w:pPr>
              <w:jc w:val="center"/>
              <w:rPr>
                <w:rFonts w:ascii="Arial" w:hAnsi="Arial" w:cs="Arial"/>
              </w:rPr>
            </w:pPr>
            <w:r w:rsidRPr="00C2770C">
              <w:rPr>
                <w:rFonts w:ascii="Arial" w:hAnsi="Arial" w:cs="Arial"/>
              </w:rPr>
              <w:t>30</w:t>
            </w:r>
          </w:p>
        </w:tc>
        <w:tc>
          <w:tcPr>
            <w:tcW w:w="2785" w:type="dxa"/>
            <w:vAlign w:val="center"/>
          </w:tcPr>
          <w:p w14:paraId="5085A204" w14:textId="77777777" w:rsidR="00456D63" w:rsidRPr="00C2770C" w:rsidRDefault="00456D63" w:rsidP="00083DEA">
            <w:pPr>
              <w:jc w:val="center"/>
              <w:rPr>
                <w:rFonts w:ascii="Arial" w:hAnsi="Arial" w:cs="Arial"/>
              </w:rPr>
            </w:pPr>
            <w:r w:rsidRPr="00C2770C">
              <w:rPr>
                <w:rFonts w:ascii="Arial" w:hAnsi="Arial" w:cs="Arial"/>
              </w:rPr>
              <w:t>Median, interquartile range</w:t>
            </w:r>
          </w:p>
        </w:tc>
      </w:tr>
      <w:tr w:rsidR="00456D63" w:rsidRPr="00C2770C" w14:paraId="30789A0E" w14:textId="77777777" w:rsidTr="00083DEA">
        <w:trPr>
          <w:trHeight w:val="209"/>
        </w:trPr>
        <w:tc>
          <w:tcPr>
            <w:tcW w:w="2337" w:type="dxa"/>
            <w:vMerge/>
            <w:vAlign w:val="center"/>
          </w:tcPr>
          <w:p w14:paraId="2ED21990" w14:textId="77777777" w:rsidR="00456D63" w:rsidRPr="00C2770C" w:rsidRDefault="00456D63" w:rsidP="00083DEA">
            <w:pPr>
              <w:jc w:val="center"/>
              <w:rPr>
                <w:rFonts w:ascii="Arial" w:hAnsi="Arial" w:cs="Arial"/>
              </w:rPr>
            </w:pPr>
          </w:p>
        </w:tc>
        <w:tc>
          <w:tcPr>
            <w:tcW w:w="2338" w:type="dxa"/>
            <w:vAlign w:val="center"/>
          </w:tcPr>
          <w:p w14:paraId="4D2B85A0" w14:textId="77777777" w:rsidR="00456D63" w:rsidRPr="00C2770C" w:rsidRDefault="00456D63" w:rsidP="00083DEA">
            <w:pPr>
              <w:jc w:val="center"/>
              <w:rPr>
                <w:rFonts w:ascii="Arial" w:hAnsi="Arial" w:cs="Arial"/>
              </w:rPr>
            </w:pPr>
            <w:r w:rsidRPr="00C2770C">
              <w:rPr>
                <w:rFonts w:ascii="Arial" w:hAnsi="Arial" w:cs="Arial"/>
              </w:rPr>
              <w:t>MSR</w:t>
            </w:r>
          </w:p>
        </w:tc>
        <w:tc>
          <w:tcPr>
            <w:tcW w:w="1890" w:type="dxa"/>
            <w:vAlign w:val="center"/>
          </w:tcPr>
          <w:p w14:paraId="19B21C93" w14:textId="77777777" w:rsidR="00456D63" w:rsidRPr="00C2770C" w:rsidRDefault="00456D63" w:rsidP="00083DEA">
            <w:pPr>
              <w:jc w:val="center"/>
              <w:rPr>
                <w:rFonts w:ascii="Arial" w:hAnsi="Arial" w:cs="Arial"/>
              </w:rPr>
            </w:pPr>
            <w:r w:rsidRPr="00C2770C">
              <w:rPr>
                <w:rFonts w:ascii="Arial" w:hAnsi="Arial" w:cs="Arial"/>
              </w:rPr>
              <w:t>30</w:t>
            </w:r>
          </w:p>
        </w:tc>
        <w:tc>
          <w:tcPr>
            <w:tcW w:w="2785" w:type="dxa"/>
            <w:vAlign w:val="center"/>
          </w:tcPr>
          <w:p w14:paraId="60FEF7E3" w14:textId="77777777" w:rsidR="00456D63" w:rsidRPr="00C2770C" w:rsidRDefault="00456D63" w:rsidP="00083DEA">
            <w:pPr>
              <w:jc w:val="center"/>
              <w:rPr>
                <w:rFonts w:ascii="Arial" w:hAnsi="Arial" w:cs="Arial"/>
              </w:rPr>
            </w:pPr>
            <w:r w:rsidRPr="00C2770C">
              <w:rPr>
                <w:rFonts w:ascii="Arial" w:hAnsi="Arial" w:cs="Arial"/>
              </w:rPr>
              <w:t>Median, interquartile range</w:t>
            </w:r>
          </w:p>
        </w:tc>
      </w:tr>
      <w:tr w:rsidR="00456D63" w:rsidRPr="00C2770C" w14:paraId="2299C748" w14:textId="77777777" w:rsidTr="00083DEA">
        <w:trPr>
          <w:trHeight w:val="209"/>
        </w:trPr>
        <w:tc>
          <w:tcPr>
            <w:tcW w:w="2337" w:type="dxa"/>
            <w:vMerge/>
            <w:vAlign w:val="center"/>
          </w:tcPr>
          <w:p w14:paraId="1DBAD5B8" w14:textId="77777777" w:rsidR="00456D63" w:rsidRPr="00C2770C" w:rsidRDefault="00456D63" w:rsidP="00083DEA">
            <w:pPr>
              <w:jc w:val="center"/>
              <w:rPr>
                <w:rFonts w:ascii="Arial" w:hAnsi="Arial" w:cs="Arial"/>
              </w:rPr>
            </w:pPr>
          </w:p>
        </w:tc>
        <w:tc>
          <w:tcPr>
            <w:tcW w:w="2338" w:type="dxa"/>
            <w:vAlign w:val="center"/>
          </w:tcPr>
          <w:p w14:paraId="23A5A406" w14:textId="77777777" w:rsidR="00456D63" w:rsidRPr="00C2770C" w:rsidRDefault="00456D63" w:rsidP="00083DEA">
            <w:pPr>
              <w:jc w:val="center"/>
              <w:rPr>
                <w:rFonts w:ascii="Arial" w:hAnsi="Arial" w:cs="Arial"/>
              </w:rPr>
            </w:pPr>
            <w:r w:rsidRPr="00C2770C">
              <w:rPr>
                <w:rFonts w:ascii="Arial" w:hAnsi="Arial" w:cs="Arial"/>
              </w:rPr>
              <w:t>NDMI</w:t>
            </w:r>
          </w:p>
        </w:tc>
        <w:tc>
          <w:tcPr>
            <w:tcW w:w="1890" w:type="dxa"/>
            <w:vAlign w:val="center"/>
          </w:tcPr>
          <w:p w14:paraId="24924C27" w14:textId="77777777" w:rsidR="00456D63" w:rsidRPr="00C2770C" w:rsidRDefault="00456D63" w:rsidP="00083DEA">
            <w:pPr>
              <w:jc w:val="center"/>
              <w:rPr>
                <w:rFonts w:ascii="Arial" w:hAnsi="Arial" w:cs="Arial"/>
              </w:rPr>
            </w:pPr>
            <w:r w:rsidRPr="00C2770C">
              <w:rPr>
                <w:rFonts w:ascii="Arial" w:hAnsi="Arial" w:cs="Arial"/>
              </w:rPr>
              <w:t>30</w:t>
            </w:r>
          </w:p>
        </w:tc>
        <w:tc>
          <w:tcPr>
            <w:tcW w:w="2785" w:type="dxa"/>
            <w:vAlign w:val="center"/>
          </w:tcPr>
          <w:p w14:paraId="1B804312" w14:textId="77777777" w:rsidR="00456D63" w:rsidRPr="00C2770C" w:rsidRDefault="00456D63" w:rsidP="00083DEA">
            <w:pPr>
              <w:jc w:val="center"/>
              <w:rPr>
                <w:rFonts w:ascii="Arial" w:hAnsi="Arial" w:cs="Arial"/>
              </w:rPr>
            </w:pPr>
            <w:r w:rsidRPr="00C2770C">
              <w:rPr>
                <w:rFonts w:ascii="Arial" w:hAnsi="Arial" w:cs="Arial"/>
              </w:rPr>
              <w:t>Median, interquartile range</w:t>
            </w:r>
          </w:p>
        </w:tc>
      </w:tr>
      <w:tr w:rsidR="00456D63" w:rsidRPr="00C2770C" w14:paraId="09A9EC01" w14:textId="77777777" w:rsidTr="00083DEA">
        <w:trPr>
          <w:trHeight w:val="212"/>
        </w:trPr>
        <w:tc>
          <w:tcPr>
            <w:tcW w:w="2337" w:type="dxa"/>
            <w:vMerge w:val="restart"/>
            <w:vAlign w:val="center"/>
          </w:tcPr>
          <w:p w14:paraId="007EE269" w14:textId="77777777" w:rsidR="00456D63" w:rsidRPr="00C2770C" w:rsidRDefault="00456D63" w:rsidP="00083DEA">
            <w:pPr>
              <w:jc w:val="center"/>
              <w:rPr>
                <w:rFonts w:ascii="Arial" w:hAnsi="Arial" w:cs="Arial"/>
              </w:rPr>
            </w:pPr>
            <w:r w:rsidRPr="00C2770C">
              <w:rPr>
                <w:rFonts w:ascii="Arial" w:hAnsi="Arial" w:cs="Arial"/>
              </w:rPr>
              <w:t>Sentinel 2</w:t>
            </w:r>
          </w:p>
        </w:tc>
        <w:tc>
          <w:tcPr>
            <w:tcW w:w="2338" w:type="dxa"/>
            <w:vAlign w:val="center"/>
          </w:tcPr>
          <w:p w14:paraId="1EC0940A" w14:textId="77777777" w:rsidR="00456D63" w:rsidRPr="00C2770C" w:rsidRDefault="00456D63" w:rsidP="00083DEA">
            <w:pPr>
              <w:jc w:val="center"/>
              <w:rPr>
                <w:rFonts w:ascii="Arial" w:hAnsi="Arial" w:cs="Arial"/>
              </w:rPr>
            </w:pPr>
            <w:r w:rsidRPr="00C2770C">
              <w:rPr>
                <w:rFonts w:ascii="Arial" w:hAnsi="Arial" w:cs="Arial"/>
              </w:rPr>
              <w:t>EVI</w:t>
            </w:r>
          </w:p>
        </w:tc>
        <w:tc>
          <w:tcPr>
            <w:tcW w:w="1890" w:type="dxa"/>
            <w:vAlign w:val="center"/>
          </w:tcPr>
          <w:p w14:paraId="5CFBF875" w14:textId="77777777" w:rsidR="00456D63" w:rsidRPr="00C2770C" w:rsidRDefault="00456D63" w:rsidP="00083DEA">
            <w:pPr>
              <w:jc w:val="center"/>
              <w:rPr>
                <w:rFonts w:ascii="Arial" w:hAnsi="Arial" w:cs="Arial"/>
              </w:rPr>
            </w:pPr>
            <w:r w:rsidRPr="00C2770C">
              <w:rPr>
                <w:rFonts w:ascii="Arial" w:hAnsi="Arial" w:cs="Arial"/>
              </w:rPr>
              <w:t>10</w:t>
            </w:r>
          </w:p>
        </w:tc>
        <w:tc>
          <w:tcPr>
            <w:tcW w:w="2785" w:type="dxa"/>
            <w:vAlign w:val="center"/>
          </w:tcPr>
          <w:p w14:paraId="49778804" w14:textId="77777777" w:rsidR="00456D63" w:rsidRPr="00C2770C" w:rsidRDefault="00456D63" w:rsidP="00083DEA">
            <w:pPr>
              <w:jc w:val="center"/>
              <w:rPr>
                <w:rFonts w:ascii="Arial" w:hAnsi="Arial" w:cs="Arial"/>
              </w:rPr>
            </w:pPr>
            <w:r w:rsidRPr="00C2770C">
              <w:rPr>
                <w:rFonts w:ascii="Arial" w:hAnsi="Arial" w:cs="Arial"/>
              </w:rPr>
              <w:t>Median, interquartile range</w:t>
            </w:r>
          </w:p>
        </w:tc>
      </w:tr>
      <w:tr w:rsidR="00456D63" w:rsidRPr="00C2770C" w14:paraId="35B83572" w14:textId="77777777" w:rsidTr="00083DEA">
        <w:trPr>
          <w:trHeight w:val="209"/>
        </w:trPr>
        <w:tc>
          <w:tcPr>
            <w:tcW w:w="2337" w:type="dxa"/>
            <w:vMerge/>
            <w:vAlign w:val="center"/>
          </w:tcPr>
          <w:p w14:paraId="56CFA114" w14:textId="77777777" w:rsidR="00456D63" w:rsidRPr="00C2770C" w:rsidRDefault="00456D63" w:rsidP="00083DEA">
            <w:pPr>
              <w:jc w:val="center"/>
              <w:rPr>
                <w:rFonts w:ascii="Arial" w:hAnsi="Arial" w:cs="Arial"/>
              </w:rPr>
            </w:pPr>
          </w:p>
        </w:tc>
        <w:tc>
          <w:tcPr>
            <w:tcW w:w="2338" w:type="dxa"/>
            <w:vAlign w:val="center"/>
          </w:tcPr>
          <w:p w14:paraId="76635760" w14:textId="77777777" w:rsidR="00456D63" w:rsidRPr="00C2770C" w:rsidRDefault="00456D63" w:rsidP="00083DEA">
            <w:pPr>
              <w:jc w:val="center"/>
              <w:rPr>
                <w:rFonts w:ascii="Arial" w:hAnsi="Arial" w:cs="Arial"/>
              </w:rPr>
            </w:pPr>
            <w:r w:rsidRPr="00C2770C">
              <w:rPr>
                <w:rFonts w:ascii="Arial" w:hAnsi="Arial" w:cs="Arial"/>
              </w:rPr>
              <w:t>MSAVI</w:t>
            </w:r>
          </w:p>
        </w:tc>
        <w:tc>
          <w:tcPr>
            <w:tcW w:w="1890" w:type="dxa"/>
            <w:vAlign w:val="center"/>
          </w:tcPr>
          <w:p w14:paraId="5C1BF948" w14:textId="77777777" w:rsidR="00456D63" w:rsidRPr="00C2770C" w:rsidRDefault="00456D63" w:rsidP="00083DEA">
            <w:pPr>
              <w:jc w:val="center"/>
              <w:rPr>
                <w:rFonts w:ascii="Arial" w:hAnsi="Arial" w:cs="Arial"/>
              </w:rPr>
            </w:pPr>
            <w:r w:rsidRPr="00C2770C">
              <w:rPr>
                <w:rFonts w:ascii="Arial" w:hAnsi="Arial" w:cs="Arial"/>
              </w:rPr>
              <w:t>10</w:t>
            </w:r>
          </w:p>
        </w:tc>
        <w:tc>
          <w:tcPr>
            <w:tcW w:w="2785" w:type="dxa"/>
            <w:vAlign w:val="center"/>
          </w:tcPr>
          <w:p w14:paraId="38371F4A" w14:textId="77777777" w:rsidR="00456D63" w:rsidRPr="00C2770C" w:rsidRDefault="00456D63" w:rsidP="00083DEA">
            <w:pPr>
              <w:jc w:val="center"/>
              <w:rPr>
                <w:rFonts w:ascii="Arial" w:hAnsi="Arial" w:cs="Arial"/>
              </w:rPr>
            </w:pPr>
            <w:r w:rsidRPr="00C2770C">
              <w:rPr>
                <w:rFonts w:ascii="Arial" w:hAnsi="Arial" w:cs="Arial"/>
              </w:rPr>
              <w:t>Median, interquartile range</w:t>
            </w:r>
          </w:p>
        </w:tc>
      </w:tr>
      <w:tr w:rsidR="00456D63" w:rsidRPr="00C2770C" w14:paraId="00CDB620" w14:textId="77777777" w:rsidTr="00083DEA">
        <w:trPr>
          <w:trHeight w:val="209"/>
        </w:trPr>
        <w:tc>
          <w:tcPr>
            <w:tcW w:w="2337" w:type="dxa"/>
            <w:vMerge/>
            <w:vAlign w:val="center"/>
          </w:tcPr>
          <w:p w14:paraId="76E72EE7" w14:textId="77777777" w:rsidR="00456D63" w:rsidRPr="00C2770C" w:rsidRDefault="00456D63" w:rsidP="00083DEA">
            <w:pPr>
              <w:jc w:val="center"/>
              <w:rPr>
                <w:rFonts w:ascii="Arial" w:hAnsi="Arial" w:cs="Arial"/>
              </w:rPr>
            </w:pPr>
          </w:p>
        </w:tc>
        <w:tc>
          <w:tcPr>
            <w:tcW w:w="2338" w:type="dxa"/>
            <w:vAlign w:val="center"/>
          </w:tcPr>
          <w:p w14:paraId="1DFF419E" w14:textId="77777777" w:rsidR="00456D63" w:rsidRPr="00C2770C" w:rsidRDefault="00456D63" w:rsidP="00083DEA">
            <w:pPr>
              <w:jc w:val="center"/>
              <w:rPr>
                <w:rFonts w:ascii="Arial" w:hAnsi="Arial" w:cs="Arial"/>
              </w:rPr>
            </w:pPr>
            <w:r w:rsidRPr="00C2770C">
              <w:rPr>
                <w:rFonts w:ascii="Arial" w:hAnsi="Arial" w:cs="Arial"/>
              </w:rPr>
              <w:t>MSR</w:t>
            </w:r>
          </w:p>
        </w:tc>
        <w:tc>
          <w:tcPr>
            <w:tcW w:w="1890" w:type="dxa"/>
            <w:vAlign w:val="center"/>
          </w:tcPr>
          <w:p w14:paraId="6484FAE0" w14:textId="77777777" w:rsidR="00456D63" w:rsidRPr="00C2770C" w:rsidRDefault="00456D63" w:rsidP="00083DEA">
            <w:pPr>
              <w:jc w:val="center"/>
              <w:rPr>
                <w:rFonts w:ascii="Arial" w:hAnsi="Arial" w:cs="Arial"/>
              </w:rPr>
            </w:pPr>
            <w:r w:rsidRPr="00C2770C">
              <w:rPr>
                <w:rFonts w:ascii="Arial" w:hAnsi="Arial" w:cs="Arial"/>
              </w:rPr>
              <w:t>10</w:t>
            </w:r>
          </w:p>
        </w:tc>
        <w:tc>
          <w:tcPr>
            <w:tcW w:w="2785" w:type="dxa"/>
            <w:vAlign w:val="center"/>
          </w:tcPr>
          <w:p w14:paraId="5C995138" w14:textId="77777777" w:rsidR="00456D63" w:rsidRPr="00C2770C" w:rsidRDefault="00456D63" w:rsidP="00083DEA">
            <w:pPr>
              <w:jc w:val="center"/>
              <w:rPr>
                <w:rFonts w:ascii="Arial" w:hAnsi="Arial" w:cs="Arial"/>
              </w:rPr>
            </w:pPr>
            <w:r w:rsidRPr="00C2770C">
              <w:rPr>
                <w:rFonts w:ascii="Arial" w:hAnsi="Arial" w:cs="Arial"/>
              </w:rPr>
              <w:t>Median, interquartile range</w:t>
            </w:r>
          </w:p>
        </w:tc>
      </w:tr>
      <w:tr w:rsidR="00456D63" w:rsidRPr="00C2770C" w14:paraId="7D6038E8" w14:textId="77777777" w:rsidTr="00083DEA">
        <w:trPr>
          <w:trHeight w:val="209"/>
        </w:trPr>
        <w:tc>
          <w:tcPr>
            <w:tcW w:w="2337" w:type="dxa"/>
            <w:vMerge/>
            <w:vAlign w:val="center"/>
          </w:tcPr>
          <w:p w14:paraId="6ED0A8DD" w14:textId="77777777" w:rsidR="00456D63" w:rsidRPr="00C2770C" w:rsidRDefault="00456D63" w:rsidP="00083DEA">
            <w:pPr>
              <w:jc w:val="center"/>
              <w:rPr>
                <w:rFonts w:ascii="Arial" w:hAnsi="Arial" w:cs="Arial"/>
              </w:rPr>
            </w:pPr>
          </w:p>
        </w:tc>
        <w:tc>
          <w:tcPr>
            <w:tcW w:w="2338" w:type="dxa"/>
            <w:vAlign w:val="center"/>
          </w:tcPr>
          <w:p w14:paraId="55EB0BD0" w14:textId="77777777" w:rsidR="00456D63" w:rsidRPr="00C2770C" w:rsidRDefault="00456D63" w:rsidP="00083DEA">
            <w:pPr>
              <w:jc w:val="center"/>
              <w:rPr>
                <w:rFonts w:ascii="Arial" w:hAnsi="Arial" w:cs="Arial"/>
              </w:rPr>
            </w:pPr>
            <w:r w:rsidRPr="00C2770C">
              <w:rPr>
                <w:rFonts w:ascii="Arial" w:hAnsi="Arial" w:cs="Arial"/>
              </w:rPr>
              <w:t>NDMI</w:t>
            </w:r>
          </w:p>
        </w:tc>
        <w:tc>
          <w:tcPr>
            <w:tcW w:w="1890" w:type="dxa"/>
            <w:vAlign w:val="center"/>
          </w:tcPr>
          <w:p w14:paraId="353114BD" w14:textId="77777777" w:rsidR="00456D63" w:rsidRPr="00C2770C" w:rsidRDefault="00456D63" w:rsidP="00083DEA">
            <w:pPr>
              <w:jc w:val="center"/>
              <w:rPr>
                <w:rFonts w:ascii="Arial" w:hAnsi="Arial" w:cs="Arial"/>
              </w:rPr>
            </w:pPr>
            <w:r w:rsidRPr="00C2770C">
              <w:rPr>
                <w:rFonts w:ascii="Arial" w:hAnsi="Arial" w:cs="Arial"/>
              </w:rPr>
              <w:t>20</w:t>
            </w:r>
          </w:p>
        </w:tc>
        <w:tc>
          <w:tcPr>
            <w:tcW w:w="2785" w:type="dxa"/>
            <w:vAlign w:val="center"/>
          </w:tcPr>
          <w:p w14:paraId="36F558E6" w14:textId="77777777" w:rsidR="00456D63" w:rsidRPr="00C2770C" w:rsidRDefault="00456D63" w:rsidP="00083DEA">
            <w:pPr>
              <w:jc w:val="center"/>
              <w:rPr>
                <w:rFonts w:ascii="Arial" w:hAnsi="Arial" w:cs="Arial"/>
              </w:rPr>
            </w:pPr>
            <w:r w:rsidRPr="00C2770C">
              <w:rPr>
                <w:rFonts w:ascii="Arial" w:hAnsi="Arial" w:cs="Arial"/>
              </w:rPr>
              <w:t>Median, interquartile range</w:t>
            </w:r>
          </w:p>
        </w:tc>
      </w:tr>
    </w:tbl>
    <w:p w14:paraId="6F7415D0" w14:textId="77777777" w:rsidR="00456D63" w:rsidRPr="00C2770C" w:rsidRDefault="00456D63" w:rsidP="00456D63">
      <w:pPr>
        <w:jc w:val="both"/>
        <w:rPr>
          <w:rFonts w:ascii="Arial" w:hAnsi="Arial" w:cs="Arial"/>
        </w:rPr>
      </w:pPr>
    </w:p>
    <w:p w14:paraId="5375BE61" w14:textId="39946E0A" w:rsidR="00456D63" w:rsidRPr="00C2770C" w:rsidRDefault="00456D63" w:rsidP="00456D63">
      <w:pPr>
        <w:jc w:val="both"/>
        <w:rPr>
          <w:rFonts w:ascii="Arial" w:hAnsi="Arial" w:cs="Arial"/>
        </w:rPr>
      </w:pPr>
      <w:r w:rsidRPr="00C2770C">
        <w:rPr>
          <w:rFonts w:ascii="Arial" w:hAnsi="Arial" w:cs="Arial"/>
        </w:rPr>
        <w:t xml:space="preserve">Finally, visual inspection </w:t>
      </w:r>
      <w:r>
        <w:rPr>
          <w:rFonts w:ascii="Arial" w:hAnsi="Arial" w:cs="Arial"/>
        </w:rPr>
        <w:t>of</w:t>
      </w:r>
      <w:r w:rsidRPr="00C2770C">
        <w:rPr>
          <w:rFonts w:ascii="Arial" w:hAnsi="Arial" w:cs="Arial"/>
        </w:rPr>
        <w:t xml:space="preserve"> several locations in South America was used to assess </w:t>
      </w:r>
      <w:r>
        <w:rPr>
          <w:rFonts w:ascii="Arial" w:hAnsi="Arial" w:cs="Arial"/>
        </w:rPr>
        <w:t>the</w:t>
      </w:r>
      <w:r w:rsidRPr="00C2770C">
        <w:rPr>
          <w:rFonts w:ascii="Arial" w:hAnsi="Arial" w:cs="Arial"/>
        </w:rPr>
        <w:t xml:space="preserve"> combination of variables </w:t>
      </w:r>
      <w:r>
        <w:rPr>
          <w:rFonts w:ascii="Arial" w:hAnsi="Arial" w:cs="Arial"/>
        </w:rPr>
        <w:t>that yielded</w:t>
      </w:r>
      <w:r w:rsidRPr="00C2770C">
        <w:rPr>
          <w:rFonts w:ascii="Arial" w:hAnsi="Arial" w:cs="Arial"/>
        </w:rPr>
        <w:t xml:space="preserve"> acceptable performance </w:t>
      </w:r>
      <w:r>
        <w:rPr>
          <w:rFonts w:ascii="Arial" w:hAnsi="Arial" w:cs="Arial"/>
        </w:rPr>
        <w:t>within a</w:t>
      </w:r>
      <w:r w:rsidRPr="00C2770C">
        <w:rPr>
          <w:rFonts w:ascii="Arial" w:hAnsi="Arial" w:cs="Arial"/>
        </w:rPr>
        <w:t xml:space="preserve"> reasonable computation time.</w:t>
      </w:r>
    </w:p>
    <w:p w14:paraId="671565C7" w14:textId="77777777" w:rsidR="00456D63" w:rsidRDefault="00456D63" w:rsidP="00456D63">
      <w:pPr>
        <w:spacing w:line="480" w:lineRule="auto"/>
        <w:jc w:val="both"/>
        <w:rPr>
          <w:rFonts w:ascii="Arial" w:hAnsi="Arial" w:cs="Arial"/>
          <w:sz w:val="24"/>
          <w:szCs w:val="24"/>
        </w:rPr>
      </w:pPr>
    </w:p>
    <w:p w14:paraId="3AF5CCA4" w14:textId="3A07D32A" w:rsidR="00456D63" w:rsidRDefault="00456D63" w:rsidP="00456D63">
      <w:pPr>
        <w:spacing w:line="480" w:lineRule="auto"/>
        <w:jc w:val="both"/>
        <w:rPr>
          <w:rFonts w:ascii="Arial" w:hAnsi="Arial" w:cs="Arial"/>
          <w:b/>
          <w:bCs/>
          <w:sz w:val="24"/>
          <w:szCs w:val="24"/>
        </w:rPr>
      </w:pPr>
      <w:r w:rsidRPr="00456D63">
        <w:rPr>
          <w:rFonts w:ascii="Arial" w:hAnsi="Arial" w:cs="Arial"/>
          <w:b/>
          <w:bCs/>
          <w:sz w:val="24"/>
          <w:szCs w:val="24"/>
        </w:rPr>
        <w:t>References</w:t>
      </w:r>
    </w:p>
    <w:sdt>
      <w:sdtPr>
        <w:rPr>
          <w:rFonts w:ascii="Arial" w:hAnsi="Arial" w:cs="Arial"/>
          <w:b/>
          <w:bCs/>
          <w:sz w:val="24"/>
          <w:szCs w:val="24"/>
        </w:rPr>
        <w:tag w:val="MENDELEY_BIBLIOGRAPHY"/>
        <w:id w:val="1503789679"/>
        <w:placeholder>
          <w:docPart w:val="DefaultPlaceholder_-1854013440"/>
        </w:placeholder>
      </w:sdtPr>
      <w:sdtContent>
        <w:p w14:paraId="71CD76AF" w14:textId="77777777" w:rsidR="00456D63" w:rsidRPr="00BD62EB" w:rsidRDefault="00456D63">
          <w:pPr>
            <w:autoSpaceDE w:val="0"/>
            <w:autoSpaceDN w:val="0"/>
            <w:ind w:hanging="480"/>
            <w:divId w:val="182788975"/>
            <w:rPr>
              <w:rFonts w:ascii="Arial" w:eastAsia="Times New Roman" w:hAnsi="Arial" w:cs="Arial"/>
              <w:sz w:val="24"/>
              <w:szCs w:val="24"/>
              <w14:ligatures w14:val="none"/>
            </w:rPr>
          </w:pPr>
          <w:proofErr w:type="spellStart"/>
          <w:r w:rsidRPr="00BD62EB">
            <w:rPr>
              <w:rFonts w:ascii="Arial" w:eastAsia="Times New Roman" w:hAnsi="Arial" w:cs="Arial"/>
              <w:lang w:val="pt-BR"/>
            </w:rPr>
            <w:t>Kursa</w:t>
          </w:r>
          <w:proofErr w:type="spellEnd"/>
          <w:r w:rsidRPr="00BD62EB">
            <w:rPr>
              <w:rFonts w:ascii="Arial" w:eastAsia="Times New Roman" w:hAnsi="Arial" w:cs="Arial"/>
              <w:lang w:val="pt-BR"/>
            </w:rPr>
            <w:t xml:space="preserve">, M. B., &amp; </w:t>
          </w:r>
          <w:proofErr w:type="spellStart"/>
          <w:r w:rsidRPr="00BD62EB">
            <w:rPr>
              <w:rFonts w:ascii="Arial" w:eastAsia="Times New Roman" w:hAnsi="Arial" w:cs="Arial"/>
              <w:lang w:val="pt-BR"/>
            </w:rPr>
            <w:t>Rudnicki</w:t>
          </w:r>
          <w:proofErr w:type="spellEnd"/>
          <w:r w:rsidRPr="00BD62EB">
            <w:rPr>
              <w:rFonts w:ascii="Arial" w:eastAsia="Times New Roman" w:hAnsi="Arial" w:cs="Arial"/>
              <w:lang w:val="pt-BR"/>
            </w:rPr>
            <w:t xml:space="preserve">, W. R. (2010). </w:t>
          </w:r>
          <w:r w:rsidRPr="00BD62EB">
            <w:rPr>
              <w:rFonts w:ascii="Arial" w:eastAsia="Times New Roman" w:hAnsi="Arial" w:cs="Arial"/>
            </w:rPr>
            <w:t xml:space="preserve">Feature selection with the </w:t>
          </w:r>
          <w:proofErr w:type="spellStart"/>
          <w:r w:rsidRPr="00BD62EB">
            <w:rPr>
              <w:rFonts w:ascii="Arial" w:eastAsia="Times New Roman" w:hAnsi="Arial" w:cs="Arial"/>
            </w:rPr>
            <w:t>boruta</w:t>
          </w:r>
          <w:proofErr w:type="spellEnd"/>
          <w:r w:rsidRPr="00BD62EB">
            <w:rPr>
              <w:rFonts w:ascii="Arial" w:eastAsia="Times New Roman" w:hAnsi="Arial" w:cs="Arial"/>
            </w:rPr>
            <w:t xml:space="preserve"> package. </w:t>
          </w:r>
          <w:r w:rsidRPr="00BD62EB">
            <w:rPr>
              <w:rFonts w:ascii="Arial" w:eastAsia="Times New Roman" w:hAnsi="Arial" w:cs="Arial"/>
              <w:i/>
              <w:iCs/>
            </w:rPr>
            <w:t>Journal of Statistical Software</w:t>
          </w:r>
          <w:r w:rsidRPr="00BD62EB">
            <w:rPr>
              <w:rFonts w:ascii="Arial" w:eastAsia="Times New Roman" w:hAnsi="Arial" w:cs="Arial"/>
            </w:rPr>
            <w:t xml:space="preserve">, </w:t>
          </w:r>
          <w:r w:rsidRPr="00BD62EB">
            <w:rPr>
              <w:rFonts w:ascii="Arial" w:eastAsia="Times New Roman" w:hAnsi="Arial" w:cs="Arial"/>
              <w:i/>
              <w:iCs/>
            </w:rPr>
            <w:t>36</w:t>
          </w:r>
          <w:r w:rsidRPr="00BD62EB">
            <w:rPr>
              <w:rFonts w:ascii="Arial" w:eastAsia="Times New Roman" w:hAnsi="Arial" w:cs="Arial"/>
            </w:rPr>
            <w:t>(11). https://doi.org/10.18637/jss.v036.i11</w:t>
          </w:r>
        </w:p>
        <w:p w14:paraId="724EFA67" w14:textId="77777777" w:rsidR="00456D63" w:rsidRPr="00BD62EB" w:rsidRDefault="00456D63">
          <w:pPr>
            <w:autoSpaceDE w:val="0"/>
            <w:autoSpaceDN w:val="0"/>
            <w:ind w:hanging="480"/>
            <w:divId w:val="528685386"/>
            <w:rPr>
              <w:rFonts w:ascii="Arial" w:eastAsia="Times New Roman" w:hAnsi="Arial" w:cs="Arial"/>
            </w:rPr>
          </w:pPr>
          <w:r w:rsidRPr="00BD62EB">
            <w:rPr>
              <w:rFonts w:ascii="Arial" w:eastAsia="Times New Roman" w:hAnsi="Arial" w:cs="Arial"/>
            </w:rPr>
            <w:t xml:space="preserve">Speiser, J. L., Miller, M. E., Tooze, J., &amp; Ip, E. (2019). A comparison of random forest variable selection methods for classification prediction modeling. In </w:t>
          </w:r>
          <w:r w:rsidRPr="00BD62EB">
            <w:rPr>
              <w:rFonts w:ascii="Arial" w:eastAsia="Times New Roman" w:hAnsi="Arial" w:cs="Arial"/>
              <w:i/>
              <w:iCs/>
            </w:rPr>
            <w:t>Expert Systems with Applications</w:t>
          </w:r>
          <w:r w:rsidRPr="00BD62EB">
            <w:rPr>
              <w:rFonts w:ascii="Arial" w:eastAsia="Times New Roman" w:hAnsi="Arial" w:cs="Arial"/>
            </w:rPr>
            <w:t xml:space="preserve"> (Vol. 134). https://doi.org/10.1016/j.eswa.2019.05.028</w:t>
          </w:r>
        </w:p>
        <w:p w14:paraId="0C82CBDA" w14:textId="5AE931BC" w:rsidR="00456D63" w:rsidRPr="00456D63" w:rsidRDefault="00456D63" w:rsidP="00456D63">
          <w:pPr>
            <w:spacing w:line="480" w:lineRule="auto"/>
            <w:jc w:val="both"/>
            <w:rPr>
              <w:rFonts w:ascii="Arial" w:hAnsi="Arial" w:cs="Arial"/>
              <w:b/>
              <w:bCs/>
              <w:sz w:val="24"/>
              <w:szCs w:val="24"/>
            </w:rPr>
          </w:pPr>
          <w:r w:rsidRPr="00BD62EB">
            <w:rPr>
              <w:rFonts w:ascii="Arial" w:eastAsia="Times New Roman" w:hAnsi="Arial" w:cs="Arial"/>
            </w:rPr>
            <w:t> </w:t>
          </w:r>
        </w:p>
      </w:sdtContent>
    </w:sdt>
    <w:p w14:paraId="1E92D800" w14:textId="77777777" w:rsidR="004F61BF" w:rsidRDefault="004F61BF"/>
    <w:sectPr w:rsidR="004F61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D63"/>
    <w:rsid w:val="00121910"/>
    <w:rsid w:val="00456D63"/>
    <w:rsid w:val="004F61BF"/>
    <w:rsid w:val="008D72F5"/>
    <w:rsid w:val="00BD62E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FAEFD"/>
  <w15:chartTrackingRefBased/>
  <w15:docId w15:val="{83AB8768-8C5D-4DB7-AC2C-2E17D9178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6D63"/>
    <w:rPr>
      <w:kern w:val="0"/>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rsid w:val="00456D63"/>
    <w:rPr>
      <w:sz w:val="16"/>
      <w:szCs w:val="16"/>
    </w:rPr>
  </w:style>
  <w:style w:type="table" w:styleId="Tabelacomgrade">
    <w:name w:val="Table Grid"/>
    <w:basedOn w:val="Tabelanormal"/>
    <w:uiPriority w:val="39"/>
    <w:rsid w:val="00456D63"/>
    <w:pPr>
      <w:spacing w:after="0" w:line="240" w:lineRule="auto"/>
    </w:pPr>
    <w:rPr>
      <w:kern w:val="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oEspaoReservado">
    <w:name w:val="Placeholder Text"/>
    <w:basedOn w:val="Fontepargpadro"/>
    <w:uiPriority w:val="99"/>
    <w:semiHidden/>
    <w:rsid w:val="00456D6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0309263">
      <w:bodyDiv w:val="1"/>
      <w:marLeft w:val="0"/>
      <w:marRight w:val="0"/>
      <w:marTop w:val="0"/>
      <w:marBottom w:val="0"/>
      <w:divBdr>
        <w:top w:val="none" w:sz="0" w:space="0" w:color="auto"/>
        <w:left w:val="none" w:sz="0" w:space="0" w:color="auto"/>
        <w:bottom w:val="none" w:sz="0" w:space="0" w:color="auto"/>
        <w:right w:val="none" w:sz="0" w:space="0" w:color="auto"/>
      </w:divBdr>
    </w:div>
    <w:div w:id="1058434647">
      <w:bodyDiv w:val="1"/>
      <w:marLeft w:val="0"/>
      <w:marRight w:val="0"/>
      <w:marTop w:val="0"/>
      <w:marBottom w:val="0"/>
      <w:divBdr>
        <w:top w:val="none" w:sz="0" w:space="0" w:color="auto"/>
        <w:left w:val="none" w:sz="0" w:space="0" w:color="auto"/>
        <w:bottom w:val="none" w:sz="0" w:space="0" w:color="auto"/>
        <w:right w:val="none" w:sz="0" w:space="0" w:color="auto"/>
      </w:divBdr>
      <w:divsChild>
        <w:div w:id="182788975">
          <w:marLeft w:val="480"/>
          <w:marRight w:val="0"/>
          <w:marTop w:val="0"/>
          <w:marBottom w:val="0"/>
          <w:divBdr>
            <w:top w:val="none" w:sz="0" w:space="0" w:color="auto"/>
            <w:left w:val="none" w:sz="0" w:space="0" w:color="auto"/>
            <w:bottom w:val="none" w:sz="0" w:space="0" w:color="auto"/>
            <w:right w:val="none" w:sz="0" w:space="0" w:color="auto"/>
          </w:divBdr>
        </w:div>
        <w:div w:id="528685386">
          <w:marLeft w:val="480"/>
          <w:marRight w:val="0"/>
          <w:marTop w:val="0"/>
          <w:marBottom w:val="0"/>
          <w:divBdr>
            <w:top w:val="none" w:sz="0" w:space="0" w:color="auto"/>
            <w:left w:val="none" w:sz="0" w:space="0" w:color="auto"/>
            <w:bottom w:val="none" w:sz="0" w:space="0" w:color="auto"/>
            <w:right w:val="none" w:sz="0" w:space="0" w:color="auto"/>
          </w:divBdr>
        </w:div>
      </w:divsChild>
    </w:div>
    <w:div w:id="1384912907">
      <w:bodyDiv w:val="1"/>
      <w:marLeft w:val="0"/>
      <w:marRight w:val="0"/>
      <w:marTop w:val="0"/>
      <w:marBottom w:val="0"/>
      <w:divBdr>
        <w:top w:val="none" w:sz="0" w:space="0" w:color="auto"/>
        <w:left w:val="none" w:sz="0" w:space="0" w:color="auto"/>
        <w:bottom w:val="none" w:sz="0" w:space="0" w:color="auto"/>
        <w:right w:val="none" w:sz="0" w:space="0" w:color="auto"/>
      </w:divBdr>
    </w:div>
    <w:div w:id="163748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8E42A8BD4134861BFAB68628B9907E2"/>
        <w:category>
          <w:name w:val="Geral"/>
          <w:gallery w:val="placeholder"/>
        </w:category>
        <w:types>
          <w:type w:val="bbPlcHdr"/>
        </w:types>
        <w:behaviors>
          <w:behavior w:val="content"/>
        </w:behaviors>
        <w:guid w:val="{10CC7EA1-E7D7-45A4-A582-2C15ED2BA4DF}"/>
      </w:docPartPr>
      <w:docPartBody>
        <w:p w:rsidR="002F2B6E" w:rsidRDefault="000A6DA7" w:rsidP="000A6DA7">
          <w:pPr>
            <w:pStyle w:val="38E42A8BD4134861BFAB68628B9907E2"/>
          </w:pPr>
          <w:r w:rsidRPr="0041064D">
            <w:rPr>
              <w:rStyle w:val="TextodoEspaoReservado"/>
            </w:rPr>
            <w:t>Click or tap here to enter text.</w:t>
          </w:r>
        </w:p>
      </w:docPartBody>
    </w:docPart>
    <w:docPart>
      <w:docPartPr>
        <w:name w:val="DefaultPlaceholder_-1854013440"/>
        <w:category>
          <w:name w:val="Geral"/>
          <w:gallery w:val="placeholder"/>
        </w:category>
        <w:types>
          <w:type w:val="bbPlcHdr"/>
        </w:types>
        <w:behaviors>
          <w:behavior w:val="content"/>
        </w:behaviors>
        <w:guid w:val="{EC4A0F09-71CA-43D4-B37A-77DB3B0586B3}"/>
      </w:docPartPr>
      <w:docPartBody>
        <w:p w:rsidR="002F2B6E" w:rsidRDefault="000A6DA7">
          <w:r w:rsidRPr="00B84DC1">
            <w:rPr>
              <w:rStyle w:val="TextodoEspaoReservado"/>
            </w:rPr>
            <w:t>Clique ou toque aqui para inserir o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DA7"/>
    <w:rsid w:val="000A6DA7"/>
    <w:rsid w:val="002F2B6E"/>
    <w:rsid w:val="00A661D9"/>
    <w:rsid w:val="00FB172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t-BR" w:eastAsia="pt-B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0A6DA7"/>
    <w:rPr>
      <w:color w:val="666666"/>
    </w:rPr>
  </w:style>
  <w:style w:type="paragraph" w:customStyle="1" w:styleId="38E42A8BD4134861BFAB68628B9907E2">
    <w:name w:val="38E42A8BD4134861BFAB68628B9907E2"/>
    <w:rsid w:val="000A6D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0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7C0F790-9540-4EB2-B6F6-BFEB9FBFF98D}">
  <we:reference id="wa104382081" version="1.55.1.0" store="pt-BR" storeType="OMEX"/>
  <we:alternateReferences>
    <we:reference id="wa104382081" version="1.55.1.0" store="" storeType="OMEX"/>
  </we:alternateReferences>
  <we:properties>
    <we:property name="MENDELEY_CITATIONS" value="[{&quot;citationID&quot;:&quot;MENDELEY_CITATION_1efc9f11-8554-46d4-b7bd-74a104c89c3d&quot;,&quot;properties&quot;:{&quot;noteIndex&quot;:0},&quot;isEdited&quot;:false,&quot;manualOverride&quot;:{&quot;isManuallyOverridden&quot;:false,&quot;citeprocText&quot;:&quot;(Kursa &amp;#38; Rudnicki, 2010)&quot;,&quot;manualOverrideText&quot;:&quot;&quot;},&quot;citationTag&quot;:&quot;MENDELEY_CITATION_v3_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&quot;,&quot;citationItems&quot;:[{&quot;id&quot;:&quot;f5b74f26-a85f-3012-a53a-3c10335b9242&quot;,&quot;itemData&quot;:{&quot;type&quot;:&quot;article-journal&quot;,&quot;id&quot;:&quot;f5b74f26-a85f-3012-a53a-3c10335b9242&quot;,&quot;title&quot;:&quot;Feature selection with the boruta package&quot;,&quot;author&quot;:[{&quot;family&quot;:&quot;Kursa&quot;,&quot;given&quot;:&quot;Miron B.&quot;,&quot;parse-names&quot;:false,&quot;dropping-particle&quot;:&quot;&quot;,&quot;non-dropping-particle&quot;:&quot;&quot;},{&quot;family&quot;:&quot;Rudnicki&quot;,&quot;given&quot;:&quot;Witold R.&quot;,&quot;parse-names&quot;:false,&quot;dropping-particle&quot;:&quot;&quot;,&quot;non-dropping-particle&quot;:&quot;&quot;}],&quot;container-title&quot;:&quot;Journal of Statistical Software&quot;,&quot;container-title-short&quot;:&quot;J Stat Softw&quot;,&quot;DOI&quot;:&quot;10.18637/jss.v036.i11&quot;,&quot;ISSN&quot;:&quot;15487660&quot;,&quot;issued&quot;:{&quot;date-parts&quot;:[[2010]]},&quot;abstract&quot;:&quot;This article describes a R package Boruta, implementing a novel feature selection algorithm for finding all relevant variables. The algorithm is designed as a wrapper around a Random Forest classification algorithm. It iteratively removes the features which are proved by a statistical test to be less relevant than random probes. The Boruta package provides a convenient interface to the algorithm. The short description of the algorithm and examples of its application are presented.&quot;,&quot;issue&quot;:&quot;11&quot;,&quot;volume&quot;:&quot;36&quot;},&quot;isTemporary&quot;:false}]},{&quot;citationID&quot;:&quot;MENDELEY_CITATION_f2847f4c-8584-4871-be99-dd6b69d37abf&quot;,&quot;properties&quot;:{&quot;noteIndex&quot;:0},&quot;isEdited&quot;:false,&quot;manualOverride&quot;:{&quot;isManuallyOverridden&quot;:false,&quot;citeprocText&quot;:&quot;(Speiser et al., 2019)&quot;,&quot;manualOverrideText&quot;:&quot;&quot;},&quot;citationTag&quot;:&quot;MENDELEY_CITATION_v3_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&quot;,&quot;citationItems&quot;:[{&quot;id&quot;:&quot;eecd3703-2684-384a-b725-f56789c6ce6f&quot;,&quot;itemData&quot;:{&quot;type&quot;:&quot;article&quot;,&quot;id&quot;:&quot;eecd3703-2684-384a-b725-f56789c6ce6f&quot;,&quot;title&quot;:&quot;A comparison of random forest variable selection methods for classification prediction modeling&quot;,&quot;author&quot;:[{&quot;family&quot;:&quot;Speiser&quot;,&quot;given&quot;:&quot;Jaime Lynn&quot;,&quot;parse-names&quot;:false,&quot;dropping-particle&quot;:&quot;&quot;,&quot;non-dropping-particle&quot;:&quot;&quot;},{&quot;family&quot;:&quot;Miller&quot;,&quot;given&quot;:&quot;Michael E.&quot;,&quot;parse-names&quot;:false,&quot;dropping-particle&quot;:&quot;&quot;,&quot;non-dropping-particle&quot;:&quot;&quot;},{&quot;family&quot;:&quot;Tooze&quot;,&quot;given&quot;:&quot;Janet&quot;,&quot;parse-names&quot;:false,&quot;dropping-particle&quot;:&quot;&quot;,&quot;non-dropping-particle&quot;:&quot;&quot;},{&quot;family&quot;:&quot;Ip&quot;,&quot;given&quot;:&quot;Edward&quot;,&quot;parse-names&quot;:false,&quot;dropping-particle&quot;:&quot;&quot;,&quot;non-dropping-particle&quot;:&quot;&quot;}],&quot;container-title&quot;:&quot;Expert Systems with Applications&quot;,&quot;container-title-short&quot;:&quot;Expert Syst Appl&quot;,&quot;DOI&quot;:&quot;10.1016/j.eswa.2019.05.028&quot;,&quot;ISSN&quot;:&quot;09574174&quot;,&quot;issued&quot;:{&quot;date-parts&quot;:[[2019]]},&quot;abstract&quot;:&quot;Random forest classification is a popular machine learning method for developing prediction models in many research settings. Often in prediction modeling, a goal is to reduce the number of variables needed to obtain a prediction in order to reduce the burden of data collection and improve efficiency. Several variable selection methods exist for the setting of random forest classification; however, there is a paucity of literature to guide users as to which method may be preferable for different types of datasets. Using 311 classification datasets freely available online, we evaluate the prediction error rates, number of variables, computation times and area under the receiver operating curve for many random forest variable selection methods. We compare random forest variable selection methods for different types of datasets (datasets with binary outcomes, datasets with many predictors, and datasets with imbalanced outcomes) and for different types of methods (standard random forest versus conditional random forest methods and test based versus performance based methods). Based on our study, the best variable selection methods for most datasets are Jiang's method and the method implemented in the VSURF R package. For datasets with many predictors, the methods implemented in the R packages varSelRF and Boruta are preferable due to computational efficiency. A significant contribution of this study is the ability to assess different variable selection techniques in the setting of random forest classification in order to identify preferable methods based on applications in expert and intelligent systems.&quot;,&quot;volume&quot;:&quot;134&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9E915-A486-4B5C-9D74-8BA33164C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817</Words>
  <Characters>4417</Characters>
  <Application>Microsoft Office Word</Application>
  <DocSecurity>0</DocSecurity>
  <Lines>36</Lines>
  <Paragraphs>10</Paragraphs>
  <ScaleCrop>false</ScaleCrop>
  <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Laipelt</dc:creator>
  <cp:keywords/>
  <dc:description/>
  <cp:lastModifiedBy>Leonardo Laipelt</cp:lastModifiedBy>
  <cp:revision>2</cp:revision>
  <dcterms:created xsi:type="dcterms:W3CDTF">2024-04-09T19:31:00Z</dcterms:created>
  <dcterms:modified xsi:type="dcterms:W3CDTF">2024-04-09T19:31:00Z</dcterms:modified>
</cp:coreProperties>
</file>