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09C626" w14:textId="1BDA88DF" w:rsidR="00B55FC5" w:rsidRPr="001B20A7" w:rsidRDefault="00B55FC5" w:rsidP="003E45B4">
      <w:pPr>
        <w:pStyle w:val="MDPI12title"/>
        <w:rPr>
          <w:b w:val="0"/>
          <w:bCs/>
          <w:i/>
          <w:iCs/>
          <w:color w:val="auto"/>
        </w:rPr>
      </w:pPr>
      <w:bookmarkStart w:id="0" w:name="_Hlk126138861"/>
      <w:bookmarkStart w:id="1" w:name="OLE_LINK1"/>
      <w:r w:rsidRPr="001B20A7">
        <w:rPr>
          <w:rFonts w:eastAsia="Palatino Linotype" w:cs="Palatino Linotype"/>
          <w:b w:val="0"/>
          <w:bCs/>
          <w:i/>
          <w:iCs/>
          <w:color w:val="auto"/>
          <w:spacing w:val="-1"/>
          <w:sz w:val="28"/>
          <w:szCs w:val="28"/>
        </w:rPr>
        <w:t>Suppl</w:t>
      </w:r>
      <w:r w:rsidRPr="001B20A7">
        <w:rPr>
          <w:rFonts w:eastAsia="Palatino Linotype" w:cs="Palatino Linotype"/>
          <w:b w:val="0"/>
          <w:bCs/>
          <w:i/>
          <w:iCs/>
          <w:color w:val="auto"/>
          <w:sz w:val="28"/>
          <w:szCs w:val="28"/>
        </w:rPr>
        <w:t>ementary</w:t>
      </w:r>
      <w:r w:rsidRPr="001B20A7">
        <w:rPr>
          <w:rFonts w:eastAsia="Palatino Linotype" w:cs="Palatino Linotype"/>
          <w:b w:val="0"/>
          <w:bCs/>
          <w:i/>
          <w:iCs/>
          <w:color w:val="auto"/>
          <w:spacing w:val="-1"/>
          <w:sz w:val="28"/>
          <w:szCs w:val="28"/>
        </w:rPr>
        <w:t xml:space="preserve"> </w:t>
      </w:r>
      <w:r w:rsidRPr="001B20A7">
        <w:rPr>
          <w:rFonts w:eastAsia="Palatino Linotype" w:cs="Palatino Linotype"/>
          <w:b w:val="0"/>
          <w:bCs/>
          <w:i/>
          <w:iCs/>
          <w:color w:val="auto"/>
          <w:sz w:val="28"/>
          <w:szCs w:val="28"/>
        </w:rPr>
        <w:t>Material for</w:t>
      </w:r>
    </w:p>
    <w:bookmarkEnd w:id="0"/>
    <w:p w14:paraId="711FCA44" w14:textId="77777777" w:rsidR="00104377" w:rsidRPr="001B20A7" w:rsidRDefault="00104377" w:rsidP="00104377">
      <w:pPr>
        <w:pStyle w:val="MDPI12title"/>
        <w:rPr>
          <w:color w:val="auto"/>
          <w:highlight w:val="yellow"/>
        </w:rPr>
      </w:pPr>
      <w:r w:rsidRPr="001B20A7">
        <w:rPr>
          <w:color w:val="auto"/>
        </w:rPr>
        <w:t>[</w:t>
      </w:r>
      <w:proofErr w:type="spellStart"/>
      <w:proofErr w:type="gramStart"/>
      <w:r w:rsidRPr="001B20A7">
        <w:rPr>
          <w:color w:val="auto"/>
        </w:rPr>
        <w:t>Fe</w:t>
      </w:r>
      <w:r w:rsidRPr="001B20A7">
        <w:rPr>
          <w:color w:val="auto"/>
          <w:vertAlign w:val="superscript"/>
        </w:rPr>
        <w:t>III</w:t>
      </w:r>
      <w:r w:rsidRPr="001B20A7">
        <w:rPr>
          <w:color w:val="auto"/>
        </w:rPr>
        <w:t>Cl</w:t>
      </w:r>
      <w:proofErr w:type="spellEnd"/>
      <w:r w:rsidRPr="001B20A7">
        <w:rPr>
          <w:color w:val="auto"/>
        </w:rPr>
        <w:t>(</w:t>
      </w:r>
      <w:proofErr w:type="gramEnd"/>
      <w:r w:rsidRPr="001B20A7">
        <w:rPr>
          <w:color w:val="auto"/>
        </w:rPr>
        <w:t>TMPPH</w:t>
      </w:r>
      <w:r w:rsidRPr="001B20A7">
        <w:rPr>
          <w:color w:val="auto"/>
          <w:vertAlign w:val="subscript"/>
        </w:rPr>
        <w:t>2</w:t>
      </w:r>
      <w:r w:rsidRPr="001B20A7">
        <w:rPr>
          <w:color w:val="auto"/>
        </w:rPr>
        <w:t>)][Fe</w:t>
      </w:r>
      <w:r w:rsidRPr="001B20A7">
        <w:rPr>
          <w:color w:val="auto"/>
          <w:vertAlign w:val="superscript"/>
        </w:rPr>
        <w:t>III</w:t>
      </w:r>
      <w:r w:rsidRPr="001B20A7">
        <w:rPr>
          <w:color w:val="auto"/>
        </w:rPr>
        <w:t>Cl</w:t>
      </w:r>
      <w:r w:rsidRPr="001B20A7">
        <w:rPr>
          <w:color w:val="auto"/>
          <w:vertAlign w:val="subscript"/>
        </w:rPr>
        <w:t>4</w:t>
      </w:r>
      <w:r w:rsidRPr="001B20A7">
        <w:rPr>
          <w:color w:val="auto"/>
        </w:rPr>
        <w:t>]</w:t>
      </w:r>
      <w:r w:rsidRPr="001B20A7">
        <w:rPr>
          <w:color w:val="auto"/>
          <w:vertAlign w:val="subscript"/>
        </w:rPr>
        <w:t>2</w:t>
      </w:r>
      <w:r w:rsidRPr="001B20A7">
        <w:rPr>
          <w:color w:val="auto"/>
        </w:rPr>
        <w:t>: A Stand-alone Molecular Nanomedicine that Induces High Cytotoxicity by Ferroptosis</w:t>
      </w:r>
    </w:p>
    <w:p w14:paraId="20C8BB7E" w14:textId="6B9F96B9" w:rsidR="003E45B4" w:rsidRPr="001B20A7" w:rsidRDefault="00104377" w:rsidP="00104377">
      <w:pPr>
        <w:pStyle w:val="MDPI13authornames"/>
        <w:rPr>
          <w:rFonts w:eastAsiaTheme="minorEastAsia"/>
          <w:color w:val="auto"/>
          <w:highlight w:val="yellow"/>
          <w:lang w:eastAsia="zh-CN"/>
        </w:rPr>
      </w:pPr>
      <w:r w:rsidRPr="001B20A7">
        <w:rPr>
          <w:color w:val="auto"/>
        </w:rPr>
        <w:t>Xiao Wang,</w:t>
      </w:r>
      <w:proofErr w:type="gramStart"/>
      <w:r w:rsidRPr="001B20A7">
        <w:rPr>
          <w:color w:val="auto"/>
          <w:vertAlign w:val="superscript"/>
        </w:rPr>
        <w:t>1,#</w:t>
      </w:r>
      <w:proofErr w:type="gramEnd"/>
      <w:r w:rsidRPr="001B20A7">
        <w:rPr>
          <w:color w:val="auto"/>
        </w:rPr>
        <w:t xml:space="preserve"> Jia-Hao Feng,</w:t>
      </w:r>
      <w:r w:rsidRPr="001B20A7">
        <w:rPr>
          <w:color w:val="auto"/>
          <w:vertAlign w:val="superscript"/>
        </w:rPr>
        <w:t>2,#</w:t>
      </w:r>
      <w:r w:rsidRPr="001B20A7">
        <w:rPr>
          <w:color w:val="auto"/>
        </w:rPr>
        <w:t xml:space="preserve"> Chun-Mei Zeng,</w:t>
      </w:r>
      <w:r w:rsidRPr="001B20A7">
        <w:rPr>
          <w:color w:val="auto"/>
          <w:vertAlign w:val="superscript"/>
        </w:rPr>
        <w:t>1</w:t>
      </w:r>
      <w:r w:rsidRPr="001B20A7">
        <w:rPr>
          <w:color w:val="auto"/>
        </w:rPr>
        <w:t xml:space="preserve"> Ze-Sheng Zhang,</w:t>
      </w:r>
      <w:r w:rsidRPr="001B20A7">
        <w:rPr>
          <w:color w:val="auto"/>
          <w:vertAlign w:val="superscript"/>
        </w:rPr>
        <w:t>1</w:t>
      </w:r>
      <w:r w:rsidRPr="001B20A7">
        <w:rPr>
          <w:color w:val="auto"/>
        </w:rPr>
        <w:t xml:space="preserve"> Feng-Lin Cao,</w:t>
      </w:r>
      <w:r w:rsidRPr="001B20A7">
        <w:rPr>
          <w:color w:val="auto"/>
          <w:vertAlign w:val="superscript"/>
        </w:rPr>
        <w:t>1</w:t>
      </w:r>
      <w:r w:rsidRPr="001B20A7">
        <w:rPr>
          <w:color w:val="auto"/>
        </w:rPr>
        <w:t xml:space="preserve"> Wen-Hua Zhang,</w:t>
      </w:r>
      <w:r w:rsidRPr="001B20A7">
        <w:rPr>
          <w:color w:val="auto"/>
          <w:vertAlign w:val="superscript"/>
        </w:rPr>
        <w:t>1,</w:t>
      </w:r>
      <w:r w:rsidRPr="001B20A7">
        <w:rPr>
          <w:color w:val="auto"/>
        </w:rPr>
        <w:t>*</w:t>
      </w:r>
      <w:r w:rsidRPr="001B20A7">
        <w:rPr>
          <w:color w:val="auto"/>
        </w:rPr>
        <w:br/>
      </w:r>
      <w:proofErr w:type="spellStart"/>
      <w:r w:rsidRPr="001B20A7">
        <w:rPr>
          <w:color w:val="auto"/>
        </w:rPr>
        <w:t>Jin</w:t>
      </w:r>
      <w:proofErr w:type="spellEnd"/>
      <w:r w:rsidRPr="001B20A7">
        <w:rPr>
          <w:color w:val="auto"/>
        </w:rPr>
        <w:t>-Xiang Chen,</w:t>
      </w:r>
      <w:r w:rsidRPr="001B20A7">
        <w:rPr>
          <w:color w:val="auto"/>
          <w:vertAlign w:val="superscript"/>
        </w:rPr>
        <w:t>2,</w:t>
      </w:r>
      <w:r w:rsidRPr="001B20A7">
        <w:rPr>
          <w:color w:val="auto"/>
        </w:rPr>
        <w:t xml:space="preserve">* </w:t>
      </w:r>
      <w:proofErr w:type="spellStart"/>
      <w:r w:rsidRPr="001B20A7">
        <w:rPr>
          <w:color w:val="auto"/>
        </w:rPr>
        <w:t>Yiming</w:t>
      </w:r>
      <w:proofErr w:type="spellEnd"/>
      <w:r w:rsidRPr="001B20A7">
        <w:rPr>
          <w:color w:val="auto"/>
        </w:rPr>
        <w:t xml:space="preserve"> Mao,</w:t>
      </w:r>
      <w:r w:rsidRPr="001B20A7">
        <w:rPr>
          <w:color w:val="auto"/>
          <w:vertAlign w:val="superscript"/>
        </w:rPr>
        <w:t>3,</w:t>
      </w:r>
      <w:r w:rsidRPr="001B20A7">
        <w:rPr>
          <w:color w:val="auto"/>
        </w:rPr>
        <w:t>* and David J. Young</w:t>
      </w:r>
      <w:r w:rsidRPr="001B20A7">
        <w:rPr>
          <w:color w:val="auto"/>
          <w:vertAlign w:val="superscript"/>
        </w:rPr>
        <w:t>4</w:t>
      </w:r>
    </w:p>
    <w:tbl>
      <w:tblPr>
        <w:tblpPr w:leftFromText="198" w:rightFromText="198" w:vertAnchor="page" w:horzAnchor="margin" w:tblpY="11276"/>
        <w:tblW w:w="24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0"/>
      </w:tblGrid>
      <w:tr w:rsidR="00D230FD" w:rsidRPr="001B20A7" w14:paraId="55825B66" w14:textId="77777777" w:rsidTr="003B39F1">
        <w:tc>
          <w:tcPr>
            <w:tcW w:w="2410" w:type="dxa"/>
            <w:shd w:val="clear" w:color="auto" w:fill="auto"/>
          </w:tcPr>
          <w:p w14:paraId="3B195298" w14:textId="0E7B64BB" w:rsidR="003E45B4" w:rsidRPr="001B20A7" w:rsidRDefault="003E45B4" w:rsidP="003B39F1">
            <w:pPr>
              <w:pStyle w:val="MDPI72Copyright"/>
              <w:rPr>
                <w:rFonts w:eastAsia="等线"/>
                <w:color w:val="auto"/>
                <w:highlight w:val="yellow"/>
                <w:lang w:bidi="en-US"/>
              </w:rPr>
            </w:pPr>
          </w:p>
        </w:tc>
      </w:tr>
    </w:tbl>
    <w:p w14:paraId="20C1CBE6" w14:textId="77777777" w:rsidR="00104377" w:rsidRPr="001B20A7" w:rsidRDefault="00104377" w:rsidP="00104377">
      <w:pPr>
        <w:pStyle w:val="MDPI16affiliation"/>
        <w:rPr>
          <w:color w:val="auto"/>
        </w:rPr>
      </w:pPr>
      <w:r w:rsidRPr="001B20A7">
        <w:rPr>
          <w:color w:val="auto"/>
          <w:vertAlign w:val="superscript"/>
        </w:rPr>
        <w:t>1</w:t>
      </w:r>
      <w:r w:rsidRPr="001B20A7">
        <w:rPr>
          <w:color w:val="auto"/>
        </w:rPr>
        <w:tab/>
      </w:r>
      <w:r w:rsidRPr="001B20A7">
        <w:rPr>
          <w:color w:val="auto"/>
          <w:szCs w:val="16"/>
        </w:rPr>
        <w:t>College of Chemistry, Chemical Engineering, and Materials Science, Soochow University, Suzhou 215123, China</w:t>
      </w:r>
    </w:p>
    <w:p w14:paraId="45B7FC2A" w14:textId="77777777" w:rsidR="00104377" w:rsidRPr="001B20A7" w:rsidRDefault="00104377" w:rsidP="00104377">
      <w:pPr>
        <w:pStyle w:val="MDPI16affiliation"/>
        <w:rPr>
          <w:color w:val="auto"/>
        </w:rPr>
      </w:pPr>
      <w:r w:rsidRPr="001B20A7">
        <w:rPr>
          <w:color w:val="auto"/>
          <w:vertAlign w:val="superscript"/>
        </w:rPr>
        <w:t>2</w:t>
      </w:r>
      <w:r w:rsidRPr="001B20A7">
        <w:rPr>
          <w:color w:val="auto"/>
        </w:rPr>
        <w:tab/>
        <w:t>NMPA Key Laboratory for Research and Evaluation of Drug Metabolism, Guangdong Provincial Key Laboratory of New Drug Screening, School of Pharmaceutical Sciences, Southern Medical University, Guangzhou 510515, China</w:t>
      </w:r>
    </w:p>
    <w:p w14:paraId="3E51A748" w14:textId="77777777" w:rsidR="00104377" w:rsidRPr="001B20A7" w:rsidRDefault="00104377" w:rsidP="00104377">
      <w:pPr>
        <w:pStyle w:val="MDPI16affiliation"/>
        <w:rPr>
          <w:color w:val="auto"/>
        </w:rPr>
      </w:pPr>
      <w:r w:rsidRPr="001B20A7">
        <w:rPr>
          <w:color w:val="auto"/>
          <w:vertAlign w:val="superscript"/>
        </w:rPr>
        <w:t>3</w:t>
      </w:r>
      <w:r w:rsidRPr="001B20A7">
        <w:rPr>
          <w:color w:val="auto"/>
        </w:rPr>
        <w:tab/>
        <w:t xml:space="preserve">Department of Thoracic Surgery, Suzhou Kowloon Hospital, Shanghai </w:t>
      </w:r>
      <w:proofErr w:type="spellStart"/>
      <w:r w:rsidRPr="001B20A7">
        <w:rPr>
          <w:color w:val="auto"/>
        </w:rPr>
        <w:t>Jiaotong</w:t>
      </w:r>
      <w:proofErr w:type="spellEnd"/>
      <w:r w:rsidRPr="001B20A7">
        <w:rPr>
          <w:color w:val="auto"/>
        </w:rPr>
        <w:t xml:space="preserve"> University School of Medicine, Suzhou 215021, China.</w:t>
      </w:r>
    </w:p>
    <w:p w14:paraId="5D8B4EB2" w14:textId="77777777" w:rsidR="00104377" w:rsidRPr="001B20A7" w:rsidRDefault="00104377" w:rsidP="00104377">
      <w:pPr>
        <w:pStyle w:val="MDPI16affiliation"/>
        <w:rPr>
          <w:color w:val="auto"/>
        </w:rPr>
      </w:pPr>
      <w:r w:rsidRPr="001B20A7">
        <w:rPr>
          <w:color w:val="auto"/>
          <w:vertAlign w:val="superscript"/>
        </w:rPr>
        <w:t>4</w:t>
      </w:r>
      <w:r w:rsidRPr="001B20A7">
        <w:rPr>
          <w:color w:val="auto"/>
        </w:rPr>
        <w:tab/>
        <w:t>Glasgow College UESTC, University of Electronic Science and Technology of China, Chengdu 611731, China</w:t>
      </w:r>
    </w:p>
    <w:p w14:paraId="4456DED3" w14:textId="77777777" w:rsidR="00104377" w:rsidRPr="001B20A7" w:rsidRDefault="00104377" w:rsidP="00104377">
      <w:pPr>
        <w:pStyle w:val="MDPI16affiliation"/>
        <w:rPr>
          <w:color w:val="auto"/>
        </w:rPr>
      </w:pPr>
      <w:r w:rsidRPr="001B20A7">
        <w:rPr>
          <w:color w:val="auto"/>
          <w:vertAlign w:val="superscript"/>
        </w:rPr>
        <w:t>#</w:t>
      </w:r>
      <w:r w:rsidRPr="001B20A7">
        <w:rPr>
          <w:color w:val="auto"/>
        </w:rPr>
        <w:tab/>
        <w:t>These authors contributed equally to this work</w:t>
      </w:r>
    </w:p>
    <w:p w14:paraId="53AF2E86" w14:textId="31243378" w:rsidR="00104377" w:rsidRPr="001B20A7" w:rsidRDefault="00104377" w:rsidP="00104377">
      <w:pPr>
        <w:pStyle w:val="MDPI16affiliation"/>
        <w:rPr>
          <w:color w:val="auto"/>
        </w:rPr>
      </w:pPr>
      <w:r w:rsidRPr="001B20A7">
        <w:rPr>
          <w:b/>
          <w:color w:val="auto"/>
        </w:rPr>
        <w:t>*</w:t>
      </w:r>
      <w:r w:rsidRPr="001B20A7">
        <w:rPr>
          <w:color w:val="auto"/>
        </w:rPr>
        <w:tab/>
        <w:t xml:space="preserve">Correspondence: </w:t>
      </w:r>
      <w:r w:rsidRPr="001B20A7">
        <w:rPr>
          <w:color w:val="auto"/>
          <w:szCs w:val="16"/>
        </w:rPr>
        <w:t>whzhang@suda.edu.cn (W.-H.Z.)</w:t>
      </w:r>
      <w:r w:rsidRPr="001B20A7">
        <w:rPr>
          <w:color w:val="auto"/>
        </w:rPr>
        <w:t>; jxchen@smu.edu.cn (J.-X.C.); mym19850126@163.com (Y.M.)</w:t>
      </w:r>
    </w:p>
    <w:bookmarkEnd w:id="1"/>
    <w:p w14:paraId="29081919" w14:textId="2F8BA8E1" w:rsidR="008B7DA1" w:rsidRPr="001B20A7" w:rsidRDefault="008B7DA1" w:rsidP="0022403A">
      <w:pPr>
        <w:tabs>
          <w:tab w:val="left" w:pos="9180"/>
        </w:tabs>
        <w:spacing w:before="304" w:line="184" w:lineRule="auto"/>
        <w:ind w:left="3253"/>
        <w:rPr>
          <w:rFonts w:ascii="Palatino Linotype" w:eastAsia="Palatino Linotype" w:hAnsi="Palatino Linotype" w:cs="Palatino Linotype"/>
          <w:color w:val="auto"/>
          <w:sz w:val="28"/>
          <w:szCs w:val="28"/>
          <w:highlight w:val="yellow"/>
        </w:rPr>
      </w:pPr>
    </w:p>
    <w:p w14:paraId="6FCF141A" w14:textId="47B4E34C" w:rsidR="00FC6CEC" w:rsidRPr="001B20A7" w:rsidRDefault="00FC6CEC">
      <w:pPr>
        <w:kinsoku/>
        <w:autoSpaceDE/>
        <w:autoSpaceDN/>
        <w:adjustRightInd/>
        <w:snapToGrid/>
        <w:textAlignment w:val="auto"/>
        <w:rPr>
          <w:rFonts w:ascii="Palatino Linotype" w:hAnsi="Palatino Linotype"/>
          <w:bCs/>
          <w:color w:val="auto"/>
          <w:sz w:val="20"/>
          <w:szCs w:val="20"/>
        </w:rPr>
      </w:pPr>
      <w:bookmarkStart w:id="2" w:name="_Hlk160024678"/>
      <w:r w:rsidRPr="001B20A7">
        <w:rPr>
          <w:rFonts w:ascii="Palatino Linotype" w:hAnsi="Palatino Linotype"/>
          <w:bCs/>
          <w:color w:val="auto"/>
          <w:sz w:val="20"/>
          <w:szCs w:val="20"/>
        </w:rPr>
        <w:br w:type="page"/>
      </w:r>
    </w:p>
    <w:p w14:paraId="0180A5FE" w14:textId="345D4387" w:rsidR="00FC6CEC" w:rsidRPr="001B20A7" w:rsidRDefault="00FC6CEC" w:rsidP="00FC6CEC">
      <w:pPr>
        <w:spacing w:line="360" w:lineRule="auto"/>
        <w:jc w:val="center"/>
        <w:rPr>
          <w:rFonts w:ascii="Palatino Linotype" w:hAnsi="Palatino Linotype"/>
          <w:b/>
          <w:color w:val="auto"/>
          <w:sz w:val="20"/>
          <w:szCs w:val="20"/>
        </w:rPr>
      </w:pPr>
      <w:r w:rsidRPr="001B20A7">
        <w:rPr>
          <w:rFonts w:ascii="Palatino Linotype" w:hAnsi="Palatino Linotype"/>
          <w:b/>
          <w:color w:val="auto"/>
          <w:sz w:val="22"/>
          <w:szCs w:val="22"/>
        </w:rPr>
        <w:lastRenderedPageBreak/>
        <w:t>Table of Contents</w:t>
      </w:r>
    </w:p>
    <w:bookmarkEnd w:id="2"/>
    <w:p w14:paraId="72653810" w14:textId="77777777" w:rsidR="00FC6CEC" w:rsidRPr="001B20A7" w:rsidRDefault="00FC6CEC" w:rsidP="00FC6CEC">
      <w:pPr>
        <w:jc w:val="both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</w:p>
    <w:sdt>
      <w:sdtPr>
        <w:rPr>
          <w:rFonts w:ascii="Palatino Linotype" w:eastAsiaTheme="minorEastAsia" w:hAnsi="Palatino Linotype" w:cs="Arial"/>
          <w:noProof/>
          <w:snapToGrid w:val="0"/>
          <w:color w:val="auto"/>
          <w:sz w:val="21"/>
          <w:szCs w:val="21"/>
          <w:lang w:eastAsia="zh-CN"/>
        </w:rPr>
        <w:id w:val="96492748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4C0AEEB" w14:textId="441FA161" w:rsidR="00FC6CEC" w:rsidRPr="001B20A7" w:rsidRDefault="00FC6CEC">
          <w:pPr>
            <w:pStyle w:val="TOCHeading"/>
            <w:rPr>
              <w:rFonts w:ascii="Palatino Linotype" w:hAnsi="Palatino Linotype"/>
              <w:color w:val="auto"/>
            </w:rPr>
          </w:pPr>
        </w:p>
        <w:p w14:paraId="31EE0120" w14:textId="1EAD90CF" w:rsidR="001B20A7" w:rsidRPr="001B20A7" w:rsidRDefault="00FC6CEC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r w:rsidRPr="001B20A7">
            <w:rPr>
              <w:rFonts w:ascii="Palatino Linotype" w:hAnsi="Palatino Linotype"/>
              <w:color w:val="auto"/>
            </w:rPr>
            <w:fldChar w:fldCharType="begin"/>
          </w:r>
          <w:r w:rsidRPr="001B20A7">
            <w:rPr>
              <w:rFonts w:ascii="Palatino Linotype" w:hAnsi="Palatino Linotype"/>
              <w:color w:val="auto"/>
            </w:rPr>
            <w:instrText xml:space="preserve"> TOC \o "1-3" \h \z \u </w:instrText>
          </w:r>
          <w:r w:rsidRPr="001B20A7">
            <w:rPr>
              <w:rFonts w:ascii="Palatino Linotype" w:hAnsi="Palatino Linotype"/>
              <w:color w:val="auto"/>
            </w:rPr>
            <w:fldChar w:fldCharType="separate"/>
          </w:r>
          <w:hyperlink w:anchor="_Toc165194709" w:history="1">
            <w:r w:rsidR="001B20A7"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Figure S1.</w:t>
            </w:r>
            <w:r w:rsidR="001B20A7" w:rsidRPr="001B20A7">
              <w:rPr>
                <w:rStyle w:val="Hyperlink"/>
                <w:rFonts w:ascii="Palatino Linotype" w:hAnsi="Palatino Linotype" w:cstheme="minorHAnsi"/>
                <w:bCs/>
              </w:rPr>
              <w:t xml:space="preserve"> The molecular packing diagram of </w:t>
            </w:r>
            <w:r w:rsidR="001B20A7" w:rsidRPr="001B20A7">
              <w:rPr>
                <w:rStyle w:val="Hyperlink"/>
                <w:rFonts w:ascii="Palatino Linotype" w:hAnsi="Palatino Linotype" w:cstheme="minorHAnsi"/>
                <w:b/>
              </w:rPr>
              <w:t>Fe-TMPP</w:t>
            </w:r>
            <w:r w:rsidR="001B20A7" w:rsidRPr="001B20A7">
              <w:rPr>
                <w:rStyle w:val="Hyperlink"/>
                <w:rFonts w:ascii="Palatino Linotype" w:hAnsi="Palatino Linotype" w:cstheme="minorHAnsi"/>
                <w:bCs/>
              </w:rPr>
              <w:t xml:space="preserve"> looking along the crystallographic </w:t>
            </w:r>
            <w:r w:rsidR="001B20A7" w:rsidRPr="001B20A7">
              <w:rPr>
                <w:rStyle w:val="Hyperlink"/>
                <w:rFonts w:ascii="Palatino Linotype" w:hAnsi="Palatino Linotype" w:cstheme="minorHAnsi"/>
                <w:bCs/>
                <w:i/>
                <w:iCs/>
              </w:rPr>
              <w:t>a</w:t>
            </w:r>
            <w:r w:rsidR="001B20A7" w:rsidRPr="001B20A7">
              <w:rPr>
                <w:rStyle w:val="Hyperlink"/>
                <w:rFonts w:ascii="Palatino Linotype" w:hAnsi="Palatino Linotype" w:cstheme="minorHAnsi"/>
                <w:bCs/>
              </w:rPr>
              <w:t xml:space="preserve"> direction showing the H-bonding among the molecules.</w:t>
            </w:r>
            <w:r w:rsidR="001B20A7" w:rsidRPr="001B20A7">
              <w:rPr>
                <w:rFonts w:ascii="Palatino Linotype" w:hAnsi="Palatino Linotype"/>
                <w:webHidden/>
              </w:rPr>
              <w:tab/>
            </w:r>
            <w:r w:rsidR="001B20A7" w:rsidRPr="001B20A7">
              <w:rPr>
                <w:rFonts w:ascii="Palatino Linotype" w:hAnsi="Palatino Linotype"/>
                <w:webHidden/>
              </w:rPr>
              <w:fldChar w:fldCharType="begin"/>
            </w:r>
            <w:r w:rsidR="001B20A7" w:rsidRPr="001B20A7">
              <w:rPr>
                <w:rFonts w:ascii="Palatino Linotype" w:hAnsi="Palatino Linotype"/>
                <w:webHidden/>
              </w:rPr>
              <w:instrText xml:space="preserve"> PAGEREF _Toc165194709 \h </w:instrText>
            </w:r>
            <w:r w:rsidR="001B20A7" w:rsidRPr="001B20A7">
              <w:rPr>
                <w:rFonts w:ascii="Palatino Linotype" w:hAnsi="Palatino Linotype"/>
                <w:webHidden/>
              </w:rPr>
            </w:r>
            <w:r w:rsidR="001B20A7" w:rsidRPr="001B20A7">
              <w:rPr>
                <w:rFonts w:ascii="Palatino Linotype" w:hAnsi="Palatino Linotype"/>
                <w:webHidden/>
              </w:rPr>
              <w:fldChar w:fldCharType="separate"/>
            </w:r>
            <w:r w:rsidR="001B20A7" w:rsidRPr="001B20A7">
              <w:rPr>
                <w:rFonts w:ascii="Palatino Linotype" w:hAnsi="Palatino Linotype"/>
                <w:webHidden/>
              </w:rPr>
              <w:t>3</w:t>
            </w:r>
            <w:r w:rsidR="001B20A7"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12ADED7D" w14:textId="3BD44935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0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S2.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A comparison of the FT-IR spectra of H</w:t>
            </w:r>
            <w:r w:rsidRPr="001B20A7">
              <w:rPr>
                <w:rStyle w:val="Hyperlink"/>
                <w:rFonts w:ascii="Palatino Linotype" w:hAnsi="Palatino Linotype" w:cstheme="minorHAnsi"/>
                <w:vertAlign w:val="subscript"/>
              </w:rPr>
              <w:t>2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TMPP and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_Toc165194710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4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357C851D" w14:textId="11142970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1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S3.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Tyndall effect of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 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in the aqueous solution.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_Toc165194711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5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050B85ED" w14:textId="2AA58510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2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S4.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The EDS elemental ratios of the as-synthesized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(a) and that from the lyophilized sample (b; 10 mg in 10 mL of water, sonicated and kept for 24 h), showing no obvious change of the chemical composition.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_Toc165194712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6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261D8727" w14:textId="76CE6E00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3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Figure S5.</w:t>
            </w:r>
            <w:r w:rsidRPr="001B20A7">
              <w:rPr>
                <w:rStyle w:val="Hyperlink"/>
                <w:rFonts w:ascii="Palatino Linotype" w:hAnsi="Palatino Linotype" w:cstheme="minorHAnsi"/>
                <w:bCs/>
              </w:rPr>
              <w:t xml:space="preserve"> The DLS results of three </w:t>
            </w:r>
            <w:r w:rsidRPr="001B20A7">
              <w:rPr>
                <w:rStyle w:val="Hyperlink"/>
                <w:rFonts w:ascii="Palatino Linotype" w:hAnsi="Palatino Linotype" w:cstheme="minorHAnsi"/>
                <w:b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  <w:bCs/>
              </w:rPr>
              <w:t xml:space="preserve"> aqueous solutions.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_Toc165194713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7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55D6A388" w14:textId="2E39E24D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4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S6.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The zeta potential results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in aqueous solution.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_Toc165194714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8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264C735F" w14:textId="7119179F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5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S7.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Pictures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dispersed in aqueous solution for 0</w:t>
            </w:r>
            <w:r w:rsidRPr="001B20A7">
              <w:rPr>
                <w:rStyle w:val="Hyperlink"/>
                <w:rFonts w:ascii="Palatino Linotype" w:hAnsi="Palatino Linotype"/>
              </w:rPr>
              <w:t>−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3 days.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_Toc165194715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9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5DF2CA9E" w14:textId="73A7FA65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6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S8.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UV-Vis absorption spectra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dispersed in aqueous solution for 0</w:t>
            </w:r>
            <w:r w:rsidRPr="001B20A7">
              <w:rPr>
                <w:rStyle w:val="Hyperlink"/>
                <w:rFonts w:ascii="Palatino Linotype" w:hAnsi="Palatino Linotype"/>
              </w:rPr>
              <w:t>−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3 days.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_Toc165194716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10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4653F7B3" w14:textId="6FD63A85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7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S9.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The DLS results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in PBS (0.1x) for 0 (a), 12 (b), and 24 hours (c).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_Toc165194717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11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1E5261E0" w14:textId="5970FEBE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8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S10.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The zeta potential results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Fe-TMPP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in PBS (0.1x) for 0 (a), 12 (b) and 24 hours (c).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_Toc165194718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12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59818BAA" w14:textId="65616D4E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19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S11.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A comparison of the PXRD spectra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and its lyophilized samples after sonication and kept in different amounts of water for 24 h.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_Toc165194719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13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59D7E8ED" w14:textId="1DC2FD89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20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S12.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TEM image of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 TMPP-F127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_Toc165194720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14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4B0FA2B7" w14:textId="4D14AEE4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21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S13.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UV-Vis absorption spectra of DPBF (a) and its dispersion in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TMPP-F127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(b) and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(c) aqueous solution with different illumination times. The changes of absorption intensity at 416 nm of DPBF as a function of irradiation time when incubated with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TMPP-F127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and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using blank DPBF as a control (d).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_Toc165194721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15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31E21F6C" w14:textId="4FACBB84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22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S14.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A comparison of fluorescence intensity of DCF when treated with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TMPP-F127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,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>, and PBS control.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_Toc165194722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16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4ADC3D03" w14:textId="59AFF01F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23" w:history="1"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 xml:space="preserve">Figure S15. 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A comparison of the HCT-116 (a), HuH-7 (b), and BXPC3 (c) cell viabilities when treated with gradient concentrations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TMPP-F127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and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. The DLD-1, PC3, and AGS cells viabilities when treated with gradient concentrations of </w:t>
            </w:r>
            <w:r w:rsidRPr="001B20A7">
              <w:rPr>
                <w:rStyle w:val="Hyperlink"/>
                <w:rFonts w:ascii="Palatino Linotype" w:hAnsi="Palatino Linotype" w:cstheme="minorHAnsi"/>
                <w:b/>
                <w:bCs/>
              </w:rPr>
              <w:t>Fe-TMPP</w:t>
            </w:r>
            <w:r w:rsidRPr="001B20A7">
              <w:rPr>
                <w:rStyle w:val="Hyperlink"/>
                <w:rFonts w:ascii="Palatino Linotype" w:hAnsi="Palatino Linotype" w:cstheme="minorHAnsi"/>
              </w:rPr>
              <w:t xml:space="preserve"> (d).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_Toc165194723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17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7E1D8091" w14:textId="19ED345C" w:rsidR="001B20A7" w:rsidRPr="001B20A7" w:rsidRDefault="001B20A7">
          <w:pPr>
            <w:pStyle w:val="TOC1"/>
            <w:tabs>
              <w:tab w:val="right" w:leader="dot" w:pos="9350"/>
            </w:tabs>
            <w:rPr>
              <w:rFonts w:ascii="Palatino Linotype" w:hAnsi="Palatino Linotype" w:cstheme="minorBidi"/>
              <w:snapToGrid/>
              <w:color w:val="auto"/>
              <w:sz w:val="22"/>
              <w:szCs w:val="22"/>
            </w:rPr>
          </w:pPr>
          <w:hyperlink w:anchor="_Toc165194724" w:history="1">
            <w:r w:rsidRPr="001B20A7">
              <w:rPr>
                <w:rStyle w:val="Hyperlink"/>
                <w:rFonts w:ascii="Palatino Linotype" w:hAnsi="Palatino Linotype"/>
                <w:b/>
                <w:bCs/>
              </w:rPr>
              <w:t>Table S1.</w:t>
            </w:r>
            <w:r w:rsidRPr="001B20A7">
              <w:rPr>
                <w:rStyle w:val="Hyperlink"/>
                <w:rFonts w:ascii="Palatino Linotype" w:hAnsi="Palatino Linotype"/>
              </w:rPr>
              <w:t xml:space="preserve"> Detailed cell development and drug incubation conditions.</w:t>
            </w:r>
            <w:r w:rsidRPr="001B20A7">
              <w:rPr>
                <w:rFonts w:ascii="Palatino Linotype" w:hAnsi="Palatino Linotype"/>
                <w:webHidden/>
              </w:rPr>
              <w:tab/>
            </w:r>
            <w:r w:rsidRPr="001B20A7">
              <w:rPr>
                <w:rFonts w:ascii="Palatino Linotype" w:hAnsi="Palatino Linotype"/>
                <w:webHidden/>
              </w:rPr>
              <w:fldChar w:fldCharType="begin"/>
            </w:r>
            <w:r w:rsidRPr="001B20A7">
              <w:rPr>
                <w:rFonts w:ascii="Palatino Linotype" w:hAnsi="Palatino Linotype"/>
                <w:webHidden/>
              </w:rPr>
              <w:instrText xml:space="preserve"> PAGEREF _Toc165194724 \h </w:instrText>
            </w:r>
            <w:r w:rsidRPr="001B20A7">
              <w:rPr>
                <w:rFonts w:ascii="Palatino Linotype" w:hAnsi="Palatino Linotype"/>
                <w:webHidden/>
              </w:rPr>
            </w:r>
            <w:r w:rsidRPr="001B20A7">
              <w:rPr>
                <w:rFonts w:ascii="Palatino Linotype" w:hAnsi="Palatino Linotype"/>
                <w:webHidden/>
              </w:rPr>
              <w:fldChar w:fldCharType="separate"/>
            </w:r>
            <w:r w:rsidRPr="001B20A7">
              <w:rPr>
                <w:rFonts w:ascii="Palatino Linotype" w:hAnsi="Palatino Linotype"/>
                <w:webHidden/>
              </w:rPr>
              <w:t>18</w:t>
            </w:r>
            <w:r w:rsidRPr="001B20A7">
              <w:rPr>
                <w:rFonts w:ascii="Palatino Linotype" w:hAnsi="Palatino Linotype"/>
                <w:webHidden/>
              </w:rPr>
              <w:fldChar w:fldCharType="end"/>
            </w:r>
          </w:hyperlink>
        </w:p>
        <w:p w14:paraId="3F0321E5" w14:textId="4CDA2AC5" w:rsidR="00FC6CEC" w:rsidRPr="001B20A7" w:rsidRDefault="00FC6CEC">
          <w:pPr>
            <w:rPr>
              <w:rFonts w:ascii="Palatino Linotype" w:hAnsi="Palatino Linotype"/>
              <w:color w:val="auto"/>
            </w:rPr>
          </w:pPr>
          <w:r w:rsidRPr="001B20A7">
            <w:rPr>
              <w:rFonts w:ascii="Palatino Linotype" w:hAnsi="Palatino Linotype"/>
              <w:b/>
              <w:bCs/>
              <w:color w:val="auto"/>
            </w:rPr>
            <w:fldChar w:fldCharType="end"/>
          </w:r>
        </w:p>
      </w:sdtContent>
    </w:sdt>
    <w:p w14:paraId="542C0B27" w14:textId="77777777" w:rsidR="00FC6CEC" w:rsidRPr="001B20A7" w:rsidRDefault="00FC6CEC" w:rsidP="00FC6CEC">
      <w:pPr>
        <w:jc w:val="both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</w:p>
    <w:p w14:paraId="4A44C591" w14:textId="65109614" w:rsidR="00FC6CEC" w:rsidRPr="001B20A7" w:rsidRDefault="00FC6CEC">
      <w:pPr>
        <w:kinsoku/>
        <w:autoSpaceDE/>
        <w:autoSpaceDN/>
        <w:adjustRightInd/>
        <w:snapToGrid/>
        <w:textAlignment w:val="auto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br w:type="page"/>
      </w:r>
    </w:p>
    <w:p w14:paraId="485A64F7" w14:textId="77777777" w:rsidR="00FC6CEC" w:rsidRPr="001B20A7" w:rsidRDefault="00FC6CEC" w:rsidP="00FC6CEC">
      <w:pPr>
        <w:jc w:val="both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</w:p>
    <w:p w14:paraId="3024B94C" w14:textId="77777777" w:rsidR="00FC6CEC" w:rsidRPr="001B20A7" w:rsidRDefault="00FC6CEC" w:rsidP="00FC6CEC">
      <w:pPr>
        <w:jc w:val="center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drawing>
          <wp:inline distT="0" distB="0" distL="0" distR="0" wp14:anchorId="695A0C97" wp14:editId="3EA1E322">
            <wp:extent cx="4268926" cy="3306137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1366" cy="3308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55947" w14:textId="77777777" w:rsidR="00FC6CEC" w:rsidRPr="001B20A7" w:rsidRDefault="00FC6CEC" w:rsidP="00FC6CEC">
      <w:pPr>
        <w:jc w:val="both"/>
        <w:outlineLvl w:val="0"/>
        <w:rPr>
          <w:rFonts w:ascii="Palatino Linotype" w:hAnsi="Palatino Linotype" w:cstheme="minorHAnsi"/>
          <w:bCs/>
          <w:color w:val="auto"/>
          <w:sz w:val="20"/>
          <w:szCs w:val="20"/>
        </w:rPr>
      </w:pPr>
      <w:bookmarkStart w:id="3" w:name="_Toc90751737"/>
      <w:bookmarkStart w:id="4" w:name="_Toc164798109"/>
      <w:bookmarkStart w:id="5" w:name="_Toc165194709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Figure S1</w:t>
      </w:r>
      <w:bookmarkEnd w:id="3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.</w:t>
      </w:r>
      <w:r w:rsidRPr="001B20A7">
        <w:rPr>
          <w:rFonts w:ascii="Palatino Linotype" w:hAnsi="Palatino Linotype" w:cstheme="minorHAnsi"/>
          <w:bCs/>
          <w:color w:val="auto"/>
          <w:sz w:val="20"/>
          <w:szCs w:val="20"/>
        </w:rPr>
        <w:t xml:space="preserve"> The molecular packing diagram of </w:t>
      </w:r>
      <w:r w:rsidRPr="001B20A7">
        <w:rPr>
          <w:rFonts w:ascii="Palatino Linotype" w:hAnsi="Palatino Linotype" w:cstheme="minorHAnsi"/>
          <w:b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bCs/>
          <w:color w:val="auto"/>
          <w:sz w:val="20"/>
          <w:szCs w:val="20"/>
        </w:rPr>
        <w:t xml:space="preserve"> looking along the crystallographic </w:t>
      </w:r>
      <w:r w:rsidRPr="001B20A7">
        <w:rPr>
          <w:rFonts w:ascii="Palatino Linotype" w:hAnsi="Palatino Linotype" w:cstheme="minorHAnsi"/>
          <w:bCs/>
          <w:i/>
          <w:iCs/>
          <w:color w:val="auto"/>
          <w:sz w:val="20"/>
          <w:szCs w:val="20"/>
        </w:rPr>
        <w:t>a</w:t>
      </w:r>
      <w:r w:rsidRPr="001B20A7">
        <w:rPr>
          <w:rFonts w:ascii="Palatino Linotype" w:hAnsi="Palatino Linotype" w:cstheme="minorHAnsi"/>
          <w:bCs/>
          <w:color w:val="auto"/>
          <w:sz w:val="20"/>
          <w:szCs w:val="20"/>
        </w:rPr>
        <w:t xml:space="preserve"> direction showing the H-bonding among the molecules.</w:t>
      </w:r>
      <w:bookmarkEnd w:id="4"/>
      <w:bookmarkEnd w:id="5"/>
    </w:p>
    <w:p w14:paraId="789EA2E6" w14:textId="77777777" w:rsidR="00FC6CEC" w:rsidRPr="001B20A7" w:rsidRDefault="00FC6CEC" w:rsidP="00FC6CEC">
      <w:pPr>
        <w:jc w:val="both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br w:type="page"/>
      </w:r>
    </w:p>
    <w:p w14:paraId="78DC54E7" w14:textId="77777777" w:rsidR="00FC6CEC" w:rsidRPr="001B20A7" w:rsidRDefault="00FC6CEC" w:rsidP="00FC6CEC">
      <w:pPr>
        <w:jc w:val="center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lastRenderedPageBreak/>
        <w:drawing>
          <wp:inline distT="0" distB="0" distL="0" distR="0" wp14:anchorId="639366DE" wp14:editId="28DE327C">
            <wp:extent cx="4591750" cy="3957851"/>
            <wp:effectExtent l="0" t="0" r="0" b="5080"/>
            <wp:docPr id="43588297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882978" name="图片 435882978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49" t="9753" r="12277" b="3200"/>
                    <a:stretch/>
                  </pic:blipFill>
                  <pic:spPr bwMode="auto">
                    <a:xfrm>
                      <a:off x="0" y="0"/>
                      <a:ext cx="4592811" cy="3958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B20BCB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bCs/>
          <w:color w:val="auto"/>
          <w:sz w:val="20"/>
          <w:szCs w:val="20"/>
        </w:rPr>
      </w:pPr>
      <w:bookmarkStart w:id="6" w:name="_Toc90751738"/>
      <w:bookmarkStart w:id="7" w:name="_Toc164798110"/>
      <w:bookmarkStart w:id="8" w:name="_Toc165194710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S2. </w:t>
      </w:r>
      <w:bookmarkEnd w:id="6"/>
      <w:r w:rsidRPr="001B20A7">
        <w:rPr>
          <w:rFonts w:ascii="Palatino Linotype" w:hAnsi="Palatino Linotype" w:cstheme="minorHAnsi"/>
          <w:color w:val="auto"/>
          <w:sz w:val="20"/>
          <w:szCs w:val="20"/>
        </w:rPr>
        <w:t>A comparison of the FT-IR spectra of H</w:t>
      </w:r>
      <w:r w:rsidRPr="001B20A7">
        <w:rPr>
          <w:rFonts w:ascii="Palatino Linotype" w:hAnsi="Palatino Linotype" w:cstheme="minorHAnsi"/>
          <w:color w:val="auto"/>
          <w:sz w:val="20"/>
          <w:szCs w:val="20"/>
          <w:vertAlign w:val="subscript"/>
        </w:rPr>
        <w:t>2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TMPP and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.</w:t>
      </w:r>
      <w:bookmarkEnd w:id="7"/>
      <w:bookmarkEnd w:id="8"/>
    </w:p>
    <w:p w14:paraId="447B378C" w14:textId="77777777" w:rsidR="00FC6CEC" w:rsidRPr="001B20A7" w:rsidRDefault="00FC6CEC" w:rsidP="00FC6CEC">
      <w:pPr>
        <w:spacing w:line="360" w:lineRule="auto"/>
        <w:jc w:val="both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br w:type="page"/>
      </w:r>
    </w:p>
    <w:p w14:paraId="460ED6AB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lastRenderedPageBreak/>
        <w:drawing>
          <wp:inline distT="0" distB="0" distL="0" distR="0" wp14:anchorId="6F437EBC" wp14:editId="0B61DB46">
            <wp:extent cx="3651662" cy="4868883"/>
            <wp:effectExtent l="0" t="0" r="6350" b="8255"/>
            <wp:docPr id="47803546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035464" name="图片 47803546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3287" cy="487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E2BAC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color w:val="auto"/>
          <w:sz w:val="20"/>
          <w:szCs w:val="20"/>
        </w:rPr>
      </w:pPr>
      <w:bookmarkStart w:id="9" w:name="_Toc164798111"/>
      <w:bookmarkStart w:id="10" w:name="_Hlk162881068"/>
      <w:bookmarkStart w:id="11" w:name="_Toc165194711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S3.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Tyndall effect of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 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in the aqueous solution.</w:t>
      </w:r>
      <w:bookmarkEnd w:id="9"/>
      <w:bookmarkEnd w:id="11"/>
    </w:p>
    <w:bookmarkEnd w:id="10"/>
    <w:p w14:paraId="4BEE3F40" w14:textId="77777777" w:rsidR="00FC6CEC" w:rsidRPr="001B20A7" w:rsidRDefault="00FC6CEC" w:rsidP="00FC6CEC">
      <w:pPr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br w:type="page"/>
      </w:r>
    </w:p>
    <w:p w14:paraId="0DFD44F5" w14:textId="77777777" w:rsidR="00FC6CEC" w:rsidRPr="001B20A7" w:rsidRDefault="00FC6CEC" w:rsidP="00FC6CEC">
      <w:pPr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</w:p>
    <w:p w14:paraId="484B2227" w14:textId="77777777" w:rsidR="00FC6CEC" w:rsidRPr="001B20A7" w:rsidRDefault="00FC6CEC" w:rsidP="00FC6CEC">
      <w:pPr>
        <w:spacing w:before="100" w:beforeAutospacing="1" w:after="100" w:afterAutospacing="1"/>
        <w:jc w:val="center"/>
        <w:rPr>
          <w:rFonts w:ascii="Palatino Linotype" w:eastAsia="Times New Roman" w:hAnsi="Palatino Linotype"/>
          <w:color w:val="auto"/>
          <w:sz w:val="24"/>
          <w:szCs w:val="24"/>
        </w:rPr>
      </w:pPr>
      <w:r w:rsidRPr="001B20A7">
        <w:rPr>
          <w:rFonts w:ascii="Palatino Linotype" w:eastAsia="Times New Roman" w:hAnsi="Palatino Linotype"/>
          <w:color w:val="auto"/>
          <w:sz w:val="24"/>
          <w:szCs w:val="24"/>
        </w:rPr>
        <w:drawing>
          <wp:inline distT="0" distB="0" distL="0" distR="0" wp14:anchorId="4425D256" wp14:editId="7A031923">
            <wp:extent cx="3461159" cy="4525762"/>
            <wp:effectExtent l="0" t="0" r="635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4903" cy="4530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A0006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</w:p>
    <w:p w14:paraId="4E8F8F17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color w:val="auto"/>
          <w:sz w:val="20"/>
          <w:szCs w:val="20"/>
        </w:rPr>
      </w:pPr>
      <w:bookmarkStart w:id="12" w:name="_Toc164798112"/>
      <w:bookmarkStart w:id="13" w:name="_Toc165194712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S4.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The EDS elemental ratios of the as-synthesized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(a) and that from the lyophilized sample (b; 10 mg in 10 mL of water, sonicated and kept for 24 h), showing no obvious change of the chemical composition.</w:t>
      </w:r>
      <w:bookmarkEnd w:id="12"/>
      <w:bookmarkEnd w:id="13"/>
    </w:p>
    <w:p w14:paraId="747145EF" w14:textId="77777777" w:rsidR="00FC6CEC" w:rsidRPr="001B20A7" w:rsidRDefault="00FC6CEC" w:rsidP="00FC6CEC">
      <w:pPr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br w:type="page"/>
      </w:r>
    </w:p>
    <w:p w14:paraId="3894E733" w14:textId="77777777" w:rsidR="00FC6CEC" w:rsidRPr="001B20A7" w:rsidRDefault="00FC6CEC" w:rsidP="00FC6CEC">
      <w:pPr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</w:p>
    <w:p w14:paraId="43764F4B" w14:textId="77777777" w:rsidR="00FC6CEC" w:rsidRPr="001B20A7" w:rsidRDefault="00FC6CEC" w:rsidP="00FC6CEC">
      <w:pPr>
        <w:jc w:val="center"/>
        <w:rPr>
          <w:rFonts w:ascii="Palatino Linotype" w:hAnsi="Palatino Linotype" w:cstheme="minorHAnsi"/>
          <w:b/>
          <w:color w:val="auto"/>
          <w:sz w:val="20"/>
          <w:szCs w:val="20"/>
          <w:lang w:val="en-GB"/>
        </w:rPr>
      </w:pPr>
      <w:r w:rsidRPr="001B20A7">
        <w:rPr>
          <w:rFonts w:ascii="Palatino Linotype" w:hAnsi="Palatino Linotype" w:cstheme="minorHAnsi"/>
          <w:b/>
          <w:color w:val="auto"/>
          <w:sz w:val="20"/>
          <w:szCs w:val="20"/>
          <w:lang w:val="en-GB"/>
        </w:rPr>
        <w:drawing>
          <wp:inline distT="0" distB="0" distL="0" distR="0" wp14:anchorId="63E84322" wp14:editId="60644D16">
            <wp:extent cx="3706017" cy="6974006"/>
            <wp:effectExtent l="0" t="0" r="8890" b="0"/>
            <wp:docPr id="32616836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168366" name="图片 32616836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9523" cy="6980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CB9D4" w14:textId="77777777" w:rsidR="00FC6CEC" w:rsidRPr="001B20A7" w:rsidRDefault="00FC6CEC" w:rsidP="00FC6CEC">
      <w:pPr>
        <w:jc w:val="center"/>
        <w:outlineLvl w:val="0"/>
        <w:rPr>
          <w:rFonts w:ascii="Palatino Linotype" w:hAnsi="Palatino Linotype" w:cstheme="minorHAnsi"/>
          <w:bCs/>
          <w:color w:val="auto"/>
          <w:sz w:val="20"/>
          <w:szCs w:val="20"/>
        </w:rPr>
      </w:pPr>
      <w:bookmarkStart w:id="14" w:name="_Toc164798113"/>
      <w:bookmarkStart w:id="15" w:name="_Toc165194713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Figure S5.</w:t>
      </w:r>
      <w:r w:rsidRPr="001B20A7">
        <w:rPr>
          <w:rFonts w:ascii="Palatino Linotype" w:hAnsi="Palatino Linotype" w:cstheme="minorHAnsi"/>
          <w:bCs/>
          <w:color w:val="auto"/>
          <w:sz w:val="20"/>
          <w:szCs w:val="20"/>
        </w:rPr>
        <w:t xml:space="preserve"> The DLS results of three </w:t>
      </w:r>
      <w:r w:rsidRPr="001B20A7">
        <w:rPr>
          <w:rFonts w:ascii="Palatino Linotype" w:hAnsi="Palatino Linotype" w:cstheme="minorHAnsi"/>
          <w:b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bCs/>
          <w:color w:val="auto"/>
          <w:sz w:val="20"/>
          <w:szCs w:val="20"/>
        </w:rPr>
        <w:t xml:space="preserve"> aqueous solutions.</w:t>
      </w:r>
      <w:bookmarkEnd w:id="14"/>
      <w:bookmarkEnd w:id="15"/>
    </w:p>
    <w:p w14:paraId="4501BBBA" w14:textId="77777777" w:rsidR="00FC6CEC" w:rsidRPr="001B20A7" w:rsidRDefault="00FC6CEC" w:rsidP="00FC6CEC">
      <w:pPr>
        <w:jc w:val="both"/>
        <w:rPr>
          <w:rFonts w:ascii="Palatino Linotype" w:hAnsi="Palatino Linotype" w:cstheme="minorHAnsi"/>
          <w:b/>
          <w:color w:val="auto"/>
          <w:sz w:val="20"/>
          <w:szCs w:val="20"/>
        </w:rPr>
        <w:sectPr w:rsidR="00FC6CEC" w:rsidRPr="001B20A7" w:rsidSect="00A31DE6">
          <w:footerReference w:type="default" r:id="rId12"/>
          <w:pgSz w:w="12240" w:h="15840"/>
          <w:pgMar w:top="1440" w:right="1440" w:bottom="1440" w:left="1440" w:header="720" w:footer="720" w:gutter="0"/>
          <w:pgBorders w:offsetFrom="page">
            <w:top w:val="single" w:sz="4" w:space="24" w:color="auto"/>
          </w:pgBorders>
          <w:cols w:space="720"/>
          <w:docGrid w:linePitch="360"/>
        </w:sectPr>
      </w:pPr>
    </w:p>
    <w:p w14:paraId="6E8BB3DF" w14:textId="77777777" w:rsidR="00FC6CEC" w:rsidRPr="001B20A7" w:rsidRDefault="00FC6CEC" w:rsidP="00FC6CEC">
      <w:pPr>
        <w:jc w:val="center"/>
        <w:rPr>
          <w:rFonts w:ascii="Palatino Linotype" w:hAnsi="Palatino Linotype" w:cstheme="minorHAnsi"/>
          <w:b/>
          <w:color w:val="auto"/>
          <w:sz w:val="20"/>
          <w:szCs w:val="20"/>
          <w:lang w:val="en-GB"/>
        </w:rPr>
      </w:pPr>
      <w:r w:rsidRPr="001B20A7">
        <w:rPr>
          <w:rFonts w:ascii="Palatino Linotype" w:hAnsi="Palatino Linotype" w:cstheme="minorHAnsi"/>
          <w:b/>
          <w:color w:val="auto"/>
          <w:sz w:val="20"/>
          <w:szCs w:val="20"/>
          <w:lang w:val="en-GB"/>
        </w:rPr>
        <w:lastRenderedPageBreak/>
        <w:drawing>
          <wp:inline distT="0" distB="0" distL="0" distR="0" wp14:anchorId="02EE27C0" wp14:editId="0577B3AA">
            <wp:extent cx="4754531" cy="2796335"/>
            <wp:effectExtent l="0" t="0" r="8255" b="4445"/>
            <wp:docPr id="29253940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539403" name="图片 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325" cy="2800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06209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color w:val="auto"/>
          <w:sz w:val="20"/>
          <w:szCs w:val="20"/>
        </w:rPr>
      </w:pPr>
      <w:bookmarkStart w:id="16" w:name="_Toc90751740"/>
      <w:bookmarkStart w:id="17" w:name="_Toc164798114"/>
      <w:bookmarkStart w:id="18" w:name="_Toc165194714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S6. </w:t>
      </w:r>
      <w:bookmarkEnd w:id="16"/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The zeta potential results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in aqueous solution.</w:t>
      </w:r>
      <w:bookmarkEnd w:id="17"/>
      <w:bookmarkEnd w:id="18"/>
    </w:p>
    <w:p w14:paraId="583D95A9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br w:type="page"/>
      </w:r>
    </w:p>
    <w:p w14:paraId="4DA35C8C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color w:val="auto"/>
          <w:sz w:val="20"/>
          <w:szCs w:val="20"/>
        </w:rPr>
        <w:sectPr w:rsidR="00FC6CEC" w:rsidRPr="001B20A7" w:rsidSect="00A31DE6">
          <w:pgSz w:w="12240" w:h="15840"/>
          <w:pgMar w:top="1440" w:right="1440" w:bottom="1440" w:left="1440" w:header="720" w:footer="720" w:gutter="0"/>
          <w:pgBorders w:offsetFrom="page">
            <w:top w:val="single" w:sz="4" w:space="24" w:color="auto"/>
          </w:pgBorders>
          <w:cols w:space="720"/>
          <w:docGrid w:linePitch="360"/>
        </w:sectPr>
      </w:pPr>
    </w:p>
    <w:p w14:paraId="0F22383C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lastRenderedPageBreak/>
        <w:drawing>
          <wp:inline distT="0" distB="0" distL="0" distR="0" wp14:anchorId="5C343C1A" wp14:editId="5AF29CE2">
            <wp:extent cx="5943600" cy="1995805"/>
            <wp:effectExtent l="0" t="0" r="0" b="444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488203" name="图片 116148820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9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41350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color w:val="auto"/>
          <w:sz w:val="20"/>
          <w:szCs w:val="20"/>
        </w:rPr>
        <w:sectPr w:rsidR="00FC6CEC" w:rsidRPr="001B20A7" w:rsidSect="00A31DE6">
          <w:pgSz w:w="12240" w:h="15840"/>
          <w:pgMar w:top="1440" w:right="1440" w:bottom="1440" w:left="1440" w:header="720" w:footer="720" w:gutter="0"/>
          <w:pgBorders w:offsetFrom="page">
            <w:top w:val="single" w:sz="4" w:space="24" w:color="auto"/>
          </w:pgBorders>
          <w:cols w:space="720"/>
          <w:docGrid w:linePitch="360"/>
        </w:sectPr>
      </w:pPr>
      <w:bookmarkStart w:id="19" w:name="_Toc164798115"/>
      <w:bookmarkStart w:id="20" w:name="_Toc165194715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S7.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Pictures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dispersed in aqueous solution for 0</w:t>
      </w:r>
      <w:r w:rsidRPr="001B20A7">
        <w:rPr>
          <w:rFonts w:ascii="Palatino Linotype" w:hAnsi="Palatino Linotype"/>
          <w:color w:val="auto"/>
          <w:sz w:val="18"/>
          <w:szCs w:val="18"/>
        </w:rPr>
        <w:t>−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3 days.</w:t>
      </w:r>
      <w:bookmarkEnd w:id="19"/>
      <w:bookmarkEnd w:id="20"/>
    </w:p>
    <w:p w14:paraId="18F5C2C6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lastRenderedPageBreak/>
        <w:drawing>
          <wp:inline distT="0" distB="0" distL="0" distR="0" wp14:anchorId="287966CA" wp14:editId="5469214F">
            <wp:extent cx="4737100" cy="4019550"/>
            <wp:effectExtent l="0" t="0" r="635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013989" name="图片 2147013989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16" t="9634" r="10684" b="1982"/>
                    <a:stretch/>
                  </pic:blipFill>
                  <pic:spPr bwMode="auto">
                    <a:xfrm>
                      <a:off x="0" y="0"/>
                      <a:ext cx="4737100" cy="4019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3DF02F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color w:val="auto"/>
          <w:sz w:val="20"/>
          <w:szCs w:val="20"/>
        </w:rPr>
      </w:pPr>
      <w:bookmarkStart w:id="21" w:name="_Toc164798116"/>
      <w:bookmarkStart w:id="22" w:name="_Toc165194716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S8.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UV-Vis absorption spectra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dispersed in aqueous solution for 0</w:t>
      </w:r>
      <w:r w:rsidRPr="001B20A7">
        <w:rPr>
          <w:rFonts w:ascii="Palatino Linotype" w:hAnsi="Palatino Linotype"/>
          <w:color w:val="auto"/>
          <w:sz w:val="18"/>
          <w:szCs w:val="18"/>
        </w:rPr>
        <w:t>−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3 days.</w:t>
      </w:r>
      <w:bookmarkEnd w:id="21"/>
      <w:bookmarkEnd w:id="22"/>
    </w:p>
    <w:p w14:paraId="0E341524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color w:val="auto"/>
          <w:sz w:val="20"/>
          <w:szCs w:val="20"/>
        </w:rPr>
        <w:sectPr w:rsidR="00FC6CEC" w:rsidRPr="001B20A7" w:rsidSect="00A31DE6">
          <w:pgSz w:w="12240" w:h="15840"/>
          <w:pgMar w:top="1440" w:right="1440" w:bottom="1440" w:left="1440" w:header="720" w:footer="720" w:gutter="0"/>
          <w:pgBorders w:offsetFrom="page">
            <w:top w:val="single" w:sz="4" w:space="24" w:color="auto"/>
          </w:pgBorders>
          <w:cols w:space="720"/>
          <w:docGrid w:linePitch="360"/>
        </w:sectPr>
      </w:pPr>
    </w:p>
    <w:p w14:paraId="7F1BC64A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lastRenderedPageBreak/>
        <w:drawing>
          <wp:inline distT="0" distB="0" distL="0" distR="0" wp14:anchorId="602FA9F1" wp14:editId="1F975F04">
            <wp:extent cx="4161905" cy="688570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35628" name="图片 6833562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1905" cy="6885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2F845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color w:val="auto"/>
          <w:sz w:val="20"/>
          <w:szCs w:val="20"/>
        </w:rPr>
        <w:sectPr w:rsidR="00FC6CEC" w:rsidRPr="001B20A7" w:rsidSect="00A31DE6">
          <w:pgSz w:w="12240" w:h="15840"/>
          <w:pgMar w:top="1440" w:right="1440" w:bottom="1440" w:left="1440" w:header="720" w:footer="720" w:gutter="0"/>
          <w:pgBorders w:offsetFrom="page">
            <w:top w:val="single" w:sz="4" w:space="24" w:color="auto"/>
          </w:pgBorders>
          <w:cols w:space="720"/>
          <w:docGrid w:linePitch="360"/>
        </w:sectPr>
      </w:pPr>
      <w:bookmarkStart w:id="23" w:name="_Toc164798117"/>
      <w:bookmarkStart w:id="24" w:name="_Toc165194717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S9.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The DLS results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in PBS (0.1x) for 0 (a), 12 (b), and 24 hours (c).</w:t>
      </w:r>
      <w:bookmarkEnd w:id="23"/>
      <w:bookmarkEnd w:id="24"/>
    </w:p>
    <w:p w14:paraId="0C4B64C8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lastRenderedPageBreak/>
        <w:drawing>
          <wp:inline distT="0" distB="0" distL="0" distR="0" wp14:anchorId="0D24D57A" wp14:editId="591E6590">
            <wp:extent cx="4047214" cy="6890399"/>
            <wp:effectExtent l="0" t="0" r="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096898" name="图片 550096898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1" b="2014"/>
                    <a:stretch/>
                  </pic:blipFill>
                  <pic:spPr bwMode="auto">
                    <a:xfrm>
                      <a:off x="0" y="0"/>
                      <a:ext cx="4052216" cy="68989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660DD8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color w:val="auto"/>
          <w:sz w:val="20"/>
          <w:szCs w:val="20"/>
        </w:rPr>
      </w:pPr>
      <w:bookmarkStart w:id="25" w:name="_Toc164798118"/>
      <w:bookmarkStart w:id="26" w:name="_Toc165194718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S10.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The zeta potential results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Fe-TMPP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in PBS (0.1x) for 0 (a), 12 (b) and 24 hours (c).</w:t>
      </w:r>
      <w:bookmarkEnd w:id="25"/>
      <w:bookmarkEnd w:id="26"/>
    </w:p>
    <w:p w14:paraId="3D2DF25B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color w:val="auto"/>
          <w:sz w:val="20"/>
          <w:szCs w:val="20"/>
        </w:rPr>
        <w:sectPr w:rsidR="00FC6CEC" w:rsidRPr="001B20A7" w:rsidSect="00A31DE6">
          <w:pgSz w:w="12240" w:h="15840"/>
          <w:pgMar w:top="1440" w:right="1440" w:bottom="1440" w:left="1440" w:header="720" w:footer="720" w:gutter="0"/>
          <w:pgBorders w:offsetFrom="page">
            <w:top w:val="single" w:sz="4" w:space="24" w:color="auto"/>
          </w:pgBorders>
          <w:cols w:space="720"/>
          <w:docGrid w:linePitch="360"/>
        </w:sectPr>
      </w:pPr>
    </w:p>
    <w:p w14:paraId="66D9215E" w14:textId="77777777" w:rsidR="00FC6CEC" w:rsidRPr="001B20A7" w:rsidRDefault="00FC6CEC" w:rsidP="00FC6CEC">
      <w:pPr>
        <w:spacing w:before="100" w:beforeAutospacing="1" w:after="100" w:afterAutospacing="1"/>
        <w:rPr>
          <w:rFonts w:ascii="Palatino Linotype" w:eastAsia="Times New Roman" w:hAnsi="Palatino Linotype"/>
          <w:color w:val="auto"/>
          <w:sz w:val="24"/>
          <w:szCs w:val="24"/>
        </w:rPr>
      </w:pPr>
      <w:r w:rsidRPr="001B20A7">
        <w:rPr>
          <w:rFonts w:ascii="Palatino Linotype" w:eastAsia="Times New Roman" w:hAnsi="Palatino Linotype"/>
          <w:color w:val="auto"/>
          <w:sz w:val="24"/>
          <w:szCs w:val="24"/>
        </w:rPr>
        <w:lastRenderedPageBreak/>
        <w:drawing>
          <wp:inline distT="0" distB="0" distL="0" distR="0" wp14:anchorId="7E2B20A6" wp14:editId="57906A41">
            <wp:extent cx="5943600" cy="4547870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20CFC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color w:val="auto"/>
          <w:sz w:val="20"/>
          <w:szCs w:val="20"/>
        </w:rPr>
      </w:pPr>
      <w:bookmarkStart w:id="27" w:name="_Toc164798119"/>
      <w:bookmarkStart w:id="28" w:name="_Toc165194719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S11.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A comparison of the PXRD spectra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and its lyophilized samples after sonication and kept in different amounts of water for 24 h.</w:t>
      </w:r>
      <w:bookmarkEnd w:id="27"/>
      <w:bookmarkEnd w:id="28"/>
    </w:p>
    <w:p w14:paraId="2518E05D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</w:p>
    <w:p w14:paraId="466407D5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</w:p>
    <w:p w14:paraId="068D4B20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lastRenderedPageBreak/>
        <w:drawing>
          <wp:inline distT="0" distB="0" distL="0" distR="0" wp14:anchorId="5A491375" wp14:editId="407C5329">
            <wp:extent cx="3231819" cy="2971800"/>
            <wp:effectExtent l="0" t="0" r="6985" b="0"/>
            <wp:docPr id="15262033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203377" name="图片 1526203377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483"/>
                    <a:stretch/>
                  </pic:blipFill>
                  <pic:spPr bwMode="auto">
                    <a:xfrm>
                      <a:off x="0" y="0"/>
                      <a:ext cx="3234638" cy="29743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87CECF" w14:textId="77777777" w:rsidR="00FC6CEC" w:rsidRPr="001B20A7" w:rsidRDefault="00FC6CEC" w:rsidP="00FC6CEC">
      <w:pPr>
        <w:spacing w:line="360" w:lineRule="auto"/>
        <w:jc w:val="center"/>
        <w:outlineLvl w:val="0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bookmarkStart w:id="29" w:name="_Hlk162879033"/>
      <w:bookmarkStart w:id="30" w:name="_Toc164798120"/>
      <w:bookmarkStart w:id="31" w:name="_Toc165194720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S12.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TEM image of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 TMPP-F127</w:t>
      </w:r>
      <w:bookmarkEnd w:id="29"/>
      <w:r w:rsidRPr="001B20A7">
        <w:rPr>
          <w:rFonts w:ascii="Palatino Linotype" w:hAnsi="Palatino Linotype" w:cstheme="minorHAnsi"/>
          <w:color w:val="auto"/>
          <w:sz w:val="20"/>
          <w:szCs w:val="20"/>
        </w:rPr>
        <w:t>.</w:t>
      </w:r>
      <w:bookmarkEnd w:id="30"/>
      <w:bookmarkEnd w:id="31"/>
    </w:p>
    <w:p w14:paraId="7615C046" w14:textId="77777777" w:rsidR="00FC6CEC" w:rsidRPr="001B20A7" w:rsidRDefault="00FC6CEC" w:rsidP="00FC6CEC">
      <w:pPr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br w:type="page"/>
      </w:r>
    </w:p>
    <w:p w14:paraId="3B7E3EFB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</w:p>
    <w:p w14:paraId="7542FF44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drawing>
          <wp:inline distT="0" distB="0" distL="0" distR="0" wp14:anchorId="7C8F15B2" wp14:editId="18404AA6">
            <wp:extent cx="5474766" cy="4449417"/>
            <wp:effectExtent l="0" t="0" r="0" b="8890"/>
            <wp:docPr id="28029690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296909" name="图片 28029690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9280" cy="4453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7DCF9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b/>
          <w:bCs/>
          <w:color w:val="auto"/>
          <w:sz w:val="20"/>
          <w:szCs w:val="20"/>
        </w:rPr>
      </w:pPr>
      <w:bookmarkStart w:id="32" w:name="_Toc164798121"/>
      <w:bookmarkStart w:id="33" w:name="_Toc165194721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S13. </w:t>
      </w:r>
      <w:bookmarkStart w:id="34" w:name="_Hlk163136789"/>
      <w:r w:rsidRPr="001B20A7">
        <w:rPr>
          <w:rFonts w:ascii="Palatino Linotype" w:hAnsi="Palatino Linotype" w:cstheme="minorHAnsi"/>
          <w:color w:val="auto"/>
          <w:sz w:val="20"/>
          <w:szCs w:val="20"/>
        </w:rPr>
        <w:t>UV-Vis absorption spectra of</w:t>
      </w:r>
      <w:bookmarkEnd w:id="34"/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DPBF (a) and its dispersion in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TMPP-F127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(b) and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(c) aqueous solution with different illumination times. The changes of absorption intensity at 416 nm of DPBF as a function of irradiation time when incubated with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TMPP-F127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and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using blank DPBF as a control (d).</w:t>
      </w:r>
      <w:bookmarkEnd w:id="32"/>
      <w:bookmarkEnd w:id="33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br w:type="page"/>
      </w:r>
    </w:p>
    <w:p w14:paraId="2DF50D4E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</w:p>
    <w:p w14:paraId="2D0C42CD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drawing>
          <wp:inline distT="0" distB="0" distL="0" distR="0" wp14:anchorId="757C74E1" wp14:editId="429CCCE1">
            <wp:extent cx="4825681" cy="3736009"/>
            <wp:effectExtent l="0" t="0" r="0" b="0"/>
            <wp:docPr id="210289129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891297" name="图片 2102891297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24" t="8220" r="11963" b="9610"/>
                    <a:stretch/>
                  </pic:blipFill>
                  <pic:spPr bwMode="auto">
                    <a:xfrm>
                      <a:off x="0" y="0"/>
                      <a:ext cx="4826977" cy="37370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6B87AA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color w:val="auto"/>
          <w:sz w:val="20"/>
          <w:szCs w:val="20"/>
        </w:rPr>
        <w:sectPr w:rsidR="00FC6CEC" w:rsidRPr="001B20A7" w:rsidSect="00A31DE6">
          <w:pgSz w:w="12240" w:h="15840"/>
          <w:pgMar w:top="1440" w:right="1440" w:bottom="1440" w:left="1440" w:header="720" w:footer="720" w:gutter="0"/>
          <w:pgBorders w:offsetFrom="page">
            <w:top w:val="single" w:sz="4" w:space="24" w:color="auto"/>
          </w:pgBorders>
          <w:cols w:space="720"/>
          <w:docGrid w:linePitch="360"/>
        </w:sectPr>
      </w:pPr>
      <w:bookmarkStart w:id="35" w:name="_Toc164798122"/>
      <w:bookmarkStart w:id="36" w:name="_Toc165194722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Figure S14.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A comparison of fluorescence intensity of DCF when treated with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TMPP-F127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,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, and PBS control.</w:t>
      </w:r>
      <w:bookmarkEnd w:id="35"/>
      <w:bookmarkEnd w:id="36"/>
    </w:p>
    <w:p w14:paraId="1A4072C1" w14:textId="77777777" w:rsidR="00FC6CEC" w:rsidRPr="001B20A7" w:rsidRDefault="00FC6CEC" w:rsidP="00FC6CEC">
      <w:pPr>
        <w:jc w:val="center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lastRenderedPageBreak/>
        <w:drawing>
          <wp:inline distT="0" distB="0" distL="0" distR="0" wp14:anchorId="146CB85F" wp14:editId="29E9C5D1">
            <wp:extent cx="5340168" cy="4290391"/>
            <wp:effectExtent l="0" t="0" r="0" b="0"/>
            <wp:docPr id="56067977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679778" name="图片 560679778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565" cy="429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F2277" w14:textId="77777777" w:rsidR="00FC6CEC" w:rsidRPr="001B20A7" w:rsidRDefault="00FC6CEC" w:rsidP="00FC6CEC">
      <w:pPr>
        <w:spacing w:line="360" w:lineRule="auto"/>
        <w:jc w:val="both"/>
        <w:outlineLvl w:val="0"/>
        <w:rPr>
          <w:rFonts w:ascii="Palatino Linotype" w:hAnsi="Palatino Linotype" w:cstheme="minorHAnsi"/>
          <w:color w:val="auto"/>
          <w:sz w:val="20"/>
          <w:szCs w:val="20"/>
        </w:rPr>
      </w:pPr>
      <w:bookmarkStart w:id="37" w:name="_Hlk162878356"/>
      <w:bookmarkStart w:id="38" w:name="_Toc164798123"/>
      <w:bookmarkStart w:id="39" w:name="_Toc165194723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Figure S15.</w:t>
      </w:r>
      <w:bookmarkEnd w:id="37"/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 xml:space="preserve"> 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A comparison of </w:t>
      </w:r>
      <w:bookmarkStart w:id="40" w:name="_Hlk160888078"/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the HCT-116 (a), HuH-7 (b), and BXPC3 (c) cell viabilities when treated with gradient concentrations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TMPP-F127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and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>.</w:t>
      </w:r>
      <w:bookmarkEnd w:id="40"/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The DLD-1, PC3, and AGS cells viabilities when treated with gradient concentrations of </w:t>
      </w:r>
      <w:r w:rsidRPr="001B20A7">
        <w:rPr>
          <w:rFonts w:ascii="Palatino Linotype" w:hAnsi="Palatino Linotype" w:cstheme="minorHAnsi"/>
          <w:b/>
          <w:bCs/>
          <w:color w:val="auto"/>
          <w:sz w:val="20"/>
          <w:szCs w:val="20"/>
        </w:rPr>
        <w:t>Fe-TMPP</w:t>
      </w:r>
      <w:r w:rsidRPr="001B20A7">
        <w:rPr>
          <w:rFonts w:ascii="Palatino Linotype" w:hAnsi="Palatino Linotype" w:cstheme="minorHAnsi"/>
          <w:color w:val="auto"/>
          <w:sz w:val="20"/>
          <w:szCs w:val="20"/>
        </w:rPr>
        <w:t xml:space="preserve"> (d).</w:t>
      </w:r>
      <w:bookmarkEnd w:id="38"/>
      <w:bookmarkEnd w:id="39"/>
    </w:p>
    <w:p w14:paraId="0E4E4657" w14:textId="6BED2336" w:rsidR="003E45B4" w:rsidRPr="001B20A7" w:rsidRDefault="003E45B4">
      <w:pPr>
        <w:spacing w:line="256" w:lineRule="auto"/>
        <w:rPr>
          <w:rFonts w:ascii="Palatino Linotype" w:hAnsi="Palatino Linotype"/>
          <w:color w:val="auto"/>
          <w:highlight w:val="yellow"/>
        </w:rPr>
      </w:pPr>
    </w:p>
    <w:p w14:paraId="036CC3E2" w14:textId="5C0119ED" w:rsidR="003E45B4" w:rsidRPr="001B20A7" w:rsidRDefault="003E45B4" w:rsidP="0022403A">
      <w:pPr>
        <w:spacing w:line="256" w:lineRule="auto"/>
        <w:jc w:val="center"/>
        <w:rPr>
          <w:rFonts w:ascii="Palatino Linotype" w:hAnsi="Palatino Linotype"/>
          <w:color w:val="auto"/>
          <w:highlight w:val="yellow"/>
        </w:rPr>
      </w:pPr>
    </w:p>
    <w:p w14:paraId="7810A72F" w14:textId="77777777" w:rsidR="00FC6CEC" w:rsidRPr="001B20A7" w:rsidRDefault="00FC6CEC" w:rsidP="00127D59">
      <w:pPr>
        <w:rPr>
          <w:rFonts w:ascii="Palatino Linotype" w:hAnsi="Palatino Linotype"/>
          <w:color w:val="auto"/>
        </w:rPr>
      </w:pPr>
    </w:p>
    <w:p w14:paraId="148211FE" w14:textId="4FF259DF" w:rsidR="00FC6CEC" w:rsidRPr="001B20A7" w:rsidRDefault="00FC6CEC">
      <w:pPr>
        <w:kinsoku/>
        <w:autoSpaceDE/>
        <w:autoSpaceDN/>
        <w:adjustRightInd/>
        <w:snapToGrid/>
        <w:textAlignment w:val="auto"/>
        <w:rPr>
          <w:rFonts w:ascii="Palatino Linotype" w:hAnsi="Palatino Linotype"/>
          <w:color w:val="auto"/>
        </w:rPr>
      </w:pPr>
      <w:r w:rsidRPr="001B20A7">
        <w:rPr>
          <w:rFonts w:ascii="Palatino Linotype" w:hAnsi="Palatino Linotype"/>
          <w:color w:val="auto"/>
        </w:rPr>
        <w:br w:type="page"/>
      </w:r>
    </w:p>
    <w:p w14:paraId="1F6EA88A" w14:textId="07782D24" w:rsidR="00FC6CEC" w:rsidRPr="001B20A7" w:rsidRDefault="00FC6CEC" w:rsidP="00C92883">
      <w:pPr>
        <w:jc w:val="center"/>
        <w:outlineLvl w:val="0"/>
        <w:rPr>
          <w:rFonts w:ascii="Palatino Linotype" w:hAnsi="Palatino Linotype"/>
          <w:b/>
          <w:bCs/>
          <w:color w:val="auto"/>
        </w:rPr>
      </w:pPr>
      <w:bookmarkStart w:id="41" w:name="_Toc165194724"/>
      <w:r w:rsidRPr="001B20A7">
        <w:rPr>
          <w:rFonts w:ascii="Palatino Linotype" w:hAnsi="Palatino Linotype"/>
          <w:b/>
          <w:bCs/>
          <w:color w:val="auto"/>
        </w:rPr>
        <w:lastRenderedPageBreak/>
        <w:t>Table S1.</w:t>
      </w:r>
      <w:r w:rsidRPr="001B20A7">
        <w:rPr>
          <w:rFonts w:ascii="Palatino Linotype" w:hAnsi="Palatino Linotype"/>
          <w:color w:val="auto"/>
        </w:rPr>
        <w:t xml:space="preserve"> </w:t>
      </w:r>
      <w:r w:rsidR="001B20A7" w:rsidRPr="001B20A7">
        <w:rPr>
          <w:rFonts w:ascii="Palatino Linotype" w:hAnsi="Palatino Linotype"/>
          <w:color w:val="auto"/>
        </w:rPr>
        <w:t>D</w:t>
      </w:r>
      <w:r w:rsidR="001770B9" w:rsidRPr="001B20A7">
        <w:rPr>
          <w:rFonts w:ascii="Palatino Linotype" w:hAnsi="Palatino Linotype"/>
          <w:color w:val="auto"/>
        </w:rPr>
        <w:t xml:space="preserve">etailed </w:t>
      </w:r>
      <w:r w:rsidR="00C92883" w:rsidRPr="001B20A7">
        <w:rPr>
          <w:rFonts w:ascii="Palatino Linotype" w:hAnsi="Palatino Linotype"/>
          <w:color w:val="auto"/>
        </w:rPr>
        <w:t xml:space="preserve">cell </w:t>
      </w:r>
      <w:r w:rsidRPr="001B20A7">
        <w:rPr>
          <w:rFonts w:ascii="Palatino Linotype" w:hAnsi="Palatino Linotype"/>
          <w:color w:val="auto"/>
        </w:rPr>
        <w:t xml:space="preserve">development </w:t>
      </w:r>
      <w:r w:rsidR="00C92883" w:rsidRPr="001B20A7">
        <w:rPr>
          <w:rFonts w:ascii="Palatino Linotype" w:hAnsi="Palatino Linotype"/>
          <w:color w:val="auto"/>
        </w:rPr>
        <w:t xml:space="preserve">and </w:t>
      </w:r>
      <w:r w:rsidRPr="001B20A7">
        <w:rPr>
          <w:rFonts w:ascii="Palatino Linotype" w:hAnsi="Palatino Linotype"/>
          <w:color w:val="auto"/>
        </w:rPr>
        <w:t xml:space="preserve">drug </w:t>
      </w:r>
      <w:r w:rsidR="001770B9" w:rsidRPr="001B20A7">
        <w:rPr>
          <w:rFonts w:ascii="Palatino Linotype" w:hAnsi="Palatino Linotype"/>
          <w:color w:val="auto"/>
        </w:rPr>
        <w:t xml:space="preserve">incubation </w:t>
      </w:r>
      <w:r w:rsidR="00C92883" w:rsidRPr="001B20A7">
        <w:rPr>
          <w:rFonts w:ascii="Palatino Linotype" w:hAnsi="Palatino Linotype"/>
          <w:color w:val="auto"/>
        </w:rPr>
        <w:t>conditions</w:t>
      </w:r>
      <w:r w:rsidR="001B20A7" w:rsidRPr="001B20A7">
        <w:rPr>
          <w:rFonts w:ascii="Palatino Linotype" w:hAnsi="Palatino Linotype"/>
          <w:color w:val="auto"/>
        </w:rPr>
        <w:t>.</w:t>
      </w:r>
      <w:bookmarkEnd w:id="41"/>
    </w:p>
    <w:p w14:paraId="3780184B" w14:textId="77777777" w:rsidR="00FC6CEC" w:rsidRPr="001B20A7" w:rsidRDefault="00FC6CEC" w:rsidP="00FC6CEC">
      <w:pPr>
        <w:spacing w:line="360" w:lineRule="auto"/>
        <w:ind w:firstLine="284"/>
        <w:jc w:val="both"/>
        <w:rPr>
          <w:rFonts w:ascii="Palatino Linotype" w:hAnsi="Palatino Linotype"/>
          <w:color w:val="auto"/>
          <w:sz w:val="20"/>
        </w:rPr>
      </w:pP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"/>
        <w:gridCol w:w="1985"/>
        <w:gridCol w:w="2835"/>
        <w:gridCol w:w="1559"/>
        <w:gridCol w:w="1696"/>
      </w:tblGrid>
      <w:tr w:rsidR="00D230FD" w:rsidRPr="001B20A7" w14:paraId="16596B82" w14:textId="77777777" w:rsidTr="00FC6CEC">
        <w:tc>
          <w:tcPr>
            <w:tcW w:w="1134" w:type="dxa"/>
            <w:tcBorders>
              <w:bottom w:val="single" w:sz="4" w:space="0" w:color="auto"/>
            </w:tcBorders>
          </w:tcPr>
          <w:p w14:paraId="4830D2FB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Calibri"/>
                <w:b/>
                <w:sz w:val="18"/>
                <w:szCs w:val="12"/>
              </w:rPr>
            </w:pPr>
            <w:r w:rsidRPr="001B20A7">
              <w:rPr>
                <w:rFonts w:ascii="Palatino Linotype" w:hAnsi="Palatino Linotype" w:cs="Calibri"/>
                <w:b/>
                <w:sz w:val="18"/>
                <w:szCs w:val="12"/>
              </w:rPr>
              <w:t>Cell Line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141AC9F1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Calibri"/>
                <w:b/>
                <w:sz w:val="18"/>
                <w:szCs w:val="12"/>
              </w:rPr>
            </w:pPr>
            <w:r w:rsidRPr="001B20A7">
              <w:rPr>
                <w:rFonts w:ascii="Palatino Linotype" w:hAnsi="Palatino Linotype" w:cs="Calibri"/>
                <w:b/>
                <w:sz w:val="18"/>
                <w:szCs w:val="12"/>
              </w:rPr>
              <w:t>Culturing Media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62C1E576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Calibri"/>
                <w:b/>
                <w:sz w:val="18"/>
                <w:szCs w:val="12"/>
              </w:rPr>
            </w:pPr>
            <w:r w:rsidRPr="001B20A7">
              <w:rPr>
                <w:rFonts w:ascii="Palatino Linotype" w:hAnsi="Palatino Linotype" w:cs="Calibri"/>
                <w:b/>
                <w:sz w:val="18"/>
                <w:szCs w:val="12"/>
              </w:rPr>
              <w:t>Culture Media Supplier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438CC193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Calibri"/>
                <w:b/>
                <w:sz w:val="18"/>
                <w:szCs w:val="12"/>
              </w:rPr>
            </w:pPr>
            <w:r w:rsidRPr="001B20A7">
              <w:rPr>
                <w:rFonts w:ascii="Palatino Linotype" w:hAnsi="Palatino Linotype" w:cs="Calibri"/>
                <w:b/>
                <w:sz w:val="18"/>
                <w:szCs w:val="12"/>
              </w:rPr>
              <w:t>Cell Density</w:t>
            </w:r>
          </w:p>
        </w:tc>
        <w:tc>
          <w:tcPr>
            <w:tcW w:w="1696" w:type="dxa"/>
            <w:tcBorders>
              <w:bottom w:val="single" w:sz="4" w:space="0" w:color="auto"/>
            </w:tcBorders>
          </w:tcPr>
          <w:p w14:paraId="09EAF8DA" w14:textId="5CCCC796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Calibri"/>
                <w:b/>
                <w:sz w:val="18"/>
                <w:szCs w:val="12"/>
              </w:rPr>
            </w:pPr>
            <w:r w:rsidRPr="001B20A7">
              <w:rPr>
                <w:rFonts w:ascii="Palatino Linotype" w:hAnsi="Palatino Linotype" w:cs="Calibri"/>
                <w:b/>
                <w:sz w:val="18"/>
                <w:szCs w:val="12"/>
              </w:rPr>
              <w:t>Incubation Time</w:t>
            </w:r>
          </w:p>
        </w:tc>
      </w:tr>
      <w:tr w:rsidR="00D230FD" w:rsidRPr="001B20A7" w14:paraId="1F438808" w14:textId="77777777" w:rsidTr="00FC6CEC">
        <w:tc>
          <w:tcPr>
            <w:tcW w:w="1134" w:type="dxa"/>
            <w:tcBorders>
              <w:bottom w:val="nil"/>
            </w:tcBorders>
          </w:tcPr>
          <w:p w14:paraId="7F7E296C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4T1</w:t>
            </w:r>
          </w:p>
        </w:tc>
        <w:tc>
          <w:tcPr>
            <w:tcW w:w="1985" w:type="dxa"/>
            <w:tcBorders>
              <w:bottom w:val="nil"/>
            </w:tcBorders>
          </w:tcPr>
          <w:p w14:paraId="26081437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RPMI 1640</w:t>
            </w:r>
          </w:p>
        </w:tc>
        <w:tc>
          <w:tcPr>
            <w:tcW w:w="2835" w:type="dxa"/>
            <w:tcBorders>
              <w:bottom w:val="nil"/>
            </w:tcBorders>
          </w:tcPr>
          <w:p w14:paraId="1EFC3EC0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proofErr w:type="spellStart"/>
            <w:r w:rsidRPr="001B20A7">
              <w:rPr>
                <w:rFonts w:ascii="Palatino Linotype" w:hAnsi="Palatino Linotype" w:cs="Calibri"/>
                <w:bCs/>
                <w:sz w:val="18"/>
                <w:szCs w:val="12"/>
              </w:rPr>
              <w:t>Elabscience</w:t>
            </w:r>
            <w:proofErr w:type="spellEnd"/>
            <w:r w:rsidRPr="001B20A7">
              <w:rPr>
                <w:rFonts w:ascii="Palatino Linotype" w:hAnsi="Palatino Linotype" w:cs="Calibri"/>
                <w:bCs/>
                <w:sz w:val="18"/>
                <w:szCs w:val="12"/>
              </w:rPr>
              <w:t xml:space="preserve"> Crop.</w:t>
            </w:r>
          </w:p>
        </w:tc>
        <w:tc>
          <w:tcPr>
            <w:tcW w:w="1559" w:type="dxa"/>
            <w:tcBorders>
              <w:bottom w:val="nil"/>
            </w:tcBorders>
          </w:tcPr>
          <w:p w14:paraId="4E000B24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="微软雅黑" w:hAnsi="Palatino Linotype" w:cs="Calibri"/>
                <w:kern w:val="2"/>
                <w:sz w:val="18"/>
                <w:szCs w:val="16"/>
                <w:lang w:bidi="en-US"/>
              </w:rPr>
              <w:t>5 × 10</w:t>
            </w:r>
            <w:r w:rsidRPr="001B20A7">
              <w:rPr>
                <w:rFonts w:ascii="Palatino Linotype" w:eastAsia="微软雅黑" w:hAnsi="Palatino Linotype" w:cs="Calibri"/>
                <w:kern w:val="2"/>
                <w:sz w:val="18"/>
                <w:szCs w:val="16"/>
                <w:vertAlign w:val="superscript"/>
                <w:lang w:bidi="en-US"/>
              </w:rPr>
              <w:t>3</w:t>
            </w:r>
          </w:p>
        </w:tc>
        <w:tc>
          <w:tcPr>
            <w:tcW w:w="1696" w:type="dxa"/>
            <w:tcBorders>
              <w:bottom w:val="nil"/>
            </w:tcBorders>
          </w:tcPr>
          <w:p w14:paraId="72B8312D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24 h</w:t>
            </w:r>
          </w:p>
        </w:tc>
      </w:tr>
      <w:tr w:rsidR="00D230FD" w:rsidRPr="001B20A7" w14:paraId="64D89229" w14:textId="77777777" w:rsidTr="00FC6CEC">
        <w:tc>
          <w:tcPr>
            <w:tcW w:w="1134" w:type="dxa"/>
            <w:tcBorders>
              <w:top w:val="nil"/>
              <w:bottom w:val="nil"/>
            </w:tcBorders>
          </w:tcPr>
          <w:p w14:paraId="7CC657F8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HCT-116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029C6B8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DMEM</w:t>
            </w:r>
          </w:p>
        </w:tc>
        <w:tc>
          <w:tcPr>
            <w:tcW w:w="2835" w:type="dxa"/>
            <w:tcBorders>
              <w:top w:val="nil"/>
              <w:bottom w:val="nil"/>
            </w:tcBorders>
          </w:tcPr>
          <w:p w14:paraId="3DB963F9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proofErr w:type="spellStart"/>
            <w:r w:rsidRPr="001B20A7">
              <w:rPr>
                <w:rFonts w:ascii="Palatino Linotype" w:hAnsi="Palatino Linotype" w:cs="Arial"/>
                <w:sz w:val="18"/>
                <w:szCs w:val="18"/>
              </w:rPr>
              <w:t>Procell</w:t>
            </w:r>
            <w:proofErr w:type="spellEnd"/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Life Science &amp; Technology Co., Ltd.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0C3D2D37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2 × 10</w:t>
            </w:r>
            <w:r w:rsidRPr="001B20A7">
              <w:rPr>
                <w:rFonts w:ascii="Palatino Linotype" w:hAnsi="Palatino Linotype" w:cs="Arial"/>
                <w:sz w:val="18"/>
                <w:szCs w:val="18"/>
                <w:vertAlign w:val="superscript"/>
              </w:rPr>
              <w:t>4</w:t>
            </w:r>
          </w:p>
        </w:tc>
        <w:tc>
          <w:tcPr>
            <w:tcW w:w="1696" w:type="dxa"/>
            <w:tcBorders>
              <w:top w:val="nil"/>
              <w:bottom w:val="nil"/>
            </w:tcBorders>
          </w:tcPr>
          <w:p w14:paraId="21FC3DB8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24</w:t>
            </w:r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h</w:t>
            </w:r>
          </w:p>
        </w:tc>
      </w:tr>
      <w:tr w:rsidR="00D230FD" w:rsidRPr="001B20A7" w14:paraId="1DB38F14" w14:textId="77777777" w:rsidTr="00FC6CEC">
        <w:tc>
          <w:tcPr>
            <w:tcW w:w="1134" w:type="dxa"/>
            <w:tcBorders>
              <w:top w:val="nil"/>
              <w:bottom w:val="nil"/>
            </w:tcBorders>
          </w:tcPr>
          <w:p w14:paraId="636C1253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HuH-7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4407D56A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DMEM</w:t>
            </w:r>
          </w:p>
        </w:tc>
        <w:tc>
          <w:tcPr>
            <w:tcW w:w="2835" w:type="dxa"/>
            <w:tcBorders>
              <w:top w:val="nil"/>
              <w:bottom w:val="nil"/>
            </w:tcBorders>
          </w:tcPr>
          <w:p w14:paraId="7B93267C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proofErr w:type="spellStart"/>
            <w:r w:rsidRPr="001B20A7">
              <w:rPr>
                <w:rFonts w:ascii="Palatino Linotype" w:hAnsi="Palatino Linotype" w:cs="Arial"/>
                <w:sz w:val="18"/>
                <w:szCs w:val="18"/>
              </w:rPr>
              <w:t>Procell</w:t>
            </w:r>
            <w:proofErr w:type="spellEnd"/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Life Science &amp; Technology Co., Ltd.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5738613A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2 × 10</w:t>
            </w:r>
            <w:r w:rsidRPr="001B20A7">
              <w:rPr>
                <w:rFonts w:ascii="Palatino Linotype" w:hAnsi="Palatino Linotype" w:cs="Arial"/>
                <w:sz w:val="18"/>
                <w:szCs w:val="18"/>
                <w:vertAlign w:val="superscript"/>
              </w:rPr>
              <w:t>4</w:t>
            </w:r>
          </w:p>
        </w:tc>
        <w:tc>
          <w:tcPr>
            <w:tcW w:w="1696" w:type="dxa"/>
            <w:tcBorders>
              <w:top w:val="nil"/>
              <w:bottom w:val="nil"/>
            </w:tcBorders>
          </w:tcPr>
          <w:p w14:paraId="28F6C36A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24</w:t>
            </w:r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h</w:t>
            </w:r>
          </w:p>
        </w:tc>
      </w:tr>
      <w:tr w:rsidR="00D230FD" w:rsidRPr="001B20A7" w14:paraId="0BB2F323" w14:textId="77777777" w:rsidTr="00FC6CEC">
        <w:tc>
          <w:tcPr>
            <w:tcW w:w="1134" w:type="dxa"/>
            <w:tcBorders>
              <w:top w:val="nil"/>
              <w:bottom w:val="nil"/>
            </w:tcBorders>
          </w:tcPr>
          <w:p w14:paraId="0C84B661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BXPC3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A555EFC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RPMI 1640</w:t>
            </w:r>
          </w:p>
        </w:tc>
        <w:tc>
          <w:tcPr>
            <w:tcW w:w="2835" w:type="dxa"/>
            <w:tcBorders>
              <w:top w:val="nil"/>
              <w:bottom w:val="nil"/>
            </w:tcBorders>
          </w:tcPr>
          <w:p w14:paraId="1829C8C9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proofErr w:type="spellStart"/>
            <w:r w:rsidRPr="001B20A7">
              <w:rPr>
                <w:rFonts w:ascii="Palatino Linotype" w:hAnsi="Palatino Linotype" w:cs="Arial"/>
                <w:sz w:val="18"/>
                <w:szCs w:val="18"/>
              </w:rPr>
              <w:t>Procell</w:t>
            </w:r>
            <w:proofErr w:type="spellEnd"/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Life Science &amp; Technology Co., Ltd.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16087554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2</w:t>
            </w: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.5</w:t>
            </w:r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× 10</w:t>
            </w: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vertAlign w:val="superscript"/>
                <w:lang w:eastAsia="zh-CN"/>
              </w:rPr>
              <w:t>3</w:t>
            </w:r>
          </w:p>
        </w:tc>
        <w:tc>
          <w:tcPr>
            <w:tcW w:w="1696" w:type="dxa"/>
            <w:tcBorders>
              <w:top w:val="nil"/>
              <w:bottom w:val="nil"/>
            </w:tcBorders>
          </w:tcPr>
          <w:p w14:paraId="5D89D4BB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72</w:t>
            </w:r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h</w:t>
            </w:r>
          </w:p>
        </w:tc>
      </w:tr>
      <w:tr w:rsidR="00D230FD" w:rsidRPr="001B20A7" w14:paraId="5D766664" w14:textId="77777777" w:rsidTr="00FC6CEC">
        <w:tc>
          <w:tcPr>
            <w:tcW w:w="1134" w:type="dxa"/>
            <w:tcBorders>
              <w:top w:val="nil"/>
              <w:bottom w:val="nil"/>
            </w:tcBorders>
          </w:tcPr>
          <w:p w14:paraId="6B263A16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DLD-1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348F5CEC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RPMI 1640</w:t>
            </w:r>
          </w:p>
        </w:tc>
        <w:tc>
          <w:tcPr>
            <w:tcW w:w="2835" w:type="dxa"/>
            <w:tcBorders>
              <w:top w:val="nil"/>
              <w:bottom w:val="nil"/>
            </w:tcBorders>
          </w:tcPr>
          <w:p w14:paraId="7AEC982E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proofErr w:type="spellStart"/>
            <w:r w:rsidRPr="001B20A7">
              <w:rPr>
                <w:rFonts w:ascii="Palatino Linotype" w:hAnsi="Palatino Linotype" w:cs="Arial"/>
                <w:sz w:val="18"/>
                <w:szCs w:val="18"/>
              </w:rPr>
              <w:t>Procell</w:t>
            </w:r>
            <w:proofErr w:type="spellEnd"/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Life Science &amp; Technology Co., Ltd.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619723BB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2 × 10</w:t>
            </w: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vertAlign w:val="superscript"/>
                <w:lang w:eastAsia="zh-CN"/>
              </w:rPr>
              <w:t>3</w:t>
            </w:r>
          </w:p>
        </w:tc>
        <w:tc>
          <w:tcPr>
            <w:tcW w:w="1696" w:type="dxa"/>
            <w:tcBorders>
              <w:top w:val="nil"/>
              <w:bottom w:val="nil"/>
            </w:tcBorders>
          </w:tcPr>
          <w:p w14:paraId="7E42A30F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72</w:t>
            </w:r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h</w:t>
            </w:r>
          </w:p>
        </w:tc>
      </w:tr>
      <w:tr w:rsidR="00D230FD" w:rsidRPr="001B20A7" w14:paraId="700B5CBD" w14:textId="77777777" w:rsidTr="00FC6CEC">
        <w:tc>
          <w:tcPr>
            <w:tcW w:w="1134" w:type="dxa"/>
            <w:tcBorders>
              <w:top w:val="nil"/>
              <w:bottom w:val="nil"/>
            </w:tcBorders>
          </w:tcPr>
          <w:p w14:paraId="2242F28E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PC3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7D5FFE75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RPMI 1640</w:t>
            </w:r>
          </w:p>
        </w:tc>
        <w:tc>
          <w:tcPr>
            <w:tcW w:w="2835" w:type="dxa"/>
            <w:tcBorders>
              <w:top w:val="nil"/>
              <w:bottom w:val="nil"/>
            </w:tcBorders>
          </w:tcPr>
          <w:p w14:paraId="66B1DCA4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proofErr w:type="spellStart"/>
            <w:r w:rsidRPr="001B20A7">
              <w:rPr>
                <w:rFonts w:ascii="Palatino Linotype" w:hAnsi="Palatino Linotype" w:cs="Arial"/>
                <w:sz w:val="18"/>
                <w:szCs w:val="18"/>
              </w:rPr>
              <w:t>Procell</w:t>
            </w:r>
            <w:proofErr w:type="spellEnd"/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Life Science &amp; Technology Co., Ltd.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14:paraId="506A6F72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2 × 10</w:t>
            </w: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vertAlign w:val="superscript"/>
                <w:lang w:eastAsia="zh-CN"/>
              </w:rPr>
              <w:t>3</w:t>
            </w:r>
          </w:p>
        </w:tc>
        <w:tc>
          <w:tcPr>
            <w:tcW w:w="1696" w:type="dxa"/>
            <w:tcBorders>
              <w:top w:val="nil"/>
              <w:bottom w:val="nil"/>
            </w:tcBorders>
          </w:tcPr>
          <w:p w14:paraId="1E424986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72</w:t>
            </w:r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h</w:t>
            </w:r>
          </w:p>
        </w:tc>
      </w:tr>
      <w:tr w:rsidR="00FC6CEC" w:rsidRPr="001B20A7" w14:paraId="52D03BAF" w14:textId="77777777" w:rsidTr="00FC6CEC">
        <w:tc>
          <w:tcPr>
            <w:tcW w:w="1134" w:type="dxa"/>
            <w:tcBorders>
              <w:top w:val="nil"/>
            </w:tcBorders>
          </w:tcPr>
          <w:p w14:paraId="7EF1AE4D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AGS</w:t>
            </w:r>
          </w:p>
        </w:tc>
        <w:tc>
          <w:tcPr>
            <w:tcW w:w="1985" w:type="dxa"/>
            <w:tcBorders>
              <w:top w:val="nil"/>
            </w:tcBorders>
          </w:tcPr>
          <w:p w14:paraId="18B8B2B1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Ham's F-12</w:t>
            </w:r>
          </w:p>
        </w:tc>
        <w:tc>
          <w:tcPr>
            <w:tcW w:w="2835" w:type="dxa"/>
            <w:tcBorders>
              <w:top w:val="nil"/>
            </w:tcBorders>
          </w:tcPr>
          <w:p w14:paraId="00ABE761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proofErr w:type="spellStart"/>
            <w:r w:rsidRPr="001B20A7">
              <w:rPr>
                <w:rFonts w:ascii="Palatino Linotype" w:hAnsi="Palatino Linotype" w:cs="Arial"/>
                <w:sz w:val="18"/>
                <w:szCs w:val="18"/>
              </w:rPr>
              <w:t>Procell</w:t>
            </w:r>
            <w:proofErr w:type="spellEnd"/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Life Science &amp; Technology Co., Ltd.</w:t>
            </w:r>
          </w:p>
        </w:tc>
        <w:tc>
          <w:tcPr>
            <w:tcW w:w="1559" w:type="dxa"/>
            <w:tcBorders>
              <w:top w:val="nil"/>
            </w:tcBorders>
          </w:tcPr>
          <w:p w14:paraId="5DD814C1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hAnsi="Palatino Linotype" w:cs="Arial"/>
                <w:sz w:val="18"/>
                <w:szCs w:val="18"/>
              </w:rPr>
              <w:t>2 × 10</w:t>
            </w: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vertAlign w:val="superscript"/>
                <w:lang w:eastAsia="zh-CN"/>
              </w:rPr>
              <w:t>3</w:t>
            </w:r>
          </w:p>
        </w:tc>
        <w:tc>
          <w:tcPr>
            <w:tcW w:w="1696" w:type="dxa"/>
            <w:tcBorders>
              <w:top w:val="nil"/>
            </w:tcBorders>
          </w:tcPr>
          <w:p w14:paraId="45A129DF" w14:textId="77777777" w:rsidR="00FC6CEC" w:rsidRPr="001B20A7" w:rsidRDefault="00FC6CEC" w:rsidP="00916587">
            <w:pPr>
              <w:pStyle w:val="TAMainText"/>
              <w:spacing w:line="360" w:lineRule="auto"/>
              <w:ind w:firstLine="0"/>
              <w:rPr>
                <w:rFonts w:ascii="Palatino Linotype" w:hAnsi="Palatino Linotype" w:cs="Arial"/>
                <w:sz w:val="18"/>
                <w:szCs w:val="18"/>
              </w:rPr>
            </w:pPr>
            <w:r w:rsidRPr="001B20A7">
              <w:rPr>
                <w:rFonts w:ascii="Palatino Linotype" w:eastAsiaTheme="minorEastAsia" w:hAnsi="Palatino Linotype" w:cs="Arial"/>
                <w:sz w:val="18"/>
                <w:szCs w:val="18"/>
                <w:lang w:eastAsia="zh-CN"/>
              </w:rPr>
              <w:t>72</w:t>
            </w:r>
            <w:r w:rsidRPr="001B20A7">
              <w:rPr>
                <w:rFonts w:ascii="Palatino Linotype" w:hAnsi="Palatino Linotype" w:cs="Arial"/>
                <w:sz w:val="18"/>
                <w:szCs w:val="18"/>
              </w:rPr>
              <w:t xml:space="preserve"> h</w:t>
            </w:r>
          </w:p>
        </w:tc>
      </w:tr>
    </w:tbl>
    <w:p w14:paraId="198E8317" w14:textId="77777777" w:rsidR="00FC6CEC" w:rsidRPr="001B20A7" w:rsidRDefault="00FC6CEC" w:rsidP="00FC6CEC">
      <w:pPr>
        <w:spacing w:line="360" w:lineRule="auto"/>
        <w:jc w:val="both"/>
        <w:rPr>
          <w:rFonts w:ascii="Palatino Linotype" w:eastAsia="微软雅黑" w:hAnsi="Palatino Linotype" w:cs="Calibri"/>
          <w:color w:val="auto"/>
          <w:kern w:val="2"/>
          <w:sz w:val="18"/>
          <w:szCs w:val="18"/>
          <w:lang w:bidi="en-US"/>
        </w:rPr>
      </w:pPr>
    </w:p>
    <w:p w14:paraId="0B47CD05" w14:textId="77777777" w:rsidR="00FC6CEC" w:rsidRPr="001B20A7" w:rsidRDefault="00FC6CEC" w:rsidP="00FC6CEC">
      <w:pPr>
        <w:spacing w:line="360" w:lineRule="auto"/>
        <w:jc w:val="both"/>
        <w:rPr>
          <w:rFonts w:ascii="Palatino Linotype" w:hAnsi="Palatino Linotype" w:cstheme="minorHAnsi"/>
          <w:b/>
          <w:color w:val="auto"/>
          <w:sz w:val="20"/>
          <w:szCs w:val="20"/>
          <w:lang w:val="en-GB"/>
        </w:rPr>
      </w:pPr>
    </w:p>
    <w:p w14:paraId="5C90ED1D" w14:textId="77777777" w:rsidR="00FC6CEC" w:rsidRPr="001B20A7" w:rsidRDefault="00FC6CEC" w:rsidP="00FC6CEC">
      <w:pPr>
        <w:spacing w:line="360" w:lineRule="auto"/>
        <w:jc w:val="both"/>
        <w:outlineLvl w:val="1"/>
        <w:rPr>
          <w:rFonts w:ascii="Palatino Linotype" w:hAnsi="Palatino Linotype" w:cstheme="minorHAnsi"/>
          <w:b/>
          <w:color w:val="auto"/>
          <w:sz w:val="20"/>
          <w:szCs w:val="20"/>
          <w:lang w:val="en-GB"/>
        </w:rPr>
      </w:pPr>
      <w:bookmarkStart w:id="42" w:name="_Hlk160543005"/>
    </w:p>
    <w:bookmarkEnd w:id="42"/>
    <w:p w14:paraId="3EE5697F" w14:textId="77777777" w:rsidR="00FC6CEC" w:rsidRPr="001B20A7" w:rsidRDefault="00FC6CEC" w:rsidP="00FC6CEC">
      <w:pPr>
        <w:spacing w:line="360" w:lineRule="auto"/>
        <w:jc w:val="both"/>
        <w:rPr>
          <w:rFonts w:ascii="Palatino Linotype" w:hAnsi="Palatino Linotype" w:cstheme="minorHAnsi"/>
          <w:b/>
          <w:color w:val="auto"/>
          <w:sz w:val="20"/>
          <w:szCs w:val="20"/>
          <w:lang w:val="en-GB"/>
        </w:rPr>
      </w:pPr>
    </w:p>
    <w:p w14:paraId="020CFF90" w14:textId="77777777" w:rsidR="00FC6CEC" w:rsidRPr="001B20A7" w:rsidRDefault="00FC6CEC" w:rsidP="00FC6CEC">
      <w:pPr>
        <w:jc w:val="both"/>
        <w:rPr>
          <w:rFonts w:ascii="Palatino Linotype" w:hAnsi="Palatino Linotype" w:cstheme="minorHAnsi"/>
          <w:color w:val="auto"/>
          <w:sz w:val="20"/>
          <w:szCs w:val="20"/>
        </w:rPr>
      </w:pPr>
      <w:r w:rsidRPr="001B20A7">
        <w:rPr>
          <w:rFonts w:ascii="Palatino Linotype" w:hAnsi="Palatino Linotype" w:cstheme="minorHAnsi"/>
          <w:color w:val="auto"/>
          <w:sz w:val="20"/>
          <w:szCs w:val="20"/>
        </w:rPr>
        <w:br w:type="page"/>
      </w:r>
    </w:p>
    <w:p w14:paraId="54896F4F" w14:textId="77777777" w:rsidR="00FC6CEC" w:rsidRPr="001B20A7" w:rsidRDefault="00FC6CEC" w:rsidP="00127D59">
      <w:pPr>
        <w:rPr>
          <w:rFonts w:ascii="Palatino Linotype" w:hAnsi="Palatino Linotype"/>
          <w:color w:val="auto"/>
        </w:rPr>
      </w:pPr>
    </w:p>
    <w:p w14:paraId="587D0120" w14:textId="77777777" w:rsidR="008B7DA1" w:rsidRPr="001B20A7" w:rsidRDefault="008B7DA1">
      <w:pPr>
        <w:rPr>
          <w:rFonts w:ascii="Palatino Linotype" w:hAnsi="Palatino Linotype"/>
          <w:color w:val="auto"/>
        </w:rPr>
      </w:pPr>
    </w:p>
    <w:sectPr w:rsidR="008B7DA1" w:rsidRPr="001B20A7">
      <w:footerReference w:type="default" r:id="rId23"/>
      <w:pgSz w:w="11907" w:h="16839"/>
      <w:pgMar w:top="1416" w:right="1132" w:bottom="1183" w:left="1190" w:header="0" w:footer="94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13D897" w14:textId="77777777" w:rsidR="000332E3" w:rsidRDefault="000332E3">
      <w:r>
        <w:separator/>
      </w:r>
    </w:p>
  </w:endnote>
  <w:endnote w:type="continuationSeparator" w:id="0">
    <w:p w14:paraId="1DCE1ED3" w14:textId="77777777" w:rsidR="000332E3" w:rsidRDefault="000332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ew York">
    <w:panose1 w:val="020405030605060203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49000170"/>
      <w:docPartObj>
        <w:docPartGallery w:val="Page Numbers (Bottom of Page)"/>
        <w:docPartUnique/>
      </w:docPartObj>
    </w:sdtPr>
    <w:sdtEndPr/>
    <w:sdtContent>
      <w:p w14:paraId="0856AA56" w14:textId="77777777" w:rsidR="00FC6CEC" w:rsidRDefault="00FC6CEC">
        <w:pPr>
          <w:pStyle w:val="Footer"/>
          <w:jc w:val="center"/>
        </w:pPr>
        <w:r>
          <w:rPr>
            <w:noProof w:val="0"/>
          </w:rPr>
          <w:fldChar w:fldCharType="begin"/>
        </w:r>
        <w:r>
          <w:instrText xml:space="preserve"> PAGE   \* MERGEFORMAT </w:instrText>
        </w:r>
        <w:r>
          <w:rPr>
            <w:noProof w:val="0"/>
          </w:rPr>
          <w:fldChar w:fldCharType="separate"/>
        </w:r>
        <w:r>
          <w:t>2</w:t>
        </w:r>
        <w:r>
          <w:fldChar w:fldCharType="end"/>
        </w:r>
      </w:p>
    </w:sdtContent>
  </w:sdt>
  <w:p w14:paraId="7FD15CB0" w14:textId="77777777" w:rsidR="00FC6CEC" w:rsidRDefault="00FC6CE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noProof w:val="0"/>
      </w:rPr>
      <w:id w:val="-95834362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629700F" w14:textId="7D323128" w:rsidR="0022403A" w:rsidRDefault="0022403A">
        <w:pPr>
          <w:pStyle w:val="Footer"/>
          <w:jc w:val="center"/>
        </w:pPr>
        <w:r>
          <w:rPr>
            <w:noProof w:val="0"/>
          </w:rPr>
          <w:fldChar w:fldCharType="begin"/>
        </w:r>
        <w:r>
          <w:instrText xml:space="preserve"> PAGE   \* MERGEFORMAT </w:instrText>
        </w:r>
        <w:r>
          <w:rPr>
            <w:noProof w:val="0"/>
          </w:rPr>
          <w:fldChar w:fldCharType="separate"/>
        </w:r>
        <w:r>
          <w:t>2</w:t>
        </w:r>
        <w:r>
          <w:fldChar w:fldCharType="end"/>
        </w:r>
      </w:p>
    </w:sdtContent>
  </w:sdt>
  <w:p w14:paraId="6D06CB1E" w14:textId="62878E67" w:rsidR="008B7DA1" w:rsidRDefault="008B7DA1" w:rsidP="0022403A">
    <w:pPr>
      <w:spacing w:line="221" w:lineRule="auto"/>
      <w:jc w:val="center"/>
      <w:rPr>
        <w:rFonts w:ascii="Palatino Linotype" w:eastAsia="Palatino Linotype" w:hAnsi="Palatino Linotype" w:cs="Palatino Linotype"/>
        <w:sz w:val="19"/>
        <w:szCs w:val="19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61D769" w14:textId="77777777" w:rsidR="000332E3" w:rsidRDefault="000332E3">
      <w:r>
        <w:separator/>
      </w:r>
    </w:p>
  </w:footnote>
  <w:footnote w:type="continuationSeparator" w:id="0">
    <w:p w14:paraId="4D688557" w14:textId="77777777" w:rsidR="000332E3" w:rsidRDefault="000332E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6"/>
  <w:displayBackgroundShape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jAyNDEztrA0NzY3NTRQ0lEKTi0uzszPAykwrAUAoxYC7CwAAAA="/>
  </w:docVars>
  <w:rsids>
    <w:rsidRoot w:val="008B7DA1"/>
    <w:rsid w:val="00000494"/>
    <w:rsid w:val="000332E3"/>
    <w:rsid w:val="000A6649"/>
    <w:rsid w:val="000F183D"/>
    <w:rsid w:val="00104377"/>
    <w:rsid w:val="00127D59"/>
    <w:rsid w:val="00174344"/>
    <w:rsid w:val="001770B9"/>
    <w:rsid w:val="00182847"/>
    <w:rsid w:val="001B20A7"/>
    <w:rsid w:val="001C7941"/>
    <w:rsid w:val="0022403A"/>
    <w:rsid w:val="002472FE"/>
    <w:rsid w:val="003E45B4"/>
    <w:rsid w:val="006B4CDD"/>
    <w:rsid w:val="00716AF7"/>
    <w:rsid w:val="00834A0C"/>
    <w:rsid w:val="008B7DA1"/>
    <w:rsid w:val="009F3B38"/>
    <w:rsid w:val="00A9038F"/>
    <w:rsid w:val="00AC4B85"/>
    <w:rsid w:val="00B13A6B"/>
    <w:rsid w:val="00B55FC5"/>
    <w:rsid w:val="00BD6307"/>
    <w:rsid w:val="00BF65C8"/>
    <w:rsid w:val="00C4581D"/>
    <w:rsid w:val="00C92883"/>
    <w:rsid w:val="00CC12FC"/>
    <w:rsid w:val="00CC2F2E"/>
    <w:rsid w:val="00CF2F5F"/>
    <w:rsid w:val="00D230FD"/>
    <w:rsid w:val="00D70855"/>
    <w:rsid w:val="00D867DA"/>
    <w:rsid w:val="00FC6CEC"/>
    <w:rsid w:val="00FE2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90F6C4B"/>
  <w15:docId w15:val="{B1B2300D-9F2F-44F4-9892-09F5ADCFC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EastAsia" w:hAnsi="Arial" w:cs="Arial"/>
        <w:snapToGrid w:val="0"/>
        <w:color w:val="000000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kinsoku w:val="0"/>
      <w:autoSpaceDE w:val="0"/>
      <w:autoSpaceDN w:val="0"/>
      <w:adjustRightInd w:val="0"/>
      <w:snapToGrid w:val="0"/>
      <w:textAlignment w:val="baseline"/>
    </w:pPr>
    <w:rPr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FC6CE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E45B4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3E45B4"/>
    <w:rPr>
      <w:noProof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3E45B4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3E45B4"/>
    <w:rPr>
      <w:noProof/>
      <w:sz w:val="18"/>
      <w:szCs w:val="18"/>
    </w:rPr>
  </w:style>
  <w:style w:type="paragraph" w:customStyle="1" w:styleId="MDPI12title">
    <w:name w:val="MDPI_1.2_title"/>
    <w:next w:val="Normal"/>
    <w:qFormat/>
    <w:rsid w:val="003E45B4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3E45B4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snapToGrid/>
      <w:sz w:val="2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3E45B4"/>
    <w:pPr>
      <w:kinsoku/>
      <w:autoSpaceDE/>
      <w:autoSpaceDN/>
      <w:spacing w:line="240" w:lineRule="atLeast"/>
      <w:ind w:right="113"/>
      <w:textAlignment w:val="auto"/>
    </w:pPr>
    <w:rPr>
      <w:rFonts w:ascii="Palatino Linotype" w:eastAsia="Times New Roman" w:hAnsi="Palatino Linotype" w:cs="Times New Roman"/>
      <w:noProof w:val="0"/>
      <w:snapToGrid/>
      <w:sz w:val="14"/>
      <w:szCs w:val="20"/>
      <w:lang w:eastAsia="de-DE" w:bidi="en-US"/>
    </w:rPr>
  </w:style>
  <w:style w:type="paragraph" w:customStyle="1" w:styleId="MDPI16affiliation">
    <w:name w:val="MDPI_1.6_affiliation"/>
    <w:qFormat/>
    <w:rsid w:val="003E45B4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 w:cs="Times New Roman"/>
      <w:snapToGrid/>
      <w:sz w:val="16"/>
      <w:szCs w:val="18"/>
      <w:lang w:eastAsia="de-DE" w:bidi="en-US"/>
    </w:rPr>
  </w:style>
  <w:style w:type="character" w:styleId="Hyperlink">
    <w:name w:val="Hyperlink"/>
    <w:uiPriority w:val="99"/>
    <w:qFormat/>
    <w:rsid w:val="003E45B4"/>
    <w:rPr>
      <w:color w:val="0000FF"/>
      <w:u w:val="single"/>
    </w:rPr>
  </w:style>
  <w:style w:type="paragraph" w:customStyle="1" w:styleId="MDPI61Citation">
    <w:name w:val="MDPI_6.1_Citation"/>
    <w:qFormat/>
    <w:rsid w:val="003E45B4"/>
    <w:pPr>
      <w:adjustRightInd w:val="0"/>
      <w:snapToGrid w:val="0"/>
      <w:spacing w:line="240" w:lineRule="atLeast"/>
      <w:ind w:right="113"/>
    </w:pPr>
    <w:rPr>
      <w:rFonts w:ascii="Palatino Linotype" w:eastAsia="宋体" w:hAnsi="Palatino Linotype" w:cs="Cordia New"/>
      <w:snapToGrid/>
      <w:color w:val="auto"/>
      <w:sz w:val="14"/>
      <w:szCs w:val="22"/>
    </w:rPr>
  </w:style>
  <w:style w:type="paragraph" w:customStyle="1" w:styleId="MDPI72Copyright">
    <w:name w:val="MDPI_7.2_Copyright"/>
    <w:qFormat/>
    <w:rsid w:val="003E45B4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 w:cs="Times New Roman"/>
      <w:noProof/>
      <w:sz w:val="14"/>
      <w:szCs w:val="20"/>
      <w:lang w:val="en-GB" w:eastAsia="en-GB"/>
    </w:rPr>
  </w:style>
  <w:style w:type="paragraph" w:styleId="Revision">
    <w:name w:val="Revision"/>
    <w:hidden/>
    <w:uiPriority w:val="99"/>
    <w:semiHidden/>
    <w:rsid w:val="00834A0C"/>
    <w:rPr>
      <w:noProof/>
    </w:rPr>
  </w:style>
  <w:style w:type="paragraph" w:customStyle="1" w:styleId="MDPI18keywords">
    <w:name w:val="MDPI_1.8_keywords"/>
    <w:next w:val="Normal"/>
    <w:qFormat/>
    <w:rsid w:val="00104377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 w:cs="Times New Roman"/>
      <w:sz w:val="18"/>
      <w:szCs w:val="22"/>
      <w:lang w:eastAsia="de-DE" w:bidi="en-US"/>
    </w:rPr>
  </w:style>
  <w:style w:type="paragraph" w:customStyle="1" w:styleId="TAMainText">
    <w:name w:val="TA_Main_Text"/>
    <w:basedOn w:val="Normal"/>
    <w:link w:val="TAMainTextChar"/>
    <w:qFormat/>
    <w:rsid w:val="00FC6CEC"/>
    <w:pPr>
      <w:kinsoku/>
      <w:autoSpaceDE/>
      <w:autoSpaceDN/>
      <w:adjustRightInd/>
      <w:snapToGrid/>
      <w:spacing w:line="480" w:lineRule="auto"/>
      <w:ind w:firstLine="202"/>
      <w:jc w:val="both"/>
      <w:textAlignment w:val="auto"/>
    </w:pPr>
    <w:rPr>
      <w:rFonts w:ascii="Times" w:eastAsia="宋体" w:hAnsi="Times" w:cs="Times New Roman"/>
      <w:noProof w:val="0"/>
      <w:snapToGrid/>
      <w:color w:val="auto"/>
      <w:sz w:val="24"/>
      <w:szCs w:val="20"/>
      <w:lang w:eastAsia="en-US"/>
    </w:rPr>
  </w:style>
  <w:style w:type="table" w:styleId="TableGrid">
    <w:name w:val="Table Grid"/>
    <w:basedOn w:val="TableNormal"/>
    <w:uiPriority w:val="59"/>
    <w:rsid w:val="00FC6CEC"/>
    <w:rPr>
      <w:rFonts w:ascii="New York" w:eastAsia="Times New Roman" w:hAnsi="New York" w:cs="Times New Roman"/>
      <w:snapToGrid/>
      <w:color w:val="auto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MainTextChar">
    <w:name w:val="TA_Main_Text Char"/>
    <w:link w:val="TAMainText"/>
    <w:qFormat/>
    <w:locked/>
    <w:rsid w:val="00FC6CEC"/>
    <w:rPr>
      <w:rFonts w:ascii="Times" w:eastAsia="宋体" w:hAnsi="Times" w:cs="Times New Roman"/>
      <w:snapToGrid/>
      <w:color w:val="auto"/>
      <w:sz w:val="24"/>
      <w:szCs w:val="20"/>
      <w:lang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FC6CEC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FC6CEC"/>
    <w:pPr>
      <w:kinsoku/>
      <w:autoSpaceDE/>
      <w:autoSpaceDN/>
      <w:adjustRightInd/>
      <w:snapToGrid/>
      <w:spacing w:line="259" w:lineRule="auto"/>
      <w:textAlignment w:val="auto"/>
      <w:outlineLvl w:val="9"/>
    </w:pPr>
    <w:rPr>
      <w:noProof w:val="0"/>
      <w:snapToGrid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FC6CEC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tif"/><Relationship Id="rId7" Type="http://schemas.openxmlformats.org/officeDocument/2006/relationships/image" Target="media/image1.tiff"/><Relationship Id="rId12" Type="http://schemas.openxmlformats.org/officeDocument/2006/relationships/footer" Target="footer1.xml"/><Relationship Id="rId17" Type="http://schemas.openxmlformats.org/officeDocument/2006/relationships/image" Target="media/image10.tif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tif"/><Relationship Id="rId23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2.ti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tiff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17B955-D89E-463F-A064-713518594B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19</Pages>
  <Words>885</Words>
  <Characters>4579</Characters>
  <Application>Microsoft Office Word</Application>
  <DocSecurity>0</DocSecurity>
  <Lines>172</Lines>
  <Paragraphs>82</Paragraphs>
  <ScaleCrop>false</ScaleCrop>
  <Company/>
  <LinksUpToDate>false</LinksUpToDate>
  <CharactersWithSpaces>5375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Luca Valgimigli</dc:creator>
  <cp:lastModifiedBy>Wen-Hua ZHANG</cp:lastModifiedBy>
  <cp:revision>18</cp:revision>
  <dcterms:created xsi:type="dcterms:W3CDTF">2023-02-07T03:14:00Z</dcterms:created>
  <dcterms:modified xsi:type="dcterms:W3CDTF">2024-04-28T03:05:00Z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E94486CC-9CD1-11EB-B3E1-52540006F7B4}" pid="2" name="CRO">
    <vt:lpwstr>wqlLaW5nc29mdCBQREYgdG8gV1BTIDgw</vt:lpwstr>
  </property>
  <property fmtid="{E94486CC-9CD1-11EB-B3E1-52540006F7B4}" pid="3" name="Created">
    <vt:filetime>2023-02-03T11:56:18Z</vt:filetime>
  </property>
  <property fmtid="{D5CDD505-2E9C-101B-9397-08002B2CF9AE}" pid="2" name="GrammarlyDocumentId">
    <vt:lpwstr>476374eba14f1f29a1db325617ae4c5604d66fed44b6650c8b7ecca2281032df</vt:lpwstr>
  </property>
</Properties>
</file>