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C1EB2" w14:textId="77777777" w:rsidR="00523073" w:rsidRPr="000157D2" w:rsidRDefault="00523073" w:rsidP="00523073">
      <w:pPr>
        <w:spacing w:line="480" w:lineRule="auto"/>
        <w:jc w:val="center"/>
        <w:rPr>
          <w:rFonts w:eastAsia="宋体" w:cs="Times New Roman"/>
          <w:b/>
          <w:bCs/>
          <w:sz w:val="20"/>
          <w:szCs w:val="20"/>
        </w:rPr>
      </w:pPr>
      <w:r w:rsidRPr="000157D2">
        <w:rPr>
          <w:rFonts w:eastAsia="宋体" w:cs="Times New Roman"/>
          <w:b/>
          <w:bCs/>
          <w:sz w:val="20"/>
          <w:szCs w:val="20"/>
        </w:rPr>
        <w:t>Supplementary Materials</w:t>
      </w:r>
    </w:p>
    <w:p w14:paraId="48927EB6" w14:textId="5A6FC429" w:rsidR="00523073" w:rsidRPr="000157D2" w:rsidRDefault="00523073" w:rsidP="00523073">
      <w:pPr>
        <w:spacing w:line="480" w:lineRule="auto"/>
        <w:rPr>
          <w:rFonts w:eastAsia="宋体" w:cs="Times New Roman"/>
          <w:sz w:val="20"/>
          <w:szCs w:val="20"/>
        </w:rPr>
      </w:pPr>
      <w:r w:rsidRPr="000157D2">
        <w:rPr>
          <w:rFonts w:hint="eastAsia"/>
          <w:b/>
          <w:bCs/>
          <w:sz w:val="20"/>
          <w:szCs w:val="20"/>
        </w:rPr>
        <w:t>S</w:t>
      </w:r>
      <w:r w:rsidRPr="000157D2">
        <w:rPr>
          <w:b/>
          <w:bCs/>
          <w:sz w:val="20"/>
          <w:szCs w:val="20"/>
        </w:rPr>
        <w:t xml:space="preserve">upplementary </w:t>
      </w:r>
      <w:r w:rsidRPr="000157D2">
        <w:rPr>
          <w:rFonts w:hint="eastAsia"/>
          <w:b/>
          <w:bCs/>
          <w:sz w:val="20"/>
          <w:szCs w:val="20"/>
        </w:rPr>
        <w:t>Figure</w:t>
      </w:r>
      <w:r w:rsidRPr="000157D2">
        <w:rPr>
          <w:b/>
          <w:bCs/>
          <w:sz w:val="20"/>
          <w:szCs w:val="20"/>
        </w:rPr>
        <w:t xml:space="preserve"> 1. </w:t>
      </w:r>
      <w:r w:rsidR="00013218">
        <w:rPr>
          <w:b/>
          <w:bCs/>
          <w:sz w:val="20"/>
          <w:szCs w:val="20"/>
        </w:rPr>
        <w:t>A</w:t>
      </w:r>
      <w:r w:rsidRPr="000157D2">
        <w:rPr>
          <w:b/>
          <w:bCs/>
          <w:sz w:val="20"/>
          <w:szCs w:val="20"/>
        </w:rPr>
        <w:t xml:space="preserve">nterior segment photographs </w:t>
      </w:r>
      <w:r w:rsidRPr="000157D2">
        <w:rPr>
          <w:rFonts w:ascii="Times New Roman Bold" w:hAnsi="Times New Roman Bold" w:cs="Times New Roman Bold"/>
          <w:b/>
          <w:bCs/>
          <w:sz w:val="20"/>
          <w:szCs w:val="20"/>
        </w:rPr>
        <w:t xml:space="preserve">of </w:t>
      </w:r>
      <w:r w:rsidRPr="000157D2">
        <w:rPr>
          <w:rFonts w:cs="Times New Roman"/>
          <w:b/>
          <w:bCs/>
          <w:sz w:val="20"/>
          <w:szCs w:val="20"/>
        </w:rPr>
        <w:t>F-II</w:t>
      </w:r>
      <w:r w:rsidRPr="000157D2">
        <w:rPr>
          <w:rFonts w:cs="Times New Roman"/>
          <w:b/>
          <w:bCs/>
          <w:sz w:val="20"/>
          <w:szCs w:val="20"/>
          <w:vertAlign w:val="subscript"/>
        </w:rPr>
        <w:t xml:space="preserve">1 </w:t>
      </w:r>
      <w:r w:rsidRPr="000157D2">
        <w:rPr>
          <w:rFonts w:cs="Times New Roman"/>
          <w:b/>
          <w:bCs/>
          <w:sz w:val="20"/>
          <w:szCs w:val="20"/>
        </w:rPr>
        <w:t xml:space="preserve">(right eye). </w:t>
      </w:r>
      <w:r w:rsidRPr="000157D2">
        <w:rPr>
          <w:rFonts w:eastAsia="宋体" w:cs="Times New Roman"/>
          <w:sz w:val="20"/>
          <w:szCs w:val="20"/>
        </w:rPr>
        <w:t xml:space="preserve">Following mydriasis, the anterior segment photograph of the right eye was captured using a photographic system (Keeler, Windsor, UK). </w:t>
      </w:r>
      <w:r w:rsidRPr="000157D2">
        <w:rPr>
          <w:rFonts w:eastAsia="宋体" w:cs="Times New Roman" w:hint="eastAsia"/>
          <w:sz w:val="20"/>
          <w:szCs w:val="20"/>
        </w:rPr>
        <w:t>Red</w:t>
      </w:r>
      <w:r w:rsidRPr="000157D2">
        <w:rPr>
          <w:rFonts w:eastAsia="宋体" w:cs="Times New Roman"/>
          <w:sz w:val="20"/>
          <w:szCs w:val="20"/>
        </w:rPr>
        <w:t xml:space="preserve"> arrows corresponded to punctate posterior capsular opacification.</w:t>
      </w:r>
    </w:p>
    <w:p w14:paraId="3713E31C" w14:textId="77777777" w:rsidR="00523073" w:rsidRPr="000157D2" w:rsidRDefault="00523073" w:rsidP="00523073">
      <w:pPr>
        <w:spacing w:line="480" w:lineRule="auto"/>
        <w:rPr>
          <w:rFonts w:eastAsia="宋体" w:cs="Times New Roman"/>
          <w:b/>
          <w:bCs/>
          <w:sz w:val="20"/>
          <w:szCs w:val="20"/>
        </w:rPr>
      </w:pPr>
      <w:r w:rsidRPr="000157D2">
        <w:rPr>
          <w:rFonts w:eastAsia="宋体" w:cs="Times New Roman" w:hint="eastAsi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1E42F" wp14:editId="6AABA355">
                <wp:simplePos x="0" y="0"/>
                <wp:positionH relativeFrom="column">
                  <wp:posOffset>1205753</wp:posOffset>
                </wp:positionH>
                <wp:positionV relativeFrom="paragraph">
                  <wp:posOffset>1052046</wp:posOffset>
                </wp:positionV>
                <wp:extent cx="152400" cy="268941"/>
                <wp:effectExtent l="25400" t="0" r="12700" b="36195"/>
                <wp:wrapNone/>
                <wp:docPr id="4" name="直线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2689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type w14:anchorId="6E371C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线箭头连接符 4" o:spid="_x0000_s1026" type="#_x0000_t32" style="position:absolute;left:0;text-align:left;margin-left:94.95pt;margin-top:82.85pt;width:12pt;height:21.2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" strokecolor="red" strokeweight=".5pt">
                <v:stroke endarrow="classic" endarrowwidth="wide" endarrowlength="long" joinstyle="miter"/>
              </v:shape>
            </w:pict>
          </mc:Fallback>
        </mc:AlternateContent>
      </w:r>
      <w:r w:rsidRPr="000157D2">
        <w:rPr>
          <w:rFonts w:eastAsia="宋体" w:cs="Times New Roman" w:hint="eastAsia"/>
          <w:b/>
          <w:bCs/>
          <w:noProof/>
          <w:sz w:val="20"/>
          <w:szCs w:val="20"/>
        </w:rPr>
        <w:drawing>
          <wp:inline distT="0" distB="0" distL="0" distR="0" wp14:anchorId="55A5DFED" wp14:editId="578C5E17">
            <wp:extent cx="2948300" cy="3215997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29" t="21855" r="12001" b="9291"/>
                    <a:stretch/>
                  </pic:blipFill>
                  <pic:spPr bwMode="auto">
                    <a:xfrm>
                      <a:off x="0" y="0"/>
                      <a:ext cx="2961919" cy="32308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FC7E98" w14:textId="77777777" w:rsidR="00523073" w:rsidRPr="000157D2" w:rsidRDefault="00523073" w:rsidP="00523073">
      <w:pPr>
        <w:spacing w:line="480" w:lineRule="auto"/>
        <w:rPr>
          <w:rFonts w:eastAsia="宋体" w:cs="Times New Roman"/>
          <w:b/>
          <w:bCs/>
          <w:sz w:val="20"/>
          <w:szCs w:val="20"/>
        </w:rPr>
      </w:pPr>
    </w:p>
    <w:p w14:paraId="41914364" w14:textId="061EC168" w:rsidR="00523073" w:rsidRPr="000157D2" w:rsidRDefault="00523073" w:rsidP="00523073">
      <w:pPr>
        <w:widowControl/>
        <w:shd w:val="clear" w:color="auto" w:fill="FFFFFF"/>
        <w:spacing w:line="480" w:lineRule="auto"/>
        <w:jc w:val="left"/>
        <w:rPr>
          <w:sz w:val="20"/>
          <w:szCs w:val="20"/>
        </w:rPr>
      </w:pPr>
      <w:r w:rsidRPr="000157D2">
        <w:rPr>
          <w:rFonts w:hint="eastAsia"/>
          <w:b/>
          <w:bCs/>
          <w:sz w:val="20"/>
          <w:szCs w:val="20"/>
        </w:rPr>
        <w:t>S</w:t>
      </w:r>
      <w:r w:rsidRPr="000157D2">
        <w:rPr>
          <w:b/>
          <w:bCs/>
          <w:sz w:val="20"/>
          <w:szCs w:val="20"/>
        </w:rPr>
        <w:t xml:space="preserve">upplementary Table 1. </w:t>
      </w:r>
      <w:r w:rsidR="000077EB">
        <w:rPr>
          <w:b/>
          <w:bCs/>
          <w:sz w:val="20"/>
          <w:szCs w:val="20"/>
        </w:rPr>
        <w:t>S</w:t>
      </w:r>
      <w:r w:rsidRPr="000157D2">
        <w:rPr>
          <w:b/>
          <w:bCs/>
          <w:sz w:val="20"/>
          <w:szCs w:val="20"/>
        </w:rPr>
        <w:t xml:space="preserve">equences of </w:t>
      </w:r>
      <w:proofErr w:type="spellStart"/>
      <w:r w:rsidRPr="000157D2">
        <w:rPr>
          <w:b/>
          <w:bCs/>
          <w:sz w:val="20"/>
          <w:szCs w:val="20"/>
        </w:rPr>
        <w:t>qRT</w:t>
      </w:r>
      <w:proofErr w:type="spellEnd"/>
      <w:r w:rsidRPr="000157D2">
        <w:rPr>
          <w:b/>
          <w:bCs/>
          <w:sz w:val="20"/>
          <w:szCs w:val="20"/>
        </w:rPr>
        <w:t>-PCR primers</w:t>
      </w:r>
      <w:r w:rsidR="00901427">
        <w:rPr>
          <w:b/>
          <w:bCs/>
          <w:sz w:val="20"/>
          <w:szCs w:val="20"/>
        </w:rPr>
        <w:t>.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9"/>
        <w:gridCol w:w="2037"/>
        <w:gridCol w:w="3794"/>
      </w:tblGrid>
      <w:tr w:rsidR="00523073" w:rsidRPr="000157D2" w14:paraId="26D2E72D" w14:textId="77777777" w:rsidTr="00D3727B">
        <w:trPr>
          <w:trHeight w:val="20"/>
        </w:trPr>
        <w:tc>
          <w:tcPr>
            <w:tcW w:w="1399" w:type="dxa"/>
          </w:tcPr>
          <w:p w14:paraId="7CD339AD" w14:textId="77777777" w:rsidR="00523073" w:rsidRPr="000157D2" w:rsidRDefault="00523073" w:rsidP="00D3727B">
            <w:pPr>
              <w:widowControl/>
              <w:spacing w:line="360" w:lineRule="auto"/>
              <w:jc w:val="left"/>
              <w:rPr>
                <w:szCs w:val="20"/>
              </w:rPr>
            </w:pPr>
            <w:r w:rsidRPr="000157D2">
              <w:rPr>
                <w:rFonts w:hint="eastAsia"/>
                <w:szCs w:val="20"/>
              </w:rPr>
              <w:t>G</w:t>
            </w:r>
            <w:r w:rsidRPr="000157D2">
              <w:rPr>
                <w:szCs w:val="20"/>
              </w:rPr>
              <w:t>ene</w:t>
            </w:r>
          </w:p>
        </w:tc>
        <w:tc>
          <w:tcPr>
            <w:tcW w:w="2037" w:type="dxa"/>
          </w:tcPr>
          <w:p w14:paraId="4E58A6B2" w14:textId="77777777" w:rsidR="00523073" w:rsidRPr="000157D2" w:rsidRDefault="00523073" w:rsidP="00D3727B">
            <w:pPr>
              <w:widowControl/>
              <w:spacing w:line="360" w:lineRule="auto"/>
              <w:jc w:val="left"/>
              <w:rPr>
                <w:szCs w:val="20"/>
              </w:rPr>
            </w:pPr>
            <w:r w:rsidRPr="000157D2">
              <w:rPr>
                <w:szCs w:val="20"/>
              </w:rPr>
              <w:t>Primer</w:t>
            </w:r>
          </w:p>
        </w:tc>
        <w:tc>
          <w:tcPr>
            <w:tcW w:w="3794" w:type="dxa"/>
          </w:tcPr>
          <w:p w14:paraId="39FFD674" w14:textId="77777777" w:rsidR="00523073" w:rsidRPr="000157D2" w:rsidRDefault="00523073" w:rsidP="00D3727B">
            <w:pPr>
              <w:widowControl/>
              <w:spacing w:line="360" w:lineRule="auto"/>
              <w:jc w:val="left"/>
              <w:rPr>
                <w:szCs w:val="20"/>
              </w:rPr>
            </w:pPr>
            <w:r w:rsidRPr="000157D2">
              <w:rPr>
                <w:szCs w:val="20"/>
              </w:rPr>
              <w:t>Primer sequence (5’-3’)</w:t>
            </w:r>
          </w:p>
        </w:tc>
      </w:tr>
      <w:tr w:rsidR="00523073" w:rsidRPr="000157D2" w14:paraId="1797FB11" w14:textId="77777777" w:rsidTr="00D3727B">
        <w:trPr>
          <w:trHeight w:val="20"/>
        </w:trPr>
        <w:tc>
          <w:tcPr>
            <w:tcW w:w="1399" w:type="dxa"/>
          </w:tcPr>
          <w:p w14:paraId="03FB6452" w14:textId="77777777" w:rsidR="00523073" w:rsidRPr="000157D2" w:rsidRDefault="00523073" w:rsidP="00D3727B">
            <w:pPr>
              <w:widowControl/>
              <w:spacing w:line="360" w:lineRule="auto"/>
              <w:jc w:val="left"/>
              <w:rPr>
                <w:i/>
                <w:iCs/>
                <w:szCs w:val="20"/>
              </w:rPr>
            </w:pPr>
            <w:r w:rsidRPr="000157D2">
              <w:rPr>
                <w:rFonts w:hint="eastAsia"/>
                <w:i/>
                <w:iCs/>
                <w:szCs w:val="20"/>
              </w:rPr>
              <w:t>O</w:t>
            </w:r>
            <w:r w:rsidRPr="000157D2">
              <w:rPr>
                <w:i/>
                <w:iCs/>
                <w:szCs w:val="20"/>
              </w:rPr>
              <w:t>AT</w:t>
            </w:r>
          </w:p>
        </w:tc>
        <w:tc>
          <w:tcPr>
            <w:tcW w:w="2037" w:type="dxa"/>
          </w:tcPr>
          <w:p w14:paraId="5E444F64" w14:textId="77777777" w:rsidR="00523073" w:rsidRPr="000157D2" w:rsidRDefault="00523073" w:rsidP="00D3727B">
            <w:pPr>
              <w:widowControl/>
              <w:spacing w:line="360" w:lineRule="auto"/>
              <w:jc w:val="left"/>
              <w:rPr>
                <w:szCs w:val="20"/>
              </w:rPr>
            </w:pPr>
            <w:r w:rsidRPr="000157D2">
              <w:rPr>
                <w:szCs w:val="20"/>
              </w:rPr>
              <w:t>KP1011-F</w:t>
            </w:r>
          </w:p>
          <w:p w14:paraId="7DA6929B" w14:textId="77777777" w:rsidR="00523073" w:rsidRPr="000157D2" w:rsidRDefault="00523073" w:rsidP="00D3727B">
            <w:pPr>
              <w:widowControl/>
              <w:spacing w:line="360" w:lineRule="auto"/>
              <w:jc w:val="left"/>
              <w:rPr>
                <w:szCs w:val="20"/>
              </w:rPr>
            </w:pPr>
            <w:r w:rsidRPr="000157D2">
              <w:rPr>
                <w:szCs w:val="20"/>
              </w:rPr>
              <w:t>KP1011-R</w:t>
            </w:r>
          </w:p>
        </w:tc>
        <w:tc>
          <w:tcPr>
            <w:tcW w:w="3794" w:type="dxa"/>
          </w:tcPr>
          <w:p w14:paraId="7A5337FF" w14:textId="77777777" w:rsidR="00523073" w:rsidRPr="000157D2" w:rsidRDefault="00523073" w:rsidP="00D3727B">
            <w:pPr>
              <w:widowControl/>
              <w:spacing w:line="360" w:lineRule="auto"/>
              <w:jc w:val="left"/>
              <w:rPr>
                <w:szCs w:val="20"/>
              </w:rPr>
            </w:pPr>
            <w:r w:rsidRPr="000157D2">
              <w:rPr>
                <w:szCs w:val="20"/>
              </w:rPr>
              <w:t>ACTGCCGTAAGAGGAAAAGGA</w:t>
            </w:r>
          </w:p>
          <w:p w14:paraId="65981CDB" w14:textId="77777777" w:rsidR="00523073" w:rsidRPr="000157D2" w:rsidRDefault="00523073" w:rsidP="00D3727B">
            <w:pPr>
              <w:widowControl/>
              <w:spacing w:line="360" w:lineRule="auto"/>
              <w:jc w:val="left"/>
              <w:rPr>
                <w:szCs w:val="20"/>
              </w:rPr>
            </w:pPr>
            <w:r w:rsidRPr="000157D2">
              <w:rPr>
                <w:szCs w:val="20"/>
              </w:rPr>
              <w:t>ATCCTCCTTGATCACCAGCG</w:t>
            </w:r>
          </w:p>
        </w:tc>
      </w:tr>
      <w:tr w:rsidR="00523073" w:rsidRPr="000157D2" w14:paraId="633D3AE0" w14:textId="77777777" w:rsidTr="00D3727B">
        <w:trPr>
          <w:trHeight w:val="20"/>
        </w:trPr>
        <w:tc>
          <w:tcPr>
            <w:tcW w:w="1399" w:type="dxa"/>
          </w:tcPr>
          <w:p w14:paraId="3C87782B" w14:textId="77777777" w:rsidR="00523073" w:rsidRPr="000157D2" w:rsidRDefault="00523073" w:rsidP="00D3727B">
            <w:pPr>
              <w:widowControl/>
              <w:spacing w:line="360" w:lineRule="auto"/>
              <w:jc w:val="left"/>
              <w:rPr>
                <w:i/>
                <w:iCs/>
                <w:szCs w:val="20"/>
              </w:rPr>
            </w:pPr>
            <w:r w:rsidRPr="000157D2">
              <w:rPr>
                <w:rFonts w:hint="eastAsia"/>
                <w:i/>
                <w:iCs/>
                <w:szCs w:val="20"/>
              </w:rPr>
              <w:t>G</w:t>
            </w:r>
            <w:r w:rsidRPr="000157D2">
              <w:rPr>
                <w:i/>
                <w:iCs/>
                <w:szCs w:val="20"/>
              </w:rPr>
              <w:t>APDH</w:t>
            </w:r>
          </w:p>
        </w:tc>
        <w:tc>
          <w:tcPr>
            <w:tcW w:w="2037" w:type="dxa"/>
          </w:tcPr>
          <w:p w14:paraId="3419DDEB" w14:textId="77777777" w:rsidR="00523073" w:rsidRPr="000157D2" w:rsidRDefault="00523073" w:rsidP="00D3727B">
            <w:pPr>
              <w:widowControl/>
              <w:spacing w:line="360" w:lineRule="auto"/>
              <w:jc w:val="left"/>
              <w:rPr>
                <w:szCs w:val="20"/>
              </w:rPr>
            </w:pPr>
            <w:r w:rsidRPr="000157D2">
              <w:rPr>
                <w:color w:val="000000"/>
                <w:szCs w:val="20"/>
              </w:rPr>
              <w:t>KP0713-F</w:t>
            </w:r>
          </w:p>
          <w:p w14:paraId="5F63411C" w14:textId="77777777" w:rsidR="00523073" w:rsidRPr="000157D2" w:rsidRDefault="00523073" w:rsidP="00D3727B">
            <w:pPr>
              <w:widowControl/>
              <w:spacing w:line="360" w:lineRule="auto"/>
              <w:jc w:val="left"/>
              <w:rPr>
                <w:szCs w:val="20"/>
              </w:rPr>
            </w:pPr>
            <w:r w:rsidRPr="000157D2">
              <w:rPr>
                <w:color w:val="000000"/>
                <w:szCs w:val="20"/>
              </w:rPr>
              <w:t>KP0713-R</w:t>
            </w:r>
          </w:p>
        </w:tc>
        <w:tc>
          <w:tcPr>
            <w:tcW w:w="3794" w:type="dxa"/>
          </w:tcPr>
          <w:p w14:paraId="7DC5A69C" w14:textId="77777777" w:rsidR="00523073" w:rsidRPr="000157D2" w:rsidRDefault="00523073" w:rsidP="00D3727B">
            <w:pPr>
              <w:widowControl/>
              <w:spacing w:line="360" w:lineRule="auto"/>
              <w:jc w:val="left"/>
              <w:rPr>
                <w:szCs w:val="20"/>
              </w:rPr>
            </w:pPr>
            <w:r w:rsidRPr="000157D2">
              <w:rPr>
                <w:color w:val="000000"/>
                <w:szCs w:val="20"/>
              </w:rPr>
              <w:t>AAATCAAGTGGGGCGATGCT</w:t>
            </w:r>
          </w:p>
          <w:p w14:paraId="2295ADE7" w14:textId="77777777" w:rsidR="00523073" w:rsidRPr="000157D2" w:rsidRDefault="00523073" w:rsidP="00D3727B">
            <w:pPr>
              <w:widowControl/>
              <w:spacing w:line="360" w:lineRule="auto"/>
              <w:jc w:val="left"/>
              <w:rPr>
                <w:szCs w:val="20"/>
              </w:rPr>
            </w:pPr>
            <w:r w:rsidRPr="000157D2">
              <w:rPr>
                <w:color w:val="000000"/>
                <w:szCs w:val="20"/>
              </w:rPr>
              <w:t>GATGACCCTTTTGGCTCCCC</w:t>
            </w:r>
          </w:p>
        </w:tc>
      </w:tr>
    </w:tbl>
    <w:p w14:paraId="3F0899E9" w14:textId="77777777" w:rsidR="00523073" w:rsidRPr="000157D2" w:rsidRDefault="00523073" w:rsidP="00523073">
      <w:pPr>
        <w:widowControl/>
        <w:shd w:val="clear" w:color="auto" w:fill="FFFFFF"/>
        <w:spacing w:after="240" w:line="480" w:lineRule="auto"/>
        <w:jc w:val="left"/>
        <w:rPr>
          <w:sz w:val="20"/>
          <w:szCs w:val="20"/>
        </w:rPr>
      </w:pPr>
      <w:r w:rsidRPr="000157D2">
        <w:rPr>
          <w:b/>
          <w:bCs/>
          <w:sz w:val="20"/>
          <w:szCs w:val="20"/>
        </w:rPr>
        <w:t>Abbreviations:</w:t>
      </w:r>
      <w:r w:rsidRPr="000157D2">
        <w:rPr>
          <w:sz w:val="20"/>
          <w:szCs w:val="20"/>
        </w:rPr>
        <w:t xml:space="preserve"> </w:t>
      </w:r>
      <w:proofErr w:type="spellStart"/>
      <w:r w:rsidRPr="000157D2">
        <w:rPr>
          <w:sz w:val="20"/>
          <w:szCs w:val="20"/>
        </w:rPr>
        <w:t>qRT</w:t>
      </w:r>
      <w:proofErr w:type="spellEnd"/>
      <w:r w:rsidRPr="000157D2">
        <w:rPr>
          <w:sz w:val="20"/>
          <w:szCs w:val="20"/>
        </w:rPr>
        <w:t>-PCR: quantitative real-time polymerase chain reaction</w:t>
      </w:r>
    </w:p>
    <w:p w14:paraId="4805671F" w14:textId="77777777" w:rsidR="00523073" w:rsidRPr="000157D2" w:rsidRDefault="00523073" w:rsidP="00523073">
      <w:pPr>
        <w:widowControl/>
        <w:spacing w:line="480" w:lineRule="auto"/>
        <w:contextualSpacing/>
        <w:jc w:val="left"/>
        <w:rPr>
          <w:rFonts w:eastAsia="宋体" w:cs="Times New Roman"/>
          <w:b/>
          <w:bCs/>
          <w:sz w:val="20"/>
          <w:szCs w:val="20"/>
        </w:rPr>
      </w:pPr>
    </w:p>
    <w:p w14:paraId="6F544481" w14:textId="77777777" w:rsidR="00FD6FFD" w:rsidRPr="00523073" w:rsidRDefault="00FD6FFD"/>
    <w:sectPr w:rsidR="00FD6FFD" w:rsidRPr="005230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ngti SC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B0604020202020204"/>
    <w:charset w:val="00"/>
    <w:family w:val="auto"/>
    <w:pitch w:val="default"/>
    <w:sig w:usb0="E0000AFF" w:usb1="00007843" w:usb2="00000001" w:usb3="00000000" w:csb0="400001BF" w:csb1="DFF7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073"/>
    <w:rsid w:val="000077EB"/>
    <w:rsid w:val="00013218"/>
    <w:rsid w:val="000215F9"/>
    <w:rsid w:val="00030D0F"/>
    <w:rsid w:val="00037CAA"/>
    <w:rsid w:val="00044045"/>
    <w:rsid w:val="00070BC7"/>
    <w:rsid w:val="00084A47"/>
    <w:rsid w:val="000A14D3"/>
    <w:rsid w:val="000C1EE8"/>
    <w:rsid w:val="000D7C1E"/>
    <w:rsid w:val="00103DF9"/>
    <w:rsid w:val="00142CB4"/>
    <w:rsid w:val="001516EF"/>
    <w:rsid w:val="0016752C"/>
    <w:rsid w:val="00180064"/>
    <w:rsid w:val="001C080C"/>
    <w:rsid w:val="00217FA9"/>
    <w:rsid w:val="002413CC"/>
    <w:rsid w:val="00284855"/>
    <w:rsid w:val="00285B83"/>
    <w:rsid w:val="00294A2E"/>
    <w:rsid w:val="002E07C9"/>
    <w:rsid w:val="00300321"/>
    <w:rsid w:val="0031660A"/>
    <w:rsid w:val="003179F5"/>
    <w:rsid w:val="00351527"/>
    <w:rsid w:val="0036458A"/>
    <w:rsid w:val="00381E9C"/>
    <w:rsid w:val="003A4098"/>
    <w:rsid w:val="003B245A"/>
    <w:rsid w:val="003D09BB"/>
    <w:rsid w:val="003D79C9"/>
    <w:rsid w:val="00427454"/>
    <w:rsid w:val="004448D7"/>
    <w:rsid w:val="00447DCD"/>
    <w:rsid w:val="00457024"/>
    <w:rsid w:val="0046057D"/>
    <w:rsid w:val="00460F94"/>
    <w:rsid w:val="0047147A"/>
    <w:rsid w:val="004C1DDB"/>
    <w:rsid w:val="004E0E45"/>
    <w:rsid w:val="004F05D6"/>
    <w:rsid w:val="004F24D0"/>
    <w:rsid w:val="004F4D62"/>
    <w:rsid w:val="00501F17"/>
    <w:rsid w:val="00523073"/>
    <w:rsid w:val="0052485C"/>
    <w:rsid w:val="0055661A"/>
    <w:rsid w:val="00565189"/>
    <w:rsid w:val="00577D24"/>
    <w:rsid w:val="005D082D"/>
    <w:rsid w:val="00607093"/>
    <w:rsid w:val="00643A2C"/>
    <w:rsid w:val="006465D9"/>
    <w:rsid w:val="00663FF2"/>
    <w:rsid w:val="006641DB"/>
    <w:rsid w:val="006A785F"/>
    <w:rsid w:val="006D731B"/>
    <w:rsid w:val="006F6460"/>
    <w:rsid w:val="00740D01"/>
    <w:rsid w:val="007656EF"/>
    <w:rsid w:val="00804084"/>
    <w:rsid w:val="008127E0"/>
    <w:rsid w:val="008145DC"/>
    <w:rsid w:val="008202CC"/>
    <w:rsid w:val="0082252E"/>
    <w:rsid w:val="0084524C"/>
    <w:rsid w:val="00883C82"/>
    <w:rsid w:val="00891F26"/>
    <w:rsid w:val="008A1F57"/>
    <w:rsid w:val="008A6F5F"/>
    <w:rsid w:val="008B196D"/>
    <w:rsid w:val="008C20E2"/>
    <w:rsid w:val="008D3767"/>
    <w:rsid w:val="00901427"/>
    <w:rsid w:val="009113A1"/>
    <w:rsid w:val="00916A75"/>
    <w:rsid w:val="009263AA"/>
    <w:rsid w:val="009A039D"/>
    <w:rsid w:val="009C6AFC"/>
    <w:rsid w:val="009E598C"/>
    <w:rsid w:val="009F6BF8"/>
    <w:rsid w:val="00A03E5B"/>
    <w:rsid w:val="00A71D2A"/>
    <w:rsid w:val="00A87442"/>
    <w:rsid w:val="00A9691E"/>
    <w:rsid w:val="00AD2EAE"/>
    <w:rsid w:val="00AD5D41"/>
    <w:rsid w:val="00AF2745"/>
    <w:rsid w:val="00AF40E6"/>
    <w:rsid w:val="00AF6D34"/>
    <w:rsid w:val="00B167DD"/>
    <w:rsid w:val="00B23CD8"/>
    <w:rsid w:val="00B47192"/>
    <w:rsid w:val="00BA61B9"/>
    <w:rsid w:val="00BE7CA0"/>
    <w:rsid w:val="00C1478B"/>
    <w:rsid w:val="00C151A7"/>
    <w:rsid w:val="00C43E18"/>
    <w:rsid w:val="00C54840"/>
    <w:rsid w:val="00C61A06"/>
    <w:rsid w:val="00C6314B"/>
    <w:rsid w:val="00C776AC"/>
    <w:rsid w:val="00C94AAA"/>
    <w:rsid w:val="00CA1D92"/>
    <w:rsid w:val="00CC5A86"/>
    <w:rsid w:val="00CC7220"/>
    <w:rsid w:val="00CF2DAA"/>
    <w:rsid w:val="00CF5442"/>
    <w:rsid w:val="00D14E83"/>
    <w:rsid w:val="00D16876"/>
    <w:rsid w:val="00D40148"/>
    <w:rsid w:val="00D405E7"/>
    <w:rsid w:val="00DB25B8"/>
    <w:rsid w:val="00DB542B"/>
    <w:rsid w:val="00DC6E9D"/>
    <w:rsid w:val="00E02379"/>
    <w:rsid w:val="00E035B5"/>
    <w:rsid w:val="00E26FDA"/>
    <w:rsid w:val="00E44316"/>
    <w:rsid w:val="00E60F7C"/>
    <w:rsid w:val="00E6409A"/>
    <w:rsid w:val="00E84EAE"/>
    <w:rsid w:val="00F2340D"/>
    <w:rsid w:val="00F31F2F"/>
    <w:rsid w:val="00F36F3D"/>
    <w:rsid w:val="00F63EFC"/>
    <w:rsid w:val="00F6650D"/>
    <w:rsid w:val="00F76DC3"/>
    <w:rsid w:val="00F83075"/>
    <w:rsid w:val="00F96919"/>
    <w:rsid w:val="00FB3B97"/>
    <w:rsid w:val="00FD6FFD"/>
    <w:rsid w:val="00FE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444AE"/>
  <w15:chartTrackingRefBased/>
  <w15:docId w15:val="{80CFACA9-76CB-BC41-9905-FB03ABAC0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073"/>
    <w:pPr>
      <w:widowControl w:val="0"/>
      <w:jc w:val="both"/>
    </w:pPr>
    <w:rPr>
      <w:rFonts w:ascii="Times New Roman" w:eastAsia="Songti SC" w:hAnsi="Times New Roman" w:cs="宋体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2307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013218"/>
    <w:rPr>
      <w:rFonts w:ascii="Times New Roman" w:eastAsia="Songti SC" w:hAnsi="Times New Roman" w:cs="宋体"/>
      <w:kern w:val="0"/>
      <w:szCs w:val="21"/>
    </w:rPr>
  </w:style>
  <w:style w:type="character" w:styleId="a5">
    <w:name w:val="annotation reference"/>
    <w:basedOn w:val="a0"/>
    <w:uiPriority w:val="99"/>
    <w:semiHidden/>
    <w:unhideWhenUsed/>
    <w:rsid w:val="00B23CD8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B23CD8"/>
    <w:rPr>
      <w:sz w:val="20"/>
      <w:szCs w:val="20"/>
    </w:rPr>
  </w:style>
  <w:style w:type="character" w:customStyle="1" w:styleId="a7">
    <w:name w:val="批注文字 字符"/>
    <w:basedOn w:val="a0"/>
    <w:link w:val="a6"/>
    <w:uiPriority w:val="99"/>
    <w:rsid w:val="00B23CD8"/>
    <w:rPr>
      <w:rFonts w:ascii="Times New Roman" w:eastAsia="Songti SC" w:hAnsi="Times New Roman" w:cs="宋体"/>
      <w:kern w:val="0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23CD8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B23CD8"/>
    <w:rPr>
      <w:rFonts w:ascii="Times New Roman" w:eastAsia="Songti SC" w:hAnsi="Times New Roman" w:cs="宋体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居 钰乔</dc:creator>
  <cp:keywords/>
  <dc:description/>
  <cp:lastModifiedBy>居 钰乔</cp:lastModifiedBy>
  <cp:revision>8</cp:revision>
  <dcterms:created xsi:type="dcterms:W3CDTF">2024-03-01T17:51:00Z</dcterms:created>
  <dcterms:modified xsi:type="dcterms:W3CDTF">2024-04-19T01:50:00Z</dcterms:modified>
</cp:coreProperties>
</file>