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BD42D" w14:textId="77777777" w:rsidR="000C79A9" w:rsidRDefault="000C79A9" w:rsidP="000C79A9">
      <w:pPr>
        <w:pStyle w:val="MDPI13authornames"/>
        <w:jc w:val="center"/>
        <w:rPr>
          <w:snapToGrid w:val="0"/>
          <w:sz w:val="36"/>
          <w:szCs w:val="20"/>
        </w:rPr>
      </w:pPr>
      <w:r w:rsidRPr="0027543C">
        <w:rPr>
          <w:snapToGrid w:val="0"/>
          <w:sz w:val="36"/>
          <w:szCs w:val="20"/>
        </w:rPr>
        <w:t xml:space="preserve">Integrating mathematical optimization </w:t>
      </w:r>
      <w:r>
        <w:rPr>
          <w:snapToGrid w:val="0"/>
          <w:sz w:val="36"/>
          <w:szCs w:val="20"/>
        </w:rPr>
        <w:t xml:space="preserve">to enhance sustainability </w:t>
      </w:r>
      <w:r w:rsidRPr="0027543C">
        <w:rPr>
          <w:snapToGrid w:val="0"/>
          <w:sz w:val="36"/>
          <w:szCs w:val="20"/>
        </w:rPr>
        <w:t xml:space="preserve">in a crop and dairy production agent-based model for </w:t>
      </w:r>
      <w:proofErr w:type="gramStart"/>
      <w:r w:rsidRPr="0027543C">
        <w:rPr>
          <w:snapToGrid w:val="0"/>
          <w:sz w:val="36"/>
          <w:szCs w:val="20"/>
        </w:rPr>
        <w:t>Luxembourg</w:t>
      </w:r>
      <w:proofErr w:type="gramEnd"/>
    </w:p>
    <w:p w14:paraId="5617CADE" w14:textId="77777777" w:rsidR="000C79A9" w:rsidRDefault="000C79A9" w:rsidP="000C79A9">
      <w:pPr>
        <w:rPr>
          <w:lang w:val="en-US" w:eastAsia="en-GB"/>
        </w:rPr>
      </w:pPr>
    </w:p>
    <w:p w14:paraId="69CE7EB0" w14:textId="591CD477" w:rsidR="000C79A9" w:rsidRPr="00BD1180" w:rsidRDefault="000C79A9" w:rsidP="000C79A9">
      <w:pPr>
        <w:pStyle w:val="MDPI13authornames"/>
        <w:jc w:val="center"/>
        <w:rPr>
          <w:snapToGrid w:val="0"/>
          <w:sz w:val="36"/>
          <w:szCs w:val="20"/>
        </w:rPr>
      </w:pPr>
      <w:r w:rsidRPr="00BD1180">
        <w:rPr>
          <w:snapToGrid w:val="0"/>
          <w:sz w:val="36"/>
          <w:szCs w:val="20"/>
        </w:rPr>
        <w:t xml:space="preserve">Supporting Information </w:t>
      </w:r>
      <w:r>
        <w:rPr>
          <w:snapToGrid w:val="0"/>
          <w:sz w:val="36"/>
          <w:szCs w:val="20"/>
        </w:rPr>
        <w:t>4</w:t>
      </w:r>
      <w:r w:rsidRPr="00BD1180">
        <w:rPr>
          <w:snapToGrid w:val="0"/>
          <w:sz w:val="36"/>
          <w:szCs w:val="20"/>
        </w:rPr>
        <w:t xml:space="preserve">: </w:t>
      </w:r>
      <w:r>
        <w:rPr>
          <w:snapToGrid w:val="0"/>
          <w:sz w:val="36"/>
          <w:szCs w:val="20"/>
        </w:rPr>
        <w:t>Impact assessment indicators, Uncertainty and Survey</w:t>
      </w:r>
    </w:p>
    <w:p w14:paraId="31DF1030" w14:textId="77777777" w:rsidR="000C79A9" w:rsidRPr="00D968C5" w:rsidRDefault="000C79A9" w:rsidP="000C79A9">
      <w:pPr>
        <w:rPr>
          <w:lang w:eastAsia="en-GB"/>
        </w:rPr>
      </w:pPr>
    </w:p>
    <w:p w14:paraId="557CCAA4" w14:textId="77777777" w:rsidR="000C79A9" w:rsidRPr="00DB7970" w:rsidRDefault="000C79A9" w:rsidP="000C79A9">
      <w:pPr>
        <w:jc w:val="center"/>
        <w:textAlignment w:val="baseline"/>
        <w:rPr>
          <w:rFonts w:ascii="Palatino Linotype" w:hAnsi="Palatino Linotype"/>
          <w:b/>
          <w:bCs/>
          <w:sz w:val="20"/>
          <w:szCs w:val="20"/>
        </w:rPr>
      </w:pPr>
      <w:bookmarkStart w:id="0" w:name="_Hlk146804287"/>
      <w:r w:rsidRPr="00DB7970">
        <w:rPr>
          <w:rFonts w:ascii="Palatino Linotype" w:hAnsi="Palatino Linotype"/>
          <w:b/>
          <w:bCs/>
          <w:sz w:val="20"/>
          <w:szCs w:val="20"/>
        </w:rPr>
        <w:t>Alper Bayram</w:t>
      </w:r>
      <w:r w:rsidRPr="00DB7970">
        <w:rPr>
          <w:rFonts w:ascii="Palatino Linotype" w:hAnsi="Palatino Linotype"/>
          <w:b/>
          <w:bCs/>
          <w:sz w:val="20"/>
          <w:szCs w:val="20"/>
          <w:vertAlign w:val="superscript"/>
        </w:rPr>
        <w:t>1,2</w:t>
      </w:r>
      <w:r w:rsidRPr="00DB7970">
        <w:rPr>
          <w:rFonts w:ascii="Palatino Linotype" w:hAnsi="Palatino Linotype"/>
          <w:b/>
          <w:bCs/>
          <w:sz w:val="20"/>
          <w:szCs w:val="20"/>
        </w:rPr>
        <w:t>, Antonino Marvuglia</w:t>
      </w:r>
      <w:proofErr w:type="gramStart"/>
      <w:r w:rsidRPr="00DB7970">
        <w:rPr>
          <w:rFonts w:ascii="Palatino Linotype" w:hAnsi="Palatino Linotype"/>
          <w:b/>
          <w:bCs/>
          <w:sz w:val="20"/>
          <w:szCs w:val="20"/>
          <w:vertAlign w:val="superscript"/>
        </w:rPr>
        <w:t>1,*</w:t>
      </w:r>
      <w:proofErr w:type="gramEnd"/>
      <w:r w:rsidRPr="00DB7970">
        <w:rPr>
          <w:rFonts w:ascii="Palatino Linotype" w:hAnsi="Palatino Linotype"/>
          <w:b/>
          <w:bCs/>
          <w:sz w:val="20"/>
          <w:szCs w:val="20"/>
        </w:rPr>
        <w:t>, Tomás Navarrete Gutierrez</w:t>
      </w:r>
      <w:r w:rsidRPr="00DB7970">
        <w:rPr>
          <w:rFonts w:ascii="Palatino Linotype" w:hAnsi="Palatino Linotype"/>
          <w:b/>
          <w:bCs/>
          <w:sz w:val="20"/>
          <w:szCs w:val="20"/>
          <w:vertAlign w:val="superscript"/>
        </w:rPr>
        <w:t>1</w:t>
      </w:r>
      <w:r w:rsidRPr="00DB7970">
        <w:rPr>
          <w:rFonts w:ascii="Palatino Linotype" w:hAnsi="Palatino Linotype"/>
          <w:b/>
          <w:bCs/>
          <w:sz w:val="20"/>
          <w:szCs w:val="20"/>
        </w:rPr>
        <w:t>, Hélène Soyeurt</w:t>
      </w:r>
      <w:r w:rsidRPr="00DB7970">
        <w:rPr>
          <w:rFonts w:ascii="Palatino Linotype" w:hAnsi="Palatino Linotype"/>
          <w:b/>
          <w:bCs/>
          <w:sz w:val="20"/>
          <w:szCs w:val="20"/>
          <w:vertAlign w:val="superscript"/>
        </w:rPr>
        <w:t>3</w:t>
      </w:r>
    </w:p>
    <w:p w14:paraId="2F76E12D" w14:textId="77777777" w:rsidR="000C79A9" w:rsidRPr="00DB7970" w:rsidRDefault="000C79A9" w:rsidP="000C79A9">
      <w:pPr>
        <w:textAlignment w:val="baseline"/>
        <w:rPr>
          <w:rFonts w:ascii="Palatino Linotype" w:hAnsi="Palatino Linotype"/>
          <w:sz w:val="16"/>
          <w:szCs w:val="16"/>
        </w:rPr>
      </w:pPr>
    </w:p>
    <w:p w14:paraId="7EA94EE4" w14:textId="77777777" w:rsidR="000C79A9" w:rsidRPr="00DB7970" w:rsidRDefault="000C79A9" w:rsidP="000C79A9">
      <w:pPr>
        <w:jc w:val="both"/>
        <w:textAlignment w:val="baseline"/>
        <w:rPr>
          <w:rFonts w:ascii="Palatino Linotype" w:hAnsi="Palatino Linotype"/>
          <w:sz w:val="16"/>
          <w:szCs w:val="16"/>
          <w:lang w:eastAsia="it-IT"/>
        </w:rPr>
      </w:pPr>
      <w:r w:rsidRPr="00DB7970">
        <w:rPr>
          <w:rFonts w:ascii="Palatino Linotype" w:hAnsi="Palatino Linotype"/>
          <w:sz w:val="16"/>
          <w:szCs w:val="16"/>
          <w:vertAlign w:val="superscript"/>
          <w:lang w:eastAsia="it-IT"/>
        </w:rPr>
        <w:t>1</w:t>
      </w:r>
      <w:r w:rsidRPr="00DB7970">
        <w:rPr>
          <w:rFonts w:ascii="Palatino Linotype" w:hAnsi="Palatino Linotype"/>
          <w:sz w:val="16"/>
          <w:szCs w:val="16"/>
          <w:lang w:eastAsia="it-IT"/>
        </w:rPr>
        <w:t>Luxembourg Institute of Science and Technology (LIST),</w:t>
      </w:r>
      <w:r>
        <w:rPr>
          <w:rFonts w:ascii="Palatino Linotype" w:hAnsi="Palatino Linotype"/>
          <w:sz w:val="16"/>
          <w:szCs w:val="16"/>
          <w:lang w:eastAsia="it-IT"/>
        </w:rPr>
        <w:t xml:space="preserve"> </w:t>
      </w:r>
      <w:r w:rsidRPr="00DB7970">
        <w:rPr>
          <w:rFonts w:ascii="Palatino Linotype" w:hAnsi="Palatino Linotype"/>
          <w:sz w:val="16"/>
          <w:szCs w:val="16"/>
          <w:lang w:eastAsia="it-IT"/>
        </w:rPr>
        <w:t>Esch</w:t>
      </w:r>
      <w:r w:rsidRPr="00DB7970">
        <w:rPr>
          <w:rFonts w:ascii="Palatino Linotype" w:hAnsi="Palatino Linotype"/>
          <w:sz w:val="16"/>
          <w:szCs w:val="16"/>
          <w:lang w:eastAsia="it-IT"/>
        </w:rPr>
        <w:noBreakHyphen/>
        <w:t>sur</w:t>
      </w:r>
      <w:r w:rsidRPr="00DB7970">
        <w:rPr>
          <w:rFonts w:ascii="Palatino Linotype" w:hAnsi="Palatino Linotype"/>
          <w:sz w:val="16"/>
          <w:szCs w:val="16"/>
          <w:vertAlign w:val="superscript"/>
          <w:lang w:eastAsia="it-IT"/>
        </w:rPr>
        <w:noBreakHyphen/>
      </w:r>
      <w:proofErr w:type="spellStart"/>
      <w:r w:rsidRPr="00DB7970">
        <w:rPr>
          <w:rFonts w:ascii="Palatino Linotype" w:hAnsi="Palatino Linotype"/>
          <w:sz w:val="16"/>
          <w:szCs w:val="16"/>
          <w:lang w:eastAsia="it-IT"/>
        </w:rPr>
        <w:t>Alzette</w:t>
      </w:r>
      <w:proofErr w:type="spellEnd"/>
      <w:r w:rsidRPr="00DB7970">
        <w:rPr>
          <w:rFonts w:ascii="Palatino Linotype" w:hAnsi="Palatino Linotype"/>
          <w:sz w:val="16"/>
          <w:szCs w:val="16"/>
          <w:lang w:eastAsia="it-IT"/>
        </w:rPr>
        <w:t>,</w:t>
      </w:r>
      <w:r>
        <w:rPr>
          <w:rFonts w:ascii="Palatino Linotype" w:hAnsi="Palatino Linotype"/>
          <w:sz w:val="16"/>
          <w:szCs w:val="16"/>
          <w:lang w:eastAsia="it-IT"/>
        </w:rPr>
        <w:t xml:space="preserve"> </w:t>
      </w:r>
      <w:r w:rsidRPr="00DB7970">
        <w:rPr>
          <w:rFonts w:ascii="Palatino Linotype" w:hAnsi="Palatino Linotype"/>
          <w:sz w:val="16"/>
          <w:szCs w:val="16"/>
          <w:lang w:eastAsia="it-IT"/>
        </w:rPr>
        <w:t>Luxembourg</w:t>
      </w:r>
    </w:p>
    <w:p w14:paraId="40446EF9" w14:textId="77777777" w:rsidR="000C79A9" w:rsidRPr="00DB7970" w:rsidRDefault="000C79A9" w:rsidP="000C79A9">
      <w:pPr>
        <w:jc w:val="both"/>
        <w:textAlignment w:val="baseline"/>
        <w:rPr>
          <w:rFonts w:ascii="Palatino Linotype" w:hAnsi="Palatino Linotype"/>
          <w:sz w:val="16"/>
          <w:szCs w:val="16"/>
        </w:rPr>
      </w:pPr>
      <w:r w:rsidRPr="00DB7970">
        <w:rPr>
          <w:rFonts w:ascii="Palatino Linotype" w:hAnsi="Palatino Linotype"/>
          <w:sz w:val="16"/>
          <w:szCs w:val="16"/>
          <w:vertAlign w:val="superscript"/>
          <w:lang w:eastAsia="it-IT"/>
        </w:rPr>
        <w:t>2</w:t>
      </w:r>
      <w:r w:rsidRPr="00DB7970">
        <w:rPr>
          <w:rFonts w:ascii="Palatino Linotype" w:hAnsi="Palatino Linotype"/>
          <w:sz w:val="16"/>
          <w:szCs w:val="16"/>
          <w:lang w:eastAsia="it-IT"/>
        </w:rPr>
        <w:t>Computational Sciences, Faculty of Science, Technology and Medicine, University of Luxembourg,</w:t>
      </w:r>
      <w:r>
        <w:rPr>
          <w:rFonts w:ascii="Palatino Linotype" w:hAnsi="Palatino Linotype"/>
          <w:sz w:val="16"/>
          <w:szCs w:val="16"/>
          <w:lang w:eastAsia="it-IT"/>
        </w:rPr>
        <w:t xml:space="preserve"> </w:t>
      </w:r>
      <w:r w:rsidRPr="00DB7970">
        <w:rPr>
          <w:rFonts w:ascii="Palatino Linotype" w:hAnsi="Palatino Linotype"/>
          <w:sz w:val="16"/>
          <w:szCs w:val="16"/>
          <w:lang w:eastAsia="it-IT"/>
        </w:rPr>
        <w:t>Esch</w:t>
      </w:r>
      <w:r w:rsidRPr="00DB7970">
        <w:rPr>
          <w:rFonts w:ascii="Palatino Linotype" w:hAnsi="Palatino Linotype"/>
          <w:sz w:val="16"/>
          <w:szCs w:val="16"/>
          <w:lang w:eastAsia="it-IT"/>
        </w:rPr>
        <w:noBreakHyphen/>
        <w:t>sur</w:t>
      </w:r>
      <w:r w:rsidRPr="00DB7970">
        <w:rPr>
          <w:rFonts w:ascii="Palatino Linotype" w:hAnsi="Palatino Linotype"/>
          <w:sz w:val="16"/>
          <w:szCs w:val="16"/>
          <w:lang w:eastAsia="it-IT"/>
        </w:rPr>
        <w:noBreakHyphen/>
      </w:r>
      <w:proofErr w:type="spellStart"/>
      <w:r w:rsidRPr="00DB7970">
        <w:rPr>
          <w:rFonts w:ascii="Palatino Linotype" w:hAnsi="Palatino Linotype"/>
          <w:sz w:val="16"/>
          <w:szCs w:val="16"/>
          <w:lang w:eastAsia="it-IT"/>
        </w:rPr>
        <w:t>Alzette</w:t>
      </w:r>
      <w:proofErr w:type="spellEnd"/>
      <w:r w:rsidRPr="00DB7970">
        <w:rPr>
          <w:rFonts w:ascii="Palatino Linotype" w:hAnsi="Palatino Linotype"/>
          <w:sz w:val="16"/>
          <w:szCs w:val="16"/>
          <w:lang w:eastAsia="it-IT"/>
        </w:rPr>
        <w:t>,</w:t>
      </w:r>
      <w:r>
        <w:rPr>
          <w:rFonts w:ascii="Palatino Linotype" w:hAnsi="Palatino Linotype"/>
          <w:sz w:val="16"/>
          <w:szCs w:val="16"/>
          <w:lang w:eastAsia="it-IT"/>
        </w:rPr>
        <w:t xml:space="preserve"> </w:t>
      </w:r>
      <w:r w:rsidRPr="00DB7970">
        <w:rPr>
          <w:rFonts w:ascii="Palatino Linotype" w:hAnsi="Palatino Linotype"/>
          <w:sz w:val="16"/>
          <w:szCs w:val="16"/>
          <w:lang w:eastAsia="it-IT"/>
        </w:rPr>
        <w:t>Luxembourg</w:t>
      </w:r>
    </w:p>
    <w:p w14:paraId="1C6220E6" w14:textId="77777777" w:rsidR="000C79A9" w:rsidRPr="00DB7970" w:rsidRDefault="000C79A9" w:rsidP="000C79A9">
      <w:pPr>
        <w:jc w:val="both"/>
        <w:textAlignment w:val="baseline"/>
        <w:rPr>
          <w:rFonts w:ascii="Palatino Linotype" w:hAnsi="Palatino Linotype"/>
          <w:sz w:val="16"/>
          <w:szCs w:val="16"/>
          <w:lang w:eastAsia="it-IT"/>
        </w:rPr>
      </w:pPr>
      <w:bookmarkStart w:id="1" w:name="_Hlk120716120"/>
      <w:r w:rsidRPr="00DB7970">
        <w:rPr>
          <w:rFonts w:ascii="Palatino Linotype" w:hAnsi="Palatino Linotype"/>
          <w:sz w:val="16"/>
          <w:szCs w:val="16"/>
          <w:vertAlign w:val="superscript"/>
          <w:lang w:eastAsia="it-IT"/>
        </w:rPr>
        <w:t>3</w:t>
      </w:r>
      <w:r w:rsidRPr="00DB7970">
        <w:rPr>
          <w:rFonts w:ascii="Palatino Linotype" w:hAnsi="Palatino Linotype"/>
          <w:sz w:val="16"/>
          <w:szCs w:val="16"/>
          <w:lang w:eastAsia="it-IT"/>
        </w:rPr>
        <w:t xml:space="preserve">TERRA Research and Teaching </w:t>
      </w:r>
      <w:proofErr w:type="spellStart"/>
      <w:r w:rsidRPr="00DB7970">
        <w:rPr>
          <w:rFonts w:ascii="Palatino Linotype" w:hAnsi="Palatino Linotype"/>
          <w:sz w:val="16"/>
          <w:szCs w:val="16"/>
          <w:lang w:eastAsia="it-IT"/>
        </w:rPr>
        <w:t>Center</w:t>
      </w:r>
      <w:proofErr w:type="spellEnd"/>
      <w:r w:rsidRPr="00DB7970">
        <w:rPr>
          <w:rFonts w:ascii="Palatino Linotype" w:hAnsi="Palatino Linotype"/>
          <w:sz w:val="16"/>
          <w:szCs w:val="16"/>
          <w:lang w:eastAsia="it-IT"/>
        </w:rPr>
        <w:t xml:space="preserve">, Gembloux </w:t>
      </w:r>
      <w:proofErr w:type="spellStart"/>
      <w:r w:rsidRPr="00DB7970">
        <w:rPr>
          <w:rFonts w:ascii="Palatino Linotype" w:hAnsi="Palatino Linotype"/>
          <w:sz w:val="16"/>
          <w:szCs w:val="16"/>
          <w:lang w:eastAsia="it-IT"/>
        </w:rPr>
        <w:t>Agro</w:t>
      </w:r>
      <w:proofErr w:type="spellEnd"/>
      <w:r w:rsidRPr="00DB7970">
        <w:rPr>
          <w:rFonts w:ascii="Palatino Linotype" w:hAnsi="Palatino Linotype"/>
          <w:sz w:val="16"/>
          <w:szCs w:val="16"/>
          <w:lang w:eastAsia="it-IT"/>
        </w:rPr>
        <w:noBreakHyphen/>
        <w:t>Bio Tech, University of Liège, 5030 Gembloux, Belgium</w:t>
      </w:r>
    </w:p>
    <w:bookmarkEnd w:id="1"/>
    <w:p w14:paraId="7B94D43E" w14:textId="77777777" w:rsidR="000C79A9" w:rsidRPr="00DB7970" w:rsidRDefault="000C79A9" w:rsidP="000C79A9">
      <w:pPr>
        <w:textAlignment w:val="baseline"/>
        <w:rPr>
          <w:rFonts w:ascii="Palatino Linotype" w:hAnsi="Palatino Linotype"/>
          <w:sz w:val="16"/>
          <w:szCs w:val="16"/>
        </w:rPr>
      </w:pPr>
      <w:r w:rsidRPr="00DB7970">
        <w:rPr>
          <w:rFonts w:ascii="Palatino Linotype" w:hAnsi="Palatino Linotype"/>
          <w:sz w:val="16"/>
          <w:szCs w:val="16"/>
        </w:rPr>
        <w:t xml:space="preserve">*Corresponding author email address: </w:t>
      </w:r>
      <w:hyperlink r:id="rId8" w:history="1">
        <w:r w:rsidRPr="00DB7970">
          <w:rPr>
            <w:rStyle w:val="Hyperlink"/>
            <w:rFonts w:ascii="Palatino Linotype" w:hAnsi="Palatino Linotype"/>
            <w:sz w:val="16"/>
            <w:szCs w:val="16"/>
          </w:rPr>
          <w:t>antonino.marvuglia@list.lu</w:t>
        </w:r>
      </w:hyperlink>
    </w:p>
    <w:bookmarkEnd w:id="0"/>
    <w:p w14:paraId="14D06FE0" w14:textId="77777777" w:rsidR="000E2664" w:rsidRDefault="000E2664" w:rsidP="000E2664">
      <w:pPr>
        <w:rPr>
          <w:lang w:val="en-US"/>
        </w:rPr>
      </w:pPr>
    </w:p>
    <w:p w14:paraId="1B60935C" w14:textId="14E36CE2" w:rsidR="000E2664" w:rsidRPr="000C79A9" w:rsidRDefault="000E2664" w:rsidP="000C79A9">
      <w:pPr>
        <w:pStyle w:val="MDPI21heading1"/>
        <w:numPr>
          <w:ilvl w:val="0"/>
          <w:numId w:val="1"/>
        </w:numPr>
        <w:rPr>
          <w:szCs w:val="20"/>
          <w:lang w:eastAsia="en-GB"/>
        </w:rPr>
      </w:pPr>
      <w:r w:rsidRPr="000C79A9">
        <w:t>Environmental</w:t>
      </w:r>
      <w:r w:rsidRPr="000C79A9">
        <w:rPr>
          <w:szCs w:val="20"/>
          <w:lang w:eastAsia="en-GB"/>
        </w:rPr>
        <w:t xml:space="preserve"> impact assessment (EIA)</w:t>
      </w:r>
    </w:p>
    <w:p w14:paraId="312163DF" w14:textId="3966E50C" w:rsidR="000C22AF" w:rsidRPr="000C79A9" w:rsidRDefault="00495B6B" w:rsidP="00495B6B">
      <w:pPr>
        <w:jc w:val="both"/>
        <w:rPr>
          <w:rFonts w:ascii="Palatino Linotype" w:hAnsi="Palatino Linotype" w:cs="Times New Roman"/>
          <w:sz w:val="20"/>
          <w:szCs w:val="20"/>
        </w:rPr>
      </w:pPr>
      <w:r w:rsidRPr="000C79A9">
        <w:rPr>
          <w:rFonts w:ascii="Palatino Linotype" w:hAnsi="Palatino Linotype" w:cs="Times New Roman"/>
          <w:sz w:val="20"/>
          <w:szCs w:val="20"/>
        </w:rPr>
        <w:t xml:space="preserve">The method used for the calculation of the impact assessment scores is Environmental Footprint </w:t>
      </w:r>
      <w:r w:rsidR="00376787" w:rsidRPr="000C79A9">
        <w:rPr>
          <w:rFonts w:ascii="Palatino Linotype" w:hAnsi="Palatino Linotype" w:cs="Times New Roman"/>
          <w:sz w:val="20"/>
          <w:szCs w:val="20"/>
        </w:rPr>
        <w:t xml:space="preserve">(EF) </w:t>
      </w:r>
      <w:r w:rsidRPr="000C79A9">
        <w:rPr>
          <w:rFonts w:ascii="Palatino Linotype" w:hAnsi="Palatino Linotype" w:cs="Times New Roman"/>
          <w:sz w:val="20"/>
          <w:szCs w:val="20"/>
        </w:rPr>
        <w:t>3.0, which was proposed by the European Commission</w:t>
      </w:r>
      <w:r w:rsidRPr="000C79A9">
        <w:rPr>
          <w:rStyle w:val="FootnoteReference"/>
          <w:rFonts w:ascii="Palatino Linotype" w:hAnsi="Palatino Linotype"/>
          <w:sz w:val="20"/>
          <w:szCs w:val="20"/>
        </w:rPr>
        <w:footnoteReference w:id="1"/>
      </w:r>
      <w:r w:rsidRPr="000C79A9">
        <w:rPr>
          <w:rFonts w:ascii="Palatino Linotype" w:hAnsi="Palatino Linotype" w:cs="Times New Roman"/>
          <w:sz w:val="20"/>
          <w:szCs w:val="20"/>
        </w:rPr>
        <w:t>.</w:t>
      </w:r>
    </w:p>
    <w:p w14:paraId="3DA21EC8" w14:textId="0E7B94C8" w:rsidR="00B252ED" w:rsidRPr="000C79A9" w:rsidRDefault="00B252ED" w:rsidP="00B252ED">
      <w:pPr>
        <w:jc w:val="both"/>
        <w:rPr>
          <w:rFonts w:ascii="Palatino Linotype" w:hAnsi="Palatino Linotype" w:cs="Times New Roman"/>
          <w:sz w:val="20"/>
          <w:szCs w:val="20"/>
        </w:rPr>
      </w:pPr>
      <w:r w:rsidRPr="000C79A9">
        <w:rPr>
          <w:rFonts w:ascii="Palatino Linotype" w:hAnsi="Palatino Linotype" w:cs="Times New Roman"/>
          <w:sz w:val="20"/>
          <w:szCs w:val="20"/>
        </w:rPr>
        <w:t xml:space="preserve">In this section, we focus on the normalisation and weighting steps, which are optional steps of Life Cycle Impact Assessment (LCIA). These steps, however, allow expressing results calculated in the different impact categories, using a common reference impact (e.g. the impact generated by the entire European population in a certain year, in the impact category at stake) and then aggregating the results into a single score, giving different weight to impacts. This supports the comparison between alternatives using reference numerical scores </w:t>
      </w:r>
      <w:r w:rsidRPr="000C79A9">
        <w:rPr>
          <w:rFonts w:ascii="Palatino Linotype" w:hAnsi="Palatino Linotype" w:cs="Times New Roman"/>
          <w:sz w:val="20"/>
          <w:szCs w:val="20"/>
        </w:rPr>
        <w:fldChar w:fldCharType="begin"/>
      </w:r>
      <w:r w:rsidR="00E9260C" w:rsidRPr="000C79A9">
        <w:rPr>
          <w:rFonts w:ascii="Palatino Linotype" w:hAnsi="Palatino Linotype" w:cs="Times New Roman"/>
          <w:sz w:val="20"/>
          <w:szCs w:val="20"/>
        </w:rPr>
        <w:instrText xml:space="preserve"> ADDIN ZOTERO_ITEM CSL_CITATION {"citationID":"dmgQ69be","properties":{"formattedCitation":"[1]","plainCitation":"[1]","noteIndex":0},"citationItems":[{"id":5420,"uris":["http://zotero.org/users/2433369/items/LAH9XK2K"],"itemData":{"id":5420,"type":"report","collection-title":"JRC Technical Reports","event-place":"Publications Office of the European Union, Luxembourg","page":"140","publisher":"European Commission Joint Research Center","publisher-place":"Publications Office of the European Union, Luxembourg","title":"Development of a weighting approach for the Environmental Footprint","author":[{"family":"Sala","given":"Serenella"},{"family":"Cerutti","given":"Alessandro Kim"},{"family":"Pant","given":"Rana"}],"issued":{"date-parts":[["2018"]]}}}],"schema":"https://github.com/citation-style-language/schema/raw/master/csl-citation.json"} </w:instrText>
      </w:r>
      <w:r w:rsidRPr="000C79A9">
        <w:rPr>
          <w:rFonts w:ascii="Palatino Linotype" w:hAnsi="Palatino Linotype" w:cs="Times New Roman"/>
          <w:sz w:val="20"/>
          <w:szCs w:val="20"/>
        </w:rPr>
        <w:fldChar w:fldCharType="separate"/>
      </w:r>
      <w:r w:rsidR="00E9260C" w:rsidRPr="000C79A9">
        <w:rPr>
          <w:rFonts w:ascii="Palatino Linotype" w:hAnsi="Palatino Linotype" w:cs="Times New Roman"/>
          <w:sz w:val="20"/>
          <w:szCs w:val="20"/>
        </w:rPr>
        <w:t>[1]</w:t>
      </w:r>
      <w:r w:rsidRPr="000C79A9">
        <w:rPr>
          <w:rFonts w:ascii="Palatino Linotype" w:hAnsi="Palatino Linotype" w:cs="Times New Roman"/>
          <w:sz w:val="20"/>
          <w:szCs w:val="20"/>
        </w:rPr>
        <w:fldChar w:fldCharType="end"/>
      </w:r>
      <w:r w:rsidRPr="000C79A9">
        <w:rPr>
          <w:rFonts w:ascii="Palatino Linotype" w:hAnsi="Palatino Linotype" w:cs="Times New Roman"/>
          <w:sz w:val="20"/>
          <w:szCs w:val="20"/>
        </w:rPr>
        <w:t>.</w:t>
      </w:r>
    </w:p>
    <w:p w14:paraId="708E0FFD" w14:textId="2AAD7628" w:rsidR="0086717D" w:rsidRPr="000C79A9" w:rsidRDefault="0086717D" w:rsidP="00B43659">
      <w:pPr>
        <w:jc w:val="both"/>
        <w:rPr>
          <w:rFonts w:ascii="Palatino Linotype" w:hAnsi="Palatino Linotype" w:cs="Times New Roman"/>
          <w:sz w:val="20"/>
          <w:szCs w:val="20"/>
        </w:rPr>
      </w:pPr>
      <w:r w:rsidRPr="000C79A9">
        <w:rPr>
          <w:rFonts w:ascii="Palatino Linotype" w:hAnsi="Palatino Linotype" w:cs="Times New Roman"/>
          <w:sz w:val="20"/>
          <w:szCs w:val="20"/>
        </w:rPr>
        <w:t xml:space="preserve">The methodological details and the inventory behind the global </w:t>
      </w:r>
      <w:r w:rsidR="00376787" w:rsidRPr="000C79A9">
        <w:rPr>
          <w:rFonts w:ascii="Palatino Linotype" w:hAnsi="Palatino Linotype" w:cs="Times New Roman"/>
          <w:sz w:val="20"/>
          <w:szCs w:val="20"/>
        </w:rPr>
        <w:t xml:space="preserve">normalization factors for the </w:t>
      </w:r>
      <w:r w:rsidRPr="000C79A9">
        <w:rPr>
          <w:rFonts w:ascii="Palatino Linotype" w:hAnsi="Palatino Linotype" w:cs="Times New Roman"/>
          <w:sz w:val="20"/>
          <w:szCs w:val="20"/>
        </w:rPr>
        <w:t>EF 3.0</w:t>
      </w:r>
      <w:r w:rsidR="00376787" w:rsidRPr="000C79A9">
        <w:rPr>
          <w:rFonts w:ascii="Palatino Linotype" w:hAnsi="Palatino Linotype" w:cs="Times New Roman"/>
          <w:sz w:val="20"/>
          <w:szCs w:val="20"/>
        </w:rPr>
        <w:t xml:space="preserve"> method are given in </w:t>
      </w:r>
      <w:r w:rsidR="00376787" w:rsidRPr="000C79A9">
        <w:rPr>
          <w:rFonts w:ascii="Palatino Linotype" w:hAnsi="Palatino Linotype" w:cs="Times New Roman"/>
          <w:sz w:val="20"/>
          <w:szCs w:val="20"/>
        </w:rPr>
        <w:fldChar w:fldCharType="begin"/>
      </w:r>
      <w:r w:rsidR="00E9260C" w:rsidRPr="000C79A9">
        <w:rPr>
          <w:rFonts w:ascii="Palatino Linotype" w:hAnsi="Palatino Linotype" w:cs="Times New Roman"/>
          <w:sz w:val="20"/>
          <w:szCs w:val="20"/>
        </w:rPr>
        <w:instrText xml:space="preserve"> ADDIN ZOTERO_ITEM CSL_CITATION {"citationID":"vRAyKzdv","properties":{"formattedCitation":"[2]","plainCitation":"[2]","noteIndex":0},"citationItems":[{"id":5421,"uris":["http://zotero.org/users/2433369/items/WZ649H8G"],"itemData":{"id":5421,"type":"article-journal","abstract":"Purpose: Characterizing environmental impacts at the global scale is crucial to define references against which compare the environmental profile of products and systems. Within this study, global emissions and resource uses have been collected and characterized for the following impact categories: climate change, ozone depletion, human toxicity (cancer and non-cancer), ecotoxicity, particulate matter, ionizing radiation, photochemical ozone formation, acidification, eutrophication (terrestrial, marine, and freshwater), land use, water use, and resource use. The results can be used as normalization factors (NFs) in the context of the life cycle assessment (LCA). Material and methods: The global NFs are built on an extensive collection of data on emissions and resources extracted at a global scale in 2010, gathering different sources and comparing them. A hierarchical approach was applied to the selection of data sources. Extrapolations, mainly temporal data-gap filling, were applied for complementing the inventories for missing data. In order to calculate NFs, the inventory was characterized by using the International Reference Life Cycle Data System (ILCD) midpoint indicators and the EU Environmental Footprint (EF) set, which includes recently released models. Results and discussion: The resulting global NFs (ILCD and EF) were reported and discussed for each impact category. Coverage completeness and robustness of both the underpinning inventories and impact assessment models were used to define the level of uncertainty in the calculations. Based on the contribution analysis of the main elementary flows, it resulted that only few elementary flows drive the overall impact for most of the impact categories. Moreover, the ratio between the NFs at EU27 in 2010 and global level showed that Europe generally covers less than 10% of the global impact. Conclusion and outlook: The quantification of the current levels of environmental pressures entails critical aspects, as it consists of accounting of emissions and resources, relying on data often incomplete or based on modeling. Despite the attempts made for increasing NFs coverage and robustness, the calculation in the present study highlights the need of further efforts aiming at overcoming the uncertainties and the limitations identified both at the inventory (i.e., difficulty in retrieving complete and recent data) and characterization levels (e.g., consistency between inventory and impact assessment regarding spatialization, system boundaries). Most importantly, any assessment based on the use of NFs should be carefully discussed and interpreted in light of the limitations discussed in this paper.","container-title":"International Journal of Life Cycle Assessment","DOI":"10.1007/S11367-019-01604-Y/FIGURES/1","ISSN":"16147502","issue":"10","note":"publisher: Springer Verlag","page":"1851–1877","title":"Global environmental impacts: data sources and methodological choices for calculating normalization factors for LCA","volume":"24","author":[{"family":"Crenna","given":"Eleonora"},{"family":"Secchi","given":"Michela"},{"family":"Benini","given":"Lorenzo"},{"family":"Sala","given":"Serenella"}],"issued":{"date-parts":[["2019",10]]}}}],"schema":"https://github.com/citation-style-language/schema/raw/master/csl-citation.json"} </w:instrText>
      </w:r>
      <w:r w:rsidR="00376787" w:rsidRPr="000C79A9">
        <w:rPr>
          <w:rFonts w:ascii="Palatino Linotype" w:hAnsi="Palatino Linotype" w:cs="Times New Roman"/>
          <w:sz w:val="20"/>
          <w:szCs w:val="20"/>
        </w:rPr>
        <w:fldChar w:fldCharType="separate"/>
      </w:r>
      <w:r w:rsidR="00E9260C" w:rsidRPr="000C79A9">
        <w:rPr>
          <w:rFonts w:ascii="Palatino Linotype" w:hAnsi="Palatino Linotype" w:cs="Times New Roman"/>
          <w:sz w:val="20"/>
          <w:szCs w:val="20"/>
        </w:rPr>
        <w:t>[2]</w:t>
      </w:r>
      <w:r w:rsidR="00376787" w:rsidRPr="000C79A9">
        <w:rPr>
          <w:rFonts w:ascii="Palatino Linotype" w:hAnsi="Palatino Linotype" w:cs="Times New Roman"/>
          <w:sz w:val="20"/>
          <w:szCs w:val="20"/>
        </w:rPr>
        <w:fldChar w:fldCharType="end"/>
      </w:r>
      <w:r w:rsidR="00376787" w:rsidRPr="000C79A9">
        <w:rPr>
          <w:rFonts w:ascii="Palatino Linotype" w:hAnsi="Palatino Linotype" w:cs="Times New Roman"/>
          <w:sz w:val="20"/>
          <w:szCs w:val="20"/>
        </w:rPr>
        <w:t>.</w:t>
      </w:r>
      <w:r w:rsidR="00B43659" w:rsidRPr="000C79A9">
        <w:rPr>
          <w:rFonts w:ascii="Palatino Linotype" w:hAnsi="Palatino Linotype" w:cs="Times New Roman"/>
          <w:sz w:val="20"/>
          <w:szCs w:val="20"/>
        </w:rPr>
        <w:t xml:space="preserve"> The list of </w:t>
      </w:r>
      <w:r w:rsidR="00E63F35" w:rsidRPr="000C79A9">
        <w:rPr>
          <w:rFonts w:ascii="Palatino Linotype" w:hAnsi="Palatino Linotype" w:cs="Times New Roman"/>
          <w:sz w:val="20"/>
          <w:szCs w:val="20"/>
        </w:rPr>
        <w:t xml:space="preserve">normalization and weighting factors </w:t>
      </w:r>
      <w:r w:rsidR="00B43659" w:rsidRPr="000C79A9">
        <w:rPr>
          <w:rFonts w:ascii="Palatino Linotype" w:hAnsi="Palatino Linotype" w:cs="Times New Roman"/>
          <w:sz w:val="20"/>
          <w:szCs w:val="20"/>
        </w:rPr>
        <w:t>can be found at the URL: https://eplca.jrc.ec.europa.eu/permalink/Normalisation _ Weighting _Factors_EF_3.0.xlsx.</w:t>
      </w:r>
      <w:r w:rsidR="003D65FE" w:rsidRPr="000C79A9">
        <w:rPr>
          <w:rFonts w:ascii="Palatino Linotype" w:hAnsi="Palatino Linotype" w:cs="Times New Roman"/>
          <w:sz w:val="20"/>
          <w:szCs w:val="20"/>
        </w:rPr>
        <w:t xml:space="preserve"> For the sake of convenience, we report them also in </w:t>
      </w:r>
      <w:r w:rsidR="003D65FE" w:rsidRPr="000C79A9">
        <w:rPr>
          <w:rFonts w:ascii="Palatino Linotype" w:hAnsi="Palatino Linotype" w:cs="Times New Roman"/>
          <w:sz w:val="20"/>
          <w:szCs w:val="20"/>
        </w:rPr>
        <w:fldChar w:fldCharType="begin"/>
      </w:r>
      <w:r w:rsidR="003D65FE" w:rsidRPr="000C79A9">
        <w:rPr>
          <w:rFonts w:ascii="Palatino Linotype" w:hAnsi="Palatino Linotype" w:cs="Times New Roman"/>
          <w:sz w:val="20"/>
          <w:szCs w:val="20"/>
        </w:rPr>
        <w:instrText xml:space="preserve"> REF _Ref146382341 \h </w:instrText>
      </w:r>
      <w:r w:rsidR="000C79A9" w:rsidRPr="000C79A9">
        <w:rPr>
          <w:rFonts w:ascii="Palatino Linotype" w:hAnsi="Palatino Linotype" w:cs="Times New Roman"/>
          <w:sz w:val="20"/>
          <w:szCs w:val="20"/>
        </w:rPr>
        <w:instrText xml:space="preserve"> \* MERGEFORMAT </w:instrText>
      </w:r>
      <w:r w:rsidR="003D65FE" w:rsidRPr="000C79A9">
        <w:rPr>
          <w:rFonts w:ascii="Palatino Linotype" w:hAnsi="Palatino Linotype" w:cs="Times New Roman"/>
          <w:sz w:val="20"/>
          <w:szCs w:val="20"/>
        </w:rPr>
      </w:r>
      <w:r w:rsidR="003D65FE" w:rsidRPr="000C79A9">
        <w:rPr>
          <w:rFonts w:ascii="Palatino Linotype" w:hAnsi="Palatino Linotype" w:cs="Times New Roman"/>
          <w:sz w:val="20"/>
          <w:szCs w:val="20"/>
        </w:rPr>
        <w:fldChar w:fldCharType="separate"/>
      </w:r>
      <w:r w:rsidR="003D65FE" w:rsidRPr="000C79A9">
        <w:rPr>
          <w:rFonts w:ascii="Palatino Linotype" w:hAnsi="Palatino Linotype"/>
          <w:sz w:val="20"/>
          <w:szCs w:val="20"/>
        </w:rPr>
        <w:t xml:space="preserve">Table </w:t>
      </w:r>
      <w:r w:rsidR="000C79A9">
        <w:rPr>
          <w:rFonts w:ascii="Palatino Linotype" w:hAnsi="Palatino Linotype"/>
          <w:sz w:val="20"/>
          <w:szCs w:val="20"/>
        </w:rPr>
        <w:t>S4.</w:t>
      </w:r>
      <w:r w:rsidR="003D65FE" w:rsidRPr="000C79A9">
        <w:rPr>
          <w:rFonts w:ascii="Palatino Linotype" w:hAnsi="Palatino Linotype"/>
          <w:noProof/>
          <w:sz w:val="20"/>
          <w:szCs w:val="20"/>
        </w:rPr>
        <w:t>1</w:t>
      </w:r>
      <w:r w:rsidR="003D65FE" w:rsidRPr="000C79A9">
        <w:rPr>
          <w:rFonts w:ascii="Palatino Linotype" w:hAnsi="Palatino Linotype" w:cs="Times New Roman"/>
          <w:sz w:val="20"/>
          <w:szCs w:val="20"/>
        </w:rPr>
        <w:fldChar w:fldCharType="end"/>
      </w:r>
      <w:r w:rsidR="003D65FE" w:rsidRPr="000C79A9">
        <w:rPr>
          <w:rFonts w:ascii="Palatino Linotype" w:hAnsi="Palatino Linotype" w:cs="Times New Roman"/>
          <w:sz w:val="20"/>
          <w:szCs w:val="20"/>
        </w:rPr>
        <w:t>.</w:t>
      </w:r>
    </w:p>
    <w:p w14:paraId="125BB55F" w14:textId="77777777" w:rsidR="00B43659" w:rsidRPr="000C79A9" w:rsidRDefault="00B43659" w:rsidP="00B43659">
      <w:pPr>
        <w:jc w:val="both"/>
        <w:rPr>
          <w:rFonts w:ascii="Palatino Linotype" w:hAnsi="Palatino Linotype"/>
          <w:sz w:val="20"/>
          <w:szCs w:val="20"/>
        </w:rPr>
      </w:pPr>
    </w:p>
    <w:p w14:paraId="15085ED7" w14:textId="5F9FF1EE" w:rsidR="0086717D" w:rsidRPr="000C79A9" w:rsidRDefault="003D65FE" w:rsidP="000C79A9">
      <w:pPr>
        <w:pStyle w:val="MDPI51figurecaption"/>
        <w:ind w:left="0"/>
      </w:pPr>
      <w:bookmarkStart w:id="2" w:name="_Ref146382341"/>
      <w:bookmarkStart w:id="3" w:name="_Ref128709300"/>
      <w:r w:rsidRPr="000C79A9">
        <w:rPr>
          <w:b/>
          <w:bCs/>
        </w:rPr>
        <w:t xml:space="preserve">Table </w:t>
      </w:r>
      <w:r w:rsidR="000C79A9" w:rsidRPr="000C79A9">
        <w:rPr>
          <w:b/>
          <w:bCs/>
        </w:rPr>
        <w:t>S</w:t>
      </w:r>
      <w:r w:rsidR="000C79A9">
        <w:rPr>
          <w:b/>
          <w:bCs/>
        </w:rPr>
        <w:t>4.</w:t>
      </w:r>
      <w:r w:rsidRPr="000C79A9">
        <w:rPr>
          <w:b/>
          <w:bCs/>
        </w:rPr>
        <w:fldChar w:fldCharType="begin"/>
      </w:r>
      <w:r w:rsidRPr="000C79A9">
        <w:rPr>
          <w:b/>
          <w:bCs/>
        </w:rPr>
        <w:instrText xml:space="preserve"> SEQ Table \* ARABIC </w:instrText>
      </w:r>
      <w:r w:rsidRPr="000C79A9">
        <w:rPr>
          <w:b/>
          <w:bCs/>
        </w:rPr>
        <w:fldChar w:fldCharType="separate"/>
      </w:r>
      <w:r w:rsidRPr="000C79A9">
        <w:rPr>
          <w:b/>
          <w:bCs/>
        </w:rPr>
        <w:t>1</w:t>
      </w:r>
      <w:r w:rsidRPr="000C79A9">
        <w:rPr>
          <w:b/>
          <w:bCs/>
        </w:rPr>
        <w:fldChar w:fldCharType="end"/>
      </w:r>
      <w:bookmarkEnd w:id="2"/>
      <w:r w:rsidR="000C79A9" w:rsidRPr="000C79A9">
        <w:rPr>
          <w:b/>
          <w:bCs/>
        </w:rPr>
        <w:t>.</w:t>
      </w:r>
      <w:r w:rsidR="0086717D" w:rsidRPr="000C79A9">
        <w:t xml:space="preserve"> EF normalization factors and weights for each impact category that were used to calculate single score impact.</w:t>
      </w:r>
      <w:bookmarkEnd w:id="3"/>
    </w:p>
    <w:tbl>
      <w:tblPr>
        <w:tblW w:w="8222" w:type="dxa"/>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2694"/>
        <w:gridCol w:w="2126"/>
        <w:gridCol w:w="1701"/>
        <w:gridCol w:w="1701"/>
      </w:tblGrid>
      <w:tr w:rsidR="00B43659" w:rsidRPr="000C79A9" w14:paraId="32D0B815" w14:textId="77777777" w:rsidTr="00C370FA">
        <w:trPr>
          <w:trHeight w:val="340"/>
          <w:jc w:val="center"/>
        </w:trPr>
        <w:tc>
          <w:tcPr>
            <w:tcW w:w="2694" w:type="dxa"/>
            <w:tcBorders>
              <w:bottom w:val="single" w:sz="4" w:space="0" w:color="auto"/>
            </w:tcBorders>
            <w:shd w:val="clear" w:color="auto" w:fill="auto"/>
          </w:tcPr>
          <w:p w14:paraId="7D2B1061" w14:textId="77777777" w:rsidR="00B43659" w:rsidRPr="000C79A9" w:rsidRDefault="00B43659" w:rsidP="00362D81">
            <w:pPr>
              <w:rPr>
                <w:rFonts w:ascii="Palatino Linotype" w:hAnsi="Palatino Linotype"/>
                <w:sz w:val="20"/>
                <w:szCs w:val="20"/>
              </w:rPr>
            </w:pPr>
            <w:r w:rsidRPr="000C79A9">
              <w:rPr>
                <w:rFonts w:ascii="Palatino Linotype" w:hAnsi="Palatino Linotype"/>
                <w:b/>
                <w:bCs/>
                <w:color w:val="000000"/>
                <w:sz w:val="20"/>
                <w:szCs w:val="20"/>
              </w:rPr>
              <w:t>Category</w:t>
            </w:r>
          </w:p>
        </w:tc>
        <w:tc>
          <w:tcPr>
            <w:tcW w:w="2126" w:type="dxa"/>
            <w:tcBorders>
              <w:bottom w:val="single" w:sz="4" w:space="0" w:color="auto"/>
            </w:tcBorders>
          </w:tcPr>
          <w:p w14:paraId="5CF83D82" w14:textId="3318DD48" w:rsidR="00B43659" w:rsidRPr="000C79A9" w:rsidRDefault="00B43659" w:rsidP="00362D81">
            <w:pPr>
              <w:rPr>
                <w:rFonts w:ascii="Palatino Linotype" w:hAnsi="Palatino Linotype"/>
                <w:b/>
                <w:bCs/>
                <w:color w:val="000000"/>
                <w:sz w:val="20"/>
                <w:szCs w:val="20"/>
              </w:rPr>
            </w:pPr>
            <w:r w:rsidRPr="000C79A9">
              <w:rPr>
                <w:rFonts w:ascii="Palatino Linotype" w:hAnsi="Palatino Linotype"/>
                <w:b/>
                <w:bCs/>
                <w:color w:val="000000"/>
                <w:sz w:val="20"/>
                <w:szCs w:val="20"/>
              </w:rPr>
              <w:t>Unit for the Normalization Factor</w:t>
            </w:r>
          </w:p>
        </w:tc>
        <w:tc>
          <w:tcPr>
            <w:tcW w:w="1701" w:type="dxa"/>
            <w:tcBorders>
              <w:bottom w:val="single" w:sz="4" w:space="0" w:color="auto"/>
            </w:tcBorders>
            <w:shd w:val="clear" w:color="auto" w:fill="auto"/>
          </w:tcPr>
          <w:p w14:paraId="782054DE" w14:textId="5699950F" w:rsidR="00B43659" w:rsidRPr="000C79A9" w:rsidRDefault="00B43659" w:rsidP="00362D81">
            <w:pPr>
              <w:rPr>
                <w:rFonts w:ascii="Palatino Linotype" w:hAnsi="Palatino Linotype"/>
                <w:sz w:val="20"/>
                <w:szCs w:val="20"/>
              </w:rPr>
            </w:pPr>
            <w:r w:rsidRPr="000C79A9">
              <w:rPr>
                <w:rFonts w:ascii="Palatino Linotype" w:hAnsi="Palatino Linotype"/>
                <w:b/>
                <w:bCs/>
                <w:color w:val="000000"/>
                <w:sz w:val="20"/>
                <w:szCs w:val="20"/>
              </w:rPr>
              <w:t>Normalization Factor</w:t>
            </w:r>
          </w:p>
        </w:tc>
        <w:tc>
          <w:tcPr>
            <w:tcW w:w="1701" w:type="dxa"/>
            <w:tcBorders>
              <w:bottom w:val="single" w:sz="4" w:space="0" w:color="auto"/>
            </w:tcBorders>
          </w:tcPr>
          <w:p w14:paraId="0B64BDC4" w14:textId="7AEF6A62" w:rsidR="00B43659" w:rsidRPr="000C79A9" w:rsidRDefault="00B43659" w:rsidP="00362D81">
            <w:pPr>
              <w:spacing w:line="276" w:lineRule="auto"/>
              <w:rPr>
                <w:rFonts w:ascii="Palatino Linotype" w:hAnsi="Palatino Linotype"/>
                <w:sz w:val="20"/>
                <w:szCs w:val="20"/>
              </w:rPr>
            </w:pPr>
            <w:r w:rsidRPr="000C79A9">
              <w:rPr>
                <w:rFonts w:ascii="Palatino Linotype" w:hAnsi="Palatino Linotype"/>
                <w:b/>
                <w:bCs/>
                <w:color w:val="000000"/>
                <w:sz w:val="20"/>
                <w:szCs w:val="20"/>
              </w:rPr>
              <w:t>Weighting factor (%)</w:t>
            </w:r>
          </w:p>
        </w:tc>
      </w:tr>
      <w:tr w:rsidR="00362D81" w:rsidRPr="000C79A9" w14:paraId="76D8280A" w14:textId="77777777" w:rsidTr="00C370FA">
        <w:trPr>
          <w:trHeight w:val="340"/>
          <w:jc w:val="center"/>
        </w:trPr>
        <w:tc>
          <w:tcPr>
            <w:tcW w:w="2694" w:type="dxa"/>
            <w:tcBorders>
              <w:top w:val="single" w:sz="4" w:space="0" w:color="auto"/>
              <w:bottom w:val="nil"/>
            </w:tcBorders>
            <w:shd w:val="clear" w:color="auto" w:fill="auto"/>
          </w:tcPr>
          <w:p w14:paraId="0C32DA18" w14:textId="77777777" w:rsidR="00362D81" w:rsidRPr="000C79A9" w:rsidRDefault="00362D81" w:rsidP="00362D81">
            <w:pPr>
              <w:rPr>
                <w:rFonts w:ascii="Palatino Linotype" w:hAnsi="Palatino Linotype"/>
                <w:color w:val="000000"/>
                <w:sz w:val="20"/>
                <w:szCs w:val="20"/>
                <w:lang w:val="fr-LU"/>
              </w:rPr>
            </w:pPr>
            <w:r w:rsidRPr="000C79A9">
              <w:rPr>
                <w:rFonts w:ascii="Palatino Linotype" w:hAnsi="Palatino Linotype"/>
                <w:sz w:val="20"/>
                <w:szCs w:val="20"/>
              </w:rPr>
              <w:t>Climate change</w:t>
            </w:r>
          </w:p>
        </w:tc>
        <w:tc>
          <w:tcPr>
            <w:tcW w:w="2126" w:type="dxa"/>
            <w:tcBorders>
              <w:top w:val="single" w:sz="4" w:space="0" w:color="auto"/>
              <w:bottom w:val="nil"/>
            </w:tcBorders>
          </w:tcPr>
          <w:p w14:paraId="0CCCBC47" w14:textId="717F8E0B"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kg CO</w:t>
            </w:r>
            <w:r w:rsidRPr="000C79A9">
              <w:rPr>
                <w:rFonts w:ascii="Palatino Linotype" w:hAnsi="Palatino Linotype"/>
                <w:sz w:val="20"/>
                <w:szCs w:val="20"/>
                <w:vertAlign w:val="subscript"/>
              </w:rPr>
              <w:t xml:space="preserve">2 </w:t>
            </w:r>
            <w:r w:rsidRPr="000C79A9">
              <w:rPr>
                <w:rFonts w:ascii="Palatino Linotype" w:hAnsi="Palatino Linotype"/>
                <w:sz w:val="20"/>
                <w:szCs w:val="20"/>
              </w:rPr>
              <w:t>eq./person</w:t>
            </w:r>
          </w:p>
        </w:tc>
        <w:tc>
          <w:tcPr>
            <w:tcW w:w="1701" w:type="dxa"/>
            <w:tcBorders>
              <w:top w:val="single" w:sz="4" w:space="0" w:color="auto"/>
              <w:bottom w:val="nil"/>
            </w:tcBorders>
            <w:shd w:val="clear" w:color="auto" w:fill="auto"/>
          </w:tcPr>
          <w:p w14:paraId="15E583BE" w14:textId="1EA0FF46"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8.10E+03</w:t>
            </w:r>
          </w:p>
        </w:tc>
        <w:tc>
          <w:tcPr>
            <w:tcW w:w="1701" w:type="dxa"/>
            <w:tcBorders>
              <w:top w:val="single" w:sz="4" w:space="0" w:color="auto"/>
              <w:bottom w:val="nil"/>
            </w:tcBorders>
          </w:tcPr>
          <w:p w14:paraId="20FBCC45" w14:textId="1B45B7A8"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21.06</w:t>
            </w:r>
          </w:p>
        </w:tc>
      </w:tr>
      <w:tr w:rsidR="00362D81" w:rsidRPr="000C79A9" w14:paraId="1E4B5A58" w14:textId="77777777" w:rsidTr="00C370FA">
        <w:trPr>
          <w:trHeight w:val="340"/>
          <w:jc w:val="center"/>
        </w:trPr>
        <w:tc>
          <w:tcPr>
            <w:tcW w:w="2694" w:type="dxa"/>
            <w:tcBorders>
              <w:top w:val="nil"/>
              <w:bottom w:val="nil"/>
            </w:tcBorders>
            <w:shd w:val="clear" w:color="auto" w:fill="auto"/>
          </w:tcPr>
          <w:p w14:paraId="5D84F194" w14:textId="77777777" w:rsidR="00362D81" w:rsidRPr="000C79A9" w:rsidRDefault="00362D81" w:rsidP="00362D81">
            <w:pPr>
              <w:rPr>
                <w:rFonts w:ascii="Palatino Linotype" w:hAnsi="Palatino Linotype"/>
                <w:color w:val="000000"/>
                <w:sz w:val="20"/>
                <w:szCs w:val="20"/>
                <w:lang w:val="fr-LU"/>
              </w:rPr>
            </w:pPr>
            <w:r w:rsidRPr="000C79A9">
              <w:rPr>
                <w:rFonts w:ascii="Palatino Linotype" w:hAnsi="Palatino Linotype"/>
                <w:sz w:val="20"/>
                <w:szCs w:val="20"/>
              </w:rPr>
              <w:t>Ozone depletion</w:t>
            </w:r>
          </w:p>
        </w:tc>
        <w:tc>
          <w:tcPr>
            <w:tcW w:w="2126" w:type="dxa"/>
            <w:tcBorders>
              <w:top w:val="nil"/>
              <w:bottom w:val="nil"/>
            </w:tcBorders>
          </w:tcPr>
          <w:p w14:paraId="61B3D7FA" w14:textId="098FC476"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kg CFC-11 eq./person</w:t>
            </w:r>
          </w:p>
        </w:tc>
        <w:tc>
          <w:tcPr>
            <w:tcW w:w="1701" w:type="dxa"/>
            <w:tcBorders>
              <w:top w:val="nil"/>
              <w:bottom w:val="nil"/>
            </w:tcBorders>
            <w:shd w:val="clear" w:color="auto" w:fill="auto"/>
          </w:tcPr>
          <w:p w14:paraId="5034B4F9" w14:textId="0D3C1EE5"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5.36E-02</w:t>
            </w:r>
          </w:p>
        </w:tc>
        <w:tc>
          <w:tcPr>
            <w:tcW w:w="1701" w:type="dxa"/>
            <w:tcBorders>
              <w:top w:val="nil"/>
              <w:bottom w:val="nil"/>
            </w:tcBorders>
          </w:tcPr>
          <w:p w14:paraId="110F981D" w14:textId="040E23FA"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6.31</w:t>
            </w:r>
          </w:p>
        </w:tc>
      </w:tr>
      <w:tr w:rsidR="00362D81" w:rsidRPr="000C79A9" w14:paraId="253EBE1C" w14:textId="77777777" w:rsidTr="00C370FA">
        <w:trPr>
          <w:trHeight w:val="340"/>
          <w:jc w:val="center"/>
        </w:trPr>
        <w:tc>
          <w:tcPr>
            <w:tcW w:w="2694" w:type="dxa"/>
            <w:tcBorders>
              <w:top w:val="nil"/>
              <w:bottom w:val="nil"/>
            </w:tcBorders>
            <w:shd w:val="clear" w:color="auto" w:fill="auto"/>
          </w:tcPr>
          <w:p w14:paraId="4BD59239" w14:textId="77777777" w:rsidR="00362D81" w:rsidRPr="000C79A9" w:rsidRDefault="00362D81" w:rsidP="00362D81">
            <w:pPr>
              <w:rPr>
                <w:rFonts w:ascii="Palatino Linotype" w:hAnsi="Palatino Linotype"/>
                <w:color w:val="000000"/>
                <w:sz w:val="20"/>
                <w:szCs w:val="20"/>
                <w:lang w:val="fr-LU"/>
              </w:rPr>
            </w:pPr>
            <w:r w:rsidRPr="000C79A9">
              <w:rPr>
                <w:rFonts w:ascii="Palatino Linotype" w:hAnsi="Palatino Linotype"/>
                <w:sz w:val="20"/>
                <w:szCs w:val="20"/>
              </w:rPr>
              <w:t>Ionising radiation</w:t>
            </w:r>
          </w:p>
        </w:tc>
        <w:tc>
          <w:tcPr>
            <w:tcW w:w="2126" w:type="dxa"/>
            <w:tcBorders>
              <w:top w:val="nil"/>
              <w:bottom w:val="nil"/>
            </w:tcBorders>
          </w:tcPr>
          <w:p w14:paraId="5C5B201D" w14:textId="7E1DAD0D" w:rsidR="00362D81" w:rsidRPr="000C79A9" w:rsidRDefault="00362D81" w:rsidP="00362D81">
            <w:pPr>
              <w:rPr>
                <w:rFonts w:ascii="Palatino Linotype" w:hAnsi="Palatino Linotype"/>
                <w:sz w:val="20"/>
                <w:szCs w:val="20"/>
              </w:rPr>
            </w:pPr>
            <w:proofErr w:type="spellStart"/>
            <w:r w:rsidRPr="000C79A9">
              <w:rPr>
                <w:rFonts w:ascii="Palatino Linotype" w:hAnsi="Palatino Linotype"/>
                <w:sz w:val="20"/>
                <w:szCs w:val="20"/>
              </w:rPr>
              <w:t>kBq</w:t>
            </w:r>
            <w:proofErr w:type="spellEnd"/>
            <w:r w:rsidRPr="000C79A9">
              <w:rPr>
                <w:rFonts w:ascii="Palatino Linotype" w:hAnsi="Palatino Linotype"/>
                <w:sz w:val="20"/>
                <w:szCs w:val="20"/>
              </w:rPr>
              <w:t xml:space="preserve"> U-235 eq./person</w:t>
            </w:r>
          </w:p>
        </w:tc>
        <w:tc>
          <w:tcPr>
            <w:tcW w:w="1701" w:type="dxa"/>
            <w:tcBorders>
              <w:top w:val="nil"/>
              <w:bottom w:val="nil"/>
            </w:tcBorders>
            <w:shd w:val="clear" w:color="auto" w:fill="auto"/>
          </w:tcPr>
          <w:p w14:paraId="5B576DA5" w14:textId="219EEC18"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4.22E+03</w:t>
            </w:r>
          </w:p>
        </w:tc>
        <w:tc>
          <w:tcPr>
            <w:tcW w:w="1701" w:type="dxa"/>
            <w:tcBorders>
              <w:top w:val="nil"/>
              <w:bottom w:val="nil"/>
            </w:tcBorders>
          </w:tcPr>
          <w:p w14:paraId="44164415" w14:textId="2B278AA7"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5.01</w:t>
            </w:r>
          </w:p>
        </w:tc>
      </w:tr>
      <w:tr w:rsidR="00362D81" w:rsidRPr="000C79A9" w14:paraId="5AF471EF" w14:textId="77777777" w:rsidTr="00C370FA">
        <w:trPr>
          <w:trHeight w:val="340"/>
          <w:jc w:val="center"/>
        </w:trPr>
        <w:tc>
          <w:tcPr>
            <w:tcW w:w="2694" w:type="dxa"/>
            <w:tcBorders>
              <w:top w:val="nil"/>
              <w:bottom w:val="nil"/>
            </w:tcBorders>
            <w:shd w:val="clear" w:color="auto" w:fill="auto"/>
          </w:tcPr>
          <w:p w14:paraId="731001E6" w14:textId="77777777"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Photochemical ozone formation</w:t>
            </w:r>
          </w:p>
        </w:tc>
        <w:tc>
          <w:tcPr>
            <w:tcW w:w="2126" w:type="dxa"/>
            <w:tcBorders>
              <w:top w:val="nil"/>
              <w:bottom w:val="nil"/>
            </w:tcBorders>
          </w:tcPr>
          <w:p w14:paraId="28AA7646" w14:textId="7780F0D3"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kg NMVOC</w:t>
            </w:r>
            <w:r w:rsidR="004F6C0E" w:rsidRPr="000C79A9">
              <w:rPr>
                <w:rFonts w:ascii="Palatino Linotype" w:hAnsi="Palatino Linotype"/>
                <w:sz w:val="20"/>
                <w:szCs w:val="20"/>
                <w:vertAlign w:val="superscript"/>
              </w:rPr>
              <w:t>*</w:t>
            </w:r>
            <w:r w:rsidRPr="000C79A9">
              <w:rPr>
                <w:rFonts w:ascii="Palatino Linotype" w:hAnsi="Palatino Linotype"/>
                <w:sz w:val="20"/>
                <w:szCs w:val="20"/>
              </w:rPr>
              <w:t xml:space="preserve"> eq./person</w:t>
            </w:r>
          </w:p>
        </w:tc>
        <w:tc>
          <w:tcPr>
            <w:tcW w:w="1701" w:type="dxa"/>
            <w:tcBorders>
              <w:top w:val="nil"/>
              <w:bottom w:val="nil"/>
            </w:tcBorders>
            <w:shd w:val="clear" w:color="auto" w:fill="auto"/>
          </w:tcPr>
          <w:p w14:paraId="4825CA91" w14:textId="29599731"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4.06E+01</w:t>
            </w:r>
          </w:p>
        </w:tc>
        <w:tc>
          <w:tcPr>
            <w:tcW w:w="1701" w:type="dxa"/>
            <w:tcBorders>
              <w:top w:val="nil"/>
              <w:bottom w:val="nil"/>
            </w:tcBorders>
          </w:tcPr>
          <w:p w14:paraId="6CD8F9CF" w14:textId="1E0D7E0D"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4.78</w:t>
            </w:r>
          </w:p>
        </w:tc>
      </w:tr>
      <w:tr w:rsidR="00362D81" w:rsidRPr="000C79A9" w14:paraId="012AFD3E" w14:textId="77777777" w:rsidTr="00C370FA">
        <w:trPr>
          <w:trHeight w:val="340"/>
          <w:jc w:val="center"/>
        </w:trPr>
        <w:tc>
          <w:tcPr>
            <w:tcW w:w="2694" w:type="dxa"/>
            <w:tcBorders>
              <w:top w:val="nil"/>
              <w:bottom w:val="nil"/>
            </w:tcBorders>
            <w:shd w:val="clear" w:color="auto" w:fill="auto"/>
          </w:tcPr>
          <w:p w14:paraId="6EC3C1DA" w14:textId="77777777"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lastRenderedPageBreak/>
              <w:t>Particulate matter</w:t>
            </w:r>
          </w:p>
        </w:tc>
        <w:tc>
          <w:tcPr>
            <w:tcW w:w="2126" w:type="dxa"/>
            <w:tcBorders>
              <w:top w:val="nil"/>
              <w:bottom w:val="nil"/>
            </w:tcBorders>
          </w:tcPr>
          <w:p w14:paraId="35576474" w14:textId="5ED9377A"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disease incidences/person</w:t>
            </w:r>
          </w:p>
        </w:tc>
        <w:tc>
          <w:tcPr>
            <w:tcW w:w="1701" w:type="dxa"/>
            <w:tcBorders>
              <w:top w:val="nil"/>
              <w:bottom w:val="nil"/>
            </w:tcBorders>
            <w:shd w:val="clear" w:color="auto" w:fill="auto"/>
          </w:tcPr>
          <w:p w14:paraId="66F0B4D7" w14:textId="326C0597"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5.95E-04</w:t>
            </w:r>
          </w:p>
        </w:tc>
        <w:tc>
          <w:tcPr>
            <w:tcW w:w="1701" w:type="dxa"/>
            <w:tcBorders>
              <w:top w:val="nil"/>
              <w:bottom w:val="nil"/>
            </w:tcBorders>
          </w:tcPr>
          <w:p w14:paraId="3B5684A2" w14:textId="2DE7C3D8"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8.96</w:t>
            </w:r>
          </w:p>
        </w:tc>
      </w:tr>
      <w:tr w:rsidR="00362D81" w:rsidRPr="000C79A9" w14:paraId="5783E3EB" w14:textId="77777777" w:rsidTr="00C370FA">
        <w:trPr>
          <w:trHeight w:val="340"/>
          <w:jc w:val="center"/>
        </w:trPr>
        <w:tc>
          <w:tcPr>
            <w:tcW w:w="2694" w:type="dxa"/>
            <w:tcBorders>
              <w:top w:val="nil"/>
              <w:bottom w:val="nil"/>
            </w:tcBorders>
            <w:shd w:val="clear" w:color="auto" w:fill="auto"/>
          </w:tcPr>
          <w:p w14:paraId="6941E473" w14:textId="77777777"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Human toxicity, non</w:t>
            </w:r>
            <w:r w:rsidRPr="000C79A9">
              <w:rPr>
                <w:rFonts w:ascii="Palatino Linotype" w:hAnsi="Palatino Linotype"/>
                <w:sz w:val="20"/>
                <w:szCs w:val="20"/>
              </w:rPr>
              <w:noBreakHyphen/>
              <w:t>cancer</w:t>
            </w:r>
          </w:p>
        </w:tc>
        <w:tc>
          <w:tcPr>
            <w:tcW w:w="2126" w:type="dxa"/>
            <w:tcBorders>
              <w:top w:val="nil"/>
              <w:bottom w:val="nil"/>
            </w:tcBorders>
          </w:tcPr>
          <w:p w14:paraId="72FCF1E4" w14:textId="6ACAEC59" w:rsidR="00362D81" w:rsidRPr="000C79A9" w:rsidRDefault="00362D81" w:rsidP="00362D81">
            <w:pPr>
              <w:rPr>
                <w:rFonts w:ascii="Palatino Linotype" w:hAnsi="Palatino Linotype"/>
                <w:sz w:val="20"/>
                <w:szCs w:val="20"/>
              </w:rPr>
            </w:pPr>
            <w:proofErr w:type="spellStart"/>
            <w:r w:rsidRPr="000C79A9">
              <w:rPr>
                <w:rFonts w:ascii="Palatino Linotype" w:hAnsi="Palatino Linotype"/>
                <w:sz w:val="20"/>
                <w:szCs w:val="20"/>
              </w:rPr>
              <w:t>CTUh</w:t>
            </w:r>
            <w:proofErr w:type="spellEnd"/>
            <w:r w:rsidRPr="000C79A9">
              <w:rPr>
                <w:rFonts w:ascii="Palatino Linotype" w:hAnsi="Palatino Linotype"/>
                <w:sz w:val="20"/>
                <w:szCs w:val="20"/>
              </w:rPr>
              <w:t>/person</w:t>
            </w:r>
          </w:p>
        </w:tc>
        <w:tc>
          <w:tcPr>
            <w:tcW w:w="1701" w:type="dxa"/>
            <w:tcBorders>
              <w:top w:val="nil"/>
              <w:bottom w:val="nil"/>
            </w:tcBorders>
            <w:shd w:val="clear" w:color="auto" w:fill="auto"/>
          </w:tcPr>
          <w:p w14:paraId="1FE60113" w14:textId="4DAA71B2"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2.30E-04</w:t>
            </w:r>
          </w:p>
        </w:tc>
        <w:tc>
          <w:tcPr>
            <w:tcW w:w="1701" w:type="dxa"/>
            <w:tcBorders>
              <w:top w:val="nil"/>
              <w:bottom w:val="nil"/>
            </w:tcBorders>
          </w:tcPr>
          <w:p w14:paraId="55C3E70E" w14:textId="5423F71A"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1.84</w:t>
            </w:r>
          </w:p>
        </w:tc>
      </w:tr>
      <w:tr w:rsidR="00362D81" w:rsidRPr="000C79A9" w14:paraId="1FAD0594" w14:textId="77777777" w:rsidTr="00C370FA">
        <w:trPr>
          <w:trHeight w:val="340"/>
          <w:jc w:val="center"/>
        </w:trPr>
        <w:tc>
          <w:tcPr>
            <w:tcW w:w="2694" w:type="dxa"/>
            <w:tcBorders>
              <w:top w:val="nil"/>
              <w:bottom w:val="nil"/>
            </w:tcBorders>
            <w:shd w:val="clear" w:color="auto" w:fill="auto"/>
          </w:tcPr>
          <w:p w14:paraId="79CB946C" w14:textId="77777777"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Human toxicity, cancer</w:t>
            </w:r>
          </w:p>
        </w:tc>
        <w:tc>
          <w:tcPr>
            <w:tcW w:w="2126" w:type="dxa"/>
            <w:tcBorders>
              <w:top w:val="nil"/>
              <w:bottom w:val="nil"/>
            </w:tcBorders>
          </w:tcPr>
          <w:p w14:paraId="4D250A2D" w14:textId="5E394061" w:rsidR="00362D81" w:rsidRPr="000C79A9" w:rsidRDefault="00362D81" w:rsidP="00362D81">
            <w:pPr>
              <w:rPr>
                <w:rFonts w:ascii="Palatino Linotype" w:hAnsi="Palatino Linotype"/>
                <w:sz w:val="20"/>
                <w:szCs w:val="20"/>
              </w:rPr>
            </w:pPr>
            <w:proofErr w:type="spellStart"/>
            <w:r w:rsidRPr="000C79A9">
              <w:rPr>
                <w:rFonts w:ascii="Palatino Linotype" w:hAnsi="Palatino Linotype"/>
                <w:sz w:val="20"/>
                <w:szCs w:val="20"/>
              </w:rPr>
              <w:t>CTUh</w:t>
            </w:r>
            <w:proofErr w:type="spellEnd"/>
            <w:r w:rsidRPr="000C79A9">
              <w:rPr>
                <w:rFonts w:ascii="Palatino Linotype" w:hAnsi="Palatino Linotype"/>
                <w:sz w:val="20"/>
                <w:szCs w:val="20"/>
              </w:rPr>
              <w:t>/person</w:t>
            </w:r>
          </w:p>
        </w:tc>
        <w:tc>
          <w:tcPr>
            <w:tcW w:w="1701" w:type="dxa"/>
            <w:tcBorders>
              <w:top w:val="nil"/>
              <w:bottom w:val="nil"/>
            </w:tcBorders>
            <w:shd w:val="clear" w:color="auto" w:fill="auto"/>
          </w:tcPr>
          <w:p w14:paraId="1209DC36" w14:textId="7776F853"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1.69E-05</w:t>
            </w:r>
          </w:p>
        </w:tc>
        <w:tc>
          <w:tcPr>
            <w:tcW w:w="1701" w:type="dxa"/>
            <w:tcBorders>
              <w:top w:val="nil"/>
              <w:bottom w:val="nil"/>
            </w:tcBorders>
          </w:tcPr>
          <w:p w14:paraId="1F51C987" w14:textId="55AB96D5"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2.13</w:t>
            </w:r>
          </w:p>
        </w:tc>
      </w:tr>
      <w:tr w:rsidR="00362D81" w:rsidRPr="000C79A9" w14:paraId="7B0C6148" w14:textId="77777777" w:rsidTr="00C370FA">
        <w:trPr>
          <w:trHeight w:val="340"/>
          <w:jc w:val="center"/>
        </w:trPr>
        <w:tc>
          <w:tcPr>
            <w:tcW w:w="2694" w:type="dxa"/>
            <w:tcBorders>
              <w:top w:val="nil"/>
              <w:bottom w:val="nil"/>
            </w:tcBorders>
            <w:shd w:val="clear" w:color="auto" w:fill="auto"/>
          </w:tcPr>
          <w:p w14:paraId="4BBBC7D2" w14:textId="77777777"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Acidification</w:t>
            </w:r>
          </w:p>
        </w:tc>
        <w:tc>
          <w:tcPr>
            <w:tcW w:w="2126" w:type="dxa"/>
            <w:tcBorders>
              <w:top w:val="nil"/>
              <w:bottom w:val="nil"/>
            </w:tcBorders>
          </w:tcPr>
          <w:p w14:paraId="3A221625" w14:textId="72BEAA97"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mol H+ eq./person</w:t>
            </w:r>
          </w:p>
        </w:tc>
        <w:tc>
          <w:tcPr>
            <w:tcW w:w="1701" w:type="dxa"/>
            <w:tcBorders>
              <w:top w:val="nil"/>
              <w:bottom w:val="nil"/>
            </w:tcBorders>
            <w:shd w:val="clear" w:color="auto" w:fill="auto"/>
          </w:tcPr>
          <w:p w14:paraId="7DEDA0F2" w14:textId="5FDB4672"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5.56E+01</w:t>
            </w:r>
          </w:p>
        </w:tc>
        <w:tc>
          <w:tcPr>
            <w:tcW w:w="1701" w:type="dxa"/>
            <w:tcBorders>
              <w:top w:val="nil"/>
              <w:bottom w:val="nil"/>
            </w:tcBorders>
          </w:tcPr>
          <w:p w14:paraId="20446611" w14:textId="7E85DC0E"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6.20</w:t>
            </w:r>
          </w:p>
        </w:tc>
      </w:tr>
      <w:tr w:rsidR="00362D81" w:rsidRPr="000C79A9" w14:paraId="019A4FB8" w14:textId="77777777" w:rsidTr="00C370FA">
        <w:trPr>
          <w:trHeight w:val="340"/>
          <w:jc w:val="center"/>
        </w:trPr>
        <w:tc>
          <w:tcPr>
            <w:tcW w:w="2694" w:type="dxa"/>
            <w:tcBorders>
              <w:top w:val="nil"/>
              <w:bottom w:val="nil"/>
            </w:tcBorders>
            <w:shd w:val="clear" w:color="auto" w:fill="auto"/>
          </w:tcPr>
          <w:p w14:paraId="24FCEF75" w14:textId="77777777"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Eutrophication, freshwater</w:t>
            </w:r>
          </w:p>
        </w:tc>
        <w:tc>
          <w:tcPr>
            <w:tcW w:w="2126" w:type="dxa"/>
            <w:tcBorders>
              <w:top w:val="nil"/>
              <w:bottom w:val="nil"/>
            </w:tcBorders>
          </w:tcPr>
          <w:p w14:paraId="63E55CEA" w14:textId="5A37628D"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kg P eq./person</w:t>
            </w:r>
          </w:p>
        </w:tc>
        <w:tc>
          <w:tcPr>
            <w:tcW w:w="1701" w:type="dxa"/>
            <w:tcBorders>
              <w:top w:val="nil"/>
              <w:bottom w:val="nil"/>
            </w:tcBorders>
            <w:shd w:val="clear" w:color="auto" w:fill="auto"/>
          </w:tcPr>
          <w:p w14:paraId="167B2F5A" w14:textId="4AA685FA"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1.61E+00</w:t>
            </w:r>
          </w:p>
        </w:tc>
        <w:tc>
          <w:tcPr>
            <w:tcW w:w="1701" w:type="dxa"/>
            <w:tcBorders>
              <w:top w:val="nil"/>
              <w:bottom w:val="nil"/>
            </w:tcBorders>
          </w:tcPr>
          <w:p w14:paraId="0ED44CFD" w14:textId="794616DB"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2.80</w:t>
            </w:r>
          </w:p>
        </w:tc>
      </w:tr>
      <w:tr w:rsidR="00362D81" w:rsidRPr="000C79A9" w14:paraId="5B27EDA1" w14:textId="77777777" w:rsidTr="00C370FA">
        <w:trPr>
          <w:trHeight w:val="340"/>
          <w:jc w:val="center"/>
        </w:trPr>
        <w:tc>
          <w:tcPr>
            <w:tcW w:w="2694" w:type="dxa"/>
            <w:tcBorders>
              <w:top w:val="nil"/>
              <w:bottom w:val="nil"/>
            </w:tcBorders>
            <w:shd w:val="clear" w:color="auto" w:fill="auto"/>
          </w:tcPr>
          <w:p w14:paraId="17F0F61A" w14:textId="77777777"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Eutrophication, marine</w:t>
            </w:r>
          </w:p>
        </w:tc>
        <w:tc>
          <w:tcPr>
            <w:tcW w:w="2126" w:type="dxa"/>
            <w:tcBorders>
              <w:top w:val="nil"/>
              <w:bottom w:val="nil"/>
            </w:tcBorders>
          </w:tcPr>
          <w:p w14:paraId="026EFC32" w14:textId="289DB49C"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kg N eq./person</w:t>
            </w:r>
          </w:p>
        </w:tc>
        <w:tc>
          <w:tcPr>
            <w:tcW w:w="1701" w:type="dxa"/>
            <w:tcBorders>
              <w:top w:val="nil"/>
              <w:bottom w:val="nil"/>
            </w:tcBorders>
            <w:shd w:val="clear" w:color="auto" w:fill="auto"/>
          </w:tcPr>
          <w:p w14:paraId="121DF607" w14:textId="3D67949E"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1.95E+01</w:t>
            </w:r>
          </w:p>
        </w:tc>
        <w:tc>
          <w:tcPr>
            <w:tcW w:w="1701" w:type="dxa"/>
            <w:tcBorders>
              <w:top w:val="nil"/>
              <w:bottom w:val="nil"/>
            </w:tcBorders>
          </w:tcPr>
          <w:p w14:paraId="22741A76" w14:textId="24EFA20F"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2.96</w:t>
            </w:r>
          </w:p>
        </w:tc>
      </w:tr>
      <w:tr w:rsidR="00362D81" w:rsidRPr="000C79A9" w14:paraId="0F30CCA3" w14:textId="77777777" w:rsidTr="00C370FA">
        <w:trPr>
          <w:trHeight w:val="340"/>
          <w:jc w:val="center"/>
        </w:trPr>
        <w:tc>
          <w:tcPr>
            <w:tcW w:w="2694" w:type="dxa"/>
            <w:tcBorders>
              <w:top w:val="nil"/>
              <w:bottom w:val="nil"/>
            </w:tcBorders>
            <w:shd w:val="clear" w:color="auto" w:fill="auto"/>
          </w:tcPr>
          <w:p w14:paraId="25D429FF" w14:textId="77777777"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Eutrophication, terrestrial</w:t>
            </w:r>
          </w:p>
        </w:tc>
        <w:tc>
          <w:tcPr>
            <w:tcW w:w="2126" w:type="dxa"/>
            <w:tcBorders>
              <w:top w:val="nil"/>
              <w:bottom w:val="nil"/>
            </w:tcBorders>
          </w:tcPr>
          <w:p w14:paraId="4CC61BB4" w14:textId="6D17DF14"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mol N eq./person</w:t>
            </w:r>
          </w:p>
        </w:tc>
        <w:tc>
          <w:tcPr>
            <w:tcW w:w="1701" w:type="dxa"/>
            <w:tcBorders>
              <w:top w:val="nil"/>
              <w:bottom w:val="nil"/>
            </w:tcBorders>
            <w:shd w:val="clear" w:color="auto" w:fill="auto"/>
          </w:tcPr>
          <w:p w14:paraId="575BD807" w14:textId="7CF3C0BA"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1.77E+02</w:t>
            </w:r>
          </w:p>
        </w:tc>
        <w:tc>
          <w:tcPr>
            <w:tcW w:w="1701" w:type="dxa"/>
            <w:tcBorders>
              <w:top w:val="nil"/>
              <w:bottom w:val="nil"/>
            </w:tcBorders>
          </w:tcPr>
          <w:p w14:paraId="797B6DD0" w14:textId="72F3B31E"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3.71</w:t>
            </w:r>
          </w:p>
        </w:tc>
      </w:tr>
      <w:tr w:rsidR="00362D81" w:rsidRPr="000C79A9" w14:paraId="38C82475" w14:textId="77777777" w:rsidTr="00C370FA">
        <w:trPr>
          <w:trHeight w:val="340"/>
          <w:jc w:val="center"/>
        </w:trPr>
        <w:tc>
          <w:tcPr>
            <w:tcW w:w="2694" w:type="dxa"/>
            <w:tcBorders>
              <w:top w:val="nil"/>
              <w:bottom w:val="nil"/>
            </w:tcBorders>
            <w:shd w:val="clear" w:color="auto" w:fill="auto"/>
          </w:tcPr>
          <w:p w14:paraId="5E27374B" w14:textId="77777777"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Ecotoxicity, freshwater</w:t>
            </w:r>
          </w:p>
        </w:tc>
        <w:tc>
          <w:tcPr>
            <w:tcW w:w="2126" w:type="dxa"/>
            <w:tcBorders>
              <w:top w:val="nil"/>
              <w:bottom w:val="nil"/>
            </w:tcBorders>
          </w:tcPr>
          <w:p w14:paraId="0EFAD2E3" w14:textId="330729B8" w:rsidR="00362D81" w:rsidRPr="000C79A9" w:rsidRDefault="00362D81" w:rsidP="00362D81">
            <w:pPr>
              <w:rPr>
                <w:rFonts w:ascii="Palatino Linotype" w:hAnsi="Palatino Linotype"/>
                <w:sz w:val="20"/>
                <w:szCs w:val="20"/>
              </w:rPr>
            </w:pPr>
            <w:proofErr w:type="spellStart"/>
            <w:r w:rsidRPr="000C79A9">
              <w:rPr>
                <w:rFonts w:ascii="Palatino Linotype" w:hAnsi="Palatino Linotype"/>
                <w:sz w:val="20"/>
                <w:szCs w:val="20"/>
              </w:rPr>
              <w:t>CTUe</w:t>
            </w:r>
            <w:proofErr w:type="spellEnd"/>
            <w:r w:rsidRPr="000C79A9">
              <w:rPr>
                <w:rFonts w:ascii="Palatino Linotype" w:hAnsi="Palatino Linotype"/>
                <w:sz w:val="20"/>
                <w:szCs w:val="20"/>
              </w:rPr>
              <w:t>/person</w:t>
            </w:r>
          </w:p>
        </w:tc>
        <w:tc>
          <w:tcPr>
            <w:tcW w:w="1701" w:type="dxa"/>
            <w:tcBorders>
              <w:top w:val="nil"/>
              <w:bottom w:val="nil"/>
            </w:tcBorders>
            <w:shd w:val="clear" w:color="auto" w:fill="auto"/>
          </w:tcPr>
          <w:p w14:paraId="21812D49" w14:textId="59818936"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4.27E+04</w:t>
            </w:r>
          </w:p>
        </w:tc>
        <w:tc>
          <w:tcPr>
            <w:tcW w:w="1701" w:type="dxa"/>
            <w:tcBorders>
              <w:top w:val="nil"/>
              <w:bottom w:val="nil"/>
            </w:tcBorders>
          </w:tcPr>
          <w:p w14:paraId="73B318B7" w14:textId="400FA46F"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1.92</w:t>
            </w:r>
          </w:p>
        </w:tc>
      </w:tr>
      <w:tr w:rsidR="00362D81" w:rsidRPr="000C79A9" w14:paraId="43FFE434" w14:textId="77777777" w:rsidTr="00C370FA">
        <w:trPr>
          <w:trHeight w:val="340"/>
          <w:jc w:val="center"/>
        </w:trPr>
        <w:tc>
          <w:tcPr>
            <w:tcW w:w="2694" w:type="dxa"/>
            <w:tcBorders>
              <w:top w:val="nil"/>
              <w:bottom w:val="nil"/>
            </w:tcBorders>
            <w:shd w:val="clear" w:color="auto" w:fill="auto"/>
          </w:tcPr>
          <w:p w14:paraId="712B7FA2" w14:textId="77777777"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Land use</w:t>
            </w:r>
          </w:p>
        </w:tc>
        <w:tc>
          <w:tcPr>
            <w:tcW w:w="2126" w:type="dxa"/>
            <w:tcBorders>
              <w:top w:val="nil"/>
              <w:bottom w:val="nil"/>
            </w:tcBorders>
          </w:tcPr>
          <w:p w14:paraId="08D64605" w14:textId="7B70FEAB"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pt/person</w:t>
            </w:r>
          </w:p>
        </w:tc>
        <w:tc>
          <w:tcPr>
            <w:tcW w:w="1701" w:type="dxa"/>
            <w:tcBorders>
              <w:top w:val="nil"/>
              <w:bottom w:val="nil"/>
            </w:tcBorders>
            <w:shd w:val="clear" w:color="auto" w:fill="auto"/>
          </w:tcPr>
          <w:p w14:paraId="2CCC4F9B" w14:textId="2ED7C6FA"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8.19E+05</w:t>
            </w:r>
          </w:p>
        </w:tc>
        <w:tc>
          <w:tcPr>
            <w:tcW w:w="1701" w:type="dxa"/>
            <w:tcBorders>
              <w:top w:val="nil"/>
              <w:bottom w:val="nil"/>
            </w:tcBorders>
          </w:tcPr>
          <w:p w14:paraId="3516BA90" w14:textId="0AEE7D07"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7.94</w:t>
            </w:r>
          </w:p>
        </w:tc>
      </w:tr>
      <w:tr w:rsidR="00362D81" w:rsidRPr="000C79A9" w14:paraId="3C6A52FA" w14:textId="77777777" w:rsidTr="00C370FA">
        <w:trPr>
          <w:trHeight w:val="340"/>
          <w:jc w:val="center"/>
        </w:trPr>
        <w:tc>
          <w:tcPr>
            <w:tcW w:w="2694" w:type="dxa"/>
            <w:tcBorders>
              <w:top w:val="nil"/>
              <w:bottom w:val="nil"/>
            </w:tcBorders>
            <w:shd w:val="clear" w:color="auto" w:fill="auto"/>
          </w:tcPr>
          <w:p w14:paraId="4AE27A14" w14:textId="77777777"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Water use</w:t>
            </w:r>
          </w:p>
        </w:tc>
        <w:tc>
          <w:tcPr>
            <w:tcW w:w="2126" w:type="dxa"/>
            <w:tcBorders>
              <w:top w:val="nil"/>
              <w:bottom w:val="nil"/>
            </w:tcBorders>
          </w:tcPr>
          <w:p w14:paraId="4900970A" w14:textId="39C47327"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m</w:t>
            </w:r>
            <w:r w:rsidRPr="000C79A9">
              <w:rPr>
                <w:rFonts w:ascii="Palatino Linotype" w:hAnsi="Palatino Linotype"/>
                <w:sz w:val="20"/>
                <w:szCs w:val="20"/>
                <w:vertAlign w:val="superscript"/>
              </w:rPr>
              <w:t>3</w:t>
            </w:r>
            <w:r w:rsidRPr="000C79A9">
              <w:rPr>
                <w:rFonts w:ascii="Palatino Linotype" w:hAnsi="Palatino Linotype"/>
                <w:sz w:val="20"/>
                <w:szCs w:val="20"/>
              </w:rPr>
              <w:t xml:space="preserve"> water eq</w:t>
            </w:r>
            <w:r w:rsidR="00801BCE" w:rsidRPr="000C79A9">
              <w:rPr>
                <w:rFonts w:ascii="Palatino Linotype" w:hAnsi="Palatino Linotype"/>
                <w:sz w:val="20"/>
                <w:szCs w:val="20"/>
              </w:rPr>
              <w:t>.</w:t>
            </w:r>
            <w:r w:rsidRPr="000C79A9">
              <w:rPr>
                <w:rFonts w:ascii="Palatino Linotype" w:hAnsi="Palatino Linotype"/>
                <w:sz w:val="20"/>
                <w:szCs w:val="20"/>
              </w:rPr>
              <w:t xml:space="preserve"> of deprived water/person</w:t>
            </w:r>
          </w:p>
        </w:tc>
        <w:tc>
          <w:tcPr>
            <w:tcW w:w="1701" w:type="dxa"/>
            <w:tcBorders>
              <w:top w:val="nil"/>
              <w:bottom w:val="nil"/>
            </w:tcBorders>
            <w:shd w:val="clear" w:color="auto" w:fill="auto"/>
          </w:tcPr>
          <w:p w14:paraId="6D722D46" w14:textId="412DDEDA"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1.15E+04</w:t>
            </w:r>
          </w:p>
        </w:tc>
        <w:tc>
          <w:tcPr>
            <w:tcW w:w="1701" w:type="dxa"/>
            <w:tcBorders>
              <w:top w:val="nil"/>
              <w:bottom w:val="nil"/>
            </w:tcBorders>
          </w:tcPr>
          <w:p w14:paraId="503FD8BB" w14:textId="62CAE55C"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8.51</w:t>
            </w:r>
          </w:p>
        </w:tc>
      </w:tr>
      <w:tr w:rsidR="00362D81" w:rsidRPr="000C79A9" w14:paraId="0000C9BC" w14:textId="77777777" w:rsidTr="00C370FA">
        <w:trPr>
          <w:trHeight w:val="340"/>
          <w:jc w:val="center"/>
        </w:trPr>
        <w:tc>
          <w:tcPr>
            <w:tcW w:w="2694" w:type="dxa"/>
            <w:tcBorders>
              <w:top w:val="nil"/>
              <w:bottom w:val="nil"/>
            </w:tcBorders>
            <w:shd w:val="clear" w:color="auto" w:fill="auto"/>
          </w:tcPr>
          <w:p w14:paraId="55FE20E1" w14:textId="77777777"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Resource use, fossils</w:t>
            </w:r>
          </w:p>
        </w:tc>
        <w:tc>
          <w:tcPr>
            <w:tcW w:w="2126" w:type="dxa"/>
            <w:tcBorders>
              <w:top w:val="nil"/>
              <w:bottom w:val="nil"/>
            </w:tcBorders>
          </w:tcPr>
          <w:p w14:paraId="7BCA48A0" w14:textId="525F9E71"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MJ/person</w:t>
            </w:r>
          </w:p>
        </w:tc>
        <w:tc>
          <w:tcPr>
            <w:tcW w:w="1701" w:type="dxa"/>
            <w:tcBorders>
              <w:top w:val="nil"/>
              <w:bottom w:val="nil"/>
            </w:tcBorders>
            <w:shd w:val="clear" w:color="auto" w:fill="auto"/>
          </w:tcPr>
          <w:p w14:paraId="11402C56" w14:textId="6AAE8DE0"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6.50E+04</w:t>
            </w:r>
          </w:p>
        </w:tc>
        <w:tc>
          <w:tcPr>
            <w:tcW w:w="1701" w:type="dxa"/>
            <w:tcBorders>
              <w:top w:val="nil"/>
              <w:bottom w:val="nil"/>
            </w:tcBorders>
          </w:tcPr>
          <w:p w14:paraId="65F1957D" w14:textId="214EC941"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8.32</w:t>
            </w:r>
          </w:p>
        </w:tc>
      </w:tr>
      <w:tr w:rsidR="00362D81" w:rsidRPr="000C79A9" w14:paraId="0FA87D18" w14:textId="77777777" w:rsidTr="00C370FA">
        <w:trPr>
          <w:trHeight w:val="340"/>
          <w:jc w:val="center"/>
        </w:trPr>
        <w:tc>
          <w:tcPr>
            <w:tcW w:w="2694" w:type="dxa"/>
            <w:tcBorders>
              <w:top w:val="nil"/>
              <w:bottom w:val="single" w:sz="4" w:space="0" w:color="auto"/>
            </w:tcBorders>
            <w:shd w:val="clear" w:color="auto" w:fill="auto"/>
          </w:tcPr>
          <w:p w14:paraId="3947E54C" w14:textId="24FCAD64"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 xml:space="preserve">Resource use, </w:t>
            </w:r>
            <w:r w:rsidR="004F6C0E" w:rsidRPr="000C79A9">
              <w:rPr>
                <w:rFonts w:ascii="Palatino Linotype" w:hAnsi="Palatino Linotype"/>
                <w:sz w:val="20"/>
                <w:szCs w:val="20"/>
              </w:rPr>
              <w:t>minerals,</w:t>
            </w:r>
            <w:r w:rsidRPr="000C79A9">
              <w:rPr>
                <w:rFonts w:ascii="Palatino Linotype" w:hAnsi="Palatino Linotype"/>
                <w:sz w:val="20"/>
                <w:szCs w:val="20"/>
              </w:rPr>
              <w:t xml:space="preserve"> and metals</w:t>
            </w:r>
          </w:p>
        </w:tc>
        <w:tc>
          <w:tcPr>
            <w:tcW w:w="2126" w:type="dxa"/>
            <w:tcBorders>
              <w:top w:val="nil"/>
              <w:bottom w:val="single" w:sz="4" w:space="0" w:color="auto"/>
            </w:tcBorders>
          </w:tcPr>
          <w:p w14:paraId="32E7218F" w14:textId="08F69BD0"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kg Sb eq./person</w:t>
            </w:r>
          </w:p>
        </w:tc>
        <w:tc>
          <w:tcPr>
            <w:tcW w:w="1701" w:type="dxa"/>
            <w:tcBorders>
              <w:top w:val="nil"/>
              <w:bottom w:val="single" w:sz="4" w:space="0" w:color="auto"/>
            </w:tcBorders>
            <w:shd w:val="clear" w:color="auto" w:fill="auto"/>
          </w:tcPr>
          <w:p w14:paraId="163470B3" w14:textId="36DF16C7"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6.36E-02</w:t>
            </w:r>
          </w:p>
        </w:tc>
        <w:tc>
          <w:tcPr>
            <w:tcW w:w="1701" w:type="dxa"/>
            <w:tcBorders>
              <w:top w:val="nil"/>
              <w:bottom w:val="single" w:sz="4" w:space="0" w:color="auto"/>
            </w:tcBorders>
          </w:tcPr>
          <w:p w14:paraId="74D44D5A" w14:textId="0FB6DC99" w:rsidR="00362D81" w:rsidRPr="000C79A9" w:rsidRDefault="00362D81" w:rsidP="00362D81">
            <w:pPr>
              <w:rPr>
                <w:rFonts w:ascii="Palatino Linotype" w:hAnsi="Palatino Linotype"/>
                <w:sz w:val="20"/>
                <w:szCs w:val="20"/>
              </w:rPr>
            </w:pPr>
            <w:r w:rsidRPr="000C79A9">
              <w:rPr>
                <w:rFonts w:ascii="Palatino Linotype" w:hAnsi="Palatino Linotype"/>
                <w:sz w:val="20"/>
                <w:szCs w:val="20"/>
              </w:rPr>
              <w:t>7.55</w:t>
            </w:r>
          </w:p>
        </w:tc>
      </w:tr>
      <w:tr w:rsidR="00C750C8" w:rsidRPr="000C79A9" w14:paraId="3F0D098A" w14:textId="77777777" w:rsidTr="00C370FA">
        <w:trPr>
          <w:trHeight w:val="340"/>
          <w:jc w:val="center"/>
        </w:trPr>
        <w:tc>
          <w:tcPr>
            <w:tcW w:w="8222" w:type="dxa"/>
            <w:gridSpan w:val="4"/>
            <w:tcBorders>
              <w:top w:val="single" w:sz="4" w:space="0" w:color="auto"/>
              <w:bottom w:val="nil"/>
            </w:tcBorders>
            <w:shd w:val="clear" w:color="auto" w:fill="auto"/>
          </w:tcPr>
          <w:p w14:paraId="6AFE764B" w14:textId="2EE49DA6" w:rsidR="00C750C8" w:rsidRPr="000C79A9" w:rsidRDefault="004F6C0E" w:rsidP="00C750C8">
            <w:pPr>
              <w:jc w:val="both"/>
              <w:rPr>
                <w:rFonts w:ascii="Palatino Linotype" w:hAnsi="Palatino Linotype"/>
                <w:sz w:val="20"/>
                <w:szCs w:val="20"/>
              </w:rPr>
            </w:pPr>
            <w:r w:rsidRPr="000C79A9">
              <w:rPr>
                <w:rFonts w:ascii="Palatino Linotype" w:hAnsi="Palatino Linotype"/>
                <w:sz w:val="20"/>
                <w:szCs w:val="20"/>
                <w:vertAlign w:val="superscript"/>
              </w:rPr>
              <w:t>*</w:t>
            </w:r>
            <w:r w:rsidR="00C750C8" w:rsidRPr="000C79A9">
              <w:rPr>
                <w:rFonts w:ascii="Palatino Linotype" w:hAnsi="Palatino Linotype"/>
                <w:sz w:val="20"/>
                <w:szCs w:val="20"/>
              </w:rPr>
              <w:t>NMVOC= Non-Methane Volatile Organic Compounds</w:t>
            </w:r>
          </w:p>
        </w:tc>
      </w:tr>
    </w:tbl>
    <w:p w14:paraId="4861CB92" w14:textId="5209CE76" w:rsidR="004F6C0E" w:rsidRPr="000C79A9" w:rsidRDefault="004F6C0E" w:rsidP="00D358BF">
      <w:pPr>
        <w:jc w:val="both"/>
        <w:rPr>
          <w:rFonts w:ascii="Palatino Linotype" w:hAnsi="Palatino Linotype"/>
          <w:sz w:val="20"/>
          <w:szCs w:val="20"/>
        </w:rPr>
      </w:pPr>
      <w:r w:rsidRPr="000C79A9">
        <w:rPr>
          <w:rFonts w:ascii="Palatino Linotype" w:hAnsi="Palatino Linotype"/>
          <w:sz w:val="20"/>
          <w:szCs w:val="20"/>
        </w:rPr>
        <w:t xml:space="preserve">Some of the terms appearing in </w:t>
      </w:r>
      <w:r w:rsidRPr="000C79A9">
        <w:rPr>
          <w:rFonts w:ascii="Palatino Linotype" w:hAnsi="Palatino Linotype"/>
          <w:sz w:val="20"/>
          <w:szCs w:val="20"/>
        </w:rPr>
        <w:fldChar w:fldCharType="begin"/>
      </w:r>
      <w:r w:rsidRPr="000C79A9">
        <w:rPr>
          <w:rFonts w:ascii="Palatino Linotype" w:hAnsi="Palatino Linotype"/>
          <w:sz w:val="20"/>
          <w:szCs w:val="20"/>
        </w:rPr>
        <w:instrText xml:space="preserve"> REF _Ref146382341 \h </w:instrText>
      </w:r>
      <w:r w:rsidR="000C79A9" w:rsidRPr="000C79A9">
        <w:rPr>
          <w:rFonts w:ascii="Palatino Linotype" w:hAnsi="Palatino Linotype"/>
          <w:sz w:val="20"/>
          <w:szCs w:val="20"/>
        </w:rPr>
        <w:instrText xml:space="preserve"> \* MERGEFORMAT </w:instrText>
      </w:r>
      <w:r w:rsidRPr="000C79A9">
        <w:rPr>
          <w:rFonts w:ascii="Palatino Linotype" w:hAnsi="Palatino Linotype"/>
          <w:sz w:val="20"/>
          <w:szCs w:val="20"/>
        </w:rPr>
      </w:r>
      <w:r w:rsidRPr="000C79A9">
        <w:rPr>
          <w:rFonts w:ascii="Palatino Linotype" w:hAnsi="Palatino Linotype"/>
          <w:sz w:val="20"/>
          <w:szCs w:val="20"/>
        </w:rPr>
        <w:fldChar w:fldCharType="separate"/>
      </w:r>
      <w:r w:rsidRPr="000C79A9">
        <w:rPr>
          <w:rFonts w:ascii="Palatino Linotype" w:hAnsi="Palatino Linotype"/>
          <w:sz w:val="20"/>
          <w:szCs w:val="20"/>
        </w:rPr>
        <w:t xml:space="preserve">Table </w:t>
      </w:r>
      <w:r w:rsidR="001661CF">
        <w:rPr>
          <w:rFonts w:ascii="Palatino Linotype" w:hAnsi="Palatino Linotype"/>
          <w:sz w:val="20"/>
          <w:szCs w:val="20"/>
        </w:rPr>
        <w:t>S</w:t>
      </w:r>
      <w:r w:rsidR="000C79A9">
        <w:rPr>
          <w:rFonts w:ascii="Palatino Linotype" w:hAnsi="Palatino Linotype"/>
          <w:sz w:val="20"/>
          <w:szCs w:val="20"/>
        </w:rPr>
        <w:t>4.</w:t>
      </w:r>
      <w:r w:rsidRPr="000C79A9">
        <w:rPr>
          <w:rFonts w:ascii="Palatino Linotype" w:hAnsi="Palatino Linotype"/>
          <w:noProof/>
          <w:sz w:val="20"/>
          <w:szCs w:val="20"/>
        </w:rPr>
        <w:t>1</w:t>
      </w:r>
      <w:r w:rsidRPr="000C79A9">
        <w:rPr>
          <w:rFonts w:ascii="Palatino Linotype" w:hAnsi="Palatino Linotype"/>
          <w:sz w:val="20"/>
          <w:szCs w:val="20"/>
        </w:rPr>
        <w:fldChar w:fldCharType="end"/>
      </w:r>
      <w:r w:rsidRPr="000C79A9">
        <w:rPr>
          <w:rFonts w:ascii="Palatino Linotype" w:hAnsi="Palatino Linotype"/>
          <w:sz w:val="20"/>
          <w:szCs w:val="20"/>
        </w:rPr>
        <w:t xml:space="preserve"> are specific to the LCIA terminology, therefore we explain them in below:</w:t>
      </w:r>
    </w:p>
    <w:p w14:paraId="76BEA17C" w14:textId="77777777" w:rsidR="004F6C0E" w:rsidRPr="000C79A9" w:rsidRDefault="004F6C0E" w:rsidP="004F6C0E">
      <w:pPr>
        <w:pStyle w:val="ListParagraph"/>
        <w:numPr>
          <w:ilvl w:val="0"/>
          <w:numId w:val="4"/>
        </w:numPr>
        <w:jc w:val="both"/>
        <w:rPr>
          <w:rFonts w:ascii="Palatino Linotype" w:hAnsi="Palatino Linotype"/>
          <w:sz w:val="20"/>
          <w:szCs w:val="20"/>
        </w:rPr>
      </w:pPr>
      <w:proofErr w:type="spellStart"/>
      <w:r w:rsidRPr="000C79A9">
        <w:rPr>
          <w:rFonts w:ascii="Palatino Linotype" w:hAnsi="Palatino Linotype"/>
          <w:sz w:val="20"/>
          <w:szCs w:val="20"/>
        </w:rPr>
        <w:t>CTUh</w:t>
      </w:r>
      <w:proofErr w:type="spellEnd"/>
      <w:r w:rsidRPr="000C79A9">
        <w:rPr>
          <w:rFonts w:ascii="Palatino Linotype" w:hAnsi="Palatino Linotype"/>
          <w:sz w:val="20"/>
          <w:szCs w:val="20"/>
        </w:rPr>
        <w:t>= Comparative Toxic Unit for human. It expresses the estimated increase in morbidity in the total human population per unit mass of a chemical emitted (cases per kg</w:t>
      </w:r>
      <w:proofErr w:type="gramStart"/>
      <w:r w:rsidRPr="000C79A9">
        <w:rPr>
          <w:rFonts w:ascii="Palatino Linotype" w:hAnsi="Palatino Linotype"/>
          <w:sz w:val="20"/>
          <w:szCs w:val="20"/>
        </w:rPr>
        <w:t>);</w:t>
      </w:r>
      <w:proofErr w:type="gramEnd"/>
      <w:r w:rsidRPr="000C79A9">
        <w:rPr>
          <w:rFonts w:ascii="Palatino Linotype" w:hAnsi="Palatino Linotype"/>
          <w:sz w:val="20"/>
          <w:szCs w:val="20"/>
        </w:rPr>
        <w:t xml:space="preserve"> </w:t>
      </w:r>
    </w:p>
    <w:p w14:paraId="219F341E" w14:textId="3B856DDB" w:rsidR="004F6C0E" w:rsidRPr="000C79A9" w:rsidRDefault="004F6C0E" w:rsidP="004F6C0E">
      <w:pPr>
        <w:pStyle w:val="ListParagraph"/>
        <w:numPr>
          <w:ilvl w:val="0"/>
          <w:numId w:val="4"/>
        </w:numPr>
        <w:jc w:val="both"/>
        <w:rPr>
          <w:rFonts w:ascii="Palatino Linotype" w:hAnsi="Palatino Linotype"/>
          <w:sz w:val="20"/>
          <w:szCs w:val="20"/>
        </w:rPr>
      </w:pPr>
      <w:proofErr w:type="spellStart"/>
      <w:r w:rsidRPr="000C79A9">
        <w:rPr>
          <w:rFonts w:ascii="Palatino Linotype" w:hAnsi="Palatino Linotype"/>
          <w:sz w:val="20"/>
          <w:szCs w:val="20"/>
        </w:rPr>
        <w:t>CTUe</w:t>
      </w:r>
      <w:proofErr w:type="spellEnd"/>
      <w:r w:rsidRPr="000C79A9">
        <w:rPr>
          <w:rFonts w:ascii="Palatino Linotype" w:hAnsi="Palatino Linotype"/>
          <w:sz w:val="20"/>
          <w:szCs w:val="20"/>
        </w:rPr>
        <w:t xml:space="preserve">= Comparative Toxic Unit for freshwater ecosystems. It provides an estimate of the potentially affected fraction of species (PAF) integrated over time and volume per unit mass of a chemical </w:t>
      </w:r>
      <w:proofErr w:type="gramStart"/>
      <w:r w:rsidRPr="000C79A9">
        <w:rPr>
          <w:rFonts w:ascii="Palatino Linotype" w:hAnsi="Palatino Linotype"/>
          <w:sz w:val="20"/>
          <w:szCs w:val="20"/>
        </w:rPr>
        <w:t>emitted;</w:t>
      </w:r>
      <w:proofErr w:type="gramEnd"/>
    </w:p>
    <w:p w14:paraId="4F992E06" w14:textId="0F36271F" w:rsidR="004F6C0E" w:rsidRPr="000C79A9" w:rsidRDefault="004F6C0E" w:rsidP="004F6C0E">
      <w:pPr>
        <w:pStyle w:val="ListParagraph"/>
        <w:numPr>
          <w:ilvl w:val="0"/>
          <w:numId w:val="4"/>
        </w:numPr>
        <w:jc w:val="both"/>
        <w:rPr>
          <w:rFonts w:ascii="Palatino Linotype" w:hAnsi="Palatino Linotype"/>
          <w:sz w:val="20"/>
          <w:szCs w:val="20"/>
        </w:rPr>
      </w:pPr>
      <w:r w:rsidRPr="000C79A9">
        <w:rPr>
          <w:rFonts w:ascii="Palatino Linotype" w:hAnsi="Palatino Linotype"/>
          <w:sz w:val="20"/>
          <w:szCs w:val="20"/>
        </w:rPr>
        <w:t xml:space="preserve">pt is a dimensionless, aggregated index, used by the EF method to quantify the impacts on land use. The symbol pt stands for "points" and it expresses </w:t>
      </w:r>
      <w:r w:rsidR="00056563" w:rsidRPr="000C79A9">
        <w:rPr>
          <w:rFonts w:ascii="Palatino Linotype" w:hAnsi="Palatino Linotype"/>
          <w:sz w:val="20"/>
          <w:szCs w:val="20"/>
        </w:rPr>
        <w:t>the</w:t>
      </w:r>
      <w:r w:rsidRPr="000C79A9">
        <w:rPr>
          <w:rFonts w:ascii="Palatino Linotype" w:hAnsi="Palatino Linotype"/>
          <w:sz w:val="20"/>
          <w:szCs w:val="20"/>
        </w:rPr>
        <w:t xml:space="preserve"> "soil quality index"</w:t>
      </w:r>
      <w:r w:rsidR="00056563" w:rsidRPr="000C79A9">
        <w:rPr>
          <w:rFonts w:ascii="Palatino Linotype" w:hAnsi="Palatino Linotype"/>
          <w:sz w:val="20"/>
          <w:szCs w:val="20"/>
        </w:rPr>
        <w:t xml:space="preserve"> developed in </w:t>
      </w:r>
      <w:r w:rsidR="00056563" w:rsidRPr="000C79A9">
        <w:rPr>
          <w:rFonts w:ascii="Palatino Linotype" w:hAnsi="Palatino Linotype"/>
          <w:sz w:val="20"/>
          <w:szCs w:val="20"/>
        </w:rPr>
        <w:fldChar w:fldCharType="begin"/>
      </w:r>
      <w:r w:rsidR="00E9260C" w:rsidRPr="000C79A9">
        <w:rPr>
          <w:rFonts w:ascii="Palatino Linotype" w:hAnsi="Palatino Linotype"/>
          <w:sz w:val="20"/>
          <w:szCs w:val="20"/>
        </w:rPr>
        <w:instrText xml:space="preserve"> ADDIN ZOTERO_ITEM CSL_CITATION {"citationID":"SPWTtPmm","properties":{"formattedCitation":"[3]","plainCitation":"[3]","noteIndex":0},"citationItems":[{"id":5425,"uris":["http://zotero.org/users/2433369/items/3HLAIJSI"],"itemData":{"id":5425,"type":"article-journal","abstract":"Impacts associated with land use are increasingly recognized as important aspects to consider when conducting Life Cycle Assessment (LCA). Across the existing models accounting for land use activities in life cycle impact assessment, a balance is yet to be found between complexity and comprehensiveness on one hand, and applicability on the other hand. This work builds on the LANd use indicator value CAlculation (LANCA ® ) model, assessing the impacts of land use activities on five soil properties, and aims at developing an aggregated index to improve its applicability. First a statistical analysis is conducted, leading to the shortlisting of the four most significant soil quality indicators. Then two options for aggregating the selected indicators are presented: the soil quality index (SQI), based on linear aggregation, and the normalisation–based soil quality index (NSQI), where the aggregation process involves normalisation integrated into the characterisation step. Country-specific and global average characterisation factors (CFs) are calculated for 57 land use types considering both land occupation and land transformation interventions with the two suggested approaches. The two indices present similar ranking of land use types but the relative contribution of the separate indicators to the aggregated index varies according to the approach adopted. The differences between the aggregation approaches suggested are discussed, together with the limitations related to both the LANCA ® model and the aggregation approaches. This work represents a first step towards the widespread application of a comprehensive and robust land use model at midpoint level in LCA. Finally, a number of recommendations for the future development of the LANCA ® model and of the related soil quality models are provided.","container-title":"Journal of Cleaner Production","DOI":"10.1016/J.JCLEPRO.2018.12.238","ISSN":"0959-6526","note":"publisher: Elsevier","page":"63–74","title":"Soil quality index: Exploring options for a comprehensive assessment of land use impacts in LCA","volume":"215","author":[{"family":"De Laurentiis","given":"Valeria"},{"family":"Secchi","given":"Michela"},{"family":"Bos","given":"Ulrike"},{"family":"Horn","given":"Rafael"},{"family":"Laurent","given":"Alexis"},{"family":"Sala","given":"Serenella"}],"issued":{"date-parts":[["2019",4]]}}}],"schema":"https://github.com/citation-style-language/schema/raw/master/csl-citation.json"} </w:instrText>
      </w:r>
      <w:r w:rsidR="00056563" w:rsidRPr="000C79A9">
        <w:rPr>
          <w:rFonts w:ascii="Palatino Linotype" w:hAnsi="Palatino Linotype"/>
          <w:sz w:val="20"/>
          <w:szCs w:val="20"/>
        </w:rPr>
        <w:fldChar w:fldCharType="separate"/>
      </w:r>
      <w:r w:rsidR="00E9260C" w:rsidRPr="000C79A9">
        <w:rPr>
          <w:rFonts w:ascii="Palatino Linotype" w:hAnsi="Palatino Linotype" w:cs="Calibri"/>
          <w:sz w:val="20"/>
          <w:szCs w:val="20"/>
        </w:rPr>
        <w:t>[3]</w:t>
      </w:r>
      <w:r w:rsidR="00056563" w:rsidRPr="000C79A9">
        <w:rPr>
          <w:rFonts w:ascii="Palatino Linotype" w:hAnsi="Palatino Linotype"/>
          <w:sz w:val="20"/>
          <w:szCs w:val="20"/>
        </w:rPr>
        <w:fldChar w:fldCharType="end"/>
      </w:r>
      <w:r w:rsidR="00056563" w:rsidRPr="000C79A9">
        <w:rPr>
          <w:rFonts w:ascii="Palatino Linotype" w:hAnsi="Palatino Linotype"/>
          <w:sz w:val="20"/>
          <w:szCs w:val="20"/>
        </w:rPr>
        <w:t>, which is</w:t>
      </w:r>
      <w:r w:rsidRPr="000C79A9">
        <w:rPr>
          <w:rFonts w:ascii="Palatino Linotype" w:hAnsi="Palatino Linotype"/>
          <w:sz w:val="20"/>
          <w:szCs w:val="20"/>
        </w:rPr>
        <w:t xml:space="preserve"> based on the LANCA method </w:t>
      </w:r>
      <w:r w:rsidR="00621D87" w:rsidRPr="000C79A9">
        <w:rPr>
          <w:rFonts w:ascii="Palatino Linotype" w:hAnsi="Palatino Linotype"/>
          <w:sz w:val="20"/>
          <w:szCs w:val="20"/>
        </w:rPr>
        <w:fldChar w:fldCharType="begin"/>
      </w:r>
      <w:r w:rsidR="00E9260C" w:rsidRPr="000C79A9">
        <w:rPr>
          <w:rFonts w:ascii="Palatino Linotype" w:hAnsi="Palatino Linotype"/>
          <w:sz w:val="20"/>
          <w:szCs w:val="20"/>
        </w:rPr>
        <w:instrText xml:space="preserve"> ADDIN ZOTERO_ITEM CSL_CITATION {"citationID":"2UHajKPH","properties":{"formattedCitation":"[4, 5]","plainCitation":"[4, 5]","noteIndex":0},"citationItems":[{"id":5423,"uris":["http://zotero.org/users/2433369/items/CTGKCIS3"],"itemData":{"id":5423,"type":"book","event-place":"Stuttgart","ISBN":"978-3-8396-0170-9","publisher":"Fraunhofer Verlag","publisher-place":"Stuttgart","title":"LANCA®—land use indicator value calculation in life cycle assessment","author":[{"family":"Beck","given":"Tabea"},{"family":"Bos","given":"Ulrike"},{"family":"Wittstock","given":"Bastian"},{"family":"Baitz","given":"Martin"},{"family":"Fischer","given":"Matthias"},{"family":"Sedlbauer","given":"K"}],"issued":{"date-parts":[["2010"]]}}},{"id":5424,"uris":["http://zotero.org/users/2433369/items/D4EIY6PU"],"itemData":{"id":5424,"type":"book","event-place":"Stuttgart","ISBN":"978-3-8396-0953-8","number-of-pages":"170","publisher":"Fraunhofer IBP","publisher-place":"Stuttgart","title":"LANCA® - Characterisation Factors for Life Cycle Impact Assessment, Version 2.0","author":[{"family":"Bos","given":"Ulrike"},{"family":"Horn","given":"Rafael"},{"family":"Beck","given":"Tabea"},{"family":"Lindner","given":"Jan Paul"},{"family":"Fischer","given":"Matthias"}],"issued":{"date-parts":[["2016"]]}},"label":"page"}],"schema":"https://github.com/citation-style-language/schema/raw/master/csl-citation.json"} </w:instrText>
      </w:r>
      <w:r w:rsidR="00621D87" w:rsidRPr="000C79A9">
        <w:rPr>
          <w:rFonts w:ascii="Palatino Linotype" w:hAnsi="Palatino Linotype"/>
          <w:sz w:val="20"/>
          <w:szCs w:val="20"/>
        </w:rPr>
        <w:fldChar w:fldCharType="separate"/>
      </w:r>
      <w:r w:rsidR="00E9260C" w:rsidRPr="000C79A9">
        <w:rPr>
          <w:rFonts w:ascii="Palatino Linotype" w:hAnsi="Palatino Linotype" w:cs="Calibri"/>
          <w:sz w:val="20"/>
          <w:szCs w:val="20"/>
        </w:rPr>
        <w:t>[4, 5]</w:t>
      </w:r>
      <w:r w:rsidR="00621D87" w:rsidRPr="000C79A9">
        <w:rPr>
          <w:rFonts w:ascii="Palatino Linotype" w:hAnsi="Palatino Linotype"/>
          <w:sz w:val="20"/>
          <w:szCs w:val="20"/>
        </w:rPr>
        <w:fldChar w:fldCharType="end"/>
      </w:r>
      <w:r w:rsidRPr="000C79A9">
        <w:rPr>
          <w:rFonts w:ascii="Palatino Linotype" w:hAnsi="Palatino Linotype"/>
          <w:sz w:val="20"/>
          <w:szCs w:val="20"/>
        </w:rPr>
        <w:t>, which accounts for four soil biophysical properties: biotic production, erosion resistance, mechanical filtration,</w:t>
      </w:r>
      <w:r w:rsidR="00621D87" w:rsidRPr="000C79A9">
        <w:rPr>
          <w:rFonts w:ascii="Palatino Linotype" w:hAnsi="Palatino Linotype"/>
          <w:sz w:val="20"/>
          <w:szCs w:val="20"/>
        </w:rPr>
        <w:t xml:space="preserve"> </w:t>
      </w:r>
      <w:r w:rsidRPr="000C79A9">
        <w:rPr>
          <w:rFonts w:ascii="Palatino Linotype" w:hAnsi="Palatino Linotype"/>
          <w:sz w:val="20"/>
          <w:szCs w:val="20"/>
        </w:rPr>
        <w:t>and groundwater replenishment.</w:t>
      </w:r>
    </w:p>
    <w:p w14:paraId="19AB0E73" w14:textId="77777777" w:rsidR="004F6C0E" w:rsidRPr="000C79A9" w:rsidRDefault="004F6C0E" w:rsidP="00D358BF">
      <w:pPr>
        <w:jc w:val="both"/>
        <w:rPr>
          <w:rFonts w:ascii="Palatino Linotype" w:hAnsi="Palatino Linotype"/>
          <w:sz w:val="20"/>
          <w:szCs w:val="20"/>
        </w:rPr>
      </w:pPr>
    </w:p>
    <w:p w14:paraId="4DBDD9CA" w14:textId="6ACB7096" w:rsidR="00D358BF" w:rsidRPr="000C79A9" w:rsidRDefault="00D358BF" w:rsidP="00D358BF">
      <w:pPr>
        <w:jc w:val="both"/>
        <w:rPr>
          <w:rFonts w:ascii="Palatino Linotype" w:hAnsi="Palatino Linotype"/>
          <w:sz w:val="20"/>
          <w:szCs w:val="20"/>
        </w:rPr>
      </w:pPr>
      <w:r w:rsidRPr="000C79A9">
        <w:rPr>
          <w:rFonts w:ascii="Palatino Linotype" w:hAnsi="Palatino Linotype"/>
          <w:sz w:val="20"/>
          <w:szCs w:val="20"/>
        </w:rPr>
        <w:t>The single score impact is then calculated as the weighted sum of the normalised impacts across all the impact categories:</w:t>
      </w:r>
    </w:p>
    <w:p w14:paraId="0758FA12" w14:textId="77777777" w:rsidR="00D358BF" w:rsidRPr="000C79A9" w:rsidRDefault="00D358BF" w:rsidP="00D358BF">
      <w:pPr>
        <w:jc w:val="both"/>
        <w:rPr>
          <w:rFonts w:ascii="Palatino Linotype" w:hAnsi="Palatino Linotype"/>
          <w:sz w:val="20"/>
          <w:szCs w:val="20"/>
        </w:rPr>
      </w:pPr>
    </w:p>
    <w:p w14:paraId="798B8E34" w14:textId="4AB68C33" w:rsidR="00D358BF" w:rsidRPr="000C79A9" w:rsidRDefault="00000000" w:rsidP="00D358BF">
      <w:pPr>
        <w:jc w:val="center"/>
        <w:rPr>
          <w:rFonts w:ascii="Palatino Linotype" w:eastAsiaTheme="minorEastAsia" w:hAnsi="Palatino Linotype"/>
          <w:i/>
          <w:sz w:val="20"/>
          <w:szCs w:val="20"/>
          <w:lang w:val="fr-LU"/>
        </w:rPr>
      </w:pPr>
      <m:oMath>
        <m:sSub>
          <m:sSubPr>
            <m:ctrlPr>
              <w:rPr>
                <w:rFonts w:ascii="Cambria Math" w:hAnsi="Cambria Math"/>
                <w:i/>
                <w:sz w:val="20"/>
                <w:szCs w:val="20"/>
              </w:rPr>
            </m:ctrlPr>
          </m:sSubPr>
          <m:e>
            <m:r>
              <w:rPr>
                <w:rFonts w:ascii="Cambria Math" w:hAnsi="Cambria Math"/>
                <w:sz w:val="20"/>
                <w:szCs w:val="20"/>
              </w:rPr>
              <m:t>EF</m:t>
            </m:r>
          </m:e>
          <m:sub>
            <m:r>
              <w:rPr>
                <w:rFonts w:ascii="Cambria Math" w:hAnsi="Cambria Math"/>
                <w:sz w:val="20"/>
                <w:szCs w:val="20"/>
              </w:rPr>
              <m:t>single score</m:t>
            </m:r>
          </m:sub>
        </m:sSub>
        <m:r>
          <w:rPr>
            <w:rFonts w:ascii="Cambria Math" w:hAnsi="Cambria Math"/>
            <w:sz w:val="20"/>
            <w:szCs w:val="20"/>
          </w:rPr>
          <m:t>=</m:t>
        </m:r>
        <m:nary>
          <m:naryPr>
            <m:chr m:val="∑"/>
            <m:limLoc m:val="undOvr"/>
            <m:ctrlPr>
              <w:rPr>
                <w:rFonts w:ascii="Cambria Math" w:hAnsi="Cambria Math"/>
                <w:i/>
                <w:sz w:val="20"/>
                <w:szCs w:val="20"/>
              </w:rPr>
            </m:ctrlPr>
          </m:naryPr>
          <m:sub>
            <m:r>
              <w:rPr>
                <w:rFonts w:ascii="Cambria Math" w:hAnsi="Cambria Math"/>
                <w:sz w:val="20"/>
                <w:szCs w:val="20"/>
              </w:rPr>
              <m:t>i=1</m:t>
            </m:r>
          </m:sub>
          <m:sup>
            <m:r>
              <w:rPr>
                <w:rFonts w:ascii="Cambria Math" w:hAnsi="Cambria Math"/>
                <w:sz w:val="20"/>
                <w:szCs w:val="20"/>
              </w:rPr>
              <m:t>16</m:t>
            </m:r>
          </m:sup>
          <m:e>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i</m:t>
                    </m:r>
                  </m:sub>
                </m:sSub>
              </m:num>
              <m:den>
                <m:sSub>
                  <m:sSubPr>
                    <m:ctrlPr>
                      <w:rPr>
                        <w:rFonts w:ascii="Cambria Math" w:hAnsi="Cambria Math"/>
                        <w:i/>
                        <w:sz w:val="20"/>
                        <w:szCs w:val="20"/>
                      </w:rPr>
                    </m:ctrlPr>
                  </m:sSubPr>
                  <m:e>
                    <m:r>
                      <w:rPr>
                        <w:rFonts w:ascii="Cambria Math" w:hAnsi="Cambria Math"/>
                        <w:sz w:val="20"/>
                        <w:szCs w:val="20"/>
                      </w:rPr>
                      <m:t>n</m:t>
                    </m:r>
                  </m:e>
                  <m:sub>
                    <m:r>
                      <w:rPr>
                        <w:rFonts w:ascii="Cambria Math" w:hAnsi="Cambria Math"/>
                        <w:sz w:val="20"/>
                        <w:szCs w:val="20"/>
                      </w:rPr>
                      <m:t>i</m:t>
                    </m:r>
                  </m:sub>
                </m:sSub>
              </m:den>
            </m:f>
            <m:sSub>
              <m:sSubPr>
                <m:ctrlPr>
                  <w:rPr>
                    <w:rFonts w:ascii="Cambria Math" w:hAnsi="Cambria Math"/>
                    <w:i/>
                    <w:sz w:val="20"/>
                    <w:szCs w:val="20"/>
                  </w:rPr>
                </m:ctrlPr>
              </m:sSubPr>
              <m:e>
                <m:r>
                  <w:rPr>
                    <w:rFonts w:ascii="Cambria Math" w:hAnsi="Cambria Math"/>
                    <w:sz w:val="20"/>
                    <w:szCs w:val="20"/>
                  </w:rPr>
                  <m:t>w</m:t>
                </m:r>
              </m:e>
              <m:sub>
                <m:r>
                  <w:rPr>
                    <w:rFonts w:ascii="Cambria Math" w:hAnsi="Cambria Math"/>
                    <w:sz w:val="20"/>
                    <w:szCs w:val="20"/>
                  </w:rPr>
                  <m:t>i</m:t>
                </m:r>
              </m:sub>
            </m:sSub>
          </m:e>
        </m:nary>
      </m:oMath>
      <w:r w:rsidR="00D358BF" w:rsidRPr="000C79A9">
        <w:rPr>
          <w:rFonts w:ascii="Palatino Linotype" w:eastAsiaTheme="minorEastAsia" w:hAnsi="Palatino Linotype"/>
          <w:i/>
          <w:iCs/>
          <w:sz w:val="20"/>
          <w:szCs w:val="20"/>
        </w:rPr>
        <w:tab/>
      </w:r>
    </w:p>
    <w:p w14:paraId="4156224C" w14:textId="35E8BAE6" w:rsidR="00D358BF" w:rsidRPr="000C79A9" w:rsidRDefault="00872FB0" w:rsidP="00D358BF">
      <w:pPr>
        <w:jc w:val="both"/>
        <w:rPr>
          <w:rFonts w:ascii="Palatino Linotype" w:eastAsiaTheme="minorEastAsia" w:hAnsi="Palatino Linotype"/>
          <w:iCs/>
          <w:sz w:val="20"/>
          <w:szCs w:val="20"/>
          <w:lang w:val="en-GB"/>
        </w:rPr>
      </w:pPr>
      <w:r w:rsidRPr="000C79A9">
        <w:rPr>
          <w:rFonts w:ascii="Palatino Linotype" w:eastAsiaTheme="minorEastAsia" w:hAnsi="Palatino Linotype"/>
          <w:iCs/>
          <w:sz w:val="20"/>
          <w:szCs w:val="20"/>
          <w:lang w:val="en-GB"/>
        </w:rPr>
        <w:t>W</w:t>
      </w:r>
      <w:r w:rsidR="00D358BF" w:rsidRPr="000C79A9">
        <w:rPr>
          <w:rFonts w:ascii="Palatino Linotype" w:eastAsiaTheme="minorEastAsia" w:hAnsi="Palatino Linotype"/>
          <w:iCs/>
          <w:sz w:val="20"/>
          <w:szCs w:val="20"/>
          <w:lang w:val="en-GB"/>
        </w:rPr>
        <w:t>here</w:t>
      </w:r>
      <w:r w:rsidRPr="000C79A9">
        <w:rPr>
          <w:rFonts w:ascii="Palatino Linotype" w:eastAsiaTheme="minorEastAsia" w:hAnsi="Palatino Linotype"/>
          <w:iCs/>
          <w:sz w:val="20"/>
          <w:szCs w:val="20"/>
          <w:lang w:val="en-GB"/>
        </w:rPr>
        <w:t xml:space="preserve"> </w:t>
      </w:r>
      <m:oMath>
        <m:sSub>
          <m:sSubPr>
            <m:ctrlPr>
              <w:rPr>
                <w:rFonts w:ascii="Cambria Math" w:hAnsi="Cambria Math"/>
                <w:i/>
                <w:sz w:val="20"/>
                <w:szCs w:val="20"/>
              </w:rPr>
            </m:ctrlPr>
          </m:sSubPr>
          <m:e>
            <m:r>
              <w:rPr>
                <w:rFonts w:ascii="Cambria Math" w:hAnsi="Cambria Math"/>
                <w:sz w:val="20"/>
                <w:szCs w:val="20"/>
              </w:rPr>
              <m:t>EF</m:t>
            </m:r>
          </m:e>
          <m:sub>
            <m:r>
              <w:rPr>
                <w:rFonts w:ascii="Cambria Math" w:hAnsi="Cambria Math"/>
                <w:sz w:val="20"/>
                <w:szCs w:val="20"/>
              </w:rPr>
              <m:t>single score</m:t>
            </m:r>
          </m:sub>
        </m:sSub>
      </m:oMath>
      <w:r w:rsidR="00D358BF" w:rsidRPr="000C79A9">
        <w:rPr>
          <w:rFonts w:ascii="Palatino Linotype" w:eastAsiaTheme="minorEastAsia" w:hAnsi="Palatino Linotype"/>
          <w:iCs/>
          <w:sz w:val="20"/>
          <w:szCs w:val="20"/>
          <w:lang w:val="en-GB"/>
        </w:rPr>
        <w:t xml:space="preserve"> </w:t>
      </w:r>
      <w:r w:rsidRPr="000C79A9">
        <w:rPr>
          <w:rFonts w:ascii="Palatino Linotype" w:eastAsiaTheme="minorEastAsia" w:hAnsi="Palatino Linotype"/>
          <w:iCs/>
          <w:sz w:val="20"/>
          <w:szCs w:val="20"/>
          <w:lang w:val="en-GB"/>
        </w:rPr>
        <w:t xml:space="preserve">is the single score indicator for the EF impact method; </w:t>
      </w:r>
      <m:oMath>
        <m:sSub>
          <m:sSubPr>
            <m:ctrlPr>
              <w:rPr>
                <w:rFonts w:ascii="Cambria Math" w:hAnsi="Cambria Math"/>
                <w:i/>
                <w:sz w:val="20"/>
                <w:szCs w:val="20"/>
                <w:lang w:val="en-GB"/>
              </w:rPr>
            </m:ctrlPr>
          </m:sSubPr>
          <m:e>
            <m:r>
              <w:rPr>
                <w:rFonts w:ascii="Cambria Math" w:hAnsi="Cambria Math"/>
                <w:sz w:val="20"/>
                <w:szCs w:val="20"/>
                <w:lang w:val="en-GB"/>
              </w:rPr>
              <m:t>E</m:t>
            </m:r>
          </m:e>
          <m:sub>
            <m:r>
              <w:rPr>
                <w:rFonts w:ascii="Cambria Math" w:hAnsi="Cambria Math"/>
                <w:sz w:val="20"/>
                <w:szCs w:val="20"/>
                <w:lang w:val="en-GB"/>
              </w:rPr>
              <m:t>i</m:t>
            </m:r>
          </m:sub>
        </m:sSub>
      </m:oMath>
      <w:r w:rsidR="00D358BF" w:rsidRPr="000C79A9">
        <w:rPr>
          <w:rFonts w:ascii="Palatino Linotype" w:eastAsiaTheme="minorEastAsia" w:hAnsi="Palatino Linotype"/>
          <w:iCs/>
          <w:sz w:val="20"/>
          <w:szCs w:val="20"/>
          <w:lang w:val="en-GB"/>
        </w:rPr>
        <w:t xml:space="preserve"> is the emission in the </w:t>
      </w:r>
      <w:r w:rsidR="00D358BF" w:rsidRPr="000C79A9">
        <w:rPr>
          <w:rFonts w:ascii="Palatino Linotype" w:eastAsiaTheme="minorEastAsia" w:hAnsi="Palatino Linotype"/>
          <w:i/>
          <w:sz w:val="20"/>
          <w:szCs w:val="20"/>
          <w:lang w:val="en-GB"/>
        </w:rPr>
        <w:t>i</w:t>
      </w:r>
      <w:r w:rsidR="00D358BF" w:rsidRPr="000C79A9">
        <w:rPr>
          <w:rFonts w:ascii="Palatino Linotype" w:eastAsiaTheme="minorEastAsia" w:hAnsi="Palatino Linotype"/>
          <w:iCs/>
          <w:sz w:val="20"/>
          <w:szCs w:val="20"/>
          <w:lang w:val="en-GB"/>
        </w:rPr>
        <w:t>-</w:t>
      </w:r>
      <w:proofErr w:type="spellStart"/>
      <w:r w:rsidR="00D358BF" w:rsidRPr="000C79A9">
        <w:rPr>
          <w:rFonts w:ascii="Palatino Linotype" w:eastAsiaTheme="minorEastAsia" w:hAnsi="Palatino Linotype"/>
          <w:iCs/>
          <w:sz w:val="20"/>
          <w:szCs w:val="20"/>
          <w:lang w:val="en-GB"/>
        </w:rPr>
        <w:t>th</w:t>
      </w:r>
      <w:proofErr w:type="spellEnd"/>
      <w:r w:rsidR="00D358BF" w:rsidRPr="000C79A9">
        <w:rPr>
          <w:rFonts w:ascii="Palatino Linotype" w:eastAsiaTheme="minorEastAsia" w:hAnsi="Palatino Linotype"/>
          <w:iCs/>
          <w:sz w:val="20"/>
          <w:szCs w:val="20"/>
          <w:lang w:val="en-GB"/>
        </w:rPr>
        <w:t xml:space="preserve"> </w:t>
      </w:r>
      <w:r w:rsidRPr="000C79A9">
        <w:rPr>
          <w:rFonts w:ascii="Palatino Linotype" w:eastAsiaTheme="minorEastAsia" w:hAnsi="Palatino Linotype"/>
          <w:iCs/>
          <w:sz w:val="20"/>
          <w:szCs w:val="20"/>
          <w:lang w:val="en-GB"/>
        </w:rPr>
        <w:t xml:space="preserve">impact </w:t>
      </w:r>
      <w:r w:rsidR="00D358BF" w:rsidRPr="000C79A9">
        <w:rPr>
          <w:rFonts w:ascii="Palatino Linotype" w:eastAsiaTheme="minorEastAsia" w:hAnsi="Palatino Linotype"/>
          <w:iCs/>
          <w:sz w:val="20"/>
          <w:szCs w:val="20"/>
          <w:lang w:val="en-GB"/>
        </w:rPr>
        <w:t>category</w:t>
      </w:r>
      <w:r w:rsidRPr="000C79A9">
        <w:rPr>
          <w:rFonts w:ascii="Palatino Linotype" w:eastAsiaTheme="minorEastAsia" w:hAnsi="Palatino Linotype"/>
          <w:iCs/>
          <w:sz w:val="20"/>
          <w:szCs w:val="20"/>
          <w:lang w:val="en-GB"/>
        </w:rPr>
        <w:t xml:space="preserve">; and </w:t>
      </w:r>
      <m:oMath>
        <m:sSub>
          <m:sSubPr>
            <m:ctrlPr>
              <w:rPr>
                <w:rFonts w:ascii="Cambria Math" w:hAnsi="Cambria Math"/>
                <w:i/>
                <w:sz w:val="20"/>
                <w:szCs w:val="20"/>
                <w:lang w:val="en-GB"/>
              </w:rPr>
            </m:ctrlPr>
          </m:sSubPr>
          <m:e>
            <m:r>
              <w:rPr>
                <w:rFonts w:ascii="Cambria Math" w:hAnsi="Cambria Math"/>
                <w:sz w:val="20"/>
                <w:szCs w:val="20"/>
                <w:lang w:val="en-GB"/>
              </w:rPr>
              <m:t>n</m:t>
            </m:r>
          </m:e>
          <m:sub>
            <m:r>
              <w:rPr>
                <w:rFonts w:ascii="Cambria Math" w:hAnsi="Cambria Math"/>
                <w:sz w:val="20"/>
                <w:szCs w:val="20"/>
                <w:lang w:val="en-GB"/>
              </w:rPr>
              <m:t>i</m:t>
            </m:r>
          </m:sub>
        </m:sSub>
      </m:oMath>
      <w:r w:rsidR="00D358BF" w:rsidRPr="000C79A9">
        <w:rPr>
          <w:rFonts w:ascii="Palatino Linotype" w:eastAsiaTheme="minorEastAsia" w:hAnsi="Palatino Linotype"/>
          <w:sz w:val="20"/>
          <w:szCs w:val="20"/>
          <w:lang w:val="en-GB"/>
        </w:rPr>
        <w:t xml:space="preserve"> </w:t>
      </w:r>
      <w:r w:rsidRPr="000C79A9">
        <w:rPr>
          <w:rFonts w:ascii="Palatino Linotype" w:eastAsiaTheme="minorEastAsia" w:hAnsi="Palatino Linotype"/>
          <w:sz w:val="20"/>
          <w:szCs w:val="20"/>
          <w:lang w:val="en-GB"/>
        </w:rPr>
        <w:t xml:space="preserve">and </w:t>
      </w:r>
      <m:oMath>
        <m:sSub>
          <m:sSubPr>
            <m:ctrlPr>
              <w:rPr>
                <w:rFonts w:ascii="Cambria Math" w:hAnsi="Cambria Math"/>
                <w:i/>
                <w:sz w:val="20"/>
                <w:szCs w:val="20"/>
                <w:lang w:val="en-GB"/>
              </w:rPr>
            </m:ctrlPr>
          </m:sSubPr>
          <m:e>
            <m:r>
              <w:rPr>
                <w:rFonts w:ascii="Cambria Math" w:hAnsi="Cambria Math"/>
                <w:sz w:val="20"/>
                <w:szCs w:val="20"/>
                <w:lang w:val="en-GB"/>
              </w:rPr>
              <m:t>w</m:t>
            </m:r>
          </m:e>
          <m:sub>
            <m:r>
              <w:rPr>
                <w:rFonts w:ascii="Cambria Math" w:hAnsi="Cambria Math"/>
                <w:sz w:val="20"/>
                <w:szCs w:val="20"/>
                <w:lang w:val="en-GB"/>
              </w:rPr>
              <m:t>i</m:t>
            </m:r>
          </m:sub>
        </m:sSub>
      </m:oMath>
      <w:r w:rsidRPr="000C79A9">
        <w:rPr>
          <w:rFonts w:ascii="Palatino Linotype" w:eastAsiaTheme="minorEastAsia" w:hAnsi="Palatino Linotype"/>
          <w:sz w:val="20"/>
          <w:szCs w:val="20"/>
          <w:lang w:val="en-GB"/>
        </w:rPr>
        <w:t xml:space="preserve"> are respectively the normalization and the weighting factor of the same category.</w:t>
      </w:r>
    </w:p>
    <w:p w14:paraId="4D7B6B09" w14:textId="77777777" w:rsidR="00D358BF" w:rsidRPr="000C79A9" w:rsidRDefault="00D358BF" w:rsidP="00D358BF">
      <w:pPr>
        <w:jc w:val="center"/>
        <w:rPr>
          <w:rFonts w:ascii="Palatino Linotype" w:hAnsi="Palatino Linotype"/>
          <w:sz w:val="20"/>
          <w:szCs w:val="20"/>
        </w:rPr>
      </w:pPr>
    </w:p>
    <w:p w14:paraId="1FE487A4" w14:textId="77777777" w:rsidR="00362D81" w:rsidRPr="000C79A9" w:rsidRDefault="00362D81" w:rsidP="000C79A9">
      <w:pPr>
        <w:pStyle w:val="MDPI21heading1"/>
        <w:numPr>
          <w:ilvl w:val="0"/>
          <w:numId w:val="1"/>
        </w:numPr>
        <w:rPr>
          <w:szCs w:val="20"/>
          <w:lang w:eastAsia="en-GB"/>
        </w:rPr>
      </w:pPr>
      <w:r w:rsidRPr="000C79A9">
        <w:t>Uncertainty</w:t>
      </w:r>
      <w:r w:rsidRPr="000C79A9">
        <w:rPr>
          <w:szCs w:val="20"/>
          <w:lang w:eastAsia="en-GB"/>
        </w:rPr>
        <w:t xml:space="preserve"> analysis</w:t>
      </w:r>
    </w:p>
    <w:p w14:paraId="1D345B1F" w14:textId="70BC9448" w:rsidR="00362D81" w:rsidRPr="000C79A9" w:rsidRDefault="00362D81" w:rsidP="00362D81">
      <w:pPr>
        <w:jc w:val="both"/>
        <w:rPr>
          <w:rFonts w:ascii="Palatino Linotype" w:hAnsi="Palatino Linotype"/>
          <w:sz w:val="20"/>
          <w:szCs w:val="20"/>
        </w:rPr>
      </w:pPr>
      <w:r w:rsidRPr="000C79A9">
        <w:rPr>
          <w:rFonts w:ascii="Palatino Linotype" w:hAnsi="Palatino Linotype"/>
          <w:sz w:val="20"/>
          <w:szCs w:val="20"/>
        </w:rPr>
        <w:t>The results are impacted by the uncertainty associated with the multiple assumptions made in the study. These assumptions include model parameters, price forecasts, agent interaction rules, and LCI data uncertainty. The parameters associated with the livestock production system (such as the culling rate and the duration of each phase of a lactation period) were thoughtfully selected following consultation with stakeholders. However, in general, they vary from farmer to farmer. This justifies using an agent-</w:t>
      </w:r>
      <w:r w:rsidRPr="000C79A9">
        <w:rPr>
          <w:rFonts w:ascii="Palatino Linotype" w:hAnsi="Palatino Linotype"/>
          <w:sz w:val="20"/>
          <w:szCs w:val="20"/>
        </w:rPr>
        <w:noBreakHyphen/>
        <w:t xml:space="preserve">based simulation to model the agricultural sector; however, it introduces uncertainty in areas lacking information. In </w:t>
      </w:r>
      <w:r w:rsidRPr="000C79A9">
        <w:rPr>
          <w:rFonts w:ascii="Palatino Linotype" w:hAnsi="Palatino Linotype"/>
          <w:sz w:val="20"/>
          <w:szCs w:val="20"/>
        </w:rPr>
        <w:fldChar w:fldCharType="begin"/>
      </w:r>
      <w:r w:rsidR="00E9260C" w:rsidRPr="000C79A9">
        <w:rPr>
          <w:rFonts w:ascii="Palatino Linotype" w:hAnsi="Palatino Linotype"/>
          <w:sz w:val="20"/>
          <w:szCs w:val="20"/>
        </w:rPr>
        <w:instrText xml:space="preserve"> ADDIN ZOTERO_ITEM CSL_CITATION {"citationID":"WTi3PKH1","properties":{"formattedCitation":"[6]","plainCitation":"[6]","noteIndex":0},"citationItems":[{"id":"ZOrM5qDJ/PYNrv62K","uris":["http://zotero.org/users/local/cbUoW3AC/items/J4C9Z25C"],"itemData":{"id":91,"type":"article-journal","abstract":"The evolution of life cycle assessment (LCA) from a merely comparative tool for the assessment of products to a policy analysis tool proceeds by incorporating increasingly complex modelling approaches. In more recent studies of complex systems, such as the agriculture sector or mobility, agent-based modelling (ABM) has been introduced as tool for life cycle inventory modelling. The promises of such ABM/LCA coupled models include the consideration of human behaviour and local variabilities in the studied system as well as scenario modelling for emerging systems. The acceptance of this new approach depends, among other things, on the handling of uncertainty and variability forthcoming from various sources. As the complexity of a methodology increases, it also becomes increasingly challenging to adequately handle uncertainty and variability, and be confident about an inference. In the case of ABM/LCA coupled models, the different nature of both parts (non-linear computational ABM and linear deterministic LCA) poses an additional challenge. The sources of uncertainty and variability and the preferable propagation methods differ for both parts and clear guidance is needed. Yet no study, to our best knowledge, has addressed this issue, although its need has been expressed by several authors. In this paper, to make uncertainty analysis of ABM/LCA coupled models operational, the different uncertainty sources in both models are identified and a systematic classification is proposed. The efforts in both fields to propagate these uncertainty sources are reviewed and discussed against three criteria (applicability, accuracy and computational effort). Using ABM within LCA adds new uncertainty sources to the LCI and limits the number of applicable propagation methods, as the coupled model can no longer be expressed as an explicit formula. The context of uncertainty sources (e.g. nature of uncertainty and available information) determines which propagation method is the most appropriate and promises high accuracy, while the choice might be constraint by the computational effort.","container-title":"Journal of Cleaner Production","DOI":"10.1016/j.jclepro.2017.03.193","ISSN":"0959-6526","journalAbbreviation":"Journal of Cleaner Production","language":"en","page":"378-394","source":"ScienceDirect","title":"Uncertainty analysis in agent-based modelling and consequential life cycle assessment coupled models: A critical review","title-short":"Uncertainty analysis in agent-based modelling and consequential life cycle assessment coupled models","volume":"156","author":[{"family":"Baustert","given":"Paul"},{"family":"Benetto","given":"Enrico"}],"issued":{"date-parts":[["2017",7,10]]}}}],"schema":"https://github.com/citation-style-language/schema/raw/master/csl-citation.json"} </w:instrText>
      </w:r>
      <w:r w:rsidRPr="000C79A9">
        <w:rPr>
          <w:rFonts w:ascii="Palatino Linotype" w:hAnsi="Palatino Linotype"/>
          <w:sz w:val="20"/>
          <w:szCs w:val="20"/>
        </w:rPr>
        <w:fldChar w:fldCharType="separate"/>
      </w:r>
      <w:r w:rsidR="00E9260C" w:rsidRPr="000C79A9">
        <w:rPr>
          <w:rFonts w:ascii="Palatino Linotype" w:hAnsi="Palatino Linotype" w:cs="Calibri"/>
          <w:sz w:val="20"/>
          <w:szCs w:val="20"/>
        </w:rPr>
        <w:t>[6]</w:t>
      </w:r>
      <w:r w:rsidRPr="000C79A9">
        <w:rPr>
          <w:rFonts w:ascii="Palatino Linotype" w:hAnsi="Palatino Linotype"/>
          <w:sz w:val="20"/>
          <w:szCs w:val="20"/>
        </w:rPr>
        <w:fldChar w:fldCharType="end"/>
      </w:r>
      <w:r w:rsidRPr="000C79A9">
        <w:rPr>
          <w:rFonts w:ascii="Palatino Linotype" w:hAnsi="Palatino Linotype"/>
          <w:sz w:val="20"/>
          <w:szCs w:val="20"/>
        </w:rPr>
        <w:t>, the various sources of uncertainty in coupled ABM</w:t>
      </w:r>
      <w:r w:rsidRPr="000C79A9">
        <w:rPr>
          <w:rFonts w:ascii="Palatino Linotype" w:hAnsi="Palatino Linotype"/>
          <w:sz w:val="20"/>
          <w:szCs w:val="20"/>
        </w:rPr>
        <w:noBreakHyphen/>
        <w:t xml:space="preserve">LCA models are addressed, making a distinction between the uncertainty caused by measurement errors or poor </w:t>
      </w:r>
      <w:r w:rsidRPr="000C79A9">
        <w:rPr>
          <w:rFonts w:ascii="Palatino Linotype" w:hAnsi="Palatino Linotype"/>
          <w:sz w:val="20"/>
          <w:szCs w:val="20"/>
        </w:rPr>
        <w:lastRenderedPageBreak/>
        <w:t xml:space="preserve">data quality (known as parameter uncertainty) and the uncertainty caused by the inherent variance of the underlying system (systemic uncertainty). </w:t>
      </w:r>
    </w:p>
    <w:p w14:paraId="7C98851B" w14:textId="31181636" w:rsidR="00362D81" w:rsidRPr="000C79A9" w:rsidRDefault="00362D81" w:rsidP="00362D81">
      <w:pPr>
        <w:jc w:val="both"/>
        <w:rPr>
          <w:rFonts w:ascii="Palatino Linotype" w:hAnsi="Palatino Linotype"/>
          <w:sz w:val="20"/>
          <w:szCs w:val="20"/>
        </w:rPr>
      </w:pPr>
      <w:r w:rsidRPr="000C79A9">
        <w:rPr>
          <w:rFonts w:ascii="Palatino Linotype" w:hAnsi="Palatino Linotype"/>
          <w:sz w:val="20"/>
          <w:szCs w:val="20"/>
        </w:rPr>
        <w:t xml:space="preserve">Model parameters can either take values representative of reality or be treated as random variables whose values are assigned via random distributions. In this paper, we employ uncertainty analysis to evaluate systemic uncertainty caused by stochastic events (such as the decisions and interactions of farmer agents). The parameter uncertainty is further compounded by the fact that the random variables are characterized by probability density functions, which are characterized by equations containing parameters. We follow the same structure proposed </w:t>
      </w:r>
      <w:bookmarkStart w:id="4" w:name="_Ref128571976"/>
      <w:r w:rsidR="00752AA7" w:rsidRPr="000C79A9">
        <w:rPr>
          <w:rFonts w:ascii="Palatino Linotype" w:hAnsi="Palatino Linotype"/>
          <w:sz w:val="20"/>
          <w:szCs w:val="20"/>
        </w:rPr>
        <w:t xml:space="preserve">in </w:t>
      </w:r>
      <w:r w:rsidR="00752AA7" w:rsidRPr="000C79A9">
        <w:rPr>
          <w:rFonts w:ascii="Palatino Linotype" w:hAnsi="Palatino Linotype"/>
          <w:sz w:val="20"/>
          <w:szCs w:val="20"/>
        </w:rPr>
        <w:fldChar w:fldCharType="begin"/>
      </w:r>
      <w:r w:rsidR="00E9260C" w:rsidRPr="000C79A9">
        <w:rPr>
          <w:rFonts w:ascii="Palatino Linotype" w:hAnsi="Palatino Linotype"/>
          <w:sz w:val="20"/>
          <w:szCs w:val="20"/>
        </w:rPr>
        <w:instrText xml:space="preserve"> ADDIN ZOTERO_ITEM CSL_CITATION {"citationID":"WuE7fNtQ","properties":{"formattedCitation":"[7]","plainCitation":"[7]","noteIndex":0},"citationItems":[{"id":5279,"uris":["http://zotero.org/users/2433369/items/FZQLIQ3Z"],"itemData":{"id":5279,"type":"thesis","event-place":"Eindhoven, the Netherlands","genre":"PhD. Thesis","language":"English","number-of-pages":"225","publisher":"Eindhoven University of Technology","publisher-place":"Eindhoven, the Netherlands","title":"Development of an uncertainty analysis framework for model-based consequential life cycle assessment: Application to activity-based modelling and life cycle assessment of multimodal mobility","URL":"https://pure.tue.nl/ws/portalfiles/portal/169864202/20210420_Baustert.pdf","author":[{"family":"Baustert","given":"Paul"}],"accessed":{"date-parts":[["2022",12,3]]},"issued":{"date-parts":[["2021"]]}}}],"schema":"https://github.com/citation-style-language/schema/raw/master/csl-citation.json"} </w:instrText>
      </w:r>
      <w:r w:rsidR="00752AA7" w:rsidRPr="000C79A9">
        <w:rPr>
          <w:rFonts w:ascii="Palatino Linotype" w:hAnsi="Palatino Linotype"/>
          <w:sz w:val="20"/>
          <w:szCs w:val="20"/>
        </w:rPr>
        <w:fldChar w:fldCharType="separate"/>
      </w:r>
      <w:r w:rsidR="00E9260C" w:rsidRPr="000C79A9">
        <w:rPr>
          <w:rFonts w:ascii="Palatino Linotype" w:hAnsi="Palatino Linotype" w:cs="Calibri"/>
          <w:sz w:val="20"/>
          <w:szCs w:val="20"/>
        </w:rPr>
        <w:t>[7]</w:t>
      </w:r>
      <w:r w:rsidR="00752AA7" w:rsidRPr="000C79A9">
        <w:rPr>
          <w:rFonts w:ascii="Palatino Linotype" w:hAnsi="Palatino Linotype"/>
          <w:sz w:val="20"/>
          <w:szCs w:val="20"/>
        </w:rPr>
        <w:fldChar w:fldCharType="end"/>
      </w:r>
      <w:r w:rsidR="003D65FE" w:rsidRPr="000C79A9">
        <w:rPr>
          <w:rFonts w:ascii="Palatino Linotype" w:hAnsi="Palatino Linotype"/>
          <w:sz w:val="20"/>
          <w:szCs w:val="20"/>
        </w:rPr>
        <w:t>.</w:t>
      </w:r>
    </w:p>
    <w:p w14:paraId="02375CA4" w14:textId="3BA0A931" w:rsidR="00362D81" w:rsidRPr="000C79A9" w:rsidRDefault="00362D81" w:rsidP="00362D81">
      <w:pPr>
        <w:jc w:val="both"/>
        <w:rPr>
          <w:rFonts w:ascii="Palatino Linotype" w:hAnsi="Palatino Linotype"/>
          <w:sz w:val="20"/>
          <w:szCs w:val="20"/>
        </w:rPr>
      </w:pPr>
      <w:r w:rsidRPr="000C79A9">
        <w:rPr>
          <w:rFonts w:ascii="Palatino Linotype" w:hAnsi="Palatino Linotype"/>
          <w:sz w:val="20"/>
          <w:szCs w:val="20"/>
        </w:rPr>
        <w:t xml:space="preserve">We executed a set of simulations (n = 50) and determined the coefficient of variations of the respective LCIA impact categories to propagate the uncertainty. </w:t>
      </w:r>
      <w:r w:rsidR="00C750C8" w:rsidRPr="000C79A9">
        <w:rPr>
          <w:rFonts w:ascii="Palatino Linotype" w:hAnsi="Palatino Linotype"/>
          <w:sz w:val="20"/>
          <w:szCs w:val="20"/>
        </w:rPr>
        <w:t>T</w:t>
      </w:r>
      <w:r w:rsidRPr="000C79A9">
        <w:rPr>
          <w:rFonts w:ascii="Palatino Linotype" w:hAnsi="Palatino Linotype"/>
          <w:sz w:val="20"/>
          <w:szCs w:val="20"/>
        </w:rPr>
        <w:t>he parameters are set to their nominal values, and the systemic variability caused by the underlying model (i.e., random variables) is determined.</w:t>
      </w:r>
    </w:p>
    <w:p w14:paraId="20E9AE8F" w14:textId="24C11510" w:rsidR="00362D81" w:rsidRPr="000C79A9" w:rsidRDefault="003D65FE" w:rsidP="00362D81">
      <w:pPr>
        <w:jc w:val="both"/>
        <w:rPr>
          <w:rFonts w:ascii="Palatino Linotype" w:hAnsi="Palatino Linotype"/>
          <w:sz w:val="20"/>
          <w:szCs w:val="20"/>
        </w:rPr>
      </w:pPr>
      <w:r w:rsidRPr="000C79A9">
        <w:rPr>
          <w:rFonts w:ascii="Palatino Linotype" w:hAnsi="Palatino Linotype"/>
          <w:sz w:val="20"/>
          <w:szCs w:val="20"/>
        </w:rPr>
        <w:fldChar w:fldCharType="begin"/>
      </w:r>
      <w:r w:rsidRPr="000C79A9">
        <w:rPr>
          <w:rFonts w:ascii="Palatino Linotype" w:hAnsi="Palatino Linotype"/>
          <w:sz w:val="20"/>
          <w:szCs w:val="20"/>
        </w:rPr>
        <w:instrText xml:space="preserve"> REF _Ref146382465 \h </w:instrText>
      </w:r>
      <w:r w:rsidR="000C79A9" w:rsidRPr="000C79A9">
        <w:rPr>
          <w:rFonts w:ascii="Palatino Linotype" w:hAnsi="Palatino Linotype"/>
          <w:sz w:val="20"/>
          <w:szCs w:val="20"/>
        </w:rPr>
        <w:instrText xml:space="preserve"> \* MERGEFORMAT </w:instrText>
      </w:r>
      <w:r w:rsidRPr="000C79A9">
        <w:rPr>
          <w:rFonts w:ascii="Palatino Linotype" w:hAnsi="Palatino Linotype"/>
          <w:sz w:val="20"/>
          <w:szCs w:val="20"/>
        </w:rPr>
      </w:r>
      <w:r w:rsidRPr="000C79A9">
        <w:rPr>
          <w:rFonts w:ascii="Palatino Linotype" w:hAnsi="Palatino Linotype"/>
          <w:sz w:val="20"/>
          <w:szCs w:val="20"/>
        </w:rPr>
        <w:fldChar w:fldCharType="separate"/>
      </w:r>
      <w:r w:rsidRPr="000C79A9">
        <w:rPr>
          <w:rFonts w:ascii="Palatino Linotype" w:hAnsi="Palatino Linotype"/>
          <w:sz w:val="20"/>
          <w:szCs w:val="20"/>
        </w:rPr>
        <w:t xml:space="preserve">Figure </w:t>
      </w:r>
      <w:r w:rsidR="001661CF">
        <w:rPr>
          <w:rFonts w:ascii="Palatino Linotype" w:hAnsi="Palatino Linotype"/>
          <w:sz w:val="20"/>
          <w:szCs w:val="20"/>
        </w:rPr>
        <w:t>S</w:t>
      </w:r>
      <w:r w:rsidR="000C79A9">
        <w:rPr>
          <w:rFonts w:ascii="Palatino Linotype" w:hAnsi="Palatino Linotype"/>
          <w:sz w:val="20"/>
          <w:szCs w:val="20"/>
        </w:rPr>
        <w:t>4.</w:t>
      </w:r>
      <w:r w:rsidRPr="000C79A9">
        <w:rPr>
          <w:rFonts w:ascii="Palatino Linotype" w:hAnsi="Palatino Linotype"/>
          <w:noProof/>
          <w:sz w:val="20"/>
          <w:szCs w:val="20"/>
        </w:rPr>
        <w:t>1</w:t>
      </w:r>
      <w:r w:rsidRPr="000C79A9">
        <w:rPr>
          <w:rFonts w:ascii="Palatino Linotype" w:hAnsi="Palatino Linotype"/>
          <w:sz w:val="20"/>
          <w:szCs w:val="20"/>
        </w:rPr>
        <w:fldChar w:fldCharType="end"/>
      </w:r>
      <w:proofErr w:type="gramStart"/>
      <w:r w:rsidRPr="000C79A9">
        <w:rPr>
          <w:rFonts w:ascii="Palatino Linotype" w:hAnsi="Palatino Linotype"/>
          <w:sz w:val="20"/>
          <w:szCs w:val="20"/>
        </w:rPr>
        <w:t>a and</w:t>
      </w:r>
      <w:proofErr w:type="gramEnd"/>
      <w:r w:rsidRPr="000C79A9">
        <w:rPr>
          <w:rFonts w:ascii="Palatino Linotype" w:hAnsi="Palatino Linotype"/>
          <w:sz w:val="20"/>
          <w:szCs w:val="20"/>
        </w:rPr>
        <w:t xml:space="preserve"> </w:t>
      </w:r>
      <w:r w:rsidRPr="000C79A9">
        <w:rPr>
          <w:rFonts w:ascii="Palatino Linotype" w:hAnsi="Palatino Linotype"/>
          <w:sz w:val="20"/>
          <w:szCs w:val="20"/>
        </w:rPr>
        <w:fldChar w:fldCharType="begin"/>
      </w:r>
      <w:r w:rsidRPr="000C79A9">
        <w:rPr>
          <w:rFonts w:ascii="Palatino Linotype" w:hAnsi="Palatino Linotype"/>
          <w:sz w:val="20"/>
          <w:szCs w:val="20"/>
        </w:rPr>
        <w:instrText xml:space="preserve"> REF _Ref146382465 \h </w:instrText>
      </w:r>
      <w:r w:rsidR="000C79A9" w:rsidRPr="000C79A9">
        <w:rPr>
          <w:rFonts w:ascii="Palatino Linotype" w:hAnsi="Palatino Linotype"/>
          <w:sz w:val="20"/>
          <w:szCs w:val="20"/>
        </w:rPr>
        <w:instrText xml:space="preserve"> \* MERGEFORMAT </w:instrText>
      </w:r>
      <w:r w:rsidRPr="000C79A9">
        <w:rPr>
          <w:rFonts w:ascii="Palatino Linotype" w:hAnsi="Palatino Linotype"/>
          <w:sz w:val="20"/>
          <w:szCs w:val="20"/>
        </w:rPr>
      </w:r>
      <w:r w:rsidRPr="000C79A9">
        <w:rPr>
          <w:rFonts w:ascii="Palatino Linotype" w:hAnsi="Palatino Linotype"/>
          <w:sz w:val="20"/>
          <w:szCs w:val="20"/>
        </w:rPr>
        <w:fldChar w:fldCharType="separate"/>
      </w:r>
      <w:r w:rsidRPr="000C79A9">
        <w:rPr>
          <w:rFonts w:ascii="Palatino Linotype" w:hAnsi="Palatino Linotype"/>
          <w:sz w:val="20"/>
          <w:szCs w:val="20"/>
        </w:rPr>
        <w:t xml:space="preserve">Figure </w:t>
      </w:r>
      <w:r w:rsidR="001661CF">
        <w:rPr>
          <w:rFonts w:ascii="Palatino Linotype" w:hAnsi="Palatino Linotype"/>
          <w:sz w:val="20"/>
          <w:szCs w:val="20"/>
        </w:rPr>
        <w:t>S</w:t>
      </w:r>
      <w:r w:rsidR="000C79A9">
        <w:rPr>
          <w:rFonts w:ascii="Palatino Linotype" w:hAnsi="Palatino Linotype"/>
          <w:sz w:val="20"/>
          <w:szCs w:val="20"/>
        </w:rPr>
        <w:t>4.</w:t>
      </w:r>
      <w:r w:rsidRPr="000C79A9">
        <w:rPr>
          <w:rFonts w:ascii="Palatino Linotype" w:hAnsi="Palatino Linotype"/>
          <w:noProof/>
          <w:sz w:val="20"/>
          <w:szCs w:val="20"/>
        </w:rPr>
        <w:t>1</w:t>
      </w:r>
      <w:r w:rsidRPr="000C79A9">
        <w:rPr>
          <w:rFonts w:ascii="Palatino Linotype" w:hAnsi="Palatino Linotype"/>
          <w:sz w:val="20"/>
          <w:szCs w:val="20"/>
        </w:rPr>
        <w:fldChar w:fldCharType="end"/>
      </w:r>
      <w:r w:rsidRPr="000C79A9">
        <w:rPr>
          <w:rFonts w:ascii="Palatino Linotype" w:hAnsi="Palatino Linotype"/>
          <w:sz w:val="20"/>
          <w:szCs w:val="20"/>
        </w:rPr>
        <w:t>b</w:t>
      </w:r>
      <w:r w:rsidR="00362D81" w:rsidRPr="000C79A9">
        <w:rPr>
          <w:rFonts w:ascii="Palatino Linotype" w:hAnsi="Palatino Linotype"/>
          <w:sz w:val="20"/>
          <w:szCs w:val="20"/>
        </w:rPr>
        <w:t xml:space="preserve"> use violin plots to show the density distribution of the values obtained over 50 simulations for the two impact categories. </w:t>
      </w:r>
      <w:r w:rsidR="00C750C8" w:rsidRPr="000C79A9">
        <w:rPr>
          <w:rFonts w:ascii="Palatino Linotype" w:hAnsi="Palatino Linotype"/>
          <w:sz w:val="20"/>
          <w:szCs w:val="20"/>
        </w:rPr>
        <w:fldChar w:fldCharType="begin"/>
      </w:r>
      <w:r w:rsidR="00C750C8" w:rsidRPr="000C79A9">
        <w:rPr>
          <w:rFonts w:ascii="Palatino Linotype" w:hAnsi="Palatino Linotype"/>
          <w:sz w:val="20"/>
          <w:szCs w:val="20"/>
        </w:rPr>
        <w:instrText xml:space="preserve"> REF _Ref128776284 \h </w:instrText>
      </w:r>
      <w:r w:rsidR="000C79A9" w:rsidRPr="000C79A9">
        <w:rPr>
          <w:rFonts w:ascii="Palatino Linotype" w:hAnsi="Palatino Linotype"/>
          <w:sz w:val="20"/>
          <w:szCs w:val="20"/>
        </w:rPr>
        <w:instrText xml:space="preserve"> \* MERGEFORMAT </w:instrText>
      </w:r>
      <w:r w:rsidR="00C750C8" w:rsidRPr="000C79A9">
        <w:rPr>
          <w:rFonts w:ascii="Palatino Linotype" w:hAnsi="Palatino Linotype"/>
          <w:sz w:val="20"/>
          <w:szCs w:val="20"/>
        </w:rPr>
      </w:r>
      <w:r w:rsidR="00C750C8" w:rsidRPr="000C79A9">
        <w:rPr>
          <w:rFonts w:ascii="Palatino Linotype" w:hAnsi="Palatino Linotype"/>
          <w:sz w:val="20"/>
          <w:szCs w:val="20"/>
        </w:rPr>
        <w:fldChar w:fldCharType="separate"/>
      </w:r>
      <w:r w:rsidR="00C750C8" w:rsidRPr="000C79A9">
        <w:rPr>
          <w:rFonts w:ascii="Palatino Linotype" w:hAnsi="Palatino Linotype" w:cs="Times New Roman"/>
          <w:sz w:val="20"/>
          <w:szCs w:val="20"/>
        </w:rPr>
        <w:t xml:space="preserve">Table </w:t>
      </w:r>
      <w:r w:rsidR="001661CF">
        <w:rPr>
          <w:rFonts w:ascii="Palatino Linotype" w:hAnsi="Palatino Linotype" w:cs="Times New Roman"/>
          <w:sz w:val="20"/>
          <w:szCs w:val="20"/>
        </w:rPr>
        <w:t>S</w:t>
      </w:r>
      <w:r w:rsidR="000C79A9">
        <w:rPr>
          <w:rFonts w:ascii="Palatino Linotype" w:hAnsi="Palatino Linotype" w:cs="Times New Roman"/>
          <w:sz w:val="20"/>
          <w:szCs w:val="20"/>
        </w:rPr>
        <w:t>4.</w:t>
      </w:r>
      <w:r w:rsidR="00C750C8" w:rsidRPr="000C79A9">
        <w:rPr>
          <w:rFonts w:ascii="Palatino Linotype" w:hAnsi="Palatino Linotype" w:cs="Times New Roman"/>
          <w:noProof/>
          <w:sz w:val="20"/>
          <w:szCs w:val="20"/>
        </w:rPr>
        <w:t>2</w:t>
      </w:r>
      <w:r w:rsidR="00C750C8" w:rsidRPr="000C79A9">
        <w:rPr>
          <w:rFonts w:ascii="Palatino Linotype" w:hAnsi="Palatino Linotype"/>
          <w:sz w:val="20"/>
          <w:szCs w:val="20"/>
        </w:rPr>
        <w:fldChar w:fldCharType="end"/>
      </w:r>
      <w:r w:rsidR="00C750C8" w:rsidRPr="000C79A9">
        <w:rPr>
          <w:rFonts w:ascii="Palatino Linotype" w:hAnsi="Palatino Linotype"/>
          <w:sz w:val="20"/>
          <w:szCs w:val="20"/>
        </w:rPr>
        <w:t xml:space="preserve"> shows the values of the main descriptive statistics for the LCIA results of the average of ten years of the 50 simulation runs, for each of the three simulated cases. </w:t>
      </w:r>
      <w:r w:rsidR="00362D81" w:rsidRPr="000C79A9">
        <w:rPr>
          <w:rFonts w:ascii="Palatino Linotype" w:hAnsi="Palatino Linotype"/>
          <w:sz w:val="20"/>
          <w:szCs w:val="20"/>
        </w:rPr>
        <w:t xml:space="preserve">From </w:t>
      </w:r>
      <w:r w:rsidRPr="000C79A9">
        <w:rPr>
          <w:rFonts w:ascii="Palatino Linotype" w:hAnsi="Palatino Linotype"/>
          <w:sz w:val="20"/>
          <w:szCs w:val="20"/>
        </w:rPr>
        <w:fldChar w:fldCharType="begin"/>
      </w:r>
      <w:r w:rsidRPr="000C79A9">
        <w:rPr>
          <w:rFonts w:ascii="Palatino Linotype" w:hAnsi="Palatino Linotype"/>
          <w:sz w:val="20"/>
          <w:szCs w:val="20"/>
        </w:rPr>
        <w:instrText xml:space="preserve"> REF _Ref146382465 \h </w:instrText>
      </w:r>
      <w:r w:rsidR="000C79A9" w:rsidRPr="000C79A9">
        <w:rPr>
          <w:rFonts w:ascii="Palatino Linotype" w:hAnsi="Palatino Linotype"/>
          <w:sz w:val="20"/>
          <w:szCs w:val="20"/>
        </w:rPr>
        <w:instrText xml:space="preserve"> \* MERGEFORMAT </w:instrText>
      </w:r>
      <w:r w:rsidRPr="000C79A9">
        <w:rPr>
          <w:rFonts w:ascii="Palatino Linotype" w:hAnsi="Palatino Linotype"/>
          <w:sz w:val="20"/>
          <w:szCs w:val="20"/>
        </w:rPr>
      </w:r>
      <w:r w:rsidRPr="000C79A9">
        <w:rPr>
          <w:rFonts w:ascii="Palatino Linotype" w:hAnsi="Palatino Linotype"/>
          <w:sz w:val="20"/>
          <w:szCs w:val="20"/>
        </w:rPr>
        <w:fldChar w:fldCharType="separate"/>
      </w:r>
      <w:r w:rsidRPr="000C79A9">
        <w:rPr>
          <w:rFonts w:ascii="Palatino Linotype" w:hAnsi="Palatino Linotype"/>
          <w:sz w:val="20"/>
          <w:szCs w:val="20"/>
        </w:rPr>
        <w:t xml:space="preserve">Figure </w:t>
      </w:r>
      <w:r w:rsidR="00007177">
        <w:rPr>
          <w:rFonts w:ascii="Palatino Linotype" w:hAnsi="Palatino Linotype"/>
          <w:sz w:val="20"/>
          <w:szCs w:val="20"/>
        </w:rPr>
        <w:t>S4.</w:t>
      </w:r>
      <w:r w:rsidRPr="000C79A9">
        <w:rPr>
          <w:rFonts w:ascii="Palatino Linotype" w:hAnsi="Palatino Linotype"/>
          <w:noProof/>
          <w:sz w:val="20"/>
          <w:szCs w:val="20"/>
        </w:rPr>
        <w:t>1</w:t>
      </w:r>
      <w:r w:rsidRPr="000C79A9">
        <w:rPr>
          <w:rFonts w:ascii="Palatino Linotype" w:hAnsi="Palatino Linotype"/>
          <w:sz w:val="20"/>
          <w:szCs w:val="20"/>
        </w:rPr>
        <w:fldChar w:fldCharType="end"/>
      </w:r>
      <w:r w:rsidRPr="000C79A9">
        <w:rPr>
          <w:rFonts w:ascii="Palatino Linotype" w:hAnsi="Palatino Linotype"/>
          <w:sz w:val="20"/>
          <w:szCs w:val="20"/>
        </w:rPr>
        <w:t xml:space="preserve">a and </w:t>
      </w:r>
      <w:r w:rsidRPr="000C79A9">
        <w:rPr>
          <w:rFonts w:ascii="Palatino Linotype" w:hAnsi="Palatino Linotype"/>
          <w:sz w:val="20"/>
          <w:szCs w:val="20"/>
        </w:rPr>
        <w:fldChar w:fldCharType="begin"/>
      </w:r>
      <w:r w:rsidRPr="000C79A9">
        <w:rPr>
          <w:rFonts w:ascii="Palatino Linotype" w:hAnsi="Palatino Linotype"/>
          <w:sz w:val="20"/>
          <w:szCs w:val="20"/>
        </w:rPr>
        <w:instrText xml:space="preserve"> REF _Ref146382465 \h </w:instrText>
      </w:r>
      <w:r w:rsidR="000C79A9" w:rsidRPr="000C79A9">
        <w:rPr>
          <w:rFonts w:ascii="Palatino Linotype" w:hAnsi="Palatino Linotype"/>
          <w:sz w:val="20"/>
          <w:szCs w:val="20"/>
        </w:rPr>
        <w:instrText xml:space="preserve"> \* MERGEFORMAT </w:instrText>
      </w:r>
      <w:r w:rsidRPr="000C79A9">
        <w:rPr>
          <w:rFonts w:ascii="Palatino Linotype" w:hAnsi="Palatino Linotype"/>
          <w:sz w:val="20"/>
          <w:szCs w:val="20"/>
        </w:rPr>
      </w:r>
      <w:r w:rsidRPr="000C79A9">
        <w:rPr>
          <w:rFonts w:ascii="Palatino Linotype" w:hAnsi="Palatino Linotype"/>
          <w:sz w:val="20"/>
          <w:szCs w:val="20"/>
        </w:rPr>
        <w:fldChar w:fldCharType="separate"/>
      </w:r>
      <w:r w:rsidRPr="000C79A9">
        <w:rPr>
          <w:rFonts w:ascii="Palatino Linotype" w:hAnsi="Palatino Linotype"/>
          <w:sz w:val="20"/>
          <w:szCs w:val="20"/>
        </w:rPr>
        <w:t xml:space="preserve">Figure </w:t>
      </w:r>
      <w:r w:rsidR="00007177">
        <w:rPr>
          <w:rFonts w:ascii="Palatino Linotype" w:hAnsi="Palatino Linotype"/>
          <w:sz w:val="20"/>
          <w:szCs w:val="20"/>
        </w:rPr>
        <w:t>S4.</w:t>
      </w:r>
      <w:r w:rsidRPr="000C79A9">
        <w:rPr>
          <w:rFonts w:ascii="Palatino Linotype" w:hAnsi="Palatino Linotype"/>
          <w:noProof/>
          <w:sz w:val="20"/>
          <w:szCs w:val="20"/>
        </w:rPr>
        <w:t>1</w:t>
      </w:r>
      <w:r w:rsidRPr="000C79A9">
        <w:rPr>
          <w:rFonts w:ascii="Palatino Linotype" w:hAnsi="Palatino Linotype"/>
          <w:sz w:val="20"/>
          <w:szCs w:val="20"/>
        </w:rPr>
        <w:fldChar w:fldCharType="end"/>
      </w:r>
      <w:r w:rsidRPr="000C79A9">
        <w:rPr>
          <w:rFonts w:ascii="Palatino Linotype" w:hAnsi="Palatino Linotype"/>
          <w:sz w:val="20"/>
          <w:szCs w:val="20"/>
        </w:rPr>
        <w:t xml:space="preserve">b </w:t>
      </w:r>
      <w:r w:rsidR="00362D81" w:rsidRPr="000C79A9">
        <w:rPr>
          <w:rFonts w:ascii="Palatino Linotype" w:hAnsi="Palatino Linotype"/>
          <w:sz w:val="20"/>
          <w:szCs w:val="20"/>
        </w:rPr>
        <w:t>one can also observe that the objective being optimized results in the least coefficient of variation in terms of uncertainty. Furthermore, it can also be seen that optimizing by EF single score indicator always brings the system to the lowest levels of emissions. In fact, as also shown in</w:t>
      </w:r>
      <w:r w:rsidRPr="000C79A9">
        <w:rPr>
          <w:rFonts w:ascii="Palatino Linotype" w:hAnsi="Palatino Linotype"/>
          <w:sz w:val="20"/>
          <w:szCs w:val="20"/>
        </w:rPr>
        <w:t xml:space="preserve"> </w:t>
      </w:r>
      <w:r w:rsidRPr="000C79A9">
        <w:rPr>
          <w:rFonts w:ascii="Palatino Linotype" w:hAnsi="Palatino Linotype"/>
          <w:sz w:val="20"/>
          <w:szCs w:val="20"/>
        </w:rPr>
        <w:fldChar w:fldCharType="begin"/>
      </w:r>
      <w:r w:rsidRPr="000C79A9">
        <w:rPr>
          <w:rFonts w:ascii="Palatino Linotype" w:hAnsi="Palatino Linotype"/>
          <w:sz w:val="20"/>
          <w:szCs w:val="20"/>
        </w:rPr>
        <w:instrText xml:space="preserve"> REF _Ref128776284 \h </w:instrText>
      </w:r>
      <w:r w:rsidR="000C79A9" w:rsidRPr="000C79A9">
        <w:rPr>
          <w:rFonts w:ascii="Palatino Linotype" w:hAnsi="Palatino Linotype"/>
          <w:sz w:val="20"/>
          <w:szCs w:val="20"/>
        </w:rPr>
        <w:instrText xml:space="preserve"> \* MERGEFORMAT </w:instrText>
      </w:r>
      <w:r w:rsidRPr="000C79A9">
        <w:rPr>
          <w:rFonts w:ascii="Palatino Linotype" w:hAnsi="Palatino Linotype"/>
          <w:sz w:val="20"/>
          <w:szCs w:val="20"/>
        </w:rPr>
      </w:r>
      <w:r w:rsidRPr="000C79A9">
        <w:rPr>
          <w:rFonts w:ascii="Palatino Linotype" w:hAnsi="Palatino Linotype"/>
          <w:sz w:val="20"/>
          <w:szCs w:val="20"/>
        </w:rPr>
        <w:fldChar w:fldCharType="separate"/>
      </w:r>
      <w:r w:rsidRPr="000C79A9">
        <w:rPr>
          <w:rFonts w:ascii="Palatino Linotype" w:hAnsi="Palatino Linotype" w:cs="Times New Roman"/>
          <w:sz w:val="20"/>
          <w:szCs w:val="20"/>
        </w:rPr>
        <w:t xml:space="preserve">Table </w:t>
      </w:r>
      <w:r w:rsidR="001661CF">
        <w:rPr>
          <w:rFonts w:ascii="Palatino Linotype" w:hAnsi="Palatino Linotype" w:cs="Times New Roman"/>
          <w:sz w:val="20"/>
          <w:szCs w:val="20"/>
        </w:rPr>
        <w:t>S</w:t>
      </w:r>
      <w:r w:rsidR="000C79A9">
        <w:rPr>
          <w:rFonts w:ascii="Palatino Linotype" w:hAnsi="Palatino Linotype" w:cs="Times New Roman"/>
          <w:sz w:val="20"/>
          <w:szCs w:val="20"/>
        </w:rPr>
        <w:t>4.</w:t>
      </w:r>
      <w:r w:rsidRPr="000C79A9">
        <w:rPr>
          <w:rFonts w:ascii="Palatino Linotype" w:hAnsi="Palatino Linotype" w:cs="Times New Roman"/>
          <w:noProof/>
          <w:sz w:val="20"/>
          <w:szCs w:val="20"/>
        </w:rPr>
        <w:t>2</w:t>
      </w:r>
      <w:r w:rsidRPr="000C79A9">
        <w:rPr>
          <w:rFonts w:ascii="Palatino Linotype" w:hAnsi="Palatino Linotype"/>
          <w:sz w:val="20"/>
          <w:szCs w:val="20"/>
        </w:rPr>
        <w:fldChar w:fldCharType="end"/>
      </w:r>
      <w:r w:rsidR="00362D81" w:rsidRPr="000C79A9">
        <w:rPr>
          <w:rFonts w:ascii="Palatino Linotype" w:hAnsi="Palatino Linotype"/>
          <w:sz w:val="20"/>
          <w:szCs w:val="20"/>
        </w:rPr>
        <w:t>, even the maximum values reached in Case 3 (36.22 kg CO</w:t>
      </w:r>
      <w:r w:rsidR="00362D81" w:rsidRPr="000C79A9">
        <w:rPr>
          <w:rFonts w:ascii="Palatino Linotype" w:hAnsi="Palatino Linotype"/>
          <w:sz w:val="20"/>
          <w:szCs w:val="20"/>
          <w:vertAlign w:val="subscript"/>
        </w:rPr>
        <w:t>2</w:t>
      </w:r>
      <w:r w:rsidR="00362D81" w:rsidRPr="000C79A9">
        <w:rPr>
          <w:rFonts w:ascii="Palatino Linotype" w:hAnsi="Palatino Linotype"/>
          <w:sz w:val="20"/>
          <w:szCs w:val="20"/>
        </w:rPr>
        <w:t>-eq for EF climate change, and 36.89 for EF single score) are lower than the minimum values obtained by the other cases (37.76 and 37.18 kg CO</w:t>
      </w:r>
      <w:r w:rsidR="00362D81" w:rsidRPr="000C79A9">
        <w:rPr>
          <w:rFonts w:ascii="Palatino Linotype" w:hAnsi="Palatino Linotype"/>
          <w:sz w:val="20"/>
          <w:szCs w:val="20"/>
          <w:vertAlign w:val="subscript"/>
        </w:rPr>
        <w:t>2</w:t>
      </w:r>
      <w:r w:rsidR="00362D81" w:rsidRPr="000C79A9">
        <w:rPr>
          <w:rFonts w:ascii="Palatino Linotype" w:hAnsi="Palatino Linotype"/>
          <w:sz w:val="20"/>
          <w:szCs w:val="20"/>
        </w:rPr>
        <w:t>-eq for EF climate change for Case 1 and Case 2, respectively and 38.71 and 37.97 for EF single score for Case 1 and Case 2, respectively).</w:t>
      </w:r>
    </w:p>
    <w:p w14:paraId="3FDA7985" w14:textId="4F2C6108" w:rsidR="00362D81" w:rsidRPr="000C79A9" w:rsidRDefault="00362D81" w:rsidP="00362D81">
      <w:pPr>
        <w:jc w:val="both"/>
        <w:rPr>
          <w:rFonts w:ascii="Palatino Linotype" w:hAnsi="Palatino Linotype"/>
          <w:sz w:val="20"/>
          <w:szCs w:val="20"/>
        </w:rPr>
      </w:pPr>
      <w:r w:rsidRPr="000C79A9">
        <w:rPr>
          <w:rFonts w:ascii="Palatino Linotype" w:hAnsi="Palatino Linotype"/>
          <w:sz w:val="20"/>
          <w:szCs w:val="20"/>
        </w:rPr>
        <w:t xml:space="preserve">The coefficients of variations (CV) are mostly similar in all cases and impact categories. In general, the parts of the ABM that contain more random variables produce more variability. As a result of having fewer random variables in the component of the model that reflects crop production, there is less variability on average in the impact assessment results for the EF single score, which is mostly affected by flows from field operations (especially fertilizers and pesticides). On the other hand, the EF climate change score is affected more by the livestock activities which is the part of the model with more random variables. </w:t>
      </w:r>
    </w:p>
    <w:p w14:paraId="3B74BE6E" w14:textId="77777777" w:rsidR="00362D81" w:rsidRPr="000C79A9" w:rsidRDefault="00362D81" w:rsidP="00362D81">
      <w:pPr>
        <w:jc w:val="both"/>
        <w:rPr>
          <w:rFonts w:ascii="Palatino Linotype" w:hAnsi="Palatino Linotype"/>
          <w:sz w:val="20"/>
          <w:szCs w:val="20"/>
        </w:rPr>
      </w:pPr>
    </w:p>
    <w:p w14:paraId="08BA5702" w14:textId="77777777" w:rsidR="00362D81" w:rsidRPr="000C79A9" w:rsidRDefault="00362D81" w:rsidP="00362D81">
      <w:pPr>
        <w:jc w:val="both"/>
        <w:rPr>
          <w:rFonts w:ascii="Palatino Linotype" w:hAnsi="Palatino Linotype"/>
          <w:sz w:val="20"/>
          <w:szCs w:val="20"/>
        </w:rPr>
      </w:pPr>
      <w:r w:rsidRPr="000C79A9">
        <w:rPr>
          <w:rFonts w:ascii="Palatino Linotype" w:hAnsi="Palatino Linotype"/>
          <w:noProof/>
          <w:sz w:val="20"/>
          <w:szCs w:val="20"/>
        </w:rPr>
        <w:drawing>
          <wp:inline distT="0" distB="0" distL="0" distR="0" wp14:anchorId="45A5745D" wp14:editId="776DFD82">
            <wp:extent cx="2817392" cy="2113200"/>
            <wp:effectExtent l="0" t="0" r="2540" b="0"/>
            <wp:docPr id="154" name="Picture 154"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Picture 154" descr="A picture containing char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7392" cy="2113200"/>
                    </a:xfrm>
                    <a:prstGeom prst="rect">
                      <a:avLst/>
                    </a:prstGeom>
                  </pic:spPr>
                </pic:pic>
              </a:graphicData>
            </a:graphic>
          </wp:inline>
        </w:drawing>
      </w:r>
      <w:r w:rsidRPr="000C79A9">
        <w:rPr>
          <w:rFonts w:ascii="Palatino Linotype" w:hAnsi="Palatino Linotype"/>
          <w:noProof/>
          <w:sz w:val="20"/>
          <w:szCs w:val="20"/>
        </w:rPr>
        <w:drawing>
          <wp:inline distT="0" distB="0" distL="0" distR="0" wp14:anchorId="51A34961" wp14:editId="0042F079">
            <wp:extent cx="2817392" cy="2113200"/>
            <wp:effectExtent l="0" t="0" r="2540" b="0"/>
            <wp:docPr id="155" name="Picture 155"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Picture 155" descr="Chart&#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17392" cy="2113200"/>
                    </a:xfrm>
                    <a:prstGeom prst="rect">
                      <a:avLst/>
                    </a:prstGeom>
                  </pic:spPr>
                </pic:pic>
              </a:graphicData>
            </a:graphic>
          </wp:inline>
        </w:drawing>
      </w:r>
    </w:p>
    <w:p w14:paraId="6FA8A16B" w14:textId="77777777" w:rsidR="00362D81" w:rsidRPr="000C79A9" w:rsidRDefault="00362D81" w:rsidP="00362D81">
      <w:pPr>
        <w:rPr>
          <w:rFonts w:ascii="Palatino Linotype" w:hAnsi="Palatino Linotype"/>
          <w:sz w:val="20"/>
          <w:szCs w:val="20"/>
        </w:rPr>
      </w:pPr>
      <w:r w:rsidRPr="000C79A9">
        <w:rPr>
          <w:rFonts w:ascii="Palatino Linotype" w:hAnsi="Palatino Linotype"/>
          <w:noProof/>
          <w:sz w:val="20"/>
          <w:szCs w:val="20"/>
        </w:rPr>
        <mc:AlternateContent>
          <mc:Choice Requires="wps">
            <w:drawing>
              <wp:anchor distT="0" distB="0" distL="114300" distR="114300" simplePos="0" relativeHeight="251659264" behindDoc="0" locked="0" layoutInCell="1" allowOverlap="1" wp14:anchorId="23100A74" wp14:editId="396DDC55">
                <wp:simplePos x="0" y="0"/>
                <wp:positionH relativeFrom="column">
                  <wp:posOffset>0</wp:posOffset>
                </wp:positionH>
                <wp:positionV relativeFrom="paragraph">
                  <wp:posOffset>164465</wp:posOffset>
                </wp:positionV>
                <wp:extent cx="3205480" cy="178435"/>
                <wp:effectExtent l="0" t="0" r="0" b="0"/>
                <wp:wrapSquare wrapText="bothSides"/>
                <wp:docPr id="156" name="Text Box 156"/>
                <wp:cNvGraphicFramePr/>
                <a:graphic xmlns:a="http://schemas.openxmlformats.org/drawingml/2006/main">
                  <a:graphicData uri="http://schemas.microsoft.com/office/word/2010/wordprocessingShape">
                    <wps:wsp>
                      <wps:cNvSpPr txBox="1"/>
                      <wps:spPr>
                        <a:xfrm>
                          <a:off x="0" y="0"/>
                          <a:ext cx="3205480" cy="178435"/>
                        </a:xfrm>
                        <a:prstGeom prst="rect">
                          <a:avLst/>
                        </a:prstGeom>
                        <a:solidFill>
                          <a:prstClr val="white"/>
                        </a:solidFill>
                        <a:ln>
                          <a:noFill/>
                        </a:ln>
                      </wps:spPr>
                      <wps:txbx>
                        <w:txbxContent>
                          <w:p w14:paraId="5B1BB093" w14:textId="77777777" w:rsidR="00362D81" w:rsidRPr="00D32798" w:rsidRDefault="00362D81" w:rsidP="00362D81">
                            <w:pPr>
                              <w:pStyle w:val="Caption"/>
                              <w:jc w:val="center"/>
                              <w:rPr>
                                <w:rFonts w:ascii="Palatino Linotype" w:eastAsia="Times New Roman" w:hAnsi="Palatino Linotype" w:cs="Times New Roman"/>
                                <w:noProof/>
                                <w:color w:val="auto"/>
                              </w:rPr>
                            </w:pPr>
                            <w:r w:rsidRPr="00D32798">
                              <w:rPr>
                                <w:rFonts w:ascii="Palatino Linotype" w:hAnsi="Palatino Linotype"/>
                                <w:color w:val="auto"/>
                              </w:rPr>
                              <w:t>(a) EF Climate Change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100A74" id="_x0000_t202" coordsize="21600,21600" o:spt="202" path="m,l,21600r21600,l21600,xe">
                <v:stroke joinstyle="miter"/>
                <v:path gradientshapeok="t" o:connecttype="rect"/>
              </v:shapetype>
              <v:shape id="Text Box 156" o:spid="_x0000_s1026" type="#_x0000_t202" style="position:absolute;margin-left:0;margin-top:12.95pt;width:252.4pt;height:1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" stroked="f">
                <v:textbox inset="0,0,0,0">
                  <w:txbxContent>
                    <w:p w14:paraId="5B1BB093" w14:textId="77777777" w:rsidR="00362D81" w:rsidRPr="00D32798" w:rsidRDefault="00362D81" w:rsidP="00362D81">
                      <w:pPr>
                        <w:pStyle w:val="Caption"/>
                        <w:jc w:val="center"/>
                        <w:rPr>
                          <w:rFonts w:ascii="Palatino Linotype" w:eastAsia="Times New Roman" w:hAnsi="Palatino Linotype" w:cs="Times New Roman"/>
                          <w:noProof/>
                          <w:color w:val="auto"/>
                        </w:rPr>
                      </w:pPr>
                      <w:r w:rsidRPr="00D32798">
                        <w:rPr>
                          <w:rFonts w:ascii="Palatino Linotype" w:hAnsi="Palatino Linotype"/>
                          <w:color w:val="auto"/>
                        </w:rPr>
                        <w:t>(a) EF Climate Change</w:t>
                      </w:r>
                    </w:p>
                  </w:txbxContent>
                </v:textbox>
                <w10:wrap type="square"/>
              </v:shape>
            </w:pict>
          </mc:Fallback>
        </mc:AlternateContent>
      </w:r>
      <w:r w:rsidRPr="000C79A9">
        <w:rPr>
          <w:rFonts w:ascii="Palatino Linotype" w:hAnsi="Palatino Linotype"/>
          <w:noProof/>
          <w:sz w:val="20"/>
          <w:szCs w:val="20"/>
        </w:rPr>
        <mc:AlternateContent>
          <mc:Choice Requires="wps">
            <w:drawing>
              <wp:anchor distT="0" distB="0" distL="114300" distR="114300" simplePos="0" relativeHeight="251660288" behindDoc="0" locked="0" layoutInCell="1" allowOverlap="1" wp14:anchorId="46AA8916" wp14:editId="1759F387">
                <wp:simplePos x="0" y="0"/>
                <wp:positionH relativeFrom="column">
                  <wp:posOffset>2684780</wp:posOffset>
                </wp:positionH>
                <wp:positionV relativeFrom="paragraph">
                  <wp:posOffset>168560</wp:posOffset>
                </wp:positionV>
                <wp:extent cx="3205480" cy="178435"/>
                <wp:effectExtent l="0" t="0" r="0" b="0"/>
                <wp:wrapSquare wrapText="bothSides"/>
                <wp:docPr id="157" name="Text Box 157"/>
                <wp:cNvGraphicFramePr/>
                <a:graphic xmlns:a="http://schemas.openxmlformats.org/drawingml/2006/main">
                  <a:graphicData uri="http://schemas.microsoft.com/office/word/2010/wordprocessingShape">
                    <wps:wsp>
                      <wps:cNvSpPr txBox="1"/>
                      <wps:spPr>
                        <a:xfrm>
                          <a:off x="0" y="0"/>
                          <a:ext cx="3205480" cy="178435"/>
                        </a:xfrm>
                        <a:prstGeom prst="rect">
                          <a:avLst/>
                        </a:prstGeom>
                        <a:solidFill>
                          <a:prstClr val="white"/>
                        </a:solidFill>
                        <a:ln>
                          <a:noFill/>
                        </a:ln>
                      </wps:spPr>
                      <wps:txbx>
                        <w:txbxContent>
                          <w:p w14:paraId="71B1DCB4" w14:textId="77777777" w:rsidR="00362D81" w:rsidRPr="00D32798" w:rsidRDefault="00362D81" w:rsidP="00362D81">
                            <w:pPr>
                              <w:pStyle w:val="Caption"/>
                              <w:jc w:val="center"/>
                              <w:rPr>
                                <w:rFonts w:ascii="Palatino Linotype" w:eastAsia="Times New Roman" w:hAnsi="Palatino Linotype" w:cs="Times New Roman"/>
                                <w:noProof/>
                                <w:color w:val="auto"/>
                              </w:rPr>
                            </w:pPr>
                            <w:r w:rsidRPr="00D32798">
                              <w:rPr>
                                <w:rFonts w:ascii="Palatino Linotype" w:hAnsi="Palatino Linotype"/>
                                <w:color w:val="auto"/>
                              </w:rPr>
                              <w:t>(b) EF Single Score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AA8916" id="Text Box 157" o:spid="_x0000_s1027" type="#_x0000_t202" style="position:absolute;margin-left:211.4pt;margin-top:13.25pt;width:252.4pt;height:1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" stroked="f">
                <v:textbox inset="0,0,0,0">
                  <w:txbxContent>
                    <w:p w14:paraId="71B1DCB4" w14:textId="77777777" w:rsidR="00362D81" w:rsidRPr="00D32798" w:rsidRDefault="00362D81" w:rsidP="00362D81">
                      <w:pPr>
                        <w:pStyle w:val="Caption"/>
                        <w:jc w:val="center"/>
                        <w:rPr>
                          <w:rFonts w:ascii="Palatino Linotype" w:eastAsia="Times New Roman" w:hAnsi="Palatino Linotype" w:cs="Times New Roman"/>
                          <w:noProof/>
                          <w:color w:val="auto"/>
                        </w:rPr>
                      </w:pPr>
                      <w:r w:rsidRPr="00D32798">
                        <w:rPr>
                          <w:rFonts w:ascii="Palatino Linotype" w:hAnsi="Palatino Linotype"/>
                          <w:color w:val="auto"/>
                        </w:rPr>
                        <w:t>(b) EF Single Score</w:t>
                      </w:r>
                    </w:p>
                  </w:txbxContent>
                </v:textbox>
                <w10:wrap type="square"/>
              </v:shape>
            </w:pict>
          </mc:Fallback>
        </mc:AlternateContent>
      </w:r>
    </w:p>
    <w:p w14:paraId="334580D4" w14:textId="6ED90D6C" w:rsidR="00362D81" w:rsidRDefault="003D65FE" w:rsidP="003D65FE">
      <w:pPr>
        <w:pStyle w:val="Caption"/>
        <w:rPr>
          <w:rFonts w:ascii="Palatino Linotype" w:hAnsi="Palatino Linotype" w:cs="Times New Roman"/>
          <w:i w:val="0"/>
          <w:iCs w:val="0"/>
          <w:color w:val="auto"/>
          <w:sz w:val="20"/>
          <w:szCs w:val="20"/>
        </w:rPr>
      </w:pPr>
      <w:bookmarkStart w:id="5" w:name="_Ref146382465"/>
      <w:bookmarkEnd w:id="4"/>
      <w:r w:rsidRPr="00D32798">
        <w:rPr>
          <w:rFonts w:ascii="Palatino Linotype" w:hAnsi="Palatino Linotype"/>
          <w:b/>
          <w:bCs/>
          <w:i w:val="0"/>
          <w:iCs w:val="0"/>
          <w:color w:val="auto"/>
          <w:sz w:val="20"/>
          <w:szCs w:val="20"/>
        </w:rPr>
        <w:t xml:space="preserve">Figure </w:t>
      </w:r>
      <w:r w:rsidR="001661CF">
        <w:rPr>
          <w:rFonts w:ascii="Palatino Linotype" w:hAnsi="Palatino Linotype"/>
          <w:b/>
          <w:bCs/>
          <w:i w:val="0"/>
          <w:iCs w:val="0"/>
          <w:color w:val="auto"/>
          <w:sz w:val="20"/>
          <w:szCs w:val="20"/>
        </w:rPr>
        <w:t>S</w:t>
      </w:r>
      <w:r w:rsidR="000C79A9" w:rsidRPr="00D32798">
        <w:rPr>
          <w:rFonts w:ascii="Palatino Linotype" w:hAnsi="Palatino Linotype"/>
          <w:b/>
          <w:bCs/>
          <w:i w:val="0"/>
          <w:iCs w:val="0"/>
          <w:color w:val="auto"/>
          <w:sz w:val="20"/>
          <w:szCs w:val="20"/>
        </w:rPr>
        <w:t>4.</w:t>
      </w:r>
      <w:r w:rsidRPr="00D32798">
        <w:rPr>
          <w:rFonts w:ascii="Palatino Linotype" w:hAnsi="Palatino Linotype"/>
          <w:b/>
          <w:bCs/>
          <w:i w:val="0"/>
          <w:iCs w:val="0"/>
          <w:color w:val="auto"/>
          <w:sz w:val="20"/>
          <w:szCs w:val="20"/>
        </w:rPr>
        <w:fldChar w:fldCharType="begin"/>
      </w:r>
      <w:r w:rsidRPr="00D32798">
        <w:rPr>
          <w:rFonts w:ascii="Palatino Linotype" w:hAnsi="Palatino Linotype"/>
          <w:b/>
          <w:bCs/>
          <w:i w:val="0"/>
          <w:iCs w:val="0"/>
          <w:color w:val="auto"/>
          <w:sz w:val="20"/>
          <w:szCs w:val="20"/>
        </w:rPr>
        <w:instrText xml:space="preserve"> SEQ Figure \* ARABIC </w:instrText>
      </w:r>
      <w:r w:rsidRPr="00D32798">
        <w:rPr>
          <w:rFonts w:ascii="Palatino Linotype" w:hAnsi="Palatino Linotype"/>
          <w:b/>
          <w:bCs/>
          <w:i w:val="0"/>
          <w:iCs w:val="0"/>
          <w:color w:val="auto"/>
          <w:sz w:val="20"/>
          <w:szCs w:val="20"/>
        </w:rPr>
        <w:fldChar w:fldCharType="separate"/>
      </w:r>
      <w:r w:rsidRPr="00D32798">
        <w:rPr>
          <w:rFonts w:ascii="Palatino Linotype" w:hAnsi="Palatino Linotype"/>
          <w:b/>
          <w:bCs/>
          <w:i w:val="0"/>
          <w:iCs w:val="0"/>
          <w:noProof/>
          <w:color w:val="auto"/>
          <w:sz w:val="20"/>
          <w:szCs w:val="20"/>
        </w:rPr>
        <w:t>1</w:t>
      </w:r>
      <w:r w:rsidRPr="00D32798">
        <w:rPr>
          <w:rFonts w:ascii="Palatino Linotype" w:hAnsi="Palatino Linotype"/>
          <w:b/>
          <w:bCs/>
          <w:i w:val="0"/>
          <w:iCs w:val="0"/>
          <w:color w:val="auto"/>
          <w:sz w:val="20"/>
          <w:szCs w:val="20"/>
        </w:rPr>
        <w:fldChar w:fldCharType="end"/>
      </w:r>
      <w:bookmarkEnd w:id="5"/>
      <w:r w:rsidR="00D32798" w:rsidRPr="00D32798">
        <w:rPr>
          <w:rFonts w:ascii="Palatino Linotype" w:hAnsi="Palatino Linotype" w:cs="Times New Roman"/>
          <w:b/>
          <w:bCs/>
          <w:i w:val="0"/>
          <w:iCs w:val="0"/>
          <w:color w:val="auto"/>
          <w:sz w:val="20"/>
          <w:szCs w:val="20"/>
        </w:rPr>
        <w:t>.</w:t>
      </w:r>
      <w:r w:rsidR="00362D81" w:rsidRPr="00D32798">
        <w:rPr>
          <w:rFonts w:ascii="Palatino Linotype" w:hAnsi="Palatino Linotype" w:cs="Times New Roman"/>
          <w:i w:val="0"/>
          <w:iCs w:val="0"/>
          <w:color w:val="auto"/>
          <w:sz w:val="20"/>
          <w:szCs w:val="20"/>
        </w:rPr>
        <w:t xml:space="preserve"> Violin plots of the results of two impact categories obtained over 50 simulations for the three simulated cases.</w:t>
      </w:r>
    </w:p>
    <w:p w14:paraId="42532C02" w14:textId="77777777" w:rsidR="00D32798" w:rsidRPr="00D32798" w:rsidRDefault="00D32798" w:rsidP="00D32798">
      <w:pPr>
        <w:rPr>
          <w:lang w:val="en-US"/>
        </w:rPr>
      </w:pPr>
    </w:p>
    <w:p w14:paraId="0C6C21B5" w14:textId="17E4E7FD" w:rsidR="00362D81" w:rsidRPr="00D32798" w:rsidRDefault="00362D81" w:rsidP="00362D81">
      <w:pPr>
        <w:pStyle w:val="Caption"/>
        <w:keepNext/>
        <w:jc w:val="both"/>
        <w:rPr>
          <w:rFonts w:ascii="Palatino Linotype" w:hAnsi="Palatino Linotype" w:cs="Times New Roman"/>
          <w:i w:val="0"/>
          <w:iCs w:val="0"/>
          <w:color w:val="auto"/>
          <w:sz w:val="20"/>
          <w:szCs w:val="20"/>
        </w:rPr>
      </w:pPr>
      <w:bookmarkStart w:id="6" w:name="_Ref128776284"/>
      <w:r w:rsidRPr="00D32798">
        <w:rPr>
          <w:rFonts w:ascii="Palatino Linotype" w:hAnsi="Palatino Linotype" w:cs="Times New Roman"/>
          <w:b/>
          <w:bCs/>
          <w:i w:val="0"/>
          <w:iCs w:val="0"/>
          <w:color w:val="auto"/>
          <w:sz w:val="20"/>
          <w:szCs w:val="20"/>
        </w:rPr>
        <w:lastRenderedPageBreak/>
        <w:t xml:space="preserve">Table </w:t>
      </w:r>
      <w:r w:rsidR="001661CF">
        <w:rPr>
          <w:rFonts w:ascii="Palatino Linotype" w:hAnsi="Palatino Linotype" w:cs="Times New Roman"/>
          <w:b/>
          <w:bCs/>
          <w:i w:val="0"/>
          <w:iCs w:val="0"/>
          <w:color w:val="auto"/>
          <w:sz w:val="20"/>
          <w:szCs w:val="20"/>
        </w:rPr>
        <w:t>S</w:t>
      </w:r>
      <w:r w:rsidR="000C79A9" w:rsidRPr="00D32798">
        <w:rPr>
          <w:rFonts w:ascii="Palatino Linotype" w:hAnsi="Palatino Linotype" w:cs="Times New Roman"/>
          <w:b/>
          <w:bCs/>
          <w:i w:val="0"/>
          <w:iCs w:val="0"/>
          <w:color w:val="auto"/>
          <w:sz w:val="20"/>
          <w:szCs w:val="20"/>
        </w:rPr>
        <w:t>4.</w:t>
      </w:r>
      <w:r w:rsidRPr="00D32798">
        <w:rPr>
          <w:rFonts w:ascii="Palatino Linotype" w:hAnsi="Palatino Linotype" w:cs="Times New Roman"/>
          <w:b/>
          <w:bCs/>
          <w:i w:val="0"/>
          <w:iCs w:val="0"/>
          <w:color w:val="auto"/>
          <w:sz w:val="20"/>
          <w:szCs w:val="20"/>
        </w:rPr>
        <w:fldChar w:fldCharType="begin"/>
      </w:r>
      <w:r w:rsidRPr="00D32798">
        <w:rPr>
          <w:rFonts w:ascii="Palatino Linotype" w:hAnsi="Palatino Linotype" w:cs="Times New Roman"/>
          <w:b/>
          <w:bCs/>
          <w:i w:val="0"/>
          <w:iCs w:val="0"/>
          <w:color w:val="auto"/>
          <w:sz w:val="20"/>
          <w:szCs w:val="20"/>
        </w:rPr>
        <w:instrText xml:space="preserve"> SEQ Table \* ARABIC </w:instrText>
      </w:r>
      <w:r w:rsidRPr="00D32798">
        <w:rPr>
          <w:rFonts w:ascii="Palatino Linotype" w:hAnsi="Palatino Linotype" w:cs="Times New Roman"/>
          <w:b/>
          <w:bCs/>
          <w:i w:val="0"/>
          <w:iCs w:val="0"/>
          <w:color w:val="auto"/>
          <w:sz w:val="20"/>
          <w:szCs w:val="20"/>
        </w:rPr>
        <w:fldChar w:fldCharType="separate"/>
      </w:r>
      <w:r w:rsidR="003D65FE" w:rsidRPr="00D32798">
        <w:rPr>
          <w:rFonts w:ascii="Palatino Linotype" w:hAnsi="Palatino Linotype" w:cs="Times New Roman"/>
          <w:b/>
          <w:bCs/>
          <w:i w:val="0"/>
          <w:iCs w:val="0"/>
          <w:noProof/>
          <w:color w:val="auto"/>
          <w:sz w:val="20"/>
          <w:szCs w:val="20"/>
        </w:rPr>
        <w:t>2</w:t>
      </w:r>
      <w:r w:rsidRPr="00D32798">
        <w:rPr>
          <w:rFonts w:ascii="Palatino Linotype" w:hAnsi="Palatino Linotype" w:cs="Times New Roman"/>
          <w:b/>
          <w:bCs/>
          <w:i w:val="0"/>
          <w:iCs w:val="0"/>
          <w:color w:val="auto"/>
          <w:sz w:val="20"/>
          <w:szCs w:val="20"/>
        </w:rPr>
        <w:fldChar w:fldCharType="end"/>
      </w:r>
      <w:bookmarkEnd w:id="6"/>
      <w:r w:rsidR="00D32798" w:rsidRPr="00D32798">
        <w:rPr>
          <w:rFonts w:ascii="Palatino Linotype" w:hAnsi="Palatino Linotype" w:cs="Times New Roman"/>
          <w:b/>
          <w:bCs/>
          <w:i w:val="0"/>
          <w:iCs w:val="0"/>
          <w:color w:val="auto"/>
          <w:sz w:val="20"/>
          <w:szCs w:val="20"/>
        </w:rPr>
        <w:t>.</w:t>
      </w:r>
      <w:r w:rsidRPr="00D32798">
        <w:rPr>
          <w:rFonts w:ascii="Palatino Linotype" w:hAnsi="Palatino Linotype" w:cs="Times New Roman"/>
          <w:i w:val="0"/>
          <w:iCs w:val="0"/>
          <w:color w:val="auto"/>
          <w:sz w:val="20"/>
          <w:szCs w:val="20"/>
        </w:rPr>
        <w:t xml:space="preserve"> Main descriptive statistics for the average of ten years over 50 simulation runs for each of the three simulated cases.</w:t>
      </w:r>
    </w:p>
    <w:tbl>
      <w:tblPr>
        <w:tblStyle w:val="TableGrid"/>
        <w:tblW w:w="0" w:type="auto"/>
        <w:jc w:val="center"/>
        <w:tblBorders>
          <w:top w:val="single" w:sz="4" w:space="0" w:color="auto"/>
          <w:left w:val="none" w:sz="0" w:space="0" w:color="auto"/>
          <w:bottom w:val="single" w:sz="4" w:space="0" w:color="auto"/>
          <w:right w:val="none" w:sz="0" w:space="0" w:color="auto"/>
          <w:insideH w:val="single" w:sz="4" w:space="0" w:color="auto"/>
          <w:insideV w:val="none" w:sz="0" w:space="0" w:color="auto"/>
        </w:tblBorders>
        <w:tblLayout w:type="fixed"/>
        <w:tblLook w:val="04A0" w:firstRow="1" w:lastRow="0" w:firstColumn="1" w:lastColumn="0" w:noHBand="0" w:noVBand="1"/>
      </w:tblPr>
      <w:tblGrid>
        <w:gridCol w:w="1851"/>
        <w:gridCol w:w="814"/>
        <w:gridCol w:w="737"/>
        <w:gridCol w:w="891"/>
        <w:gridCol w:w="814"/>
        <w:gridCol w:w="814"/>
        <w:gridCol w:w="814"/>
      </w:tblGrid>
      <w:tr w:rsidR="00362D81" w:rsidRPr="000C79A9" w14:paraId="11C39484" w14:textId="77777777" w:rsidTr="00266716">
        <w:trPr>
          <w:jc w:val="center"/>
        </w:trPr>
        <w:tc>
          <w:tcPr>
            <w:tcW w:w="1851" w:type="dxa"/>
            <w:tcBorders>
              <w:top w:val="single" w:sz="4" w:space="0" w:color="auto"/>
              <w:bottom w:val="single" w:sz="4" w:space="0" w:color="auto"/>
              <w:right w:val="nil"/>
            </w:tcBorders>
            <w:vAlign w:val="center"/>
          </w:tcPr>
          <w:p w14:paraId="2B55C451" w14:textId="77777777" w:rsidR="00362D81" w:rsidRPr="000C79A9" w:rsidRDefault="00362D81" w:rsidP="009D18B5">
            <w:pPr>
              <w:pStyle w:val="MDPI31text"/>
              <w:spacing w:line="240" w:lineRule="auto"/>
              <w:ind w:left="0" w:firstLine="0"/>
              <w:rPr>
                <w:rStyle w:val="normaltextrun"/>
                <w:rFonts w:eastAsiaTheme="minorHAnsi" w:cstheme="minorBidi"/>
                <w:b/>
                <w:bCs/>
                <w:i/>
                <w:iCs/>
                <w:snapToGrid/>
                <w:color w:val="000000" w:themeColor="text1"/>
                <w:szCs w:val="20"/>
                <w:lang w:eastAsia="en-US" w:bidi="ar-SA"/>
              </w:rPr>
            </w:pPr>
          </w:p>
        </w:tc>
        <w:tc>
          <w:tcPr>
            <w:tcW w:w="2442" w:type="dxa"/>
            <w:gridSpan w:val="3"/>
            <w:tcBorders>
              <w:top w:val="single" w:sz="4" w:space="0" w:color="auto"/>
              <w:left w:val="nil"/>
              <w:bottom w:val="single" w:sz="4" w:space="0" w:color="auto"/>
              <w:right w:val="nil"/>
            </w:tcBorders>
          </w:tcPr>
          <w:p w14:paraId="14592DAC" w14:textId="77777777" w:rsidR="00362D81" w:rsidRPr="000C79A9" w:rsidRDefault="00362D81" w:rsidP="009D18B5">
            <w:pPr>
              <w:pStyle w:val="MDPI31text"/>
              <w:spacing w:line="240" w:lineRule="auto"/>
              <w:ind w:left="0" w:firstLine="0"/>
              <w:rPr>
                <w:rStyle w:val="normaltextrun"/>
                <w:b/>
                <w:bCs/>
                <w:color w:val="000000" w:themeColor="text1"/>
                <w:szCs w:val="20"/>
              </w:rPr>
            </w:pPr>
            <w:r w:rsidRPr="000C79A9">
              <w:rPr>
                <w:rStyle w:val="normaltextrun"/>
                <w:b/>
                <w:bCs/>
                <w:color w:val="000000" w:themeColor="text1"/>
                <w:szCs w:val="20"/>
              </w:rPr>
              <w:t>EF Climate Change (10</w:t>
            </w:r>
            <w:r w:rsidRPr="000C79A9">
              <w:rPr>
                <w:rStyle w:val="normaltextrun"/>
                <w:b/>
                <w:bCs/>
                <w:color w:val="000000" w:themeColor="text1"/>
                <w:szCs w:val="20"/>
                <w:vertAlign w:val="superscript"/>
              </w:rPr>
              <w:t>7</w:t>
            </w:r>
            <w:r w:rsidRPr="000C79A9">
              <w:rPr>
                <w:rStyle w:val="normaltextrun"/>
                <w:b/>
                <w:bCs/>
                <w:color w:val="000000" w:themeColor="text1"/>
                <w:szCs w:val="20"/>
              </w:rPr>
              <w:t>)</w:t>
            </w:r>
          </w:p>
        </w:tc>
        <w:tc>
          <w:tcPr>
            <w:tcW w:w="2442" w:type="dxa"/>
            <w:gridSpan w:val="3"/>
            <w:tcBorders>
              <w:top w:val="single" w:sz="4" w:space="0" w:color="auto"/>
              <w:left w:val="nil"/>
              <w:bottom w:val="single" w:sz="4" w:space="0" w:color="auto"/>
            </w:tcBorders>
          </w:tcPr>
          <w:p w14:paraId="3C39D595" w14:textId="77777777" w:rsidR="00362D81" w:rsidRPr="000C79A9" w:rsidRDefault="00362D81" w:rsidP="009D18B5">
            <w:pPr>
              <w:pStyle w:val="MDPI31text"/>
              <w:spacing w:line="240" w:lineRule="auto"/>
              <w:ind w:left="0" w:firstLine="0"/>
              <w:rPr>
                <w:rStyle w:val="normaltextrun"/>
                <w:b/>
                <w:bCs/>
                <w:color w:val="000000" w:themeColor="text1"/>
                <w:szCs w:val="20"/>
              </w:rPr>
            </w:pPr>
            <w:r w:rsidRPr="000C79A9">
              <w:rPr>
                <w:rStyle w:val="normaltextrun"/>
                <w:b/>
                <w:bCs/>
                <w:color w:val="000000" w:themeColor="text1"/>
                <w:szCs w:val="20"/>
              </w:rPr>
              <w:t>EF Single Score (10</w:t>
            </w:r>
            <w:r w:rsidRPr="000C79A9">
              <w:rPr>
                <w:rStyle w:val="normaltextrun"/>
                <w:b/>
                <w:bCs/>
                <w:color w:val="000000" w:themeColor="text1"/>
                <w:szCs w:val="20"/>
                <w:vertAlign w:val="superscript"/>
              </w:rPr>
              <w:t>3</w:t>
            </w:r>
            <w:r w:rsidRPr="000C79A9">
              <w:rPr>
                <w:rStyle w:val="normaltextrun"/>
                <w:b/>
                <w:bCs/>
                <w:color w:val="000000" w:themeColor="text1"/>
                <w:szCs w:val="20"/>
              </w:rPr>
              <w:t>)</w:t>
            </w:r>
          </w:p>
        </w:tc>
      </w:tr>
      <w:tr w:rsidR="00362D81" w:rsidRPr="000C79A9" w14:paraId="61BE3B4D" w14:textId="77777777" w:rsidTr="00266716">
        <w:trPr>
          <w:jc w:val="center"/>
        </w:trPr>
        <w:tc>
          <w:tcPr>
            <w:tcW w:w="1851" w:type="dxa"/>
            <w:tcBorders>
              <w:bottom w:val="nil"/>
              <w:right w:val="nil"/>
            </w:tcBorders>
            <w:vAlign w:val="center"/>
          </w:tcPr>
          <w:p w14:paraId="17254833" w14:textId="77777777" w:rsidR="00362D81" w:rsidRPr="000C79A9" w:rsidRDefault="00362D81" w:rsidP="009D18B5">
            <w:pPr>
              <w:pStyle w:val="MDPI31text"/>
              <w:spacing w:line="240" w:lineRule="auto"/>
              <w:ind w:left="0" w:firstLine="0"/>
              <w:rPr>
                <w:rStyle w:val="normaltextrun"/>
                <w:b/>
                <w:bCs/>
                <w:i/>
                <w:iCs/>
                <w:snapToGrid/>
                <w:color w:val="000000" w:themeColor="text1"/>
                <w:szCs w:val="20"/>
                <w:lang w:eastAsia="en-GB" w:bidi="ar-SA"/>
              </w:rPr>
            </w:pPr>
            <w:r w:rsidRPr="000C79A9">
              <w:rPr>
                <w:rStyle w:val="normaltextrun"/>
                <w:b/>
                <w:bCs/>
                <w:i/>
                <w:iCs/>
                <w:color w:val="000000" w:themeColor="text1"/>
                <w:szCs w:val="20"/>
              </w:rPr>
              <w:t>Case</w:t>
            </w:r>
          </w:p>
        </w:tc>
        <w:tc>
          <w:tcPr>
            <w:tcW w:w="814" w:type="dxa"/>
            <w:tcBorders>
              <w:left w:val="nil"/>
              <w:bottom w:val="nil"/>
              <w:right w:val="nil"/>
            </w:tcBorders>
          </w:tcPr>
          <w:p w14:paraId="0C4F8181" w14:textId="77777777" w:rsidR="00362D81" w:rsidRPr="000C79A9" w:rsidRDefault="00362D81" w:rsidP="009D18B5">
            <w:pPr>
              <w:pStyle w:val="MDPI31text"/>
              <w:spacing w:line="240" w:lineRule="auto"/>
              <w:ind w:left="0" w:firstLine="0"/>
              <w:rPr>
                <w:rStyle w:val="normaltextrun"/>
                <w:color w:val="000000" w:themeColor="text1"/>
                <w:szCs w:val="20"/>
              </w:rPr>
            </w:pPr>
            <w:r w:rsidRPr="000C79A9">
              <w:rPr>
                <w:rStyle w:val="normaltextrun"/>
                <w:color w:val="000000" w:themeColor="text1"/>
                <w:szCs w:val="20"/>
              </w:rPr>
              <w:t>1</w:t>
            </w:r>
          </w:p>
        </w:tc>
        <w:tc>
          <w:tcPr>
            <w:tcW w:w="737" w:type="dxa"/>
            <w:tcBorders>
              <w:left w:val="nil"/>
              <w:bottom w:val="nil"/>
              <w:right w:val="nil"/>
            </w:tcBorders>
          </w:tcPr>
          <w:p w14:paraId="6127F572" w14:textId="77777777" w:rsidR="00362D81" w:rsidRPr="000C79A9" w:rsidRDefault="00362D81" w:rsidP="009D18B5">
            <w:pPr>
              <w:pStyle w:val="MDPI31text"/>
              <w:spacing w:line="240" w:lineRule="auto"/>
              <w:ind w:left="0" w:firstLine="0"/>
              <w:rPr>
                <w:rStyle w:val="normaltextrun"/>
                <w:color w:val="000000" w:themeColor="text1"/>
                <w:szCs w:val="20"/>
              </w:rPr>
            </w:pPr>
            <w:r w:rsidRPr="000C79A9">
              <w:rPr>
                <w:rStyle w:val="normaltextrun"/>
                <w:color w:val="000000" w:themeColor="text1"/>
                <w:szCs w:val="20"/>
              </w:rPr>
              <w:t>2</w:t>
            </w:r>
          </w:p>
        </w:tc>
        <w:tc>
          <w:tcPr>
            <w:tcW w:w="891" w:type="dxa"/>
            <w:tcBorders>
              <w:left w:val="nil"/>
              <w:bottom w:val="nil"/>
              <w:right w:val="nil"/>
            </w:tcBorders>
          </w:tcPr>
          <w:p w14:paraId="55001079" w14:textId="77777777" w:rsidR="00362D81" w:rsidRPr="000C79A9" w:rsidRDefault="00362D81" w:rsidP="009D18B5">
            <w:pPr>
              <w:pStyle w:val="MDPI31text"/>
              <w:spacing w:line="240" w:lineRule="auto"/>
              <w:ind w:left="0" w:firstLine="0"/>
              <w:rPr>
                <w:rStyle w:val="normaltextrun"/>
                <w:color w:val="000000" w:themeColor="text1"/>
                <w:szCs w:val="20"/>
              </w:rPr>
            </w:pPr>
            <w:r w:rsidRPr="000C79A9">
              <w:rPr>
                <w:rStyle w:val="normaltextrun"/>
                <w:color w:val="000000" w:themeColor="text1"/>
                <w:szCs w:val="20"/>
              </w:rPr>
              <w:t>3</w:t>
            </w:r>
          </w:p>
        </w:tc>
        <w:tc>
          <w:tcPr>
            <w:tcW w:w="814" w:type="dxa"/>
            <w:tcBorders>
              <w:left w:val="nil"/>
              <w:bottom w:val="nil"/>
              <w:right w:val="nil"/>
            </w:tcBorders>
          </w:tcPr>
          <w:p w14:paraId="7E84C7AC" w14:textId="77777777" w:rsidR="00362D81" w:rsidRPr="000C79A9" w:rsidRDefault="00362D81" w:rsidP="009D18B5">
            <w:pPr>
              <w:pStyle w:val="MDPI31text"/>
              <w:spacing w:line="240" w:lineRule="auto"/>
              <w:ind w:left="0" w:firstLine="0"/>
              <w:rPr>
                <w:rStyle w:val="normaltextrun"/>
                <w:color w:val="000000" w:themeColor="text1"/>
                <w:szCs w:val="20"/>
              </w:rPr>
            </w:pPr>
            <w:r w:rsidRPr="000C79A9">
              <w:rPr>
                <w:rStyle w:val="normaltextrun"/>
                <w:color w:val="000000" w:themeColor="text1"/>
                <w:szCs w:val="20"/>
              </w:rPr>
              <w:t>1</w:t>
            </w:r>
          </w:p>
        </w:tc>
        <w:tc>
          <w:tcPr>
            <w:tcW w:w="814" w:type="dxa"/>
            <w:tcBorders>
              <w:left w:val="nil"/>
              <w:bottom w:val="nil"/>
              <w:right w:val="nil"/>
            </w:tcBorders>
          </w:tcPr>
          <w:p w14:paraId="46ED09E5" w14:textId="77777777" w:rsidR="00362D81" w:rsidRPr="000C79A9" w:rsidRDefault="00362D81" w:rsidP="009D18B5">
            <w:pPr>
              <w:pStyle w:val="MDPI31text"/>
              <w:spacing w:line="240" w:lineRule="auto"/>
              <w:ind w:left="0" w:firstLine="0"/>
              <w:rPr>
                <w:rStyle w:val="normaltextrun"/>
                <w:color w:val="000000" w:themeColor="text1"/>
                <w:szCs w:val="20"/>
              </w:rPr>
            </w:pPr>
            <w:r w:rsidRPr="000C79A9">
              <w:rPr>
                <w:rStyle w:val="normaltextrun"/>
                <w:color w:val="000000" w:themeColor="text1"/>
                <w:szCs w:val="20"/>
              </w:rPr>
              <w:t>2</w:t>
            </w:r>
          </w:p>
        </w:tc>
        <w:tc>
          <w:tcPr>
            <w:tcW w:w="814" w:type="dxa"/>
            <w:tcBorders>
              <w:left w:val="nil"/>
              <w:bottom w:val="nil"/>
            </w:tcBorders>
          </w:tcPr>
          <w:p w14:paraId="0EA16C23" w14:textId="77777777" w:rsidR="00362D81" w:rsidRPr="000C79A9" w:rsidRDefault="00362D81" w:rsidP="009D18B5">
            <w:pPr>
              <w:pStyle w:val="MDPI31text"/>
              <w:spacing w:line="240" w:lineRule="auto"/>
              <w:ind w:left="0" w:firstLine="0"/>
              <w:rPr>
                <w:rStyle w:val="normaltextrun"/>
                <w:color w:val="000000" w:themeColor="text1"/>
                <w:szCs w:val="20"/>
              </w:rPr>
            </w:pPr>
            <w:r w:rsidRPr="000C79A9">
              <w:rPr>
                <w:rStyle w:val="normaltextrun"/>
                <w:color w:val="000000" w:themeColor="text1"/>
                <w:szCs w:val="20"/>
              </w:rPr>
              <w:t>3</w:t>
            </w:r>
          </w:p>
        </w:tc>
      </w:tr>
      <w:tr w:rsidR="00362D81" w:rsidRPr="000C79A9" w14:paraId="78084A4E" w14:textId="77777777" w:rsidTr="00266716">
        <w:trPr>
          <w:jc w:val="center"/>
        </w:trPr>
        <w:tc>
          <w:tcPr>
            <w:tcW w:w="1851" w:type="dxa"/>
            <w:tcBorders>
              <w:top w:val="nil"/>
              <w:bottom w:val="nil"/>
              <w:right w:val="nil"/>
            </w:tcBorders>
            <w:vAlign w:val="center"/>
          </w:tcPr>
          <w:p w14:paraId="59F5E8D7" w14:textId="77777777" w:rsidR="00362D81" w:rsidRPr="000C79A9" w:rsidRDefault="00362D81" w:rsidP="009D18B5">
            <w:pPr>
              <w:pStyle w:val="MDPI31text"/>
              <w:spacing w:line="240" w:lineRule="auto"/>
              <w:ind w:left="0" w:firstLine="0"/>
              <w:rPr>
                <w:rStyle w:val="normaltextrun"/>
                <w:snapToGrid/>
                <w:color w:val="000000" w:themeColor="text1"/>
                <w:szCs w:val="20"/>
                <w:lang w:eastAsia="en-GB" w:bidi="ar-SA"/>
              </w:rPr>
            </w:pPr>
            <w:r w:rsidRPr="000C79A9">
              <w:rPr>
                <w:rStyle w:val="normaltextrun"/>
                <w:color w:val="000000" w:themeColor="text1"/>
                <w:szCs w:val="20"/>
              </w:rPr>
              <w:t>Minimum</w:t>
            </w:r>
          </w:p>
        </w:tc>
        <w:tc>
          <w:tcPr>
            <w:tcW w:w="814" w:type="dxa"/>
            <w:tcBorders>
              <w:top w:val="nil"/>
              <w:left w:val="nil"/>
              <w:bottom w:val="nil"/>
              <w:right w:val="nil"/>
            </w:tcBorders>
            <w:vAlign w:val="bottom"/>
          </w:tcPr>
          <w:p w14:paraId="49F26136" w14:textId="77777777" w:rsidR="00362D81" w:rsidRPr="000C79A9" w:rsidRDefault="00362D81" w:rsidP="009D18B5">
            <w:pPr>
              <w:pStyle w:val="MDPI31text"/>
              <w:spacing w:line="240" w:lineRule="auto"/>
              <w:ind w:left="0" w:firstLine="0"/>
              <w:rPr>
                <w:rStyle w:val="normaltextrun"/>
                <w:color w:val="000000" w:themeColor="text1"/>
                <w:szCs w:val="20"/>
              </w:rPr>
            </w:pPr>
            <w:r w:rsidRPr="000C79A9">
              <w:rPr>
                <w:szCs w:val="20"/>
              </w:rPr>
              <w:t>37,76</w:t>
            </w:r>
          </w:p>
        </w:tc>
        <w:tc>
          <w:tcPr>
            <w:tcW w:w="737" w:type="dxa"/>
            <w:tcBorders>
              <w:top w:val="nil"/>
              <w:left w:val="nil"/>
              <w:bottom w:val="nil"/>
              <w:right w:val="nil"/>
            </w:tcBorders>
            <w:vAlign w:val="bottom"/>
          </w:tcPr>
          <w:p w14:paraId="72883E0A" w14:textId="77777777" w:rsidR="00362D81" w:rsidRPr="000C79A9" w:rsidRDefault="00362D81" w:rsidP="009D18B5">
            <w:pPr>
              <w:pStyle w:val="MDPI31text"/>
              <w:spacing w:line="240" w:lineRule="auto"/>
              <w:ind w:left="0" w:firstLine="0"/>
              <w:rPr>
                <w:szCs w:val="20"/>
              </w:rPr>
            </w:pPr>
            <w:r w:rsidRPr="000C79A9">
              <w:rPr>
                <w:szCs w:val="20"/>
              </w:rPr>
              <w:t>37,18</w:t>
            </w:r>
          </w:p>
        </w:tc>
        <w:tc>
          <w:tcPr>
            <w:tcW w:w="891" w:type="dxa"/>
            <w:tcBorders>
              <w:top w:val="nil"/>
              <w:left w:val="nil"/>
              <w:bottom w:val="nil"/>
              <w:right w:val="nil"/>
            </w:tcBorders>
            <w:vAlign w:val="bottom"/>
          </w:tcPr>
          <w:p w14:paraId="6FC0F546" w14:textId="77777777" w:rsidR="00362D81" w:rsidRPr="000C79A9" w:rsidRDefault="00362D81" w:rsidP="009D18B5">
            <w:pPr>
              <w:pStyle w:val="MDPI31text"/>
              <w:spacing w:line="240" w:lineRule="auto"/>
              <w:ind w:left="0" w:firstLine="0"/>
              <w:rPr>
                <w:szCs w:val="20"/>
              </w:rPr>
            </w:pPr>
            <w:r w:rsidRPr="000C79A9">
              <w:rPr>
                <w:szCs w:val="20"/>
              </w:rPr>
              <w:t>35,53</w:t>
            </w:r>
          </w:p>
        </w:tc>
        <w:tc>
          <w:tcPr>
            <w:tcW w:w="814" w:type="dxa"/>
            <w:tcBorders>
              <w:top w:val="nil"/>
              <w:left w:val="nil"/>
              <w:bottom w:val="nil"/>
              <w:right w:val="nil"/>
            </w:tcBorders>
            <w:vAlign w:val="bottom"/>
          </w:tcPr>
          <w:p w14:paraId="588E7125" w14:textId="77777777" w:rsidR="00362D81" w:rsidRPr="000C79A9" w:rsidRDefault="00362D81" w:rsidP="009D18B5">
            <w:pPr>
              <w:pStyle w:val="MDPI31text"/>
              <w:spacing w:line="240" w:lineRule="auto"/>
              <w:ind w:left="0" w:firstLine="0"/>
              <w:rPr>
                <w:szCs w:val="20"/>
              </w:rPr>
            </w:pPr>
            <w:r w:rsidRPr="000C79A9">
              <w:rPr>
                <w:szCs w:val="20"/>
              </w:rPr>
              <w:t>38,71</w:t>
            </w:r>
          </w:p>
        </w:tc>
        <w:tc>
          <w:tcPr>
            <w:tcW w:w="814" w:type="dxa"/>
            <w:tcBorders>
              <w:top w:val="nil"/>
              <w:left w:val="nil"/>
              <w:bottom w:val="nil"/>
              <w:right w:val="nil"/>
            </w:tcBorders>
            <w:vAlign w:val="bottom"/>
          </w:tcPr>
          <w:p w14:paraId="6B9775E0" w14:textId="77777777" w:rsidR="00362D81" w:rsidRPr="000C79A9" w:rsidRDefault="00362D81" w:rsidP="009D18B5">
            <w:pPr>
              <w:pStyle w:val="MDPI31text"/>
              <w:spacing w:line="240" w:lineRule="auto"/>
              <w:ind w:left="0" w:firstLine="0"/>
              <w:rPr>
                <w:szCs w:val="20"/>
              </w:rPr>
            </w:pPr>
            <w:r w:rsidRPr="000C79A9">
              <w:rPr>
                <w:szCs w:val="20"/>
              </w:rPr>
              <w:t>37,97</w:t>
            </w:r>
          </w:p>
        </w:tc>
        <w:tc>
          <w:tcPr>
            <w:tcW w:w="814" w:type="dxa"/>
            <w:tcBorders>
              <w:top w:val="nil"/>
              <w:left w:val="nil"/>
              <w:bottom w:val="nil"/>
            </w:tcBorders>
            <w:vAlign w:val="bottom"/>
          </w:tcPr>
          <w:p w14:paraId="2C91FF9F" w14:textId="77777777" w:rsidR="00362D81" w:rsidRPr="000C79A9" w:rsidRDefault="00362D81" w:rsidP="009D18B5">
            <w:pPr>
              <w:pStyle w:val="MDPI31text"/>
              <w:spacing w:line="240" w:lineRule="auto"/>
              <w:ind w:left="0" w:firstLine="0"/>
              <w:rPr>
                <w:rStyle w:val="normaltextrun"/>
                <w:color w:val="000000" w:themeColor="text1"/>
                <w:szCs w:val="20"/>
              </w:rPr>
            </w:pPr>
            <w:r w:rsidRPr="000C79A9">
              <w:rPr>
                <w:szCs w:val="20"/>
              </w:rPr>
              <w:t>36,25</w:t>
            </w:r>
          </w:p>
        </w:tc>
      </w:tr>
      <w:tr w:rsidR="00362D81" w:rsidRPr="000C79A9" w14:paraId="492C2B5D" w14:textId="77777777" w:rsidTr="00266716">
        <w:trPr>
          <w:trHeight w:val="177"/>
          <w:jc w:val="center"/>
        </w:trPr>
        <w:tc>
          <w:tcPr>
            <w:tcW w:w="1851" w:type="dxa"/>
            <w:tcBorders>
              <w:top w:val="nil"/>
              <w:bottom w:val="nil"/>
              <w:right w:val="nil"/>
            </w:tcBorders>
            <w:vAlign w:val="center"/>
          </w:tcPr>
          <w:p w14:paraId="7117807A" w14:textId="77777777" w:rsidR="00362D81" w:rsidRPr="000C79A9" w:rsidRDefault="00362D81" w:rsidP="009D18B5">
            <w:pPr>
              <w:pStyle w:val="MDPI31text"/>
              <w:spacing w:line="240" w:lineRule="auto"/>
              <w:ind w:left="0" w:firstLine="0"/>
              <w:rPr>
                <w:rStyle w:val="normaltextrun"/>
                <w:snapToGrid/>
                <w:color w:val="000000" w:themeColor="text1"/>
                <w:szCs w:val="20"/>
                <w:lang w:eastAsia="en-GB" w:bidi="ar-SA"/>
              </w:rPr>
            </w:pPr>
            <w:r w:rsidRPr="000C79A9">
              <w:rPr>
                <w:rStyle w:val="normaltextrun"/>
                <w:color w:val="000000" w:themeColor="text1"/>
                <w:szCs w:val="20"/>
              </w:rPr>
              <w:t>Mean</w:t>
            </w:r>
          </w:p>
        </w:tc>
        <w:tc>
          <w:tcPr>
            <w:tcW w:w="814" w:type="dxa"/>
            <w:tcBorders>
              <w:top w:val="nil"/>
              <w:left w:val="nil"/>
              <w:bottom w:val="nil"/>
              <w:right w:val="nil"/>
            </w:tcBorders>
            <w:vAlign w:val="bottom"/>
          </w:tcPr>
          <w:p w14:paraId="2DA8C920" w14:textId="77777777" w:rsidR="00362D81" w:rsidRPr="000C79A9" w:rsidRDefault="00362D81" w:rsidP="009D18B5">
            <w:pPr>
              <w:pStyle w:val="MDPI31text"/>
              <w:spacing w:line="240" w:lineRule="auto"/>
              <w:ind w:left="0" w:firstLine="0"/>
              <w:rPr>
                <w:rStyle w:val="normaltextrun"/>
                <w:color w:val="000000" w:themeColor="text1"/>
                <w:szCs w:val="20"/>
              </w:rPr>
            </w:pPr>
            <w:r w:rsidRPr="000C79A9">
              <w:rPr>
                <w:szCs w:val="20"/>
              </w:rPr>
              <w:t>37,95</w:t>
            </w:r>
          </w:p>
        </w:tc>
        <w:tc>
          <w:tcPr>
            <w:tcW w:w="737" w:type="dxa"/>
            <w:tcBorders>
              <w:top w:val="nil"/>
              <w:left w:val="nil"/>
              <w:bottom w:val="nil"/>
              <w:right w:val="nil"/>
            </w:tcBorders>
            <w:vAlign w:val="bottom"/>
          </w:tcPr>
          <w:p w14:paraId="3F388D64" w14:textId="77777777" w:rsidR="00362D81" w:rsidRPr="000C79A9" w:rsidRDefault="00362D81" w:rsidP="009D18B5">
            <w:pPr>
              <w:pStyle w:val="MDPI31text"/>
              <w:spacing w:line="240" w:lineRule="auto"/>
              <w:ind w:left="0" w:firstLine="0"/>
              <w:rPr>
                <w:szCs w:val="20"/>
              </w:rPr>
            </w:pPr>
            <w:r w:rsidRPr="000C79A9">
              <w:rPr>
                <w:szCs w:val="20"/>
              </w:rPr>
              <w:t>37,53</w:t>
            </w:r>
          </w:p>
        </w:tc>
        <w:tc>
          <w:tcPr>
            <w:tcW w:w="891" w:type="dxa"/>
            <w:tcBorders>
              <w:top w:val="nil"/>
              <w:left w:val="nil"/>
              <w:bottom w:val="nil"/>
              <w:right w:val="nil"/>
            </w:tcBorders>
            <w:vAlign w:val="bottom"/>
          </w:tcPr>
          <w:p w14:paraId="77951B14" w14:textId="77777777" w:rsidR="00362D81" w:rsidRPr="000C79A9" w:rsidRDefault="00362D81" w:rsidP="009D18B5">
            <w:pPr>
              <w:pStyle w:val="MDPI31text"/>
              <w:spacing w:line="240" w:lineRule="auto"/>
              <w:ind w:left="0" w:firstLine="0"/>
              <w:rPr>
                <w:szCs w:val="20"/>
              </w:rPr>
            </w:pPr>
            <w:r w:rsidRPr="000C79A9">
              <w:rPr>
                <w:szCs w:val="20"/>
              </w:rPr>
              <w:t>35,78</w:t>
            </w:r>
          </w:p>
        </w:tc>
        <w:tc>
          <w:tcPr>
            <w:tcW w:w="814" w:type="dxa"/>
            <w:tcBorders>
              <w:top w:val="nil"/>
              <w:left w:val="nil"/>
              <w:bottom w:val="nil"/>
              <w:right w:val="nil"/>
            </w:tcBorders>
            <w:vAlign w:val="bottom"/>
          </w:tcPr>
          <w:p w14:paraId="2E3CC1BB" w14:textId="77777777" w:rsidR="00362D81" w:rsidRPr="000C79A9" w:rsidRDefault="00362D81" w:rsidP="009D18B5">
            <w:pPr>
              <w:pStyle w:val="MDPI31text"/>
              <w:spacing w:line="240" w:lineRule="auto"/>
              <w:ind w:left="0" w:firstLine="0"/>
              <w:rPr>
                <w:szCs w:val="20"/>
              </w:rPr>
            </w:pPr>
            <w:r w:rsidRPr="000C79A9">
              <w:rPr>
                <w:szCs w:val="20"/>
              </w:rPr>
              <w:t>39,01</w:t>
            </w:r>
          </w:p>
        </w:tc>
        <w:tc>
          <w:tcPr>
            <w:tcW w:w="814" w:type="dxa"/>
            <w:tcBorders>
              <w:top w:val="nil"/>
              <w:left w:val="nil"/>
              <w:bottom w:val="nil"/>
              <w:right w:val="nil"/>
            </w:tcBorders>
            <w:vAlign w:val="bottom"/>
          </w:tcPr>
          <w:p w14:paraId="6BE0F953" w14:textId="77777777" w:rsidR="00362D81" w:rsidRPr="000C79A9" w:rsidRDefault="00362D81" w:rsidP="009D18B5">
            <w:pPr>
              <w:pStyle w:val="MDPI31text"/>
              <w:spacing w:line="240" w:lineRule="auto"/>
              <w:ind w:left="0" w:firstLine="0"/>
              <w:rPr>
                <w:szCs w:val="20"/>
              </w:rPr>
            </w:pPr>
            <w:r w:rsidRPr="000C79A9">
              <w:rPr>
                <w:szCs w:val="20"/>
              </w:rPr>
              <w:t>38,39</w:t>
            </w:r>
          </w:p>
        </w:tc>
        <w:tc>
          <w:tcPr>
            <w:tcW w:w="814" w:type="dxa"/>
            <w:tcBorders>
              <w:top w:val="nil"/>
              <w:left w:val="nil"/>
              <w:bottom w:val="nil"/>
            </w:tcBorders>
            <w:vAlign w:val="bottom"/>
          </w:tcPr>
          <w:p w14:paraId="30C9CF8D" w14:textId="77777777" w:rsidR="00362D81" w:rsidRPr="000C79A9" w:rsidRDefault="00362D81" w:rsidP="009D18B5">
            <w:pPr>
              <w:pStyle w:val="MDPI31text"/>
              <w:spacing w:line="240" w:lineRule="auto"/>
              <w:ind w:left="0" w:firstLine="0"/>
              <w:rPr>
                <w:color w:val="000000" w:themeColor="text1"/>
                <w:szCs w:val="20"/>
              </w:rPr>
            </w:pPr>
            <w:r w:rsidRPr="000C79A9">
              <w:rPr>
                <w:szCs w:val="20"/>
              </w:rPr>
              <w:t>36,43</w:t>
            </w:r>
          </w:p>
        </w:tc>
      </w:tr>
      <w:tr w:rsidR="00362D81" w:rsidRPr="000C79A9" w14:paraId="1CBDBF8C" w14:textId="77777777" w:rsidTr="00266716">
        <w:trPr>
          <w:trHeight w:val="174"/>
          <w:jc w:val="center"/>
        </w:trPr>
        <w:tc>
          <w:tcPr>
            <w:tcW w:w="1851" w:type="dxa"/>
            <w:tcBorders>
              <w:top w:val="nil"/>
              <w:bottom w:val="nil"/>
              <w:right w:val="nil"/>
            </w:tcBorders>
            <w:vAlign w:val="center"/>
          </w:tcPr>
          <w:p w14:paraId="3E887224" w14:textId="77777777" w:rsidR="00362D81" w:rsidRPr="000C79A9" w:rsidRDefault="00362D81" w:rsidP="009D18B5">
            <w:pPr>
              <w:pStyle w:val="MDPI31text"/>
              <w:spacing w:line="240" w:lineRule="auto"/>
              <w:ind w:left="0" w:firstLine="0"/>
              <w:rPr>
                <w:rStyle w:val="normaltextrun"/>
                <w:snapToGrid/>
                <w:color w:val="000000" w:themeColor="text1"/>
                <w:szCs w:val="20"/>
                <w:lang w:eastAsia="en-GB" w:bidi="ar-SA"/>
              </w:rPr>
            </w:pPr>
            <w:r w:rsidRPr="000C79A9">
              <w:rPr>
                <w:rStyle w:val="normaltextrun"/>
                <w:color w:val="000000" w:themeColor="text1"/>
                <w:szCs w:val="20"/>
              </w:rPr>
              <w:t>Maximum</w:t>
            </w:r>
          </w:p>
        </w:tc>
        <w:tc>
          <w:tcPr>
            <w:tcW w:w="814" w:type="dxa"/>
            <w:tcBorders>
              <w:top w:val="nil"/>
              <w:left w:val="nil"/>
              <w:bottom w:val="nil"/>
              <w:right w:val="nil"/>
            </w:tcBorders>
            <w:vAlign w:val="bottom"/>
          </w:tcPr>
          <w:p w14:paraId="138FA360" w14:textId="77777777" w:rsidR="00362D81" w:rsidRPr="000C79A9" w:rsidRDefault="00362D81" w:rsidP="009D18B5">
            <w:pPr>
              <w:pStyle w:val="MDPI31text"/>
              <w:spacing w:line="240" w:lineRule="auto"/>
              <w:ind w:left="0" w:firstLine="0"/>
              <w:rPr>
                <w:color w:val="000000" w:themeColor="text1"/>
                <w:szCs w:val="20"/>
              </w:rPr>
            </w:pPr>
            <w:r w:rsidRPr="000C79A9">
              <w:rPr>
                <w:szCs w:val="20"/>
              </w:rPr>
              <w:t>38,65</w:t>
            </w:r>
          </w:p>
        </w:tc>
        <w:tc>
          <w:tcPr>
            <w:tcW w:w="737" w:type="dxa"/>
            <w:tcBorders>
              <w:top w:val="nil"/>
              <w:left w:val="nil"/>
              <w:bottom w:val="nil"/>
              <w:right w:val="nil"/>
            </w:tcBorders>
            <w:vAlign w:val="bottom"/>
          </w:tcPr>
          <w:p w14:paraId="087B5A9E" w14:textId="77777777" w:rsidR="00362D81" w:rsidRPr="000C79A9" w:rsidRDefault="00362D81" w:rsidP="009D18B5">
            <w:pPr>
              <w:pStyle w:val="MDPI31text"/>
              <w:spacing w:line="240" w:lineRule="auto"/>
              <w:ind w:left="0" w:firstLine="0"/>
              <w:rPr>
                <w:szCs w:val="20"/>
              </w:rPr>
            </w:pPr>
            <w:r w:rsidRPr="000C79A9">
              <w:rPr>
                <w:szCs w:val="20"/>
              </w:rPr>
              <w:t>37,82</w:t>
            </w:r>
          </w:p>
        </w:tc>
        <w:tc>
          <w:tcPr>
            <w:tcW w:w="891" w:type="dxa"/>
            <w:tcBorders>
              <w:top w:val="nil"/>
              <w:left w:val="nil"/>
              <w:bottom w:val="nil"/>
              <w:right w:val="nil"/>
            </w:tcBorders>
            <w:vAlign w:val="bottom"/>
          </w:tcPr>
          <w:p w14:paraId="7F501079" w14:textId="77777777" w:rsidR="00362D81" w:rsidRPr="000C79A9" w:rsidRDefault="00362D81" w:rsidP="009D18B5">
            <w:pPr>
              <w:jc w:val="both"/>
              <w:rPr>
                <w:rFonts w:ascii="Palatino Linotype" w:hAnsi="Palatino Linotype"/>
                <w:snapToGrid w:val="0"/>
                <w:color w:val="000000"/>
                <w:sz w:val="20"/>
                <w:szCs w:val="20"/>
                <w:lang w:eastAsia="de-DE" w:bidi="en-US"/>
              </w:rPr>
            </w:pPr>
            <w:r w:rsidRPr="000C79A9">
              <w:rPr>
                <w:rFonts w:ascii="Palatino Linotype" w:hAnsi="Palatino Linotype"/>
                <w:snapToGrid w:val="0"/>
                <w:color w:val="000000"/>
                <w:sz w:val="20"/>
                <w:szCs w:val="20"/>
                <w:lang w:eastAsia="de-DE" w:bidi="en-US"/>
              </w:rPr>
              <w:t>36,22</w:t>
            </w:r>
          </w:p>
        </w:tc>
        <w:tc>
          <w:tcPr>
            <w:tcW w:w="814" w:type="dxa"/>
            <w:tcBorders>
              <w:top w:val="nil"/>
              <w:left w:val="nil"/>
              <w:bottom w:val="nil"/>
              <w:right w:val="nil"/>
            </w:tcBorders>
            <w:vAlign w:val="bottom"/>
          </w:tcPr>
          <w:p w14:paraId="3D94F130" w14:textId="77777777" w:rsidR="00362D81" w:rsidRPr="000C79A9" w:rsidRDefault="00362D81" w:rsidP="009D18B5">
            <w:pPr>
              <w:pStyle w:val="MDPI31text"/>
              <w:spacing w:line="240" w:lineRule="auto"/>
              <w:ind w:left="0" w:firstLine="0"/>
              <w:rPr>
                <w:szCs w:val="20"/>
              </w:rPr>
            </w:pPr>
            <w:r w:rsidRPr="000C79A9">
              <w:rPr>
                <w:szCs w:val="20"/>
              </w:rPr>
              <w:t>39,47</w:t>
            </w:r>
          </w:p>
        </w:tc>
        <w:tc>
          <w:tcPr>
            <w:tcW w:w="814" w:type="dxa"/>
            <w:tcBorders>
              <w:top w:val="nil"/>
              <w:left w:val="nil"/>
              <w:bottom w:val="nil"/>
              <w:right w:val="nil"/>
            </w:tcBorders>
            <w:vAlign w:val="bottom"/>
          </w:tcPr>
          <w:p w14:paraId="15F58266" w14:textId="77777777" w:rsidR="00362D81" w:rsidRPr="000C79A9" w:rsidRDefault="00362D81" w:rsidP="009D18B5">
            <w:pPr>
              <w:pStyle w:val="MDPI31text"/>
              <w:spacing w:line="240" w:lineRule="auto"/>
              <w:ind w:left="0" w:firstLine="0"/>
              <w:rPr>
                <w:szCs w:val="20"/>
              </w:rPr>
            </w:pPr>
            <w:r w:rsidRPr="000C79A9">
              <w:rPr>
                <w:szCs w:val="20"/>
              </w:rPr>
              <w:t>38,54</w:t>
            </w:r>
          </w:p>
        </w:tc>
        <w:tc>
          <w:tcPr>
            <w:tcW w:w="814" w:type="dxa"/>
            <w:tcBorders>
              <w:top w:val="nil"/>
              <w:left w:val="nil"/>
              <w:bottom w:val="nil"/>
            </w:tcBorders>
            <w:vAlign w:val="bottom"/>
          </w:tcPr>
          <w:p w14:paraId="0698533B" w14:textId="77777777" w:rsidR="00362D81" w:rsidRPr="000C79A9" w:rsidRDefault="00362D81" w:rsidP="009D18B5">
            <w:pPr>
              <w:pStyle w:val="MDPI31text"/>
              <w:spacing w:line="240" w:lineRule="auto"/>
              <w:ind w:left="0" w:firstLine="0"/>
              <w:rPr>
                <w:color w:val="000000" w:themeColor="text1"/>
                <w:szCs w:val="20"/>
              </w:rPr>
            </w:pPr>
            <w:r w:rsidRPr="000C79A9">
              <w:rPr>
                <w:szCs w:val="20"/>
              </w:rPr>
              <w:t>36,89</w:t>
            </w:r>
          </w:p>
        </w:tc>
      </w:tr>
      <w:tr w:rsidR="00362D81" w:rsidRPr="000C79A9" w14:paraId="27500A2C" w14:textId="77777777" w:rsidTr="00266716">
        <w:trPr>
          <w:trHeight w:val="174"/>
          <w:jc w:val="center"/>
        </w:trPr>
        <w:tc>
          <w:tcPr>
            <w:tcW w:w="1851" w:type="dxa"/>
            <w:tcBorders>
              <w:top w:val="nil"/>
              <w:bottom w:val="nil"/>
              <w:right w:val="nil"/>
            </w:tcBorders>
            <w:vAlign w:val="center"/>
          </w:tcPr>
          <w:p w14:paraId="366A31C8" w14:textId="77777777" w:rsidR="00362D81" w:rsidRPr="000C79A9" w:rsidRDefault="00362D81" w:rsidP="009D18B5">
            <w:pPr>
              <w:pStyle w:val="MDPI31text"/>
              <w:spacing w:line="240" w:lineRule="auto"/>
              <w:ind w:left="0" w:firstLine="0"/>
              <w:rPr>
                <w:rStyle w:val="normaltextrun"/>
                <w:snapToGrid/>
                <w:color w:val="000000" w:themeColor="text1"/>
                <w:szCs w:val="20"/>
                <w:lang w:eastAsia="en-GB" w:bidi="ar-SA"/>
              </w:rPr>
            </w:pPr>
            <w:r w:rsidRPr="000C79A9">
              <w:rPr>
                <w:rStyle w:val="normaltextrun"/>
                <w:color w:val="000000" w:themeColor="text1"/>
                <w:szCs w:val="20"/>
              </w:rPr>
              <w:t>Standard Deviation</w:t>
            </w:r>
          </w:p>
        </w:tc>
        <w:tc>
          <w:tcPr>
            <w:tcW w:w="814" w:type="dxa"/>
            <w:tcBorders>
              <w:top w:val="nil"/>
              <w:left w:val="nil"/>
              <w:bottom w:val="nil"/>
              <w:right w:val="nil"/>
            </w:tcBorders>
            <w:vAlign w:val="bottom"/>
          </w:tcPr>
          <w:p w14:paraId="230489EB" w14:textId="77777777" w:rsidR="00362D81" w:rsidRPr="000C79A9" w:rsidRDefault="00362D81" w:rsidP="009D18B5">
            <w:pPr>
              <w:pStyle w:val="MDPI31text"/>
              <w:spacing w:line="240" w:lineRule="auto"/>
              <w:ind w:left="0" w:firstLine="0"/>
              <w:rPr>
                <w:color w:val="000000" w:themeColor="text1"/>
                <w:szCs w:val="20"/>
              </w:rPr>
            </w:pPr>
            <w:r w:rsidRPr="000C79A9">
              <w:rPr>
                <w:szCs w:val="20"/>
              </w:rPr>
              <w:t>0,29</w:t>
            </w:r>
          </w:p>
        </w:tc>
        <w:tc>
          <w:tcPr>
            <w:tcW w:w="737" w:type="dxa"/>
            <w:tcBorders>
              <w:top w:val="nil"/>
              <w:left w:val="nil"/>
              <w:bottom w:val="nil"/>
              <w:right w:val="nil"/>
            </w:tcBorders>
            <w:vAlign w:val="bottom"/>
          </w:tcPr>
          <w:p w14:paraId="002BC20F" w14:textId="77777777" w:rsidR="00362D81" w:rsidRPr="000C79A9" w:rsidRDefault="00362D81" w:rsidP="009D18B5">
            <w:pPr>
              <w:pStyle w:val="MDPI31text"/>
              <w:spacing w:line="240" w:lineRule="auto"/>
              <w:ind w:left="0" w:firstLine="0"/>
              <w:rPr>
                <w:szCs w:val="20"/>
              </w:rPr>
            </w:pPr>
            <w:r w:rsidRPr="000C79A9">
              <w:rPr>
                <w:szCs w:val="20"/>
              </w:rPr>
              <w:t>0,25</w:t>
            </w:r>
          </w:p>
        </w:tc>
        <w:tc>
          <w:tcPr>
            <w:tcW w:w="891" w:type="dxa"/>
            <w:tcBorders>
              <w:top w:val="nil"/>
              <w:left w:val="nil"/>
              <w:bottom w:val="nil"/>
              <w:right w:val="nil"/>
            </w:tcBorders>
            <w:vAlign w:val="bottom"/>
          </w:tcPr>
          <w:p w14:paraId="29C06A14" w14:textId="77777777" w:rsidR="00362D81" w:rsidRPr="000C79A9" w:rsidRDefault="00362D81" w:rsidP="009D18B5">
            <w:pPr>
              <w:pStyle w:val="MDPI31text"/>
              <w:spacing w:line="240" w:lineRule="auto"/>
              <w:ind w:left="0" w:firstLine="0"/>
              <w:rPr>
                <w:szCs w:val="20"/>
              </w:rPr>
            </w:pPr>
            <w:r w:rsidRPr="000C79A9">
              <w:rPr>
                <w:szCs w:val="20"/>
              </w:rPr>
              <w:t>0,27</w:t>
            </w:r>
          </w:p>
        </w:tc>
        <w:tc>
          <w:tcPr>
            <w:tcW w:w="814" w:type="dxa"/>
            <w:tcBorders>
              <w:top w:val="nil"/>
              <w:left w:val="nil"/>
              <w:bottom w:val="nil"/>
              <w:right w:val="nil"/>
            </w:tcBorders>
            <w:vAlign w:val="bottom"/>
          </w:tcPr>
          <w:p w14:paraId="55B256AF" w14:textId="77777777" w:rsidR="00362D81" w:rsidRPr="000C79A9" w:rsidRDefault="00362D81" w:rsidP="009D18B5">
            <w:pPr>
              <w:pStyle w:val="MDPI31text"/>
              <w:spacing w:line="240" w:lineRule="auto"/>
              <w:ind w:left="0" w:firstLine="0"/>
              <w:rPr>
                <w:szCs w:val="20"/>
              </w:rPr>
            </w:pPr>
            <w:r w:rsidRPr="000C79A9">
              <w:rPr>
                <w:szCs w:val="20"/>
              </w:rPr>
              <w:t>0,26</w:t>
            </w:r>
          </w:p>
        </w:tc>
        <w:tc>
          <w:tcPr>
            <w:tcW w:w="814" w:type="dxa"/>
            <w:tcBorders>
              <w:top w:val="nil"/>
              <w:left w:val="nil"/>
              <w:bottom w:val="nil"/>
              <w:right w:val="nil"/>
            </w:tcBorders>
            <w:vAlign w:val="bottom"/>
          </w:tcPr>
          <w:p w14:paraId="35B4627F" w14:textId="77777777" w:rsidR="00362D81" w:rsidRPr="000C79A9" w:rsidRDefault="00362D81" w:rsidP="009D18B5">
            <w:pPr>
              <w:pStyle w:val="MDPI31text"/>
              <w:spacing w:line="240" w:lineRule="auto"/>
              <w:ind w:left="0" w:firstLine="0"/>
              <w:rPr>
                <w:szCs w:val="20"/>
              </w:rPr>
            </w:pPr>
            <w:r w:rsidRPr="000C79A9">
              <w:rPr>
                <w:szCs w:val="20"/>
              </w:rPr>
              <w:t>0,26</w:t>
            </w:r>
          </w:p>
        </w:tc>
        <w:tc>
          <w:tcPr>
            <w:tcW w:w="814" w:type="dxa"/>
            <w:tcBorders>
              <w:top w:val="nil"/>
              <w:left w:val="nil"/>
              <w:bottom w:val="nil"/>
            </w:tcBorders>
            <w:vAlign w:val="bottom"/>
          </w:tcPr>
          <w:p w14:paraId="643383B1" w14:textId="77777777" w:rsidR="00362D81" w:rsidRPr="000C79A9" w:rsidRDefault="00362D81" w:rsidP="009D18B5">
            <w:pPr>
              <w:pStyle w:val="MDPI31text"/>
              <w:spacing w:line="240" w:lineRule="auto"/>
              <w:ind w:left="0" w:firstLine="0"/>
              <w:rPr>
                <w:rStyle w:val="normaltextrun"/>
                <w:color w:val="000000" w:themeColor="text1"/>
                <w:szCs w:val="20"/>
              </w:rPr>
            </w:pPr>
            <w:r w:rsidRPr="000C79A9">
              <w:rPr>
                <w:szCs w:val="20"/>
              </w:rPr>
              <w:t>0,23</w:t>
            </w:r>
          </w:p>
        </w:tc>
      </w:tr>
      <w:tr w:rsidR="00362D81" w:rsidRPr="000C79A9" w14:paraId="138E7296" w14:textId="77777777" w:rsidTr="00266716">
        <w:trPr>
          <w:trHeight w:val="174"/>
          <w:jc w:val="center"/>
        </w:trPr>
        <w:tc>
          <w:tcPr>
            <w:tcW w:w="1851" w:type="dxa"/>
            <w:tcBorders>
              <w:top w:val="nil"/>
              <w:right w:val="nil"/>
            </w:tcBorders>
            <w:vAlign w:val="center"/>
          </w:tcPr>
          <w:p w14:paraId="44A310E7" w14:textId="77777777" w:rsidR="00362D81" w:rsidRPr="000C79A9" w:rsidRDefault="00362D81" w:rsidP="009D18B5">
            <w:pPr>
              <w:pStyle w:val="MDPI31text"/>
              <w:spacing w:line="240" w:lineRule="auto"/>
              <w:ind w:left="0" w:firstLine="0"/>
              <w:rPr>
                <w:rStyle w:val="normaltextrun"/>
                <w:snapToGrid/>
                <w:color w:val="000000" w:themeColor="text1"/>
                <w:szCs w:val="20"/>
                <w:lang w:eastAsia="en-GB" w:bidi="ar-SA"/>
              </w:rPr>
            </w:pPr>
            <w:r w:rsidRPr="000C79A9">
              <w:rPr>
                <w:rStyle w:val="normaltextrun"/>
                <w:color w:val="000000" w:themeColor="text1"/>
                <w:szCs w:val="20"/>
              </w:rPr>
              <w:t>CV</w:t>
            </w:r>
          </w:p>
        </w:tc>
        <w:tc>
          <w:tcPr>
            <w:tcW w:w="814" w:type="dxa"/>
            <w:tcBorders>
              <w:top w:val="nil"/>
              <w:left w:val="nil"/>
              <w:right w:val="nil"/>
            </w:tcBorders>
            <w:vAlign w:val="bottom"/>
          </w:tcPr>
          <w:p w14:paraId="3ECC3C5E" w14:textId="77777777" w:rsidR="00362D81" w:rsidRPr="000C79A9" w:rsidRDefault="00362D81" w:rsidP="009D18B5">
            <w:pPr>
              <w:pStyle w:val="MDPI31text"/>
              <w:spacing w:line="240" w:lineRule="auto"/>
              <w:ind w:left="0" w:firstLine="0"/>
              <w:rPr>
                <w:color w:val="000000" w:themeColor="text1"/>
                <w:szCs w:val="20"/>
              </w:rPr>
            </w:pPr>
            <w:r w:rsidRPr="000C79A9">
              <w:rPr>
                <w:szCs w:val="20"/>
              </w:rPr>
              <w:t>0.76%</w:t>
            </w:r>
          </w:p>
        </w:tc>
        <w:tc>
          <w:tcPr>
            <w:tcW w:w="737" w:type="dxa"/>
            <w:tcBorders>
              <w:top w:val="nil"/>
              <w:left w:val="nil"/>
              <w:right w:val="nil"/>
            </w:tcBorders>
            <w:vAlign w:val="bottom"/>
          </w:tcPr>
          <w:p w14:paraId="3C34C2CE" w14:textId="77777777" w:rsidR="00362D81" w:rsidRPr="000C79A9" w:rsidRDefault="00362D81" w:rsidP="009D18B5">
            <w:pPr>
              <w:pStyle w:val="MDPI31text"/>
              <w:spacing w:line="240" w:lineRule="auto"/>
              <w:ind w:left="0" w:firstLine="0"/>
              <w:rPr>
                <w:szCs w:val="20"/>
              </w:rPr>
            </w:pPr>
            <w:r w:rsidRPr="000C79A9">
              <w:rPr>
                <w:szCs w:val="20"/>
              </w:rPr>
              <w:t>0.67%</w:t>
            </w:r>
          </w:p>
        </w:tc>
        <w:tc>
          <w:tcPr>
            <w:tcW w:w="891" w:type="dxa"/>
            <w:tcBorders>
              <w:top w:val="nil"/>
              <w:left w:val="nil"/>
              <w:right w:val="nil"/>
            </w:tcBorders>
            <w:vAlign w:val="bottom"/>
          </w:tcPr>
          <w:p w14:paraId="4F223ED0" w14:textId="77777777" w:rsidR="00362D81" w:rsidRPr="000C79A9" w:rsidRDefault="00362D81" w:rsidP="009D18B5">
            <w:pPr>
              <w:pStyle w:val="MDPI31text"/>
              <w:spacing w:line="240" w:lineRule="auto"/>
              <w:ind w:left="0" w:firstLine="0"/>
              <w:rPr>
                <w:szCs w:val="20"/>
              </w:rPr>
            </w:pPr>
            <w:r w:rsidRPr="000C79A9">
              <w:rPr>
                <w:szCs w:val="20"/>
              </w:rPr>
              <w:t>0.75%</w:t>
            </w:r>
          </w:p>
        </w:tc>
        <w:tc>
          <w:tcPr>
            <w:tcW w:w="814" w:type="dxa"/>
            <w:tcBorders>
              <w:top w:val="nil"/>
              <w:left w:val="nil"/>
              <w:right w:val="nil"/>
            </w:tcBorders>
            <w:vAlign w:val="bottom"/>
          </w:tcPr>
          <w:p w14:paraId="6FD09391" w14:textId="77777777" w:rsidR="00362D81" w:rsidRPr="000C79A9" w:rsidRDefault="00362D81" w:rsidP="009D18B5">
            <w:pPr>
              <w:pStyle w:val="MDPI31text"/>
              <w:spacing w:line="240" w:lineRule="auto"/>
              <w:ind w:left="0" w:firstLine="0"/>
              <w:rPr>
                <w:szCs w:val="20"/>
              </w:rPr>
            </w:pPr>
            <w:r w:rsidRPr="000C79A9">
              <w:rPr>
                <w:szCs w:val="20"/>
              </w:rPr>
              <w:t>0.67%</w:t>
            </w:r>
          </w:p>
        </w:tc>
        <w:tc>
          <w:tcPr>
            <w:tcW w:w="814" w:type="dxa"/>
            <w:tcBorders>
              <w:top w:val="nil"/>
              <w:left w:val="nil"/>
              <w:right w:val="nil"/>
            </w:tcBorders>
            <w:vAlign w:val="bottom"/>
          </w:tcPr>
          <w:p w14:paraId="2FBA11FF" w14:textId="77777777" w:rsidR="00362D81" w:rsidRPr="000C79A9" w:rsidRDefault="00362D81" w:rsidP="009D18B5">
            <w:pPr>
              <w:pStyle w:val="MDPI31text"/>
              <w:spacing w:line="240" w:lineRule="auto"/>
              <w:ind w:left="0" w:firstLine="0"/>
              <w:rPr>
                <w:szCs w:val="20"/>
              </w:rPr>
            </w:pPr>
            <w:r w:rsidRPr="000C79A9">
              <w:rPr>
                <w:szCs w:val="20"/>
              </w:rPr>
              <w:t>0.68%</w:t>
            </w:r>
          </w:p>
        </w:tc>
        <w:tc>
          <w:tcPr>
            <w:tcW w:w="814" w:type="dxa"/>
            <w:tcBorders>
              <w:top w:val="nil"/>
              <w:left w:val="nil"/>
            </w:tcBorders>
            <w:vAlign w:val="bottom"/>
          </w:tcPr>
          <w:p w14:paraId="105121E8" w14:textId="77777777" w:rsidR="00362D81" w:rsidRPr="000C79A9" w:rsidRDefault="00362D81" w:rsidP="009D18B5">
            <w:pPr>
              <w:pStyle w:val="MDPI31text"/>
              <w:spacing w:line="240" w:lineRule="auto"/>
              <w:ind w:left="0" w:firstLine="0"/>
              <w:rPr>
                <w:rStyle w:val="normaltextrun"/>
                <w:color w:val="000000" w:themeColor="text1"/>
                <w:szCs w:val="20"/>
              </w:rPr>
            </w:pPr>
            <w:r w:rsidRPr="000C79A9">
              <w:rPr>
                <w:szCs w:val="20"/>
              </w:rPr>
              <w:t>0.63%</w:t>
            </w:r>
          </w:p>
        </w:tc>
      </w:tr>
    </w:tbl>
    <w:p w14:paraId="376B70B4" w14:textId="7AAEFC45" w:rsidR="00BC3751" w:rsidRPr="000C79A9" w:rsidRDefault="00BC3751" w:rsidP="000C79A9">
      <w:pPr>
        <w:pStyle w:val="MDPI21heading1"/>
        <w:numPr>
          <w:ilvl w:val="0"/>
          <w:numId w:val="1"/>
        </w:numPr>
        <w:rPr>
          <w:szCs w:val="20"/>
          <w:lang w:eastAsia="en-GB"/>
        </w:rPr>
      </w:pPr>
      <w:r w:rsidRPr="000C79A9">
        <w:t>Short</w:t>
      </w:r>
      <w:r w:rsidRPr="000C79A9">
        <w:rPr>
          <w:szCs w:val="20"/>
          <w:lang w:eastAsia="en-GB"/>
        </w:rPr>
        <w:t xml:space="preserve"> survey highlights</w:t>
      </w:r>
    </w:p>
    <w:p w14:paraId="0BF60737" w14:textId="5DFFF819" w:rsidR="00822633" w:rsidRPr="000C79A9" w:rsidRDefault="00BC3751" w:rsidP="00B252ED">
      <w:pPr>
        <w:jc w:val="both"/>
        <w:rPr>
          <w:rFonts w:ascii="Palatino Linotype" w:hAnsi="Palatino Linotype"/>
          <w:sz w:val="20"/>
          <w:szCs w:val="20"/>
        </w:rPr>
      </w:pPr>
      <w:r w:rsidRPr="000C79A9">
        <w:rPr>
          <w:rFonts w:ascii="Palatino Linotype" w:hAnsi="Palatino Linotype"/>
          <w:sz w:val="20"/>
          <w:szCs w:val="20"/>
        </w:rPr>
        <w:t>Within the project SIMBA (Simulating economic and environmental impacts of dairy cattle management using Agent-Based Models), of which this paper is an output, a short survey was conducted among the nine pilot farms that were part of the projects. The sample size is not statistically significant to generalise to the entire set of Luxembourgish farms, therefore we present here only some highlights regarding a few strategic questions that can give at least an idea about the perception that farmers could have with respect to the role of their activities towards environmental issues or to the role of other actors in their decision-making progress.</w:t>
      </w:r>
      <w:r w:rsidR="00146295" w:rsidRPr="000C79A9">
        <w:rPr>
          <w:rFonts w:ascii="Palatino Linotype" w:hAnsi="Palatino Linotype"/>
          <w:sz w:val="20"/>
          <w:szCs w:val="20"/>
        </w:rPr>
        <w:t xml:space="preserve"> Five out of the nine farms (55.6%) were conventional and the rest (44.4%) organic. </w:t>
      </w:r>
      <w:r w:rsidR="008D70B8" w:rsidRPr="000C79A9">
        <w:rPr>
          <w:rFonts w:ascii="Palatino Linotype" w:hAnsi="Palatino Linotype"/>
          <w:sz w:val="20"/>
          <w:szCs w:val="20"/>
        </w:rPr>
        <w:t>All</w:t>
      </w:r>
      <w:r w:rsidR="00146295" w:rsidRPr="000C79A9">
        <w:rPr>
          <w:rFonts w:ascii="Palatino Linotype" w:hAnsi="Palatino Linotype"/>
          <w:sz w:val="20"/>
          <w:szCs w:val="20"/>
        </w:rPr>
        <w:t xml:space="preserve"> the farms were dairy farms, of which 11.1% declared being extensive and 22.2% being intensive (the rest did not enter any classification).</w:t>
      </w:r>
    </w:p>
    <w:p w14:paraId="3D575FB7" w14:textId="0C6BAE85" w:rsidR="00801BCE" w:rsidRPr="000C79A9" w:rsidRDefault="00801BCE" w:rsidP="00B252ED">
      <w:pPr>
        <w:jc w:val="both"/>
        <w:rPr>
          <w:rFonts w:ascii="Palatino Linotype" w:hAnsi="Palatino Linotype"/>
          <w:sz w:val="20"/>
          <w:szCs w:val="20"/>
        </w:rPr>
      </w:pPr>
      <w:r w:rsidRPr="000C79A9">
        <w:rPr>
          <w:rFonts w:ascii="Palatino Linotype" w:hAnsi="Palatino Linotype"/>
          <w:sz w:val="20"/>
          <w:szCs w:val="20"/>
        </w:rPr>
        <w:t xml:space="preserve">The questions that </w:t>
      </w:r>
      <w:r w:rsidR="00266716" w:rsidRPr="000C79A9">
        <w:rPr>
          <w:rFonts w:ascii="Palatino Linotype" w:hAnsi="Palatino Linotype"/>
          <w:sz w:val="20"/>
          <w:szCs w:val="20"/>
        </w:rPr>
        <w:t xml:space="preserve">we extracted from the survey are </w:t>
      </w:r>
      <w:r w:rsidR="00771F26" w:rsidRPr="000C79A9">
        <w:rPr>
          <w:rFonts w:ascii="Palatino Linotype" w:hAnsi="Palatino Linotype"/>
          <w:sz w:val="20"/>
          <w:szCs w:val="20"/>
        </w:rPr>
        <w:t>reported below, and the results are represented in the charts after each question</w:t>
      </w:r>
      <w:r w:rsidR="00266716" w:rsidRPr="000C79A9">
        <w:rPr>
          <w:rFonts w:ascii="Palatino Linotype" w:hAnsi="Palatino Linotype"/>
          <w:sz w:val="20"/>
          <w:szCs w:val="20"/>
        </w:rPr>
        <w:t>:</w:t>
      </w:r>
    </w:p>
    <w:p w14:paraId="38490EDA" w14:textId="77777777" w:rsidR="008D70B8" w:rsidRPr="000C79A9" w:rsidRDefault="008D70B8" w:rsidP="00B252ED">
      <w:pPr>
        <w:jc w:val="both"/>
        <w:rPr>
          <w:rFonts w:ascii="Palatino Linotype" w:hAnsi="Palatino Linotype"/>
          <w:sz w:val="20"/>
          <w:szCs w:val="20"/>
        </w:rPr>
      </w:pPr>
    </w:p>
    <w:p w14:paraId="373E3B9A" w14:textId="77777777" w:rsidR="00771F26" w:rsidRPr="000C79A9" w:rsidRDefault="00771F26" w:rsidP="00771F26">
      <w:pPr>
        <w:pStyle w:val="ListParagraph"/>
        <w:numPr>
          <w:ilvl w:val="0"/>
          <w:numId w:val="5"/>
        </w:numPr>
        <w:jc w:val="both"/>
        <w:rPr>
          <w:rFonts w:ascii="Palatino Linotype" w:hAnsi="Palatino Linotype"/>
          <w:b/>
          <w:bCs/>
          <w:sz w:val="20"/>
          <w:szCs w:val="20"/>
        </w:rPr>
      </w:pPr>
      <w:r w:rsidRPr="000C79A9">
        <w:rPr>
          <w:rFonts w:ascii="Palatino Linotype" w:hAnsi="Palatino Linotype"/>
          <w:b/>
          <w:bCs/>
          <w:sz w:val="20"/>
          <w:szCs w:val="20"/>
        </w:rPr>
        <w:t>Which one of the following(s) do you think offers reliable information about farming?</w:t>
      </w:r>
    </w:p>
    <w:p w14:paraId="69814661" w14:textId="77777777" w:rsidR="00771F26" w:rsidRPr="000C79A9" w:rsidRDefault="00771F26" w:rsidP="00056563">
      <w:pPr>
        <w:pStyle w:val="ListParagraph"/>
        <w:numPr>
          <w:ilvl w:val="1"/>
          <w:numId w:val="6"/>
        </w:numPr>
        <w:jc w:val="both"/>
        <w:rPr>
          <w:rFonts w:ascii="Palatino Linotype" w:hAnsi="Palatino Linotype"/>
          <w:sz w:val="20"/>
          <w:szCs w:val="20"/>
        </w:rPr>
      </w:pPr>
      <w:r w:rsidRPr="000C79A9">
        <w:rPr>
          <w:rFonts w:ascii="Palatino Linotype" w:hAnsi="Palatino Linotype"/>
          <w:sz w:val="20"/>
          <w:szCs w:val="20"/>
        </w:rPr>
        <w:t>Commercial firms (selling feed, fertilizer, etc.)</w:t>
      </w:r>
    </w:p>
    <w:p w14:paraId="1F75E35D" w14:textId="77777777" w:rsidR="00771F26" w:rsidRPr="000C79A9" w:rsidRDefault="00771F26" w:rsidP="00056563">
      <w:pPr>
        <w:pStyle w:val="ListParagraph"/>
        <w:numPr>
          <w:ilvl w:val="1"/>
          <w:numId w:val="6"/>
        </w:numPr>
        <w:jc w:val="both"/>
        <w:rPr>
          <w:rFonts w:ascii="Palatino Linotype" w:hAnsi="Palatino Linotype"/>
          <w:sz w:val="20"/>
          <w:szCs w:val="20"/>
        </w:rPr>
      </w:pPr>
      <w:r w:rsidRPr="000C79A9">
        <w:rPr>
          <w:rFonts w:ascii="Palatino Linotype" w:hAnsi="Palatino Linotype"/>
          <w:sz w:val="20"/>
          <w:szCs w:val="20"/>
        </w:rPr>
        <w:t>Public institutions (administrations, ministries etc.)</w:t>
      </w:r>
    </w:p>
    <w:p w14:paraId="08A01E63" w14:textId="0C359BA7" w:rsidR="00771F26" w:rsidRPr="000C79A9" w:rsidRDefault="00771F26" w:rsidP="00056563">
      <w:pPr>
        <w:pStyle w:val="ListParagraph"/>
        <w:numPr>
          <w:ilvl w:val="1"/>
          <w:numId w:val="6"/>
        </w:numPr>
        <w:jc w:val="both"/>
        <w:rPr>
          <w:rFonts w:ascii="Palatino Linotype" w:hAnsi="Palatino Linotype"/>
          <w:sz w:val="20"/>
          <w:szCs w:val="20"/>
        </w:rPr>
      </w:pPr>
      <w:r w:rsidRPr="000C79A9">
        <w:rPr>
          <w:rFonts w:ascii="Palatino Linotype" w:hAnsi="Palatino Linotype"/>
          <w:sz w:val="20"/>
          <w:szCs w:val="20"/>
        </w:rPr>
        <w:t>Professional organizations (</w:t>
      </w:r>
      <w:r w:rsidR="008D70B8" w:rsidRPr="000C79A9">
        <w:rPr>
          <w:rFonts w:ascii="Palatino Linotype" w:hAnsi="Palatino Linotype"/>
          <w:sz w:val="20"/>
          <w:szCs w:val="20"/>
        </w:rPr>
        <w:t>syndicates</w:t>
      </w:r>
      <w:r w:rsidRPr="000C79A9">
        <w:rPr>
          <w:rFonts w:ascii="Palatino Linotype" w:hAnsi="Palatino Linotype"/>
          <w:sz w:val="20"/>
          <w:szCs w:val="20"/>
        </w:rPr>
        <w:t xml:space="preserve"> etc.)</w:t>
      </w:r>
    </w:p>
    <w:p w14:paraId="01BA66E7" w14:textId="77777777" w:rsidR="00771F26" w:rsidRPr="000C79A9" w:rsidRDefault="00771F26" w:rsidP="00056563">
      <w:pPr>
        <w:pStyle w:val="ListParagraph"/>
        <w:numPr>
          <w:ilvl w:val="1"/>
          <w:numId w:val="6"/>
        </w:numPr>
        <w:jc w:val="both"/>
        <w:rPr>
          <w:rFonts w:ascii="Palatino Linotype" w:hAnsi="Palatino Linotype"/>
          <w:sz w:val="20"/>
          <w:szCs w:val="20"/>
        </w:rPr>
      </w:pPr>
      <w:r w:rsidRPr="000C79A9">
        <w:rPr>
          <w:rFonts w:ascii="Palatino Linotype" w:hAnsi="Palatino Linotype"/>
          <w:sz w:val="20"/>
          <w:szCs w:val="20"/>
        </w:rPr>
        <w:t>Media (agriculture press)</w:t>
      </w:r>
    </w:p>
    <w:p w14:paraId="670A6277" w14:textId="77777777" w:rsidR="00771F26" w:rsidRPr="000C79A9" w:rsidRDefault="00771F26" w:rsidP="00056563">
      <w:pPr>
        <w:pStyle w:val="ListParagraph"/>
        <w:numPr>
          <w:ilvl w:val="1"/>
          <w:numId w:val="6"/>
        </w:numPr>
        <w:jc w:val="both"/>
        <w:rPr>
          <w:rFonts w:ascii="Palatino Linotype" w:hAnsi="Palatino Linotype"/>
          <w:sz w:val="20"/>
          <w:szCs w:val="20"/>
        </w:rPr>
      </w:pPr>
      <w:r w:rsidRPr="000C79A9">
        <w:rPr>
          <w:rFonts w:ascii="Palatino Linotype" w:hAnsi="Palatino Linotype"/>
          <w:sz w:val="20"/>
          <w:szCs w:val="20"/>
        </w:rPr>
        <w:t>Universities and research institutions</w:t>
      </w:r>
    </w:p>
    <w:p w14:paraId="14705211" w14:textId="77777777" w:rsidR="00771F26" w:rsidRPr="000C79A9" w:rsidRDefault="00771F26" w:rsidP="00056563">
      <w:pPr>
        <w:pStyle w:val="ListParagraph"/>
        <w:numPr>
          <w:ilvl w:val="1"/>
          <w:numId w:val="6"/>
        </w:numPr>
        <w:jc w:val="both"/>
        <w:rPr>
          <w:rFonts w:ascii="Palatino Linotype" w:hAnsi="Palatino Linotype"/>
          <w:sz w:val="20"/>
          <w:szCs w:val="20"/>
        </w:rPr>
      </w:pPr>
      <w:r w:rsidRPr="000C79A9">
        <w:rPr>
          <w:rFonts w:ascii="Palatino Linotype" w:hAnsi="Palatino Linotype"/>
          <w:sz w:val="20"/>
          <w:szCs w:val="20"/>
        </w:rPr>
        <w:t>Extension services (cooperatives, research institutions, etc.)</w:t>
      </w:r>
    </w:p>
    <w:p w14:paraId="340910B2" w14:textId="77777777" w:rsidR="00771F26" w:rsidRPr="000C79A9" w:rsidRDefault="00771F26" w:rsidP="00056563">
      <w:pPr>
        <w:pStyle w:val="ListParagraph"/>
        <w:numPr>
          <w:ilvl w:val="1"/>
          <w:numId w:val="6"/>
        </w:numPr>
        <w:jc w:val="both"/>
        <w:rPr>
          <w:rFonts w:ascii="Palatino Linotype" w:hAnsi="Palatino Linotype"/>
          <w:sz w:val="20"/>
          <w:szCs w:val="20"/>
        </w:rPr>
      </w:pPr>
      <w:r w:rsidRPr="000C79A9">
        <w:rPr>
          <w:rFonts w:ascii="Palatino Linotype" w:hAnsi="Palatino Linotype"/>
          <w:sz w:val="20"/>
          <w:szCs w:val="20"/>
        </w:rPr>
        <w:t>Other farmers</w:t>
      </w:r>
    </w:p>
    <w:p w14:paraId="259921A0" w14:textId="5AD2512F" w:rsidR="00771F26" w:rsidRPr="000C79A9" w:rsidRDefault="00771F26" w:rsidP="00056563">
      <w:pPr>
        <w:pStyle w:val="ListParagraph"/>
        <w:numPr>
          <w:ilvl w:val="1"/>
          <w:numId w:val="6"/>
        </w:numPr>
        <w:jc w:val="both"/>
        <w:rPr>
          <w:rFonts w:ascii="Palatino Linotype" w:hAnsi="Palatino Linotype"/>
          <w:sz w:val="20"/>
          <w:szCs w:val="20"/>
        </w:rPr>
      </w:pPr>
      <w:r w:rsidRPr="000C79A9">
        <w:rPr>
          <w:rFonts w:ascii="Palatino Linotype" w:hAnsi="Palatino Linotype"/>
          <w:sz w:val="20"/>
          <w:szCs w:val="20"/>
        </w:rPr>
        <w:t>Other (please specify)</w:t>
      </w:r>
    </w:p>
    <w:p w14:paraId="2D32D169" w14:textId="77777777" w:rsidR="00266716" w:rsidRPr="000C79A9" w:rsidRDefault="00266716" w:rsidP="00B252ED">
      <w:pPr>
        <w:jc w:val="both"/>
        <w:rPr>
          <w:rFonts w:ascii="Palatino Linotype" w:hAnsi="Palatino Linotype"/>
          <w:sz w:val="20"/>
          <w:szCs w:val="20"/>
        </w:rPr>
      </w:pPr>
    </w:p>
    <w:p w14:paraId="10D514D5" w14:textId="4400EC4D" w:rsidR="00BC3751" w:rsidRPr="000C79A9" w:rsidRDefault="008107E4" w:rsidP="00771F26">
      <w:pPr>
        <w:jc w:val="center"/>
        <w:rPr>
          <w:rFonts w:ascii="Palatino Linotype" w:hAnsi="Palatino Linotype"/>
          <w:sz w:val="20"/>
          <w:szCs w:val="20"/>
        </w:rPr>
      </w:pPr>
      <w:r w:rsidRPr="000C79A9">
        <w:rPr>
          <w:rFonts w:ascii="Palatino Linotype" w:hAnsi="Palatino Linotype"/>
          <w:noProof/>
          <w:sz w:val="20"/>
          <w:szCs w:val="20"/>
        </w:rPr>
        <w:drawing>
          <wp:inline distT="0" distB="0" distL="0" distR="0" wp14:anchorId="1FBDE222" wp14:editId="7A0DB8B5">
            <wp:extent cx="4244196" cy="2333697"/>
            <wp:effectExtent l="0" t="0" r="4445" b="0"/>
            <wp:docPr id="14690924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50230" cy="2337015"/>
                    </a:xfrm>
                    <a:prstGeom prst="rect">
                      <a:avLst/>
                    </a:prstGeom>
                    <a:noFill/>
                    <a:ln>
                      <a:noFill/>
                    </a:ln>
                  </pic:spPr>
                </pic:pic>
              </a:graphicData>
            </a:graphic>
          </wp:inline>
        </w:drawing>
      </w:r>
    </w:p>
    <w:p w14:paraId="631A77D5" w14:textId="77777777" w:rsidR="00771F26" w:rsidRPr="000C79A9" w:rsidRDefault="00771F26" w:rsidP="00B252ED">
      <w:pPr>
        <w:jc w:val="both"/>
        <w:rPr>
          <w:rFonts w:ascii="Palatino Linotype" w:hAnsi="Palatino Linotype"/>
          <w:sz w:val="20"/>
          <w:szCs w:val="20"/>
        </w:rPr>
      </w:pPr>
    </w:p>
    <w:p w14:paraId="466685E8" w14:textId="77777777" w:rsidR="00771F26" w:rsidRPr="000C79A9" w:rsidRDefault="00771F26" w:rsidP="00B252ED">
      <w:pPr>
        <w:jc w:val="both"/>
        <w:rPr>
          <w:rFonts w:ascii="Palatino Linotype" w:hAnsi="Palatino Linotype"/>
          <w:sz w:val="20"/>
          <w:szCs w:val="20"/>
        </w:rPr>
      </w:pPr>
    </w:p>
    <w:p w14:paraId="4A371AEA" w14:textId="77777777" w:rsidR="00771F26" w:rsidRPr="000C79A9" w:rsidRDefault="00771F26" w:rsidP="00771F26">
      <w:pPr>
        <w:pStyle w:val="ListParagraph"/>
        <w:numPr>
          <w:ilvl w:val="0"/>
          <w:numId w:val="5"/>
        </w:numPr>
        <w:jc w:val="both"/>
        <w:rPr>
          <w:rFonts w:ascii="Palatino Linotype" w:hAnsi="Palatino Linotype"/>
          <w:b/>
          <w:bCs/>
          <w:sz w:val="20"/>
          <w:szCs w:val="20"/>
        </w:rPr>
      </w:pPr>
      <w:r w:rsidRPr="000C79A9">
        <w:rPr>
          <w:rFonts w:ascii="Palatino Linotype" w:hAnsi="Palatino Linotype"/>
          <w:b/>
          <w:bCs/>
          <w:sz w:val="20"/>
          <w:szCs w:val="20"/>
        </w:rPr>
        <w:t>How would you score the role of following entities on your land use decision?</w:t>
      </w:r>
    </w:p>
    <w:p w14:paraId="3F10629E" w14:textId="77777777" w:rsidR="00771F26" w:rsidRPr="000C79A9" w:rsidRDefault="00771F26" w:rsidP="00056563">
      <w:pPr>
        <w:pStyle w:val="ListParagraph"/>
        <w:numPr>
          <w:ilvl w:val="1"/>
          <w:numId w:val="6"/>
        </w:numPr>
        <w:jc w:val="both"/>
        <w:rPr>
          <w:rFonts w:ascii="Palatino Linotype" w:hAnsi="Palatino Linotype"/>
          <w:sz w:val="20"/>
          <w:szCs w:val="20"/>
        </w:rPr>
      </w:pPr>
      <w:r w:rsidRPr="000C79A9">
        <w:rPr>
          <w:rFonts w:ascii="Palatino Linotype" w:hAnsi="Palatino Linotype"/>
          <w:sz w:val="20"/>
          <w:szCs w:val="20"/>
        </w:rPr>
        <w:lastRenderedPageBreak/>
        <w:t>Family members</w:t>
      </w:r>
    </w:p>
    <w:p w14:paraId="72A4188B" w14:textId="77777777" w:rsidR="00771F26" w:rsidRPr="000C79A9" w:rsidRDefault="00771F26" w:rsidP="00056563">
      <w:pPr>
        <w:pStyle w:val="ListParagraph"/>
        <w:numPr>
          <w:ilvl w:val="1"/>
          <w:numId w:val="6"/>
        </w:numPr>
        <w:jc w:val="both"/>
        <w:rPr>
          <w:rFonts w:ascii="Palatino Linotype" w:hAnsi="Palatino Linotype"/>
          <w:sz w:val="20"/>
          <w:szCs w:val="20"/>
        </w:rPr>
      </w:pPr>
      <w:r w:rsidRPr="000C79A9">
        <w:rPr>
          <w:rFonts w:ascii="Palatino Linotype" w:hAnsi="Palatino Linotype"/>
          <w:sz w:val="20"/>
          <w:szCs w:val="20"/>
        </w:rPr>
        <w:t>Other farmers</w:t>
      </w:r>
    </w:p>
    <w:p w14:paraId="1C4E81D6" w14:textId="77777777" w:rsidR="00771F26" w:rsidRPr="000C79A9" w:rsidRDefault="00771F26" w:rsidP="00056563">
      <w:pPr>
        <w:pStyle w:val="ListParagraph"/>
        <w:numPr>
          <w:ilvl w:val="1"/>
          <w:numId w:val="6"/>
        </w:numPr>
        <w:jc w:val="both"/>
        <w:rPr>
          <w:rFonts w:ascii="Palatino Linotype" w:hAnsi="Palatino Linotype"/>
          <w:sz w:val="20"/>
          <w:szCs w:val="20"/>
        </w:rPr>
      </w:pPr>
      <w:r w:rsidRPr="000C79A9">
        <w:rPr>
          <w:rFonts w:ascii="Palatino Linotype" w:hAnsi="Palatino Linotype"/>
          <w:sz w:val="20"/>
          <w:szCs w:val="20"/>
        </w:rPr>
        <w:t>Other friends</w:t>
      </w:r>
    </w:p>
    <w:p w14:paraId="0AD7B39B" w14:textId="77777777" w:rsidR="00771F26" w:rsidRPr="000C79A9" w:rsidRDefault="00771F26" w:rsidP="00056563">
      <w:pPr>
        <w:pStyle w:val="ListParagraph"/>
        <w:numPr>
          <w:ilvl w:val="1"/>
          <w:numId w:val="6"/>
        </w:numPr>
        <w:jc w:val="both"/>
        <w:rPr>
          <w:rFonts w:ascii="Palatino Linotype" w:hAnsi="Palatino Linotype"/>
          <w:sz w:val="20"/>
          <w:szCs w:val="20"/>
        </w:rPr>
      </w:pPr>
      <w:r w:rsidRPr="000C79A9">
        <w:rPr>
          <w:rFonts w:ascii="Palatino Linotype" w:hAnsi="Palatino Linotype"/>
          <w:sz w:val="20"/>
          <w:szCs w:val="20"/>
        </w:rPr>
        <w:t>Counselling agency or cooperative</w:t>
      </w:r>
    </w:p>
    <w:p w14:paraId="3EA98820" w14:textId="1011F204" w:rsidR="00771F26" w:rsidRPr="000C79A9" w:rsidRDefault="00771F26" w:rsidP="00056563">
      <w:pPr>
        <w:pStyle w:val="ListParagraph"/>
        <w:numPr>
          <w:ilvl w:val="1"/>
          <w:numId w:val="6"/>
        </w:numPr>
        <w:jc w:val="both"/>
        <w:rPr>
          <w:rFonts w:ascii="Palatino Linotype" w:hAnsi="Palatino Linotype"/>
          <w:sz w:val="20"/>
          <w:szCs w:val="20"/>
        </w:rPr>
      </w:pPr>
      <w:r w:rsidRPr="000C79A9">
        <w:rPr>
          <w:rFonts w:ascii="Palatino Linotype" w:hAnsi="Palatino Linotype"/>
          <w:sz w:val="20"/>
          <w:szCs w:val="20"/>
        </w:rPr>
        <w:t>Association or Union</w:t>
      </w:r>
    </w:p>
    <w:p w14:paraId="751CCDDC" w14:textId="77777777" w:rsidR="00771F26" w:rsidRPr="000C79A9" w:rsidRDefault="00771F26" w:rsidP="00B252ED">
      <w:pPr>
        <w:jc w:val="both"/>
        <w:rPr>
          <w:rFonts w:ascii="Palatino Linotype" w:hAnsi="Palatino Linotype"/>
          <w:sz w:val="20"/>
          <w:szCs w:val="20"/>
        </w:rPr>
      </w:pPr>
    </w:p>
    <w:p w14:paraId="71D9C3FF" w14:textId="6317E833" w:rsidR="00771F26" w:rsidRPr="000C79A9" w:rsidRDefault="008107E4" w:rsidP="008D70B8">
      <w:pPr>
        <w:jc w:val="center"/>
        <w:rPr>
          <w:rFonts w:ascii="Palatino Linotype" w:hAnsi="Palatino Linotype"/>
          <w:sz w:val="20"/>
          <w:szCs w:val="20"/>
        </w:rPr>
      </w:pPr>
      <w:r w:rsidRPr="000C79A9">
        <w:rPr>
          <w:rFonts w:ascii="Palatino Linotype" w:hAnsi="Palatino Linotype"/>
          <w:noProof/>
          <w:sz w:val="20"/>
          <w:szCs w:val="20"/>
        </w:rPr>
        <w:drawing>
          <wp:inline distT="0" distB="0" distL="0" distR="0" wp14:anchorId="3364DF13" wp14:editId="49E6616A">
            <wp:extent cx="4123426" cy="2844279"/>
            <wp:effectExtent l="0" t="0" r="0" b="0"/>
            <wp:docPr id="11612181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30023" cy="2848829"/>
                    </a:xfrm>
                    <a:prstGeom prst="rect">
                      <a:avLst/>
                    </a:prstGeom>
                    <a:noFill/>
                    <a:ln>
                      <a:noFill/>
                    </a:ln>
                  </pic:spPr>
                </pic:pic>
              </a:graphicData>
            </a:graphic>
          </wp:inline>
        </w:drawing>
      </w:r>
    </w:p>
    <w:p w14:paraId="3CE20A7E" w14:textId="77777777" w:rsidR="00056563" w:rsidRPr="000C79A9" w:rsidRDefault="00056563" w:rsidP="00056563">
      <w:pPr>
        <w:jc w:val="both"/>
        <w:rPr>
          <w:rFonts w:ascii="Palatino Linotype" w:hAnsi="Palatino Linotype"/>
          <w:sz w:val="20"/>
          <w:szCs w:val="20"/>
        </w:rPr>
      </w:pPr>
    </w:p>
    <w:p w14:paraId="62844FB5" w14:textId="00EEB8FB" w:rsidR="00056563" w:rsidRPr="000C79A9" w:rsidRDefault="00056563" w:rsidP="00056563">
      <w:pPr>
        <w:jc w:val="both"/>
        <w:rPr>
          <w:rFonts w:ascii="Palatino Linotype" w:hAnsi="Palatino Linotype"/>
          <w:sz w:val="20"/>
          <w:szCs w:val="20"/>
        </w:rPr>
      </w:pPr>
      <w:proofErr w:type="gramStart"/>
      <w:r w:rsidRPr="000C79A9">
        <w:rPr>
          <w:rFonts w:ascii="Palatino Linotype" w:hAnsi="Palatino Linotype"/>
          <w:sz w:val="20"/>
          <w:szCs w:val="20"/>
        </w:rPr>
        <w:t>Interestingly enough, in</w:t>
      </w:r>
      <w:proofErr w:type="gramEnd"/>
      <w:r w:rsidRPr="000C79A9">
        <w:rPr>
          <w:rFonts w:ascii="Palatino Linotype" w:hAnsi="Palatino Linotype"/>
          <w:sz w:val="20"/>
          <w:szCs w:val="20"/>
        </w:rPr>
        <w:t xml:space="preserve"> this case one can notice the important role played by family members in the decision-making process of the interviewed farmers.</w:t>
      </w:r>
    </w:p>
    <w:p w14:paraId="10ECC673" w14:textId="77777777" w:rsidR="00BC3751" w:rsidRPr="000C79A9" w:rsidRDefault="00BC3751" w:rsidP="00B252ED">
      <w:pPr>
        <w:jc w:val="both"/>
        <w:rPr>
          <w:rFonts w:ascii="Palatino Linotype" w:hAnsi="Palatino Linotype" w:cs="Times New Roman"/>
          <w:sz w:val="20"/>
          <w:szCs w:val="20"/>
        </w:rPr>
      </w:pPr>
    </w:p>
    <w:p w14:paraId="1B69916B" w14:textId="60446E83" w:rsidR="008D70B8" w:rsidRPr="000C79A9" w:rsidRDefault="008D70B8" w:rsidP="008D70B8">
      <w:pPr>
        <w:pStyle w:val="ListParagraph"/>
        <w:numPr>
          <w:ilvl w:val="0"/>
          <w:numId w:val="5"/>
        </w:numPr>
        <w:jc w:val="both"/>
        <w:rPr>
          <w:rFonts w:ascii="Palatino Linotype" w:hAnsi="Palatino Linotype"/>
          <w:b/>
          <w:bCs/>
          <w:sz w:val="20"/>
          <w:szCs w:val="20"/>
        </w:rPr>
      </w:pPr>
      <w:r w:rsidRPr="000C79A9">
        <w:rPr>
          <w:rFonts w:ascii="Palatino Linotype" w:hAnsi="Palatino Linotype"/>
          <w:b/>
          <w:bCs/>
          <w:sz w:val="20"/>
          <w:szCs w:val="20"/>
        </w:rPr>
        <w:t xml:space="preserve">Which of the following(s) do you have considered or would consider </w:t>
      </w:r>
      <w:proofErr w:type="gramStart"/>
      <w:r w:rsidRPr="000C79A9">
        <w:rPr>
          <w:rFonts w:ascii="Palatino Linotype" w:hAnsi="Palatino Linotype"/>
          <w:b/>
          <w:bCs/>
          <w:sz w:val="20"/>
          <w:szCs w:val="20"/>
        </w:rPr>
        <w:t>to install/adopt</w:t>
      </w:r>
      <w:proofErr w:type="gramEnd"/>
      <w:r w:rsidRPr="000C79A9">
        <w:rPr>
          <w:rFonts w:ascii="Palatino Linotype" w:hAnsi="Palatino Linotype"/>
          <w:b/>
          <w:bCs/>
          <w:sz w:val="20"/>
          <w:szCs w:val="20"/>
        </w:rPr>
        <w:t xml:space="preserve"> in your farm?</w:t>
      </w:r>
    </w:p>
    <w:p w14:paraId="3BFC891E" w14:textId="77777777" w:rsidR="008D70B8" w:rsidRPr="000C79A9" w:rsidRDefault="008D70B8" w:rsidP="00056563">
      <w:pPr>
        <w:pStyle w:val="ListParagraph"/>
        <w:numPr>
          <w:ilvl w:val="1"/>
          <w:numId w:val="6"/>
        </w:numPr>
        <w:jc w:val="both"/>
        <w:rPr>
          <w:rFonts w:ascii="Palatino Linotype" w:hAnsi="Palatino Linotype"/>
          <w:sz w:val="20"/>
          <w:szCs w:val="20"/>
        </w:rPr>
      </w:pPr>
      <w:r w:rsidRPr="000C79A9">
        <w:rPr>
          <w:rFonts w:ascii="Palatino Linotype" w:hAnsi="Palatino Linotype"/>
          <w:sz w:val="20"/>
          <w:szCs w:val="20"/>
        </w:rPr>
        <w:t>Biogas plant</w:t>
      </w:r>
    </w:p>
    <w:p w14:paraId="6225162B" w14:textId="77777777" w:rsidR="008D70B8" w:rsidRPr="000C79A9" w:rsidRDefault="008D70B8" w:rsidP="00056563">
      <w:pPr>
        <w:pStyle w:val="ListParagraph"/>
        <w:numPr>
          <w:ilvl w:val="1"/>
          <w:numId w:val="6"/>
        </w:numPr>
        <w:jc w:val="both"/>
        <w:rPr>
          <w:rFonts w:ascii="Palatino Linotype" w:hAnsi="Palatino Linotype"/>
          <w:sz w:val="20"/>
          <w:szCs w:val="20"/>
        </w:rPr>
      </w:pPr>
      <w:r w:rsidRPr="000C79A9">
        <w:rPr>
          <w:rFonts w:ascii="Palatino Linotype" w:hAnsi="Palatino Linotype"/>
          <w:sz w:val="20"/>
          <w:szCs w:val="20"/>
        </w:rPr>
        <w:t>Solar panel</w:t>
      </w:r>
    </w:p>
    <w:p w14:paraId="43D05A65" w14:textId="77777777" w:rsidR="008D70B8" w:rsidRPr="000C79A9" w:rsidRDefault="008D70B8" w:rsidP="00056563">
      <w:pPr>
        <w:pStyle w:val="ListParagraph"/>
        <w:numPr>
          <w:ilvl w:val="1"/>
          <w:numId w:val="6"/>
        </w:numPr>
        <w:jc w:val="both"/>
        <w:rPr>
          <w:rFonts w:ascii="Palatino Linotype" w:hAnsi="Palatino Linotype"/>
          <w:sz w:val="20"/>
          <w:szCs w:val="20"/>
        </w:rPr>
      </w:pPr>
      <w:r w:rsidRPr="000C79A9">
        <w:rPr>
          <w:rFonts w:ascii="Palatino Linotype" w:hAnsi="Palatino Linotype"/>
          <w:sz w:val="20"/>
          <w:szCs w:val="20"/>
        </w:rPr>
        <w:t>Geothermal system</w:t>
      </w:r>
    </w:p>
    <w:p w14:paraId="2B28A850" w14:textId="77777777" w:rsidR="008D70B8" w:rsidRPr="000C79A9" w:rsidRDefault="008D70B8" w:rsidP="00056563">
      <w:pPr>
        <w:pStyle w:val="ListParagraph"/>
        <w:numPr>
          <w:ilvl w:val="1"/>
          <w:numId w:val="6"/>
        </w:numPr>
        <w:jc w:val="both"/>
        <w:rPr>
          <w:rFonts w:ascii="Palatino Linotype" w:hAnsi="Palatino Linotype"/>
          <w:sz w:val="20"/>
          <w:szCs w:val="20"/>
        </w:rPr>
      </w:pPr>
      <w:r w:rsidRPr="000C79A9">
        <w:rPr>
          <w:rFonts w:ascii="Palatino Linotype" w:hAnsi="Palatino Linotype"/>
          <w:sz w:val="20"/>
          <w:szCs w:val="20"/>
        </w:rPr>
        <w:t xml:space="preserve">Wind </w:t>
      </w:r>
      <w:proofErr w:type="gramStart"/>
      <w:r w:rsidRPr="000C79A9">
        <w:rPr>
          <w:rFonts w:ascii="Palatino Linotype" w:hAnsi="Palatino Linotype"/>
          <w:sz w:val="20"/>
          <w:szCs w:val="20"/>
        </w:rPr>
        <w:t>turbine</w:t>
      </w:r>
      <w:proofErr w:type="gramEnd"/>
    </w:p>
    <w:p w14:paraId="432E6F7E" w14:textId="51CDD3D0" w:rsidR="008D70B8" w:rsidRPr="000C79A9" w:rsidRDefault="008D70B8" w:rsidP="00056563">
      <w:pPr>
        <w:pStyle w:val="ListParagraph"/>
        <w:numPr>
          <w:ilvl w:val="1"/>
          <w:numId w:val="6"/>
        </w:numPr>
        <w:jc w:val="both"/>
        <w:rPr>
          <w:rFonts w:ascii="Palatino Linotype" w:hAnsi="Palatino Linotype"/>
          <w:sz w:val="20"/>
          <w:szCs w:val="20"/>
        </w:rPr>
      </w:pPr>
      <w:r w:rsidRPr="000C79A9">
        <w:rPr>
          <w:rFonts w:ascii="Palatino Linotype" w:hAnsi="Palatino Linotype"/>
          <w:sz w:val="20"/>
          <w:szCs w:val="20"/>
        </w:rPr>
        <w:t>Animal feed that lowers methane emissions</w:t>
      </w:r>
    </w:p>
    <w:p w14:paraId="0EE170BA" w14:textId="77777777" w:rsidR="008D70B8" w:rsidRPr="000C79A9" w:rsidRDefault="008D70B8" w:rsidP="008D70B8">
      <w:pPr>
        <w:pStyle w:val="ListParagraph"/>
        <w:jc w:val="both"/>
        <w:rPr>
          <w:rFonts w:ascii="Palatino Linotype" w:hAnsi="Palatino Linotype"/>
          <w:sz w:val="20"/>
          <w:szCs w:val="20"/>
        </w:rPr>
      </w:pPr>
    </w:p>
    <w:p w14:paraId="7FF605EA" w14:textId="59F58068" w:rsidR="008D70B8" w:rsidRPr="000C79A9" w:rsidRDefault="008107E4" w:rsidP="008D70B8">
      <w:pPr>
        <w:pStyle w:val="ListParagraph"/>
        <w:jc w:val="center"/>
        <w:rPr>
          <w:rFonts w:ascii="Palatino Linotype" w:hAnsi="Palatino Linotype"/>
          <w:sz w:val="20"/>
          <w:szCs w:val="20"/>
        </w:rPr>
      </w:pPr>
      <w:r w:rsidRPr="000C79A9">
        <w:rPr>
          <w:rFonts w:ascii="Palatino Linotype" w:hAnsi="Palatino Linotype"/>
          <w:noProof/>
          <w:sz w:val="20"/>
          <w:szCs w:val="20"/>
        </w:rPr>
        <w:drawing>
          <wp:inline distT="0" distB="0" distL="0" distR="0" wp14:anchorId="3DEECFE4" wp14:editId="496C419F">
            <wp:extent cx="3941680" cy="2355011"/>
            <wp:effectExtent l="0" t="0" r="1905" b="7620"/>
            <wp:docPr id="22289982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53814" cy="2362260"/>
                    </a:xfrm>
                    <a:prstGeom prst="rect">
                      <a:avLst/>
                    </a:prstGeom>
                    <a:noFill/>
                    <a:ln>
                      <a:noFill/>
                    </a:ln>
                  </pic:spPr>
                </pic:pic>
              </a:graphicData>
            </a:graphic>
          </wp:inline>
        </w:drawing>
      </w:r>
    </w:p>
    <w:p w14:paraId="030F17A2" w14:textId="77777777" w:rsidR="008D70B8" w:rsidRPr="000C79A9" w:rsidRDefault="008D70B8" w:rsidP="00B252ED">
      <w:pPr>
        <w:jc w:val="both"/>
        <w:rPr>
          <w:rFonts w:ascii="Palatino Linotype" w:hAnsi="Palatino Linotype" w:cs="Times New Roman"/>
          <w:sz w:val="20"/>
          <w:szCs w:val="20"/>
        </w:rPr>
      </w:pPr>
    </w:p>
    <w:p w14:paraId="47BC544D" w14:textId="77777777" w:rsidR="008D70B8" w:rsidRPr="000C79A9" w:rsidRDefault="008D70B8" w:rsidP="008D70B8">
      <w:pPr>
        <w:pStyle w:val="ListParagraph"/>
        <w:numPr>
          <w:ilvl w:val="0"/>
          <w:numId w:val="5"/>
        </w:numPr>
        <w:jc w:val="both"/>
        <w:rPr>
          <w:rFonts w:ascii="Palatino Linotype" w:hAnsi="Palatino Linotype"/>
          <w:b/>
          <w:bCs/>
          <w:sz w:val="20"/>
          <w:szCs w:val="20"/>
        </w:rPr>
      </w:pPr>
      <w:r w:rsidRPr="000C79A9">
        <w:rPr>
          <w:rFonts w:ascii="Palatino Linotype" w:hAnsi="Palatino Linotype"/>
          <w:b/>
          <w:bCs/>
          <w:sz w:val="20"/>
          <w:szCs w:val="20"/>
        </w:rPr>
        <w:t>What is the obstacle(s) for taking the initiatives beneficial for the environment?</w:t>
      </w:r>
    </w:p>
    <w:p w14:paraId="1EFAF500" w14:textId="77777777" w:rsidR="008D70B8" w:rsidRPr="000C79A9" w:rsidRDefault="008D70B8" w:rsidP="00056563">
      <w:pPr>
        <w:pStyle w:val="ListParagraph"/>
        <w:numPr>
          <w:ilvl w:val="1"/>
          <w:numId w:val="6"/>
        </w:numPr>
        <w:jc w:val="both"/>
        <w:rPr>
          <w:rFonts w:ascii="Palatino Linotype" w:hAnsi="Palatino Linotype"/>
          <w:sz w:val="20"/>
          <w:szCs w:val="20"/>
        </w:rPr>
      </w:pPr>
      <w:r w:rsidRPr="000C79A9">
        <w:rPr>
          <w:rFonts w:ascii="Palatino Linotype" w:hAnsi="Palatino Linotype"/>
          <w:sz w:val="20"/>
          <w:szCs w:val="20"/>
        </w:rPr>
        <w:t>Lack of time</w:t>
      </w:r>
    </w:p>
    <w:p w14:paraId="1C95D17A" w14:textId="77777777" w:rsidR="008D70B8" w:rsidRPr="000C79A9" w:rsidRDefault="008D70B8" w:rsidP="00056563">
      <w:pPr>
        <w:pStyle w:val="ListParagraph"/>
        <w:numPr>
          <w:ilvl w:val="1"/>
          <w:numId w:val="6"/>
        </w:numPr>
        <w:jc w:val="both"/>
        <w:rPr>
          <w:rFonts w:ascii="Palatino Linotype" w:hAnsi="Palatino Linotype"/>
          <w:sz w:val="20"/>
          <w:szCs w:val="20"/>
        </w:rPr>
      </w:pPr>
      <w:r w:rsidRPr="000C79A9">
        <w:rPr>
          <w:rFonts w:ascii="Palatino Linotype" w:hAnsi="Palatino Linotype"/>
          <w:sz w:val="20"/>
          <w:szCs w:val="20"/>
        </w:rPr>
        <w:lastRenderedPageBreak/>
        <w:t>Large investment</w:t>
      </w:r>
    </w:p>
    <w:p w14:paraId="3A91EBF2" w14:textId="77777777" w:rsidR="008D70B8" w:rsidRPr="000C79A9" w:rsidRDefault="008D70B8" w:rsidP="00056563">
      <w:pPr>
        <w:pStyle w:val="ListParagraph"/>
        <w:numPr>
          <w:ilvl w:val="1"/>
          <w:numId w:val="6"/>
        </w:numPr>
        <w:jc w:val="both"/>
        <w:rPr>
          <w:rFonts w:ascii="Palatino Linotype" w:hAnsi="Palatino Linotype"/>
          <w:sz w:val="20"/>
          <w:szCs w:val="20"/>
        </w:rPr>
      </w:pPr>
      <w:r w:rsidRPr="000C79A9">
        <w:rPr>
          <w:rFonts w:ascii="Palatino Linotype" w:hAnsi="Palatino Linotype"/>
          <w:sz w:val="20"/>
          <w:szCs w:val="20"/>
        </w:rPr>
        <w:t xml:space="preserve">The production will be </w:t>
      </w:r>
      <w:proofErr w:type="gramStart"/>
      <w:r w:rsidRPr="000C79A9">
        <w:rPr>
          <w:rFonts w:ascii="Palatino Linotype" w:hAnsi="Palatino Linotype"/>
          <w:sz w:val="20"/>
          <w:szCs w:val="20"/>
        </w:rPr>
        <w:t>lower</w:t>
      </w:r>
      <w:proofErr w:type="gramEnd"/>
    </w:p>
    <w:p w14:paraId="0B15665A" w14:textId="77777777" w:rsidR="008D70B8" w:rsidRPr="000C79A9" w:rsidRDefault="008D70B8" w:rsidP="00056563">
      <w:pPr>
        <w:pStyle w:val="ListParagraph"/>
        <w:numPr>
          <w:ilvl w:val="1"/>
          <w:numId w:val="6"/>
        </w:numPr>
        <w:jc w:val="both"/>
        <w:rPr>
          <w:rFonts w:ascii="Palatino Linotype" w:hAnsi="Palatino Linotype"/>
          <w:sz w:val="20"/>
          <w:szCs w:val="20"/>
        </w:rPr>
      </w:pPr>
      <w:r w:rsidRPr="000C79A9">
        <w:rPr>
          <w:rFonts w:ascii="Palatino Linotype" w:hAnsi="Palatino Linotype"/>
          <w:sz w:val="20"/>
          <w:szCs w:val="20"/>
        </w:rPr>
        <w:t>Not have enough knowledge or information on the subject</w:t>
      </w:r>
    </w:p>
    <w:p w14:paraId="4F045074" w14:textId="77777777" w:rsidR="008D70B8" w:rsidRPr="000C79A9" w:rsidRDefault="008D70B8" w:rsidP="00056563">
      <w:pPr>
        <w:pStyle w:val="ListParagraph"/>
        <w:numPr>
          <w:ilvl w:val="1"/>
          <w:numId w:val="6"/>
        </w:numPr>
        <w:jc w:val="both"/>
        <w:rPr>
          <w:rFonts w:ascii="Palatino Linotype" w:hAnsi="Palatino Linotype"/>
          <w:sz w:val="20"/>
          <w:szCs w:val="20"/>
        </w:rPr>
      </w:pPr>
      <w:r w:rsidRPr="000C79A9">
        <w:rPr>
          <w:rFonts w:ascii="Palatino Linotype" w:hAnsi="Palatino Linotype"/>
          <w:sz w:val="20"/>
          <w:szCs w:val="20"/>
        </w:rPr>
        <w:t>Already made efforts for sustainable farming</w:t>
      </w:r>
    </w:p>
    <w:p w14:paraId="4D6B2048" w14:textId="738F5019" w:rsidR="008D70B8" w:rsidRPr="000C79A9" w:rsidRDefault="008D70B8" w:rsidP="00056563">
      <w:pPr>
        <w:pStyle w:val="ListParagraph"/>
        <w:numPr>
          <w:ilvl w:val="1"/>
          <w:numId w:val="6"/>
        </w:numPr>
        <w:jc w:val="both"/>
        <w:rPr>
          <w:rFonts w:ascii="Palatino Linotype" w:hAnsi="Palatino Linotype"/>
          <w:sz w:val="20"/>
          <w:szCs w:val="20"/>
        </w:rPr>
      </w:pPr>
      <w:r w:rsidRPr="000C79A9">
        <w:rPr>
          <w:rFonts w:ascii="Palatino Linotype" w:hAnsi="Palatino Linotype"/>
          <w:sz w:val="20"/>
          <w:szCs w:val="20"/>
        </w:rPr>
        <w:t>Other (please specify)</w:t>
      </w:r>
    </w:p>
    <w:p w14:paraId="59C39B4F" w14:textId="77777777" w:rsidR="008D70B8" w:rsidRPr="000C79A9" w:rsidRDefault="008D70B8" w:rsidP="008D70B8">
      <w:pPr>
        <w:pStyle w:val="ListParagraph"/>
        <w:jc w:val="both"/>
        <w:rPr>
          <w:rFonts w:ascii="Palatino Linotype" w:hAnsi="Palatino Linotype"/>
          <w:sz w:val="20"/>
          <w:szCs w:val="20"/>
        </w:rPr>
      </w:pPr>
    </w:p>
    <w:p w14:paraId="5D969DEA" w14:textId="397B173F" w:rsidR="008D70B8" w:rsidRPr="000C79A9" w:rsidRDefault="008107E4" w:rsidP="008D70B8">
      <w:pPr>
        <w:pStyle w:val="ListParagraph"/>
        <w:jc w:val="center"/>
        <w:rPr>
          <w:rFonts w:ascii="Palatino Linotype" w:hAnsi="Palatino Linotype"/>
          <w:sz w:val="20"/>
          <w:szCs w:val="20"/>
        </w:rPr>
      </w:pPr>
      <w:r w:rsidRPr="000C79A9">
        <w:rPr>
          <w:rFonts w:ascii="Palatino Linotype" w:hAnsi="Palatino Linotype"/>
          <w:noProof/>
          <w:sz w:val="20"/>
          <w:szCs w:val="20"/>
        </w:rPr>
        <w:drawing>
          <wp:inline distT="0" distB="0" distL="0" distR="0" wp14:anchorId="656F1A2A" wp14:editId="2C79D96B">
            <wp:extent cx="3950982" cy="2360567"/>
            <wp:effectExtent l="0" t="0" r="0" b="1905"/>
            <wp:docPr id="154533970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958158" cy="2364854"/>
                    </a:xfrm>
                    <a:prstGeom prst="rect">
                      <a:avLst/>
                    </a:prstGeom>
                    <a:noFill/>
                    <a:ln>
                      <a:noFill/>
                    </a:ln>
                  </pic:spPr>
                </pic:pic>
              </a:graphicData>
            </a:graphic>
          </wp:inline>
        </w:drawing>
      </w:r>
    </w:p>
    <w:p w14:paraId="6C9D6DE9" w14:textId="77777777" w:rsidR="008D70B8" w:rsidRPr="000C79A9" w:rsidRDefault="008D70B8" w:rsidP="008D70B8">
      <w:pPr>
        <w:pStyle w:val="ListParagraph"/>
        <w:jc w:val="both"/>
        <w:rPr>
          <w:rFonts w:ascii="Palatino Linotype" w:hAnsi="Palatino Linotype"/>
          <w:sz w:val="20"/>
          <w:szCs w:val="20"/>
        </w:rPr>
      </w:pPr>
    </w:p>
    <w:p w14:paraId="5B0DF353" w14:textId="0332FF21" w:rsidR="00056563" w:rsidRPr="000C79A9" w:rsidRDefault="00056563" w:rsidP="008D70B8">
      <w:pPr>
        <w:jc w:val="both"/>
        <w:rPr>
          <w:rFonts w:ascii="Palatino Linotype" w:hAnsi="Palatino Linotype"/>
          <w:sz w:val="20"/>
          <w:szCs w:val="20"/>
        </w:rPr>
      </w:pPr>
      <w:r w:rsidRPr="000C79A9">
        <w:rPr>
          <w:rFonts w:ascii="Palatino Linotype" w:hAnsi="Palatino Linotype"/>
          <w:sz w:val="20"/>
          <w:szCs w:val="20"/>
        </w:rPr>
        <w:t>In the case of Question 4, two of the farmers specified other obstacles, being them “each farmer” and “bureaucracy”.</w:t>
      </w:r>
    </w:p>
    <w:p w14:paraId="79AB0472" w14:textId="1CFA0BE9" w:rsidR="008D70B8" w:rsidRPr="000C79A9" w:rsidRDefault="00056563" w:rsidP="008D70B8">
      <w:pPr>
        <w:jc w:val="both"/>
        <w:rPr>
          <w:rFonts w:ascii="Palatino Linotype" w:hAnsi="Palatino Linotype"/>
          <w:sz w:val="20"/>
          <w:szCs w:val="20"/>
        </w:rPr>
      </w:pPr>
      <w:r w:rsidRPr="000C79A9">
        <w:rPr>
          <w:rFonts w:ascii="Palatino Linotype" w:hAnsi="Palatino Linotype"/>
          <w:sz w:val="20"/>
          <w:szCs w:val="20"/>
        </w:rPr>
        <w:t>Finally,</w:t>
      </w:r>
      <w:r w:rsidR="008D70B8" w:rsidRPr="000C79A9">
        <w:rPr>
          <w:rFonts w:ascii="Palatino Linotype" w:hAnsi="Palatino Linotype"/>
          <w:sz w:val="20"/>
          <w:szCs w:val="20"/>
        </w:rPr>
        <w:t xml:space="preserve"> to the further question “Do you think agriculture has a significant environmental impact on the environment?”, 70% of the interviewed farmers answered yes, and 30% answered no</w:t>
      </w:r>
      <w:r w:rsidR="008107E4" w:rsidRPr="000C79A9">
        <w:rPr>
          <w:rFonts w:ascii="Palatino Linotype" w:hAnsi="Palatino Linotype"/>
          <w:sz w:val="20"/>
          <w:szCs w:val="20"/>
        </w:rPr>
        <w:t>, testifying that the awareness about the role and importance of the agriculture and farming sector on the impacts generated on the environment is not fully diffused among the farmers.</w:t>
      </w:r>
    </w:p>
    <w:p w14:paraId="77448F74" w14:textId="77777777" w:rsidR="00BA20D3" w:rsidRPr="000C79A9" w:rsidRDefault="00BA20D3" w:rsidP="008D70B8">
      <w:pPr>
        <w:pStyle w:val="ListParagraph"/>
        <w:jc w:val="both"/>
        <w:rPr>
          <w:rFonts w:ascii="Palatino Linotype" w:hAnsi="Palatino Linotype"/>
          <w:sz w:val="20"/>
          <w:szCs w:val="20"/>
        </w:rPr>
      </w:pPr>
    </w:p>
    <w:p w14:paraId="4DA58860" w14:textId="08DC5559" w:rsidR="00822633" w:rsidRPr="000C79A9" w:rsidRDefault="00822633" w:rsidP="00822633">
      <w:pPr>
        <w:pStyle w:val="Bibliography"/>
        <w:rPr>
          <w:rFonts w:ascii="Palatino Linotype" w:hAnsi="Palatino Linotype" w:cs="Times New Roman"/>
          <w:b/>
          <w:bCs/>
          <w:sz w:val="20"/>
          <w:szCs w:val="20"/>
          <w:lang w:val="en-US"/>
        </w:rPr>
      </w:pPr>
      <w:r w:rsidRPr="000C79A9">
        <w:rPr>
          <w:rFonts w:ascii="Palatino Linotype" w:hAnsi="Palatino Linotype" w:cs="Times New Roman"/>
          <w:b/>
          <w:bCs/>
          <w:sz w:val="20"/>
          <w:szCs w:val="20"/>
          <w:lang w:val="en-US"/>
        </w:rPr>
        <w:t>References</w:t>
      </w:r>
    </w:p>
    <w:p w14:paraId="37761406" w14:textId="77777777" w:rsidR="00E9260C" w:rsidRPr="000C79A9" w:rsidRDefault="00822633" w:rsidP="00E9260C">
      <w:pPr>
        <w:pStyle w:val="Bibliography"/>
        <w:rPr>
          <w:rFonts w:ascii="Palatino Linotype" w:hAnsi="Palatino Linotype" w:cs="Calibri"/>
          <w:sz w:val="20"/>
          <w:szCs w:val="20"/>
        </w:rPr>
      </w:pPr>
      <w:r w:rsidRPr="000C79A9">
        <w:rPr>
          <w:rFonts w:ascii="Palatino Linotype" w:hAnsi="Palatino Linotype"/>
          <w:sz w:val="20"/>
          <w:szCs w:val="20"/>
          <w:lang w:val="en-US"/>
        </w:rPr>
        <w:fldChar w:fldCharType="begin"/>
      </w:r>
      <w:r w:rsidR="00E9260C" w:rsidRPr="000C79A9">
        <w:rPr>
          <w:rFonts w:ascii="Palatino Linotype" w:hAnsi="Palatino Linotype"/>
          <w:sz w:val="20"/>
          <w:szCs w:val="20"/>
          <w:lang w:val="en-US"/>
        </w:rPr>
        <w:instrText xml:space="preserve"> ADDIN ZOTERO_BIBL {"uncited":[],"omitted":[],"custom":[]} CSL_BIBLIOGRAPHY </w:instrText>
      </w:r>
      <w:r w:rsidRPr="000C79A9">
        <w:rPr>
          <w:rFonts w:ascii="Palatino Linotype" w:hAnsi="Palatino Linotype"/>
          <w:sz w:val="20"/>
          <w:szCs w:val="20"/>
          <w:lang w:val="en-US"/>
        </w:rPr>
        <w:fldChar w:fldCharType="separate"/>
      </w:r>
      <w:r w:rsidR="00E9260C" w:rsidRPr="000C79A9">
        <w:rPr>
          <w:rFonts w:ascii="Palatino Linotype" w:hAnsi="Palatino Linotype" w:cs="Calibri"/>
          <w:sz w:val="20"/>
          <w:szCs w:val="20"/>
        </w:rPr>
        <w:t>1.</w:t>
      </w:r>
      <w:r w:rsidR="00E9260C" w:rsidRPr="000C79A9">
        <w:rPr>
          <w:rFonts w:ascii="Palatino Linotype" w:hAnsi="Palatino Linotype" w:cs="Calibri"/>
          <w:sz w:val="20"/>
          <w:szCs w:val="20"/>
        </w:rPr>
        <w:tab/>
        <w:t>Sala, S., Cerutti, A.K., Pant, R.: Development of a weighting approach for the Environmental Footprint. European Commission Joint Research Center, Publications Office of the European Union, Luxembourg (2018).</w:t>
      </w:r>
    </w:p>
    <w:p w14:paraId="47EB0E49" w14:textId="77777777" w:rsidR="00E9260C" w:rsidRPr="000C79A9" w:rsidRDefault="00E9260C" w:rsidP="00E9260C">
      <w:pPr>
        <w:pStyle w:val="Bibliography"/>
        <w:rPr>
          <w:rFonts w:ascii="Palatino Linotype" w:hAnsi="Palatino Linotype" w:cs="Calibri"/>
          <w:sz w:val="20"/>
          <w:szCs w:val="20"/>
        </w:rPr>
      </w:pPr>
      <w:r w:rsidRPr="000C79A9">
        <w:rPr>
          <w:rFonts w:ascii="Palatino Linotype" w:hAnsi="Palatino Linotype" w:cs="Calibri"/>
          <w:sz w:val="20"/>
          <w:szCs w:val="20"/>
        </w:rPr>
        <w:t>2.</w:t>
      </w:r>
      <w:r w:rsidRPr="000C79A9">
        <w:rPr>
          <w:rFonts w:ascii="Palatino Linotype" w:hAnsi="Palatino Linotype" w:cs="Calibri"/>
          <w:sz w:val="20"/>
          <w:szCs w:val="20"/>
        </w:rPr>
        <w:tab/>
        <w:t>Crenna, E., Secchi, M., Benini, L., Sala, S.: Global environmental impacts: data sources and methodological choices for calculating normalization factors for LCA. International Journal of Life Cycle Assessment. 24, 1851–1877 (2019). https://doi.org/10.1007/S11367-019-01604-Y/FIGURES/1.</w:t>
      </w:r>
    </w:p>
    <w:p w14:paraId="1F8FD3C6" w14:textId="77777777" w:rsidR="00E9260C" w:rsidRPr="000C79A9" w:rsidRDefault="00E9260C" w:rsidP="00E9260C">
      <w:pPr>
        <w:pStyle w:val="Bibliography"/>
        <w:rPr>
          <w:rFonts w:ascii="Palatino Linotype" w:hAnsi="Palatino Linotype" w:cs="Calibri"/>
          <w:sz w:val="20"/>
          <w:szCs w:val="20"/>
        </w:rPr>
      </w:pPr>
      <w:r w:rsidRPr="000C79A9">
        <w:rPr>
          <w:rFonts w:ascii="Palatino Linotype" w:hAnsi="Palatino Linotype" w:cs="Calibri"/>
          <w:sz w:val="20"/>
          <w:szCs w:val="20"/>
        </w:rPr>
        <w:t>3.</w:t>
      </w:r>
      <w:r w:rsidRPr="000C79A9">
        <w:rPr>
          <w:rFonts w:ascii="Palatino Linotype" w:hAnsi="Palatino Linotype" w:cs="Calibri"/>
          <w:sz w:val="20"/>
          <w:szCs w:val="20"/>
        </w:rPr>
        <w:tab/>
        <w:t>De Laurentiis, V., Secchi, M., Bos, U., Horn, R., Laurent, A., Sala, S.: Soil quality index: Exploring options for a comprehensive assessment of land use impacts in LCA. Journal of Cleaner Production. 215, 63–74 (2019). https://doi.org/10.1016/J.JCLEPRO.2018.12.238.</w:t>
      </w:r>
    </w:p>
    <w:p w14:paraId="6BBC10D1" w14:textId="77777777" w:rsidR="00E9260C" w:rsidRPr="000C79A9" w:rsidRDefault="00E9260C" w:rsidP="00E9260C">
      <w:pPr>
        <w:pStyle w:val="Bibliography"/>
        <w:rPr>
          <w:rFonts w:ascii="Palatino Linotype" w:hAnsi="Palatino Linotype" w:cs="Calibri"/>
          <w:sz w:val="20"/>
          <w:szCs w:val="20"/>
        </w:rPr>
      </w:pPr>
      <w:r w:rsidRPr="000C79A9">
        <w:rPr>
          <w:rFonts w:ascii="Palatino Linotype" w:hAnsi="Palatino Linotype" w:cs="Calibri"/>
          <w:sz w:val="20"/>
          <w:szCs w:val="20"/>
        </w:rPr>
        <w:t>4.</w:t>
      </w:r>
      <w:r w:rsidRPr="000C79A9">
        <w:rPr>
          <w:rFonts w:ascii="Palatino Linotype" w:hAnsi="Palatino Linotype" w:cs="Calibri"/>
          <w:sz w:val="20"/>
          <w:szCs w:val="20"/>
        </w:rPr>
        <w:tab/>
        <w:t>Beck, T., Bos, U., Wittstock, B., Baitz, M., Fischer, M., Sedlbauer, K.: LANCA®—land use indicator value calculation in life cycle assessment. Fraunhofer Verlag, Stuttgart (2010).</w:t>
      </w:r>
    </w:p>
    <w:p w14:paraId="28DE237B" w14:textId="77777777" w:rsidR="00E9260C" w:rsidRPr="000C79A9" w:rsidRDefault="00E9260C" w:rsidP="00E9260C">
      <w:pPr>
        <w:pStyle w:val="Bibliography"/>
        <w:rPr>
          <w:rFonts w:ascii="Palatino Linotype" w:hAnsi="Palatino Linotype" w:cs="Calibri"/>
          <w:sz w:val="20"/>
          <w:szCs w:val="20"/>
        </w:rPr>
      </w:pPr>
      <w:r w:rsidRPr="000C79A9">
        <w:rPr>
          <w:rFonts w:ascii="Palatino Linotype" w:hAnsi="Palatino Linotype" w:cs="Calibri"/>
          <w:sz w:val="20"/>
          <w:szCs w:val="20"/>
        </w:rPr>
        <w:t>5.</w:t>
      </w:r>
      <w:r w:rsidRPr="000C79A9">
        <w:rPr>
          <w:rFonts w:ascii="Palatino Linotype" w:hAnsi="Palatino Linotype" w:cs="Calibri"/>
          <w:sz w:val="20"/>
          <w:szCs w:val="20"/>
        </w:rPr>
        <w:tab/>
        <w:t>Bos, U., Horn, R., Beck, T., Lindner, J.P., Fischer, M.: LANCA® - Characterisation Factors for Life Cycle Impact Assessment, Version 2.0. Fraunhofer IBP, Stuttgart (2016).</w:t>
      </w:r>
    </w:p>
    <w:p w14:paraId="6D03DB68" w14:textId="77777777" w:rsidR="00E9260C" w:rsidRPr="000C79A9" w:rsidRDefault="00E9260C" w:rsidP="00E9260C">
      <w:pPr>
        <w:pStyle w:val="Bibliography"/>
        <w:rPr>
          <w:rFonts w:ascii="Palatino Linotype" w:hAnsi="Palatino Linotype" w:cs="Calibri"/>
          <w:sz w:val="20"/>
          <w:szCs w:val="20"/>
        </w:rPr>
      </w:pPr>
      <w:r w:rsidRPr="000C79A9">
        <w:rPr>
          <w:rFonts w:ascii="Palatino Linotype" w:hAnsi="Palatino Linotype" w:cs="Calibri"/>
          <w:sz w:val="20"/>
          <w:szCs w:val="20"/>
        </w:rPr>
        <w:t>6.</w:t>
      </w:r>
      <w:r w:rsidRPr="000C79A9">
        <w:rPr>
          <w:rFonts w:ascii="Palatino Linotype" w:hAnsi="Palatino Linotype" w:cs="Calibri"/>
          <w:sz w:val="20"/>
          <w:szCs w:val="20"/>
        </w:rPr>
        <w:tab/>
        <w:t>Baustert, P., Benetto, E.: Uncertainty analysis in agent-based modelling and consequential life cycle assessment coupled models: A critical review. Journal of Cleaner Production. 156, 378–394 (2017). https://doi.org/10.1016/j.jclepro.2017.03.193.</w:t>
      </w:r>
    </w:p>
    <w:p w14:paraId="480507B0" w14:textId="77777777" w:rsidR="00E9260C" w:rsidRPr="000C79A9" w:rsidRDefault="00E9260C" w:rsidP="00E9260C">
      <w:pPr>
        <w:pStyle w:val="Bibliography"/>
        <w:rPr>
          <w:rFonts w:ascii="Palatino Linotype" w:hAnsi="Palatino Linotype" w:cs="Calibri"/>
          <w:sz w:val="20"/>
          <w:szCs w:val="20"/>
        </w:rPr>
      </w:pPr>
      <w:r w:rsidRPr="000C79A9">
        <w:rPr>
          <w:rFonts w:ascii="Palatino Linotype" w:hAnsi="Palatino Linotype" w:cs="Calibri"/>
          <w:sz w:val="20"/>
          <w:szCs w:val="20"/>
        </w:rPr>
        <w:t>7.</w:t>
      </w:r>
      <w:r w:rsidRPr="000C79A9">
        <w:rPr>
          <w:rFonts w:ascii="Palatino Linotype" w:hAnsi="Palatino Linotype" w:cs="Calibri"/>
          <w:sz w:val="20"/>
          <w:szCs w:val="20"/>
        </w:rPr>
        <w:tab/>
        <w:t>Baustert, P.: Development of an uncertainty analysis framework for model-based consequential life cycle assessment: Application to activity-based modelling and life cycle assessment of multimodal mobility, https://pure.tue.nl/ws/portalfiles/portal/169864202/20210420_Baustert.pdf, (2021).</w:t>
      </w:r>
    </w:p>
    <w:p w14:paraId="33BDDF0D" w14:textId="44A4E77C" w:rsidR="00822633" w:rsidRPr="000C79A9" w:rsidRDefault="00822633" w:rsidP="00F863CB">
      <w:pPr>
        <w:jc w:val="both"/>
        <w:rPr>
          <w:rFonts w:ascii="Palatino Linotype" w:hAnsi="Palatino Linotype"/>
          <w:lang w:val="en-US"/>
        </w:rPr>
      </w:pPr>
      <w:r w:rsidRPr="000C79A9">
        <w:rPr>
          <w:rFonts w:ascii="Palatino Linotype" w:hAnsi="Palatino Linotype"/>
          <w:sz w:val="20"/>
          <w:szCs w:val="20"/>
          <w:lang w:val="en-US"/>
        </w:rPr>
        <w:fldChar w:fldCharType="end"/>
      </w:r>
    </w:p>
    <w:sectPr w:rsidR="00822633" w:rsidRPr="000C79A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093EA" w14:textId="77777777" w:rsidR="005D2662" w:rsidRDefault="005D2662" w:rsidP="00495B6B">
      <w:r>
        <w:separator/>
      </w:r>
    </w:p>
  </w:endnote>
  <w:endnote w:type="continuationSeparator" w:id="0">
    <w:p w14:paraId="61961891" w14:textId="77777777" w:rsidR="005D2662" w:rsidRDefault="005D2662" w:rsidP="00495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A8003" w14:textId="77777777" w:rsidR="005D2662" w:rsidRDefault="005D2662" w:rsidP="00495B6B">
      <w:r>
        <w:separator/>
      </w:r>
    </w:p>
  </w:footnote>
  <w:footnote w:type="continuationSeparator" w:id="0">
    <w:p w14:paraId="4E42A7A7" w14:textId="77777777" w:rsidR="005D2662" w:rsidRDefault="005D2662" w:rsidP="00495B6B">
      <w:r>
        <w:continuationSeparator/>
      </w:r>
    </w:p>
  </w:footnote>
  <w:footnote w:id="1">
    <w:p w14:paraId="1C84D923" w14:textId="466800B8" w:rsidR="00495B6B" w:rsidRDefault="00495B6B">
      <w:pPr>
        <w:pStyle w:val="FootnoteText"/>
      </w:pPr>
      <w:r w:rsidRPr="00E9260C">
        <w:rPr>
          <w:rStyle w:val="FootnoteReference"/>
        </w:rPr>
        <w:footnoteRef/>
      </w:r>
      <w:r>
        <w:t xml:space="preserve"> </w:t>
      </w:r>
      <w:r w:rsidRPr="00495B6B">
        <w:t>https://eplca.jrc.ec.europa.eu/EnvironmentalFootprint.html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F1386"/>
    <w:multiLevelType w:val="hybridMultilevel"/>
    <w:tmpl w:val="558E89E2"/>
    <w:lvl w:ilvl="0" w:tplc="409C09D2">
      <w:start w:val="1"/>
      <w:numFmt w:val="bullet"/>
      <w:lvlText w:val=""/>
      <w:lvlJc w:val="left"/>
      <w:pPr>
        <w:ind w:left="144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3C3C7E93"/>
    <w:multiLevelType w:val="hybridMultilevel"/>
    <w:tmpl w:val="54D277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E6B16D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3335781"/>
    <w:multiLevelType w:val="hybridMultilevel"/>
    <w:tmpl w:val="54D277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F1556F"/>
    <w:multiLevelType w:val="hybridMultilevel"/>
    <w:tmpl w:val="7680A5A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73F66E32"/>
    <w:multiLevelType w:val="hybridMultilevel"/>
    <w:tmpl w:val="6094A81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661032940">
    <w:abstractNumId w:val="3"/>
  </w:num>
  <w:num w:numId="2" w16cid:durableId="865407185">
    <w:abstractNumId w:val="2"/>
  </w:num>
  <w:num w:numId="3" w16cid:durableId="656804734">
    <w:abstractNumId w:val="1"/>
  </w:num>
  <w:num w:numId="4" w16cid:durableId="735205254">
    <w:abstractNumId w:val="4"/>
  </w:num>
  <w:num w:numId="5" w16cid:durableId="164327889">
    <w:abstractNumId w:val="5"/>
  </w:num>
  <w:num w:numId="6" w16cid:durableId="4035714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664"/>
    <w:rsid w:val="00007177"/>
    <w:rsid w:val="000257F7"/>
    <w:rsid w:val="00056563"/>
    <w:rsid w:val="000C22AF"/>
    <w:rsid w:val="000C79A9"/>
    <w:rsid w:val="000E2664"/>
    <w:rsid w:val="00143A8E"/>
    <w:rsid w:val="00146295"/>
    <w:rsid w:val="001661CF"/>
    <w:rsid w:val="00250FFA"/>
    <w:rsid w:val="00266716"/>
    <w:rsid w:val="002C2BCE"/>
    <w:rsid w:val="003251A1"/>
    <w:rsid w:val="003305E5"/>
    <w:rsid w:val="00345CF5"/>
    <w:rsid w:val="00362D81"/>
    <w:rsid w:val="00376787"/>
    <w:rsid w:val="003D65FE"/>
    <w:rsid w:val="004721AC"/>
    <w:rsid w:val="00495B6B"/>
    <w:rsid w:val="004C7362"/>
    <w:rsid w:val="004F6C0E"/>
    <w:rsid w:val="00504D82"/>
    <w:rsid w:val="00526F2E"/>
    <w:rsid w:val="005614EB"/>
    <w:rsid w:val="0058742A"/>
    <w:rsid w:val="005D2662"/>
    <w:rsid w:val="005E2DBA"/>
    <w:rsid w:val="00621D87"/>
    <w:rsid w:val="006857C2"/>
    <w:rsid w:val="00752AA7"/>
    <w:rsid w:val="00771F26"/>
    <w:rsid w:val="007B6BBB"/>
    <w:rsid w:val="00801BCE"/>
    <w:rsid w:val="008107E4"/>
    <w:rsid w:val="00822633"/>
    <w:rsid w:val="0086717D"/>
    <w:rsid w:val="00872FB0"/>
    <w:rsid w:val="00874FB3"/>
    <w:rsid w:val="008D70B8"/>
    <w:rsid w:val="009B3863"/>
    <w:rsid w:val="00B252ED"/>
    <w:rsid w:val="00B43659"/>
    <w:rsid w:val="00BA20D3"/>
    <w:rsid w:val="00BC3751"/>
    <w:rsid w:val="00C1571D"/>
    <w:rsid w:val="00C370FA"/>
    <w:rsid w:val="00C750C8"/>
    <w:rsid w:val="00CD0D64"/>
    <w:rsid w:val="00D32798"/>
    <w:rsid w:val="00D358BF"/>
    <w:rsid w:val="00E63F35"/>
    <w:rsid w:val="00E84862"/>
    <w:rsid w:val="00E9260C"/>
    <w:rsid w:val="00EA5F80"/>
    <w:rsid w:val="00EC3ECD"/>
    <w:rsid w:val="00F47FD3"/>
    <w:rsid w:val="00F863C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F7391"/>
  <w15:chartTrackingRefBased/>
  <w15:docId w15:val="{12BE369A-6DDB-4535-AFC0-DD2754277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664"/>
    <w:pPr>
      <w:spacing w:after="0" w:line="240" w:lineRule="auto"/>
    </w:pPr>
    <w:rPr>
      <w:kern w:val="0"/>
      <w:sz w:val="24"/>
      <w:szCs w:val="24"/>
      <w14:ligatures w14:val="none"/>
    </w:rPr>
  </w:style>
  <w:style w:type="paragraph" w:styleId="Heading1">
    <w:name w:val="heading 1"/>
    <w:basedOn w:val="Normal"/>
    <w:next w:val="Normal"/>
    <w:link w:val="Heading1Char"/>
    <w:uiPriority w:val="9"/>
    <w:qFormat/>
    <w:rsid w:val="00250FFA"/>
    <w:pPr>
      <w:keepNext/>
      <w:keepLines/>
      <w:spacing w:before="240" w:after="120" w:line="480" w:lineRule="auto"/>
      <w:outlineLvl w:val="0"/>
    </w:pPr>
    <w:rPr>
      <w:rFonts w:ascii="Times New Roman" w:eastAsiaTheme="majorEastAsia" w:hAnsi="Times New Roman" w:cstheme="majorBidi"/>
      <w:b/>
      <w:szCs w:val="32"/>
    </w:rPr>
  </w:style>
  <w:style w:type="paragraph" w:styleId="Heading2">
    <w:name w:val="heading 2"/>
    <w:basedOn w:val="Normal"/>
    <w:next w:val="Normal"/>
    <w:link w:val="Heading2Char"/>
    <w:uiPriority w:val="9"/>
    <w:unhideWhenUsed/>
    <w:qFormat/>
    <w:rsid w:val="000E266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E2664"/>
    <w:pPr>
      <w:keepNext/>
      <w:keepLines/>
      <w:spacing w:before="40"/>
      <w:outlineLvl w:val="2"/>
    </w:pPr>
    <w:rPr>
      <w:rFonts w:asciiTheme="majorHAnsi" w:eastAsiaTheme="majorEastAsia" w:hAnsiTheme="majorHAnsi" w:cstheme="majorBidi"/>
      <w:color w:val="1F3763" w:themeColor="accent1" w:themeShade="7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FFA"/>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0E2664"/>
    <w:rPr>
      <w:rFonts w:asciiTheme="majorHAnsi" w:eastAsiaTheme="majorEastAsia" w:hAnsiTheme="majorHAnsi" w:cstheme="majorBidi"/>
      <w:color w:val="2F5496" w:themeColor="accent1" w:themeShade="BF"/>
      <w:kern w:val="0"/>
      <w:sz w:val="26"/>
      <w:szCs w:val="26"/>
      <w14:ligatures w14:val="none"/>
    </w:rPr>
  </w:style>
  <w:style w:type="character" w:customStyle="1" w:styleId="Heading3Char">
    <w:name w:val="Heading 3 Char"/>
    <w:basedOn w:val="DefaultParagraphFont"/>
    <w:link w:val="Heading3"/>
    <w:uiPriority w:val="9"/>
    <w:rsid w:val="000E2664"/>
    <w:rPr>
      <w:rFonts w:asciiTheme="majorHAnsi" w:eastAsiaTheme="majorEastAsia" w:hAnsiTheme="majorHAnsi" w:cstheme="majorBidi"/>
      <w:color w:val="1F3763" w:themeColor="accent1" w:themeShade="7F"/>
      <w:kern w:val="0"/>
      <w:sz w:val="24"/>
      <w:szCs w:val="24"/>
      <w:lang w:val="en-US"/>
      <w14:ligatures w14:val="none"/>
    </w:rPr>
  </w:style>
  <w:style w:type="character" w:styleId="Hyperlink">
    <w:name w:val="Hyperlink"/>
    <w:basedOn w:val="DefaultParagraphFont"/>
    <w:uiPriority w:val="99"/>
    <w:unhideWhenUsed/>
    <w:rsid w:val="000E2664"/>
    <w:rPr>
      <w:color w:val="0000FF"/>
      <w:u w:val="single"/>
    </w:rPr>
  </w:style>
  <w:style w:type="paragraph" w:styleId="FootnoteText">
    <w:name w:val="footnote text"/>
    <w:basedOn w:val="Normal"/>
    <w:link w:val="FootnoteTextChar"/>
    <w:uiPriority w:val="99"/>
    <w:semiHidden/>
    <w:unhideWhenUsed/>
    <w:rsid w:val="00495B6B"/>
    <w:rPr>
      <w:sz w:val="20"/>
      <w:szCs w:val="20"/>
    </w:rPr>
  </w:style>
  <w:style w:type="character" w:customStyle="1" w:styleId="FootnoteTextChar">
    <w:name w:val="Footnote Text Char"/>
    <w:basedOn w:val="DefaultParagraphFont"/>
    <w:link w:val="FootnoteText"/>
    <w:uiPriority w:val="99"/>
    <w:semiHidden/>
    <w:rsid w:val="00495B6B"/>
    <w:rPr>
      <w:kern w:val="0"/>
      <w:sz w:val="20"/>
      <w:szCs w:val="20"/>
      <w14:ligatures w14:val="none"/>
    </w:rPr>
  </w:style>
  <w:style w:type="character" w:styleId="FootnoteReference">
    <w:name w:val="footnote reference"/>
    <w:basedOn w:val="DefaultParagraphFont"/>
    <w:uiPriority w:val="99"/>
    <w:semiHidden/>
    <w:unhideWhenUsed/>
    <w:rsid w:val="00495B6B"/>
    <w:rPr>
      <w:vertAlign w:val="superscript"/>
    </w:rPr>
  </w:style>
  <w:style w:type="paragraph" w:styleId="Bibliography">
    <w:name w:val="Bibliography"/>
    <w:basedOn w:val="Normal"/>
    <w:next w:val="Normal"/>
    <w:uiPriority w:val="37"/>
    <w:unhideWhenUsed/>
    <w:rsid w:val="00822633"/>
    <w:pPr>
      <w:tabs>
        <w:tab w:val="left" w:pos="264"/>
      </w:tabs>
      <w:ind w:left="264" w:hanging="264"/>
    </w:pPr>
  </w:style>
  <w:style w:type="paragraph" w:styleId="Caption">
    <w:name w:val="caption"/>
    <w:basedOn w:val="Normal"/>
    <w:next w:val="Normal"/>
    <w:uiPriority w:val="35"/>
    <w:unhideWhenUsed/>
    <w:qFormat/>
    <w:rsid w:val="0086717D"/>
    <w:pPr>
      <w:spacing w:after="200"/>
    </w:pPr>
    <w:rPr>
      <w:i/>
      <w:iCs/>
      <w:color w:val="44546A" w:themeColor="text2"/>
      <w:sz w:val="18"/>
      <w:szCs w:val="18"/>
      <w:lang w:val="en-US"/>
    </w:rPr>
  </w:style>
  <w:style w:type="character" w:customStyle="1" w:styleId="normaltextrun">
    <w:name w:val="normaltextrun"/>
    <w:basedOn w:val="DefaultParagraphFont"/>
    <w:rsid w:val="00362D81"/>
  </w:style>
  <w:style w:type="table" w:styleId="TableGrid">
    <w:name w:val="Table Grid"/>
    <w:basedOn w:val="TableNormal"/>
    <w:uiPriority w:val="39"/>
    <w:rsid w:val="00362D81"/>
    <w:pPr>
      <w:spacing w:after="0" w:line="240" w:lineRule="auto"/>
    </w:pPr>
    <w:rPr>
      <w:kern w:val="0"/>
      <w:sz w:val="24"/>
      <w:szCs w:val="24"/>
      <w:lang w:val="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DPI31text">
    <w:name w:val="MDPI_3.1_text"/>
    <w:qFormat/>
    <w:rsid w:val="00362D81"/>
    <w:pPr>
      <w:adjustRightInd w:val="0"/>
      <w:snapToGrid w:val="0"/>
      <w:spacing w:after="0" w:line="228" w:lineRule="auto"/>
      <w:ind w:left="2608" w:firstLine="425"/>
      <w:jc w:val="both"/>
    </w:pPr>
    <w:rPr>
      <w:rFonts w:ascii="Palatino Linotype" w:eastAsia="Times New Roman" w:hAnsi="Palatino Linotype" w:cs="Times New Roman"/>
      <w:snapToGrid w:val="0"/>
      <w:color w:val="000000"/>
      <w:kern w:val="0"/>
      <w:sz w:val="20"/>
      <w:lang w:val="en-US" w:eastAsia="de-DE" w:bidi="en-US"/>
      <w14:ligatures w14:val="none"/>
    </w:rPr>
  </w:style>
  <w:style w:type="character" w:customStyle="1" w:styleId="hgkelc">
    <w:name w:val="hgkelc"/>
    <w:basedOn w:val="DefaultParagraphFont"/>
    <w:rsid w:val="00C750C8"/>
  </w:style>
  <w:style w:type="character" w:styleId="UnresolvedMention">
    <w:name w:val="Unresolved Mention"/>
    <w:basedOn w:val="DefaultParagraphFont"/>
    <w:uiPriority w:val="99"/>
    <w:semiHidden/>
    <w:unhideWhenUsed/>
    <w:rsid w:val="004C7362"/>
    <w:rPr>
      <w:color w:val="605E5C"/>
      <w:shd w:val="clear" w:color="auto" w:fill="E1DFDD"/>
    </w:rPr>
  </w:style>
  <w:style w:type="character" w:customStyle="1" w:styleId="ui-provider">
    <w:name w:val="ui-provider"/>
    <w:basedOn w:val="DefaultParagraphFont"/>
    <w:rsid w:val="00BC3751"/>
  </w:style>
  <w:style w:type="paragraph" w:styleId="ListParagraph">
    <w:name w:val="List Paragraph"/>
    <w:basedOn w:val="Normal"/>
    <w:uiPriority w:val="34"/>
    <w:qFormat/>
    <w:rsid w:val="004F6C0E"/>
    <w:pPr>
      <w:ind w:left="720"/>
      <w:contextualSpacing/>
    </w:pPr>
  </w:style>
  <w:style w:type="character" w:styleId="EndnoteReference">
    <w:name w:val="endnote reference"/>
    <w:basedOn w:val="DefaultParagraphFont"/>
    <w:uiPriority w:val="99"/>
    <w:semiHidden/>
    <w:unhideWhenUsed/>
    <w:rsid w:val="00E9260C"/>
    <w:rPr>
      <w:vertAlign w:val="superscript"/>
    </w:rPr>
  </w:style>
  <w:style w:type="paragraph" w:customStyle="1" w:styleId="MDPI13authornames">
    <w:name w:val="MDPI_1.3_authornames"/>
    <w:next w:val="Normal"/>
    <w:qFormat/>
    <w:rsid w:val="000C79A9"/>
    <w:pPr>
      <w:adjustRightInd w:val="0"/>
      <w:snapToGrid w:val="0"/>
      <w:spacing w:after="360" w:line="260" w:lineRule="atLeast"/>
    </w:pPr>
    <w:rPr>
      <w:rFonts w:ascii="Palatino Linotype" w:eastAsia="Times New Roman" w:hAnsi="Palatino Linotype" w:cs="Times New Roman"/>
      <w:b/>
      <w:color w:val="000000"/>
      <w:kern w:val="0"/>
      <w:sz w:val="20"/>
      <w:lang w:val="en-US" w:eastAsia="de-DE" w:bidi="en-US"/>
      <w14:ligatures w14:val="none"/>
    </w:rPr>
  </w:style>
  <w:style w:type="paragraph" w:customStyle="1" w:styleId="MDPI21heading1">
    <w:name w:val="MDPI_2.1_heading1"/>
    <w:qFormat/>
    <w:rsid w:val="000C79A9"/>
    <w:pPr>
      <w:adjustRightInd w:val="0"/>
      <w:snapToGrid w:val="0"/>
      <w:spacing w:before="240" w:after="60" w:line="228" w:lineRule="auto"/>
      <w:ind w:left="2608"/>
      <w:outlineLvl w:val="0"/>
    </w:pPr>
    <w:rPr>
      <w:rFonts w:ascii="Palatino Linotype" w:eastAsia="Times New Roman" w:hAnsi="Palatino Linotype" w:cs="Times New Roman"/>
      <w:b/>
      <w:snapToGrid w:val="0"/>
      <w:color w:val="000000"/>
      <w:kern w:val="0"/>
      <w:sz w:val="20"/>
      <w:lang w:val="en-US" w:eastAsia="de-DE" w:bidi="en-US"/>
      <w14:ligatures w14:val="none"/>
    </w:rPr>
  </w:style>
  <w:style w:type="paragraph" w:customStyle="1" w:styleId="MDPI51figurecaption">
    <w:name w:val="MDPI_5.1_figure_caption"/>
    <w:qFormat/>
    <w:rsid w:val="000C79A9"/>
    <w:pPr>
      <w:adjustRightInd w:val="0"/>
      <w:snapToGrid w:val="0"/>
      <w:spacing w:before="120" w:after="240" w:line="228" w:lineRule="auto"/>
      <w:ind w:left="2608"/>
      <w:jc w:val="both"/>
    </w:pPr>
    <w:rPr>
      <w:rFonts w:ascii="Palatino Linotype" w:eastAsia="Times New Roman" w:hAnsi="Palatino Linotype" w:cs="Times New Roman"/>
      <w:color w:val="000000"/>
      <w:kern w:val="0"/>
      <w:sz w:val="18"/>
      <w:szCs w:val="20"/>
      <w:lang w:val="en-US" w:eastAsia="de-DE"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nino.marvuglia@list.lu" TargetMode="Externa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7ACB9-4340-4806-8BEE-0CD04D2FE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TotalTime>
  <Pages>6</Pages>
  <Words>3861</Words>
  <Characters>22014</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Antonino MARVUGLIA</dc:creator>
  <cp:keywords/>
  <dc:description/>
  <cp:lastModifiedBy>Antonino MARVUGLIA</cp:lastModifiedBy>
  <cp:revision>30</cp:revision>
  <dcterms:created xsi:type="dcterms:W3CDTF">2023-09-23T14:25:00Z</dcterms:created>
  <dcterms:modified xsi:type="dcterms:W3CDTF">2024-05-29T15:53:00Z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zotero-version="6.0.15"&gt;&lt;session id="ZOrM5qDJ"/&gt;&lt;style id="http://www.zotero.org/styles/springer-lecture-notes-in-computer-science" hasBibliography="1" bibliographyStyleHasBeenSet="1"/&gt;&lt;prefs&gt;&lt;pref name="fieldType" value="Field"/&gt;&lt;/</vt:lpwstr>
  </property>
  <property fmtid="{D5CDD505-2E9C-101B-9397-08002B2CF9AE}" pid="3" name="ZOTERO_PREF_2">
    <vt:lpwstr>prefs&gt;&lt;/data&gt;</vt:lpwstr>
  </property>
  <property fmtid="{D5CDD505-2E9C-101B-9397-08002B2CF9AE}" pid="4" name="Mendeley Recent Style Id 0_1">
    <vt:lpwstr>http://www.zotero.org/styles/american-sociological-association</vt:lpwstr>
  </property>
  <property fmtid="{D5CDD505-2E9C-101B-9397-08002B2CF9AE}" pid="5" name="Mendeley Recent Style Name 0_1">
    <vt:lpwstr>American Sociological Association 6th edition</vt:lpwstr>
  </property>
  <property fmtid="{D5CDD505-2E9C-101B-9397-08002B2CF9AE}" pid="6" name="Mendeley Recent Style Id 1_1">
    <vt:lpwstr>http://www.zotero.org/styles/begell-house-apa</vt:lpwstr>
  </property>
  <property fmtid="{D5CDD505-2E9C-101B-9397-08002B2CF9AE}" pid="7" name="Mendeley Recent Style Name 1_1">
    <vt:lpwstr>Begell House - APA</vt:lpwstr>
  </property>
  <property fmtid="{D5CDD505-2E9C-101B-9397-08002B2CF9AE}" pid="8" name="Mendeley Recent Style Id 2_1">
    <vt:lpwstr>http://www.zotero.org/styles/chicago-author-date</vt:lpwstr>
  </property>
  <property fmtid="{D5CDD505-2E9C-101B-9397-08002B2CF9AE}" pid="9" name="Mendeley Recent Style Name 2_1">
    <vt:lpwstr>Chicago Manual of Style 17th edition (author-date)</vt:lpwstr>
  </property>
  <property fmtid="{D5CDD505-2E9C-101B-9397-08002B2CF9AE}" pid="10" name="Mendeley Recent Style Id 3_1">
    <vt:lpwstr>http://www.zotero.org/styles/harvard-cite-them-right</vt:lpwstr>
  </property>
  <property fmtid="{D5CDD505-2E9C-101B-9397-08002B2CF9AE}" pid="11" name="Mendeley Recent Style Name 3_1">
    <vt:lpwstr>Cite Them Right 12th edition - Harvard</vt:lpwstr>
  </property>
  <property fmtid="{D5CDD505-2E9C-101B-9397-08002B2CF9AE}" pid="12" name="Mendeley Recent Style Id 4_1">
    <vt:lpwstr>http://www.zotero.org/styles/ieee</vt:lpwstr>
  </property>
  <property fmtid="{D5CDD505-2E9C-101B-9397-08002B2CF9AE}" pid="13" name="Mendeley Recent Style Name 4_1">
    <vt:lpwstr>IEEE</vt:lpwstr>
  </property>
  <property fmtid="{D5CDD505-2E9C-101B-9397-08002B2CF9AE}" pid="14" name="Mendeley Recent Style Id 5_1">
    <vt:lpwstr>http://www.zotero.org/styles/journal-of-cleaner-production</vt:lpwstr>
  </property>
  <property fmtid="{D5CDD505-2E9C-101B-9397-08002B2CF9AE}" pid="15" name="Mendeley Recent Style Name 5_1">
    <vt:lpwstr>Journal of Cleaner Production</vt:lpwstr>
  </property>
  <property fmtid="{D5CDD505-2E9C-101B-9397-08002B2CF9AE}" pid="16" name="Mendeley Recent Style Id 6_1">
    <vt:lpwstr>http://www.zotero.org/styles/modern-humanities-research-association</vt:lpwstr>
  </property>
  <property fmtid="{D5CDD505-2E9C-101B-9397-08002B2CF9AE}" pid="17" name="Mendeley Recent Style Name 6_1">
    <vt:lpwstr>Modern Humanities Research Association 3rd edition (note with bibliography)</vt:lpwstr>
  </property>
  <property fmtid="{D5CDD505-2E9C-101B-9397-08002B2CF9AE}" pid="18" name="Mendeley Recent Style Id 7_1">
    <vt:lpwstr>http://www.zotero.org/styles/modern-language-association</vt:lpwstr>
  </property>
  <property fmtid="{D5CDD505-2E9C-101B-9397-08002B2CF9AE}" pid="19" name="Mendeley Recent Style Name 7_1">
    <vt:lpwstr>Modern Language Association 9th edition</vt:lpwstr>
  </property>
  <property fmtid="{D5CDD505-2E9C-101B-9397-08002B2CF9AE}" pid="20" name="Mendeley Recent Style Id 8_1">
    <vt:lpwstr>http://www.zotero.org/styles/nature</vt:lpwstr>
  </property>
  <property fmtid="{D5CDD505-2E9C-101B-9397-08002B2CF9AE}" pid="21" name="Mendeley Recent Style Name 8_1">
    <vt:lpwstr>Nature</vt:lpwstr>
  </property>
  <property fmtid="{D5CDD505-2E9C-101B-9397-08002B2CF9AE}" pid="22" name="Mendeley Recent Style Id 9_1">
    <vt:lpwstr>http://csl.mendeley.com/styles/608896781/vancouver-hahn</vt:lpwstr>
  </property>
  <property fmtid="{D5CDD505-2E9C-101B-9397-08002B2CF9AE}" pid="23" name="Mendeley Recent Style Name 9_1">
    <vt:lpwstr>Vancouver - Alvaro Hahn</vt:lpwstr>
  </property>
</Properties>
</file>