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E332D" w14:textId="77777777" w:rsidR="00984508" w:rsidRDefault="00000000">
      <w:pPr>
        <w:spacing w:after="240"/>
        <w:jc w:val="both"/>
        <w:rPr>
          <w:rFonts w:ascii="Palatino Linotype" w:eastAsia="Palatino Linotype" w:hAnsi="Palatino Linotype" w:cs="Palatino Linotype"/>
          <w:b/>
          <w:sz w:val="36"/>
          <w:szCs w:val="36"/>
        </w:rPr>
      </w:pPr>
      <w:r>
        <w:rPr>
          <w:rFonts w:ascii="Palatino Linotype" w:eastAsia="Palatino Linotype" w:hAnsi="Palatino Linotype" w:cs="Palatino Linotype"/>
          <w:b/>
          <w:sz w:val="36"/>
          <w:szCs w:val="36"/>
        </w:rPr>
        <w:t>Supplementary material</w:t>
      </w:r>
    </w:p>
    <w:p w14:paraId="611E29D3" w14:textId="77777777" w:rsidR="00984508" w:rsidRDefault="00000000">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Supplementary methods</w:t>
      </w:r>
    </w:p>
    <w:p w14:paraId="5D3773BE" w14:textId="77777777" w:rsidR="00984508" w:rsidRDefault="00000000">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INFLA-score computation. </w:t>
      </w:r>
      <w:r>
        <w:rPr>
          <w:rFonts w:ascii="Palatino Linotype" w:eastAsia="Palatino Linotype" w:hAnsi="Palatino Linotype" w:cs="Palatino Linotype"/>
          <w:sz w:val="20"/>
          <w:szCs w:val="20"/>
        </w:rPr>
        <w:t>The INFLA-score was computed by creating 10-tiles for CRP, leukocyte count, platelet count, and NLR values. To generate the 10-tiles, the data for each biomarker were divided into ten groups based on their values, such that the first 10-tile contained the lowest values, the second contained slightly higher values, and so on, until reaching the tenth 10-tile containing the highest values. These biomarker 10-tiles were assigned scores ranging from lower levels (from -4 to -1) to higher levels (from +4 to +1), with intermediate values receiving a score of 0. Summing the scores of the four components results in the INFLA-score, which ranges between -16 and +16.</w:t>
      </w:r>
    </w:p>
    <w:p w14:paraId="33603609" w14:textId="77777777" w:rsidR="00984508" w:rsidRDefault="00984508">
      <w:pPr>
        <w:jc w:val="both"/>
        <w:rPr>
          <w:rFonts w:ascii="Palatino Linotype" w:eastAsia="Palatino Linotype" w:hAnsi="Palatino Linotype" w:cs="Palatino Linotype"/>
        </w:rPr>
      </w:pPr>
    </w:p>
    <w:p w14:paraId="707F3127" w14:textId="70AF854D" w:rsidR="00984508" w:rsidRPr="00237613" w:rsidRDefault="00000000" w:rsidP="00237613">
      <w:pPr>
        <w:jc w:val="both"/>
        <w:rPr>
          <w:rFonts w:ascii="Palatino Linotype" w:eastAsia="Palatino Linotype" w:hAnsi="Palatino Linotype" w:cs="Palatino Linotype"/>
        </w:rPr>
      </w:pPr>
      <w:r>
        <w:br w:type="page"/>
      </w:r>
    </w:p>
    <w:p w14:paraId="5A8DA9DD" w14:textId="77777777" w:rsidR="00984508" w:rsidRDefault="00000000">
      <w:pPr>
        <w:spacing w:line="228" w:lineRule="auto"/>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rPr>
        <w:lastRenderedPageBreak/>
        <w:drawing>
          <wp:inline distT="0" distB="0" distL="0" distR="0" wp14:anchorId="19D912CB" wp14:editId="37B2AD32">
            <wp:extent cx="5199364" cy="7423817"/>
            <wp:effectExtent l="0" t="0" r="0" b="0"/>
            <wp:docPr id="21469965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199364" cy="7423817"/>
                    </a:xfrm>
                    <a:prstGeom prst="rect">
                      <a:avLst/>
                    </a:prstGeom>
                    <a:ln/>
                  </pic:spPr>
                </pic:pic>
              </a:graphicData>
            </a:graphic>
          </wp:inline>
        </w:drawing>
      </w:r>
    </w:p>
    <w:p w14:paraId="07BA7781" w14:textId="77777777" w:rsidR="00984508" w:rsidRDefault="00000000">
      <w:r>
        <w:rPr>
          <w:rFonts w:ascii="Palatino Linotype" w:eastAsia="Palatino Linotype" w:hAnsi="Palatino Linotype" w:cs="Palatino Linotype"/>
          <w:b/>
          <w:sz w:val="18"/>
          <w:szCs w:val="18"/>
        </w:rPr>
        <w:t>Figure S1. The parameters of the INFLA-score</w:t>
      </w:r>
      <w:r>
        <w:rPr>
          <w:rFonts w:ascii="Palatino Linotype" w:eastAsia="Palatino Linotype" w:hAnsi="Palatino Linotype" w:cs="Palatino Linotype"/>
          <w:sz w:val="18"/>
          <w:szCs w:val="18"/>
        </w:rPr>
        <w:t xml:space="preserve">. Linear regression analysis shows the relationship between WBC count (a), NLR (c), Platelet count (e), CRP (g) and age in N= 247 individuals. Each point represents data from a healthy donor. Column bar graphs show differences between the mean of the values of WBC count (b), NLR (d), Platelet count (f), and CRP (h) from each aged group obtained by one-way ANOVA test. The coefficient of determination and </w:t>
      </w:r>
      <w:r>
        <w:rPr>
          <w:rFonts w:ascii="Palatino Linotype" w:eastAsia="Palatino Linotype" w:hAnsi="Palatino Linotype" w:cs="Palatino Linotype"/>
          <w:i/>
          <w:sz w:val="18"/>
          <w:szCs w:val="18"/>
        </w:rPr>
        <w:t>p</w:t>
      </w:r>
      <w:r>
        <w:rPr>
          <w:rFonts w:ascii="Palatino Linotype" w:eastAsia="Palatino Linotype" w:hAnsi="Palatino Linotype" w:cs="Palatino Linotype"/>
          <w:sz w:val="18"/>
          <w:szCs w:val="18"/>
        </w:rPr>
        <w:t>-values are shown on the graphs. *</w:t>
      </w:r>
      <w:r>
        <w:rPr>
          <w:rFonts w:ascii="Palatino Linotype" w:eastAsia="Palatino Linotype" w:hAnsi="Palatino Linotype" w:cs="Palatino Linotype"/>
          <w:i/>
          <w:sz w:val="18"/>
          <w:szCs w:val="18"/>
        </w:rPr>
        <w:t>p</w:t>
      </w:r>
      <w:r>
        <w:rPr>
          <w:rFonts w:ascii="Palatino Linotype" w:eastAsia="Palatino Linotype" w:hAnsi="Palatino Linotype" w:cs="Palatino Linotype"/>
          <w:sz w:val="18"/>
          <w:szCs w:val="18"/>
        </w:rPr>
        <w:t>-value ≤0.05; **</w:t>
      </w:r>
      <w:r>
        <w:rPr>
          <w:rFonts w:ascii="Palatino Linotype" w:eastAsia="Palatino Linotype" w:hAnsi="Palatino Linotype" w:cs="Palatino Linotype"/>
          <w:i/>
          <w:sz w:val="18"/>
          <w:szCs w:val="18"/>
        </w:rPr>
        <w:t>p</w:t>
      </w:r>
      <w:r>
        <w:rPr>
          <w:rFonts w:ascii="Palatino Linotype" w:eastAsia="Palatino Linotype" w:hAnsi="Palatino Linotype" w:cs="Palatino Linotype"/>
          <w:sz w:val="18"/>
          <w:szCs w:val="18"/>
        </w:rPr>
        <w:t>-value ≤0.01; ***</w:t>
      </w:r>
      <w:r>
        <w:rPr>
          <w:rFonts w:ascii="Palatino Linotype" w:eastAsia="Palatino Linotype" w:hAnsi="Palatino Linotype" w:cs="Palatino Linotype"/>
          <w:i/>
          <w:sz w:val="18"/>
          <w:szCs w:val="18"/>
        </w:rPr>
        <w:t>p</w:t>
      </w:r>
      <w:r>
        <w:rPr>
          <w:rFonts w:ascii="Palatino Linotype" w:eastAsia="Palatino Linotype" w:hAnsi="Palatino Linotype" w:cs="Palatino Linotype"/>
          <w:sz w:val="18"/>
          <w:szCs w:val="18"/>
        </w:rPr>
        <w:t>-value ≤0.001; ****</w:t>
      </w:r>
      <w:r>
        <w:rPr>
          <w:rFonts w:ascii="Palatino Linotype" w:eastAsia="Palatino Linotype" w:hAnsi="Palatino Linotype" w:cs="Palatino Linotype"/>
          <w:i/>
          <w:sz w:val="18"/>
          <w:szCs w:val="18"/>
        </w:rPr>
        <w:t>p</w:t>
      </w:r>
      <w:r>
        <w:rPr>
          <w:rFonts w:ascii="Palatino Linotype" w:eastAsia="Palatino Linotype" w:hAnsi="Palatino Linotype" w:cs="Palatino Linotype"/>
          <w:sz w:val="18"/>
          <w:szCs w:val="18"/>
        </w:rPr>
        <w:t xml:space="preserve">-value ≤0.0001; WBC= White Blood Cells; NLR= Neutrophil-to-Lymphocyte ratio; CRP= C-Reactive Protein; LLIs= Long-Lived Individuals; Semi and </w:t>
      </w:r>
      <w:proofErr w:type="spellStart"/>
      <w:r>
        <w:rPr>
          <w:rFonts w:ascii="Palatino Linotype" w:eastAsia="Palatino Linotype" w:hAnsi="Palatino Linotype" w:cs="Palatino Linotype"/>
          <w:sz w:val="18"/>
          <w:szCs w:val="18"/>
        </w:rPr>
        <w:t>Supercent</w:t>
      </w:r>
      <w:proofErr w:type="spellEnd"/>
      <w:r>
        <w:rPr>
          <w:rFonts w:ascii="Palatino Linotype" w:eastAsia="Palatino Linotype" w:hAnsi="Palatino Linotype" w:cs="Palatino Linotype"/>
          <w:sz w:val="18"/>
          <w:szCs w:val="18"/>
        </w:rPr>
        <w:t>= Semi- and Supercentenarians; R</w:t>
      </w:r>
      <w:r>
        <w:rPr>
          <w:rFonts w:ascii="Palatino Linotype" w:eastAsia="Palatino Linotype" w:hAnsi="Palatino Linotype" w:cs="Palatino Linotype"/>
          <w:sz w:val="18"/>
          <w:szCs w:val="18"/>
          <w:vertAlign w:val="superscript"/>
        </w:rPr>
        <w:t>2</w:t>
      </w:r>
      <w:r>
        <w:rPr>
          <w:rFonts w:ascii="Palatino Linotype" w:eastAsia="Palatino Linotype" w:hAnsi="Palatino Linotype" w:cs="Palatino Linotype"/>
          <w:sz w:val="18"/>
          <w:szCs w:val="18"/>
        </w:rPr>
        <w:t xml:space="preserve">= R squared; ns= not significant. </w:t>
      </w:r>
      <w:r>
        <w:rPr>
          <w:rFonts w:ascii="Palatino Linotype" w:eastAsia="Palatino Linotype" w:hAnsi="Palatino Linotype" w:cs="Palatino Linotype"/>
          <w:b/>
          <w:i/>
          <w:sz w:val="18"/>
          <w:szCs w:val="18"/>
        </w:rPr>
        <w:t>p-value</w:t>
      </w:r>
      <w:r>
        <w:rPr>
          <w:rFonts w:ascii="Palatino Linotype" w:eastAsia="Palatino Linotype" w:hAnsi="Palatino Linotype" w:cs="Palatino Linotype"/>
          <w:sz w:val="18"/>
          <w:szCs w:val="18"/>
        </w:rPr>
        <w:t xml:space="preserve"> (bold and italic)= statistically significant.  </w:t>
      </w:r>
      <w:r>
        <w:br w:type="page"/>
      </w:r>
    </w:p>
    <w:p w14:paraId="178738C7" w14:textId="77777777" w:rsidR="00984508" w:rsidRDefault="00000000">
      <w:r>
        <w:rPr>
          <w:noProof/>
        </w:rPr>
        <w:lastRenderedPageBreak/>
        <w:drawing>
          <wp:inline distT="0" distB="0" distL="0" distR="0" wp14:anchorId="5CAB1A86" wp14:editId="2B256BD6">
            <wp:extent cx="6116320" cy="3595370"/>
            <wp:effectExtent l="0" t="0" r="0" b="0"/>
            <wp:docPr id="21469965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116320" cy="3595370"/>
                    </a:xfrm>
                    <a:prstGeom prst="rect">
                      <a:avLst/>
                    </a:prstGeom>
                    <a:ln/>
                  </pic:spPr>
                </pic:pic>
              </a:graphicData>
            </a:graphic>
          </wp:inline>
        </w:drawing>
      </w:r>
    </w:p>
    <w:p w14:paraId="3999E483" w14:textId="77777777" w:rsidR="00984508" w:rsidRDefault="00000000">
      <w:pPr>
        <w:pBdr>
          <w:top w:val="nil"/>
          <w:left w:val="nil"/>
          <w:bottom w:val="nil"/>
          <w:right w:val="nil"/>
          <w:between w:val="nil"/>
        </w:pBdr>
        <w:spacing w:before="120" w:after="240" w:line="228" w:lineRule="auto"/>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Figure S</w:t>
      </w:r>
      <w:r>
        <w:rPr>
          <w:rFonts w:ascii="Palatino Linotype" w:eastAsia="Palatino Linotype" w:hAnsi="Palatino Linotype" w:cs="Palatino Linotype"/>
          <w:b/>
          <w:sz w:val="18"/>
          <w:szCs w:val="18"/>
        </w:rPr>
        <w:t>2</w:t>
      </w:r>
      <w:r>
        <w:rPr>
          <w:rFonts w:ascii="Palatino Linotype" w:eastAsia="Palatino Linotype" w:hAnsi="Palatino Linotype" w:cs="Palatino Linotype"/>
          <w:b/>
          <w:color w:val="000000"/>
          <w:sz w:val="18"/>
          <w:szCs w:val="18"/>
        </w:rPr>
        <w:t>. Semi- and Supercentenarians INFLA-score</w:t>
      </w:r>
      <w:r>
        <w:rPr>
          <w:rFonts w:ascii="Palatino Linotype" w:eastAsia="Palatino Linotype" w:hAnsi="Palatino Linotype" w:cs="Palatino Linotype"/>
          <w:color w:val="000000"/>
          <w:sz w:val="18"/>
          <w:szCs w:val="18"/>
        </w:rPr>
        <w:t>. Linear regression analysis shows the relationship between INFLA-score and age in the age group of semi- and supercentenarians (</w:t>
      </w:r>
      <w:r>
        <w:rPr>
          <w:rFonts w:ascii="Palatino Linotype" w:eastAsia="Palatino Linotype" w:hAnsi="Palatino Linotype" w:cs="Palatino Linotype"/>
          <w:sz w:val="18"/>
          <w:szCs w:val="18"/>
        </w:rPr>
        <w:t>N= 12</w:t>
      </w:r>
      <w:r>
        <w:rPr>
          <w:rFonts w:ascii="Palatino Linotype" w:eastAsia="Palatino Linotype" w:hAnsi="Palatino Linotype" w:cs="Palatino Linotype"/>
          <w:color w:val="000000"/>
          <w:sz w:val="18"/>
          <w:szCs w:val="18"/>
        </w:rPr>
        <w:t>). The coefficient of determination and p-values are shown on the graphs. R</w:t>
      </w:r>
      <w:r>
        <w:rPr>
          <w:rFonts w:ascii="Palatino Linotype" w:eastAsia="Palatino Linotype" w:hAnsi="Palatino Linotype" w:cs="Palatino Linotype"/>
          <w:color w:val="000000"/>
          <w:sz w:val="18"/>
          <w:szCs w:val="18"/>
          <w:vertAlign w:val="superscript"/>
        </w:rPr>
        <w:t>2</w:t>
      </w:r>
      <w:r>
        <w:rPr>
          <w:rFonts w:ascii="Palatino Linotype" w:eastAsia="Palatino Linotype" w:hAnsi="Palatino Linotype" w:cs="Palatino Linotype"/>
          <w:color w:val="000000"/>
          <w:sz w:val="18"/>
          <w:szCs w:val="18"/>
        </w:rPr>
        <w:t xml:space="preserve"> = R squared; ns = not significant. </w:t>
      </w:r>
      <w:r>
        <w:rPr>
          <w:rFonts w:ascii="Palatino Linotype" w:eastAsia="Palatino Linotype" w:hAnsi="Palatino Linotype" w:cs="Palatino Linotype"/>
          <w:b/>
          <w:i/>
          <w:sz w:val="18"/>
          <w:szCs w:val="18"/>
        </w:rPr>
        <w:t>p-value</w:t>
      </w:r>
      <w:r>
        <w:rPr>
          <w:rFonts w:ascii="Palatino Linotype" w:eastAsia="Palatino Linotype" w:hAnsi="Palatino Linotype" w:cs="Palatino Linotype"/>
          <w:sz w:val="18"/>
          <w:szCs w:val="18"/>
        </w:rPr>
        <w:t xml:space="preserve"> (bold and italic)= statistically significant.  </w:t>
      </w:r>
    </w:p>
    <w:p w14:paraId="5FE05499" w14:textId="77777777" w:rsidR="00984508" w:rsidRDefault="00984508">
      <w:pPr>
        <w:pBdr>
          <w:top w:val="nil"/>
          <w:left w:val="nil"/>
          <w:bottom w:val="nil"/>
          <w:right w:val="nil"/>
          <w:between w:val="nil"/>
        </w:pBdr>
        <w:spacing w:before="120" w:after="240" w:line="228" w:lineRule="auto"/>
        <w:jc w:val="both"/>
        <w:rPr>
          <w:rFonts w:ascii="Palatino Linotype" w:eastAsia="Palatino Linotype" w:hAnsi="Palatino Linotype" w:cs="Palatino Linotype"/>
          <w:sz w:val="18"/>
          <w:szCs w:val="18"/>
        </w:rPr>
      </w:pPr>
    </w:p>
    <w:p w14:paraId="3C1A57B6" w14:textId="77777777" w:rsidR="00984508" w:rsidRDefault="00984508">
      <w:pPr>
        <w:pBdr>
          <w:top w:val="nil"/>
          <w:left w:val="nil"/>
          <w:bottom w:val="nil"/>
          <w:right w:val="nil"/>
          <w:between w:val="nil"/>
        </w:pBdr>
        <w:spacing w:before="120" w:after="240" w:line="228" w:lineRule="auto"/>
        <w:jc w:val="both"/>
        <w:rPr>
          <w:rFonts w:ascii="Palatino Linotype" w:eastAsia="Palatino Linotype" w:hAnsi="Palatino Linotype" w:cs="Palatino Linotype"/>
          <w:sz w:val="18"/>
          <w:szCs w:val="18"/>
        </w:rPr>
      </w:pPr>
    </w:p>
    <w:p w14:paraId="59A3AAB2" w14:textId="77777777" w:rsidR="00984508" w:rsidRDefault="00984508">
      <w:pPr>
        <w:pBdr>
          <w:top w:val="nil"/>
          <w:left w:val="nil"/>
          <w:bottom w:val="nil"/>
          <w:right w:val="nil"/>
          <w:between w:val="nil"/>
        </w:pBdr>
        <w:spacing w:before="120" w:after="240" w:line="228" w:lineRule="auto"/>
        <w:jc w:val="both"/>
        <w:rPr>
          <w:rFonts w:ascii="Palatino Linotype" w:eastAsia="Palatino Linotype" w:hAnsi="Palatino Linotype" w:cs="Palatino Linotype"/>
          <w:sz w:val="18"/>
          <w:szCs w:val="18"/>
        </w:rPr>
      </w:pPr>
    </w:p>
    <w:p w14:paraId="76D856BD" w14:textId="77777777" w:rsidR="00984508" w:rsidRDefault="00984508">
      <w:pPr>
        <w:pBdr>
          <w:top w:val="nil"/>
          <w:left w:val="nil"/>
          <w:bottom w:val="nil"/>
          <w:right w:val="nil"/>
          <w:between w:val="nil"/>
        </w:pBdr>
        <w:spacing w:before="120" w:after="240" w:line="228" w:lineRule="auto"/>
        <w:jc w:val="both"/>
        <w:rPr>
          <w:rFonts w:ascii="Palatino Linotype" w:eastAsia="Palatino Linotype" w:hAnsi="Palatino Linotype" w:cs="Palatino Linotype"/>
          <w:sz w:val="18"/>
          <w:szCs w:val="18"/>
        </w:rPr>
      </w:pPr>
    </w:p>
    <w:p w14:paraId="648475F6" w14:textId="77777777" w:rsidR="00984508" w:rsidRDefault="00984508">
      <w:pPr>
        <w:pBdr>
          <w:top w:val="nil"/>
          <w:left w:val="nil"/>
          <w:bottom w:val="nil"/>
          <w:right w:val="nil"/>
          <w:between w:val="nil"/>
        </w:pBdr>
        <w:spacing w:before="120" w:after="240" w:line="228" w:lineRule="auto"/>
        <w:jc w:val="both"/>
        <w:rPr>
          <w:rFonts w:ascii="Palatino Linotype" w:eastAsia="Palatino Linotype" w:hAnsi="Palatino Linotype" w:cs="Palatino Linotype"/>
          <w:sz w:val="18"/>
          <w:szCs w:val="18"/>
        </w:rPr>
      </w:pPr>
    </w:p>
    <w:p w14:paraId="48AE4E63" w14:textId="77777777" w:rsidR="00984508" w:rsidRDefault="00984508">
      <w:pPr>
        <w:pBdr>
          <w:top w:val="nil"/>
          <w:left w:val="nil"/>
          <w:bottom w:val="nil"/>
          <w:right w:val="nil"/>
          <w:between w:val="nil"/>
        </w:pBdr>
        <w:spacing w:before="120" w:after="240" w:line="228" w:lineRule="auto"/>
        <w:jc w:val="both"/>
        <w:rPr>
          <w:rFonts w:ascii="Palatino Linotype" w:eastAsia="Palatino Linotype" w:hAnsi="Palatino Linotype" w:cs="Palatino Linotype"/>
          <w:sz w:val="18"/>
          <w:szCs w:val="18"/>
        </w:rPr>
      </w:pPr>
    </w:p>
    <w:p w14:paraId="6201F4A5" w14:textId="77777777" w:rsidR="00984508" w:rsidRDefault="00984508">
      <w:pPr>
        <w:pBdr>
          <w:top w:val="nil"/>
          <w:left w:val="nil"/>
          <w:bottom w:val="nil"/>
          <w:right w:val="nil"/>
          <w:between w:val="nil"/>
        </w:pBdr>
        <w:spacing w:before="120" w:after="240" w:line="228" w:lineRule="auto"/>
        <w:jc w:val="both"/>
        <w:rPr>
          <w:rFonts w:ascii="Palatino Linotype" w:eastAsia="Palatino Linotype" w:hAnsi="Palatino Linotype" w:cs="Palatino Linotype"/>
          <w:sz w:val="18"/>
          <w:szCs w:val="18"/>
        </w:rPr>
      </w:pPr>
    </w:p>
    <w:p w14:paraId="00133F21" w14:textId="77777777" w:rsidR="00984508" w:rsidRDefault="00984508">
      <w:pPr>
        <w:pBdr>
          <w:top w:val="nil"/>
          <w:left w:val="nil"/>
          <w:bottom w:val="nil"/>
          <w:right w:val="nil"/>
          <w:between w:val="nil"/>
        </w:pBdr>
        <w:spacing w:before="120" w:after="240" w:line="228" w:lineRule="auto"/>
        <w:jc w:val="both"/>
        <w:rPr>
          <w:rFonts w:ascii="Palatino Linotype" w:eastAsia="Palatino Linotype" w:hAnsi="Palatino Linotype" w:cs="Palatino Linotype"/>
          <w:sz w:val="18"/>
          <w:szCs w:val="18"/>
        </w:rPr>
      </w:pPr>
    </w:p>
    <w:p w14:paraId="7D6978A7" w14:textId="77777777" w:rsidR="00984508" w:rsidRDefault="00984508">
      <w:pPr>
        <w:pBdr>
          <w:top w:val="nil"/>
          <w:left w:val="nil"/>
          <w:bottom w:val="nil"/>
          <w:right w:val="nil"/>
          <w:between w:val="nil"/>
        </w:pBdr>
        <w:spacing w:before="120" w:after="240" w:line="228" w:lineRule="auto"/>
        <w:jc w:val="both"/>
        <w:rPr>
          <w:rFonts w:ascii="Palatino Linotype" w:eastAsia="Palatino Linotype" w:hAnsi="Palatino Linotype" w:cs="Palatino Linotype"/>
          <w:sz w:val="18"/>
          <w:szCs w:val="18"/>
        </w:rPr>
      </w:pPr>
    </w:p>
    <w:p w14:paraId="52468A31" w14:textId="77777777" w:rsidR="00984508" w:rsidRDefault="00984508">
      <w:pPr>
        <w:pBdr>
          <w:top w:val="nil"/>
          <w:left w:val="nil"/>
          <w:bottom w:val="nil"/>
          <w:right w:val="nil"/>
          <w:between w:val="nil"/>
        </w:pBdr>
        <w:spacing w:before="120" w:after="240" w:line="228" w:lineRule="auto"/>
        <w:jc w:val="both"/>
        <w:rPr>
          <w:rFonts w:ascii="Palatino Linotype" w:eastAsia="Palatino Linotype" w:hAnsi="Palatino Linotype" w:cs="Palatino Linotype"/>
          <w:sz w:val="18"/>
          <w:szCs w:val="18"/>
        </w:rPr>
      </w:pPr>
    </w:p>
    <w:p w14:paraId="77305416" w14:textId="77777777" w:rsidR="00984508" w:rsidRDefault="00984508">
      <w:pPr>
        <w:pBdr>
          <w:top w:val="nil"/>
          <w:left w:val="nil"/>
          <w:bottom w:val="nil"/>
          <w:right w:val="nil"/>
          <w:between w:val="nil"/>
        </w:pBdr>
        <w:spacing w:before="120" w:after="240" w:line="228" w:lineRule="auto"/>
        <w:jc w:val="both"/>
        <w:rPr>
          <w:rFonts w:ascii="Palatino Linotype" w:eastAsia="Palatino Linotype" w:hAnsi="Palatino Linotype" w:cs="Palatino Linotype"/>
          <w:sz w:val="18"/>
          <w:szCs w:val="18"/>
        </w:rPr>
      </w:pPr>
    </w:p>
    <w:p w14:paraId="1416CB7A" w14:textId="77777777" w:rsidR="00984508" w:rsidRDefault="00000000">
      <w:pPr>
        <w:spacing w:line="228"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rPr>
        <w:lastRenderedPageBreak/>
        <w:drawing>
          <wp:inline distT="114300" distB="114300" distL="114300" distR="114300" wp14:anchorId="55A6AC76" wp14:editId="7632FBC9">
            <wp:extent cx="4545806" cy="5949350"/>
            <wp:effectExtent l="0" t="0" r="0" b="0"/>
            <wp:docPr id="21469965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545806" cy="5949350"/>
                    </a:xfrm>
                    <a:prstGeom prst="rect">
                      <a:avLst/>
                    </a:prstGeom>
                    <a:ln/>
                  </pic:spPr>
                </pic:pic>
              </a:graphicData>
            </a:graphic>
          </wp:inline>
        </w:drawing>
      </w:r>
    </w:p>
    <w:p w14:paraId="4988C7FC" w14:textId="77777777" w:rsidR="00984508" w:rsidRDefault="00000000">
      <w:pPr>
        <w:spacing w:after="240" w:line="228"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Figure S3.</w:t>
      </w:r>
      <w:r>
        <w:rPr>
          <w:rFonts w:ascii="Palatino Linotype" w:eastAsia="Palatino Linotype" w:hAnsi="Palatino Linotype" w:cs="Palatino Linotype"/>
          <w:sz w:val="18"/>
          <w:szCs w:val="18"/>
        </w:rPr>
        <w:t xml:space="preserve"> </w:t>
      </w:r>
      <w:r>
        <w:rPr>
          <w:rFonts w:ascii="Palatino Linotype" w:eastAsia="Palatino Linotype" w:hAnsi="Palatino Linotype" w:cs="Palatino Linotype"/>
          <w:b/>
          <w:sz w:val="18"/>
          <w:szCs w:val="18"/>
        </w:rPr>
        <w:t>The parameters of SIRI analysis</w:t>
      </w:r>
      <w:r>
        <w:rPr>
          <w:rFonts w:ascii="Palatino Linotype" w:eastAsia="Palatino Linotype" w:hAnsi="Palatino Linotype" w:cs="Palatino Linotype"/>
          <w:sz w:val="18"/>
          <w:szCs w:val="18"/>
        </w:rPr>
        <w:t xml:space="preserve">. Linear regression analysis shows the relationship between Neutrophil count (a), Monocyte count (c), Lymphocyte count (e), and age in N= 249 individuals. Each point represents data from an individual healthy donor. Column bar graphs show differences between the mean of the values of Neutrophil count (b), Monocyte count (d), and Lymphocyte count (f), from each aged group obtained by one-way ANOVA test. The coefficient of determination and </w:t>
      </w:r>
      <w:r>
        <w:rPr>
          <w:rFonts w:ascii="Palatino Linotype" w:eastAsia="Palatino Linotype" w:hAnsi="Palatino Linotype" w:cs="Palatino Linotype"/>
          <w:i/>
          <w:sz w:val="18"/>
          <w:szCs w:val="18"/>
        </w:rPr>
        <w:t>p</w:t>
      </w:r>
      <w:r>
        <w:rPr>
          <w:rFonts w:ascii="Palatino Linotype" w:eastAsia="Palatino Linotype" w:hAnsi="Palatino Linotype" w:cs="Palatino Linotype"/>
          <w:sz w:val="18"/>
          <w:szCs w:val="18"/>
        </w:rPr>
        <w:t>-values are shown on the graphs. *p-value ≤0.05; **</w:t>
      </w:r>
      <w:r>
        <w:rPr>
          <w:rFonts w:ascii="Palatino Linotype" w:eastAsia="Palatino Linotype" w:hAnsi="Palatino Linotype" w:cs="Palatino Linotype"/>
          <w:i/>
          <w:sz w:val="18"/>
          <w:szCs w:val="18"/>
        </w:rPr>
        <w:t>p</w:t>
      </w:r>
      <w:r>
        <w:rPr>
          <w:rFonts w:ascii="Palatino Linotype" w:eastAsia="Palatino Linotype" w:hAnsi="Palatino Linotype" w:cs="Palatino Linotype"/>
          <w:sz w:val="18"/>
          <w:szCs w:val="18"/>
        </w:rPr>
        <w:t>-value ≤0.01; ***</w:t>
      </w:r>
      <w:r>
        <w:rPr>
          <w:rFonts w:ascii="Palatino Linotype" w:eastAsia="Palatino Linotype" w:hAnsi="Palatino Linotype" w:cs="Palatino Linotype"/>
          <w:i/>
          <w:sz w:val="18"/>
          <w:szCs w:val="18"/>
        </w:rPr>
        <w:t>p</w:t>
      </w:r>
      <w:r>
        <w:rPr>
          <w:rFonts w:ascii="Palatino Linotype" w:eastAsia="Palatino Linotype" w:hAnsi="Palatino Linotype" w:cs="Palatino Linotype"/>
          <w:sz w:val="18"/>
          <w:szCs w:val="18"/>
        </w:rPr>
        <w:t>-value ≤0.001; ****</w:t>
      </w:r>
      <w:r>
        <w:rPr>
          <w:rFonts w:ascii="Palatino Linotype" w:eastAsia="Palatino Linotype" w:hAnsi="Palatino Linotype" w:cs="Palatino Linotype"/>
          <w:i/>
          <w:sz w:val="18"/>
          <w:szCs w:val="18"/>
        </w:rPr>
        <w:t>p</w:t>
      </w:r>
      <w:r>
        <w:rPr>
          <w:rFonts w:ascii="Palatino Linotype" w:eastAsia="Palatino Linotype" w:hAnsi="Palatino Linotype" w:cs="Palatino Linotype"/>
          <w:sz w:val="18"/>
          <w:szCs w:val="18"/>
        </w:rPr>
        <w:t xml:space="preserve">-value ≤ 0.0001; SIRI= Systemic Inflammation Response Index; LLIs= Long-Lived Individuals; Semi and </w:t>
      </w:r>
      <w:proofErr w:type="spellStart"/>
      <w:r>
        <w:rPr>
          <w:rFonts w:ascii="Palatino Linotype" w:eastAsia="Palatino Linotype" w:hAnsi="Palatino Linotype" w:cs="Palatino Linotype"/>
          <w:sz w:val="18"/>
          <w:szCs w:val="18"/>
        </w:rPr>
        <w:t>Supercent</w:t>
      </w:r>
      <w:proofErr w:type="spellEnd"/>
      <w:r>
        <w:rPr>
          <w:rFonts w:ascii="Palatino Linotype" w:eastAsia="Palatino Linotype" w:hAnsi="Palatino Linotype" w:cs="Palatino Linotype"/>
          <w:sz w:val="18"/>
          <w:szCs w:val="18"/>
        </w:rPr>
        <w:t>= Semi- and Supercentenarians; R</w:t>
      </w:r>
      <w:r>
        <w:rPr>
          <w:rFonts w:ascii="Palatino Linotype" w:eastAsia="Palatino Linotype" w:hAnsi="Palatino Linotype" w:cs="Palatino Linotype"/>
          <w:sz w:val="18"/>
          <w:szCs w:val="18"/>
          <w:vertAlign w:val="superscript"/>
        </w:rPr>
        <w:t>2</w:t>
      </w:r>
      <w:r>
        <w:rPr>
          <w:rFonts w:ascii="Palatino Linotype" w:eastAsia="Palatino Linotype" w:hAnsi="Palatino Linotype" w:cs="Palatino Linotype"/>
          <w:sz w:val="18"/>
          <w:szCs w:val="18"/>
        </w:rPr>
        <w:t xml:space="preserve">= R squared; ns= not significant. </w:t>
      </w:r>
      <w:r>
        <w:rPr>
          <w:rFonts w:ascii="Palatino Linotype" w:eastAsia="Palatino Linotype" w:hAnsi="Palatino Linotype" w:cs="Palatino Linotype"/>
          <w:b/>
          <w:i/>
          <w:sz w:val="18"/>
          <w:szCs w:val="18"/>
        </w:rPr>
        <w:t>p-value</w:t>
      </w:r>
      <w:r>
        <w:rPr>
          <w:rFonts w:ascii="Palatino Linotype" w:eastAsia="Palatino Linotype" w:hAnsi="Palatino Linotype" w:cs="Palatino Linotype"/>
          <w:sz w:val="18"/>
          <w:szCs w:val="18"/>
        </w:rPr>
        <w:t xml:space="preserve"> (bold and italic)= statistically significant.  </w:t>
      </w:r>
    </w:p>
    <w:p w14:paraId="1F6CDF06" w14:textId="77777777" w:rsidR="00984508" w:rsidRDefault="00984508">
      <w:pPr>
        <w:pBdr>
          <w:top w:val="nil"/>
          <w:left w:val="nil"/>
          <w:bottom w:val="nil"/>
          <w:right w:val="nil"/>
          <w:between w:val="nil"/>
        </w:pBdr>
        <w:spacing w:before="120" w:after="240" w:line="228" w:lineRule="auto"/>
        <w:jc w:val="both"/>
        <w:rPr>
          <w:rFonts w:ascii="Palatino Linotype" w:eastAsia="Palatino Linotype" w:hAnsi="Palatino Linotype" w:cs="Palatino Linotype"/>
          <w:sz w:val="18"/>
          <w:szCs w:val="18"/>
        </w:rPr>
      </w:pPr>
    </w:p>
    <w:p w14:paraId="2EB49FCE" w14:textId="77777777" w:rsidR="00984508" w:rsidRDefault="00000000">
      <w:r>
        <w:br w:type="page"/>
      </w:r>
    </w:p>
    <w:p w14:paraId="62636545" w14:textId="77777777" w:rsidR="00984508" w:rsidRDefault="00000000">
      <w:r>
        <w:rPr>
          <w:noProof/>
        </w:rPr>
        <w:lastRenderedPageBreak/>
        <w:drawing>
          <wp:anchor distT="0" distB="0" distL="0" distR="0" simplePos="0" relativeHeight="251658240" behindDoc="0" locked="0" layoutInCell="1" hidden="0" allowOverlap="1" wp14:anchorId="1CF254D1" wp14:editId="17ACA713">
            <wp:simplePos x="0" y="0"/>
            <wp:positionH relativeFrom="column">
              <wp:posOffset>19050</wp:posOffset>
            </wp:positionH>
            <wp:positionV relativeFrom="paragraph">
              <wp:posOffset>19050</wp:posOffset>
            </wp:positionV>
            <wp:extent cx="6116320" cy="4030345"/>
            <wp:effectExtent l="0" t="0" r="0" b="0"/>
            <wp:wrapTopAndBottom distT="0" distB="0"/>
            <wp:docPr id="21469965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116320" cy="4030345"/>
                    </a:xfrm>
                    <a:prstGeom prst="rect">
                      <a:avLst/>
                    </a:prstGeom>
                    <a:ln/>
                  </pic:spPr>
                </pic:pic>
              </a:graphicData>
            </a:graphic>
          </wp:anchor>
        </w:drawing>
      </w:r>
    </w:p>
    <w:p w14:paraId="1A30F431" w14:textId="77777777" w:rsidR="00984508" w:rsidRDefault="00000000">
      <w:pPr>
        <w:pBdr>
          <w:top w:val="nil"/>
          <w:left w:val="nil"/>
          <w:bottom w:val="nil"/>
          <w:right w:val="nil"/>
          <w:between w:val="nil"/>
        </w:pBdr>
        <w:spacing w:before="120" w:after="240" w:line="228" w:lineRule="auto"/>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Figure S</w:t>
      </w:r>
      <w:r>
        <w:rPr>
          <w:rFonts w:ascii="Palatino Linotype" w:eastAsia="Palatino Linotype" w:hAnsi="Palatino Linotype" w:cs="Palatino Linotype"/>
          <w:b/>
          <w:sz w:val="18"/>
          <w:szCs w:val="18"/>
        </w:rPr>
        <w:t>4</w:t>
      </w:r>
      <w:r>
        <w:rPr>
          <w:rFonts w:ascii="Palatino Linotype" w:eastAsia="Palatino Linotype" w:hAnsi="Palatino Linotype" w:cs="Palatino Linotype"/>
          <w:b/>
          <w:color w:val="000000"/>
          <w:sz w:val="18"/>
          <w:szCs w:val="18"/>
        </w:rPr>
        <w:t>.</w:t>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Semi- and Supercentenarians SIRI</w:t>
      </w:r>
      <w:r>
        <w:rPr>
          <w:rFonts w:ascii="Palatino Linotype" w:eastAsia="Palatino Linotype" w:hAnsi="Palatino Linotype" w:cs="Palatino Linotype"/>
          <w:color w:val="000000"/>
          <w:sz w:val="18"/>
          <w:szCs w:val="18"/>
        </w:rPr>
        <w:t>. Linear regression analysis shows the relationship between SIRI and age in the age group of semi- and supercentenarians (</w:t>
      </w:r>
      <w:r>
        <w:rPr>
          <w:rFonts w:ascii="Palatino Linotype" w:eastAsia="Palatino Linotype" w:hAnsi="Palatino Linotype" w:cs="Palatino Linotype"/>
          <w:sz w:val="18"/>
          <w:szCs w:val="18"/>
        </w:rPr>
        <w:t>N</w:t>
      </w:r>
      <w:r>
        <w:rPr>
          <w:rFonts w:ascii="Palatino Linotype" w:eastAsia="Palatino Linotype" w:hAnsi="Palatino Linotype" w:cs="Palatino Linotype"/>
          <w:color w:val="000000"/>
          <w:sz w:val="18"/>
          <w:szCs w:val="18"/>
        </w:rPr>
        <w:t>= 13). The coefficient of determination and p-values are shown on the graphs. SIRI= Systemic Inflammation Response Index; R</w:t>
      </w:r>
      <w:r>
        <w:rPr>
          <w:rFonts w:ascii="Palatino Linotype" w:eastAsia="Palatino Linotype" w:hAnsi="Palatino Linotype" w:cs="Palatino Linotype"/>
          <w:color w:val="000000"/>
          <w:sz w:val="18"/>
          <w:szCs w:val="18"/>
          <w:vertAlign w:val="superscript"/>
        </w:rPr>
        <w:t>2</w:t>
      </w:r>
      <w:r>
        <w:rPr>
          <w:rFonts w:ascii="Palatino Linotype" w:eastAsia="Palatino Linotype" w:hAnsi="Palatino Linotype" w:cs="Palatino Linotype"/>
          <w:color w:val="000000"/>
          <w:sz w:val="18"/>
          <w:szCs w:val="18"/>
        </w:rPr>
        <w:t xml:space="preserve"> = R squared; ns = not significant. </w:t>
      </w:r>
      <w:r>
        <w:rPr>
          <w:rFonts w:ascii="Palatino Linotype" w:eastAsia="Palatino Linotype" w:hAnsi="Palatino Linotype" w:cs="Palatino Linotype"/>
          <w:b/>
          <w:i/>
          <w:sz w:val="18"/>
          <w:szCs w:val="18"/>
        </w:rPr>
        <w:t>p-value</w:t>
      </w:r>
      <w:r>
        <w:rPr>
          <w:rFonts w:ascii="Palatino Linotype" w:eastAsia="Palatino Linotype" w:hAnsi="Palatino Linotype" w:cs="Palatino Linotype"/>
          <w:sz w:val="18"/>
          <w:szCs w:val="18"/>
        </w:rPr>
        <w:t xml:space="preserve"> (bold and italic)= statistically significant.  </w:t>
      </w:r>
    </w:p>
    <w:p w14:paraId="6314B365" w14:textId="77777777" w:rsidR="00984508" w:rsidRDefault="00984508"/>
    <w:p w14:paraId="2C33215A" w14:textId="77777777" w:rsidR="00984508" w:rsidRDefault="00984508"/>
    <w:p w14:paraId="4093569B" w14:textId="77777777" w:rsidR="00984508" w:rsidRDefault="00000000">
      <w:r>
        <w:br w:type="page"/>
      </w:r>
    </w:p>
    <w:p w14:paraId="6F6E5B23" w14:textId="77777777" w:rsidR="00984508" w:rsidRDefault="00000000">
      <w:pPr>
        <w:spacing w:before="120" w:after="240" w:line="228" w:lineRule="auto"/>
        <w:jc w:val="both"/>
      </w:pPr>
      <w:r>
        <w:rPr>
          <w:rFonts w:ascii="Palatino Linotype" w:eastAsia="Palatino Linotype" w:hAnsi="Palatino Linotype" w:cs="Palatino Linotype"/>
          <w:b/>
          <w:noProof/>
          <w:sz w:val="18"/>
          <w:szCs w:val="18"/>
        </w:rPr>
        <w:lastRenderedPageBreak/>
        <w:drawing>
          <wp:anchor distT="0" distB="0" distL="0" distR="0" simplePos="0" relativeHeight="251659264" behindDoc="0" locked="0" layoutInCell="1" hidden="0" allowOverlap="1" wp14:anchorId="559252E0" wp14:editId="69824672">
            <wp:simplePos x="0" y="0"/>
            <wp:positionH relativeFrom="margin">
              <wp:align>left</wp:align>
            </wp:positionH>
            <wp:positionV relativeFrom="margin">
              <wp:align>top</wp:align>
            </wp:positionV>
            <wp:extent cx="5356740" cy="3946155"/>
            <wp:effectExtent l="0" t="0" r="0" b="0"/>
            <wp:wrapTopAndBottom distT="0" distB="0"/>
            <wp:docPr id="21469965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356740" cy="3946155"/>
                    </a:xfrm>
                    <a:prstGeom prst="rect">
                      <a:avLst/>
                    </a:prstGeom>
                    <a:ln/>
                  </pic:spPr>
                </pic:pic>
              </a:graphicData>
            </a:graphic>
          </wp:anchor>
        </w:drawing>
      </w:r>
      <w:r>
        <w:rPr>
          <w:rFonts w:ascii="Palatino Linotype" w:eastAsia="Palatino Linotype" w:hAnsi="Palatino Linotype" w:cs="Palatino Linotype"/>
          <w:b/>
          <w:sz w:val="18"/>
          <w:szCs w:val="18"/>
        </w:rPr>
        <w:t>Figure S5.</w:t>
      </w:r>
      <w:r>
        <w:rPr>
          <w:rFonts w:ascii="Palatino Linotype" w:eastAsia="Palatino Linotype" w:hAnsi="Palatino Linotype" w:cs="Palatino Linotype"/>
          <w:sz w:val="18"/>
          <w:szCs w:val="18"/>
        </w:rPr>
        <w:t xml:space="preserve"> </w:t>
      </w:r>
      <w:r>
        <w:rPr>
          <w:rFonts w:ascii="Palatino Linotype" w:eastAsia="Palatino Linotype" w:hAnsi="Palatino Linotype" w:cs="Palatino Linotype"/>
          <w:b/>
          <w:sz w:val="18"/>
          <w:szCs w:val="18"/>
        </w:rPr>
        <w:t>The parameters of</w:t>
      </w:r>
      <w:r>
        <w:rPr>
          <w:rFonts w:ascii="Palatino Linotype" w:eastAsia="Palatino Linotype" w:hAnsi="Palatino Linotype" w:cs="Palatino Linotype"/>
          <w:sz w:val="18"/>
          <w:szCs w:val="18"/>
        </w:rPr>
        <w:t xml:space="preserve"> </w:t>
      </w:r>
      <w:r>
        <w:rPr>
          <w:rFonts w:ascii="Palatino Linotype" w:eastAsia="Palatino Linotype" w:hAnsi="Palatino Linotype" w:cs="Palatino Linotype"/>
          <w:b/>
          <w:sz w:val="18"/>
          <w:szCs w:val="18"/>
        </w:rPr>
        <w:t>T</w:t>
      </w:r>
      <w:r>
        <w:rPr>
          <w:rFonts w:ascii="Palatino Linotype" w:eastAsia="Palatino Linotype" w:hAnsi="Palatino Linotype" w:cs="Palatino Linotype"/>
          <w:b/>
          <w:sz w:val="18"/>
          <w:szCs w:val="18"/>
          <w:vertAlign w:val="subscript"/>
        </w:rPr>
        <w:t>N</w:t>
      </w:r>
      <w:r>
        <w:rPr>
          <w:rFonts w:ascii="Palatino Linotype" w:eastAsia="Palatino Linotype" w:hAnsi="Palatino Linotype" w:cs="Palatino Linotype"/>
          <w:b/>
          <w:sz w:val="18"/>
          <w:szCs w:val="18"/>
        </w:rPr>
        <w:t>/T</w:t>
      </w:r>
      <w:r>
        <w:rPr>
          <w:rFonts w:ascii="Palatino Linotype" w:eastAsia="Palatino Linotype" w:hAnsi="Palatino Linotype" w:cs="Palatino Linotype"/>
          <w:b/>
          <w:sz w:val="18"/>
          <w:szCs w:val="18"/>
          <w:vertAlign w:val="subscript"/>
        </w:rPr>
        <w:t>M</w:t>
      </w:r>
      <w:r>
        <w:rPr>
          <w:rFonts w:ascii="Palatino Linotype" w:eastAsia="Palatino Linotype" w:hAnsi="Palatino Linotype" w:cs="Palatino Linotype"/>
          <w:sz w:val="18"/>
          <w:szCs w:val="18"/>
        </w:rPr>
        <w:t>. Linear regression analysis shows the relationship between CD4</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xml:space="preserve"> T</w:t>
      </w:r>
      <w:r>
        <w:rPr>
          <w:rFonts w:ascii="Palatino Linotype" w:eastAsia="Palatino Linotype" w:hAnsi="Palatino Linotype" w:cs="Palatino Linotype"/>
          <w:sz w:val="18"/>
          <w:szCs w:val="18"/>
          <w:vertAlign w:val="subscript"/>
        </w:rPr>
        <w:t>N</w:t>
      </w:r>
      <w:r>
        <w:rPr>
          <w:rFonts w:ascii="Palatino Linotype" w:eastAsia="Palatino Linotype" w:hAnsi="Palatino Linotype" w:cs="Palatino Linotype"/>
          <w:sz w:val="18"/>
          <w:szCs w:val="18"/>
        </w:rPr>
        <w:t xml:space="preserve"> (blue line), CD4</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xml:space="preserve"> T</w:t>
      </w:r>
      <w:r>
        <w:rPr>
          <w:rFonts w:ascii="Palatino Linotype" w:eastAsia="Palatino Linotype" w:hAnsi="Palatino Linotype" w:cs="Palatino Linotype"/>
          <w:sz w:val="18"/>
          <w:szCs w:val="18"/>
          <w:vertAlign w:val="subscript"/>
        </w:rPr>
        <w:t>M</w:t>
      </w:r>
      <w:r>
        <w:rPr>
          <w:rFonts w:ascii="Palatino Linotype" w:eastAsia="Palatino Linotype" w:hAnsi="Palatino Linotype" w:cs="Palatino Linotype"/>
          <w:sz w:val="18"/>
          <w:szCs w:val="18"/>
        </w:rPr>
        <w:t xml:space="preserve"> (green line) (a) and CD8</w:t>
      </w:r>
      <w:r>
        <w:rPr>
          <w:rFonts w:ascii="Palatino Linotype" w:eastAsia="Palatino Linotype" w:hAnsi="Palatino Linotype" w:cs="Palatino Linotype"/>
          <w:sz w:val="18"/>
          <w:szCs w:val="18"/>
          <w:vertAlign w:val="superscript"/>
        </w:rPr>
        <w:t xml:space="preserve">+ </w:t>
      </w:r>
      <w:r>
        <w:rPr>
          <w:rFonts w:ascii="Palatino Linotype" w:eastAsia="Palatino Linotype" w:hAnsi="Palatino Linotype" w:cs="Palatino Linotype"/>
          <w:sz w:val="18"/>
          <w:szCs w:val="18"/>
        </w:rPr>
        <w:t>T</w:t>
      </w:r>
      <w:r>
        <w:rPr>
          <w:rFonts w:ascii="Palatino Linotype" w:eastAsia="Palatino Linotype" w:hAnsi="Palatino Linotype" w:cs="Palatino Linotype"/>
          <w:sz w:val="18"/>
          <w:szCs w:val="18"/>
          <w:vertAlign w:val="subscript"/>
        </w:rPr>
        <w:t>N</w:t>
      </w:r>
      <w:r>
        <w:rPr>
          <w:rFonts w:ascii="Palatino Linotype" w:eastAsia="Palatino Linotype" w:hAnsi="Palatino Linotype" w:cs="Palatino Linotype"/>
          <w:sz w:val="18"/>
          <w:szCs w:val="18"/>
        </w:rPr>
        <w:t xml:space="preserve"> (blue line), CD8</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xml:space="preserve"> T</w:t>
      </w:r>
      <w:r>
        <w:rPr>
          <w:rFonts w:ascii="Palatino Linotype" w:eastAsia="Palatino Linotype" w:hAnsi="Palatino Linotype" w:cs="Palatino Linotype"/>
          <w:sz w:val="18"/>
          <w:szCs w:val="18"/>
          <w:vertAlign w:val="subscript"/>
        </w:rPr>
        <w:t>M</w:t>
      </w:r>
      <w:r>
        <w:rPr>
          <w:rFonts w:ascii="Palatino Linotype" w:eastAsia="Palatino Linotype" w:hAnsi="Palatino Linotype" w:cs="Palatino Linotype"/>
          <w:sz w:val="18"/>
          <w:szCs w:val="18"/>
        </w:rPr>
        <w:t xml:space="preserve"> (green line) (d) and age in N= 54 individuals. Each point represents data from a healthy donor. Column bar graphs show differences between the mean of the values of CD4</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xml:space="preserve"> T</w:t>
      </w:r>
      <w:r>
        <w:rPr>
          <w:rFonts w:ascii="Palatino Linotype" w:eastAsia="Palatino Linotype" w:hAnsi="Palatino Linotype" w:cs="Palatino Linotype"/>
          <w:sz w:val="18"/>
          <w:szCs w:val="18"/>
          <w:vertAlign w:val="subscript"/>
        </w:rPr>
        <w:t>N</w:t>
      </w:r>
      <w:r>
        <w:rPr>
          <w:rFonts w:ascii="Palatino Linotype" w:eastAsia="Palatino Linotype" w:hAnsi="Palatino Linotype" w:cs="Palatino Linotype"/>
          <w:sz w:val="18"/>
          <w:szCs w:val="18"/>
        </w:rPr>
        <w:t xml:space="preserve"> (b), CD4</w:t>
      </w:r>
      <w:r>
        <w:rPr>
          <w:rFonts w:ascii="Palatino Linotype" w:eastAsia="Palatino Linotype" w:hAnsi="Palatino Linotype" w:cs="Palatino Linotype"/>
          <w:sz w:val="18"/>
          <w:szCs w:val="18"/>
          <w:vertAlign w:val="superscript"/>
        </w:rPr>
        <w:t xml:space="preserve">+ </w:t>
      </w:r>
      <w:r>
        <w:rPr>
          <w:rFonts w:ascii="Palatino Linotype" w:eastAsia="Palatino Linotype" w:hAnsi="Palatino Linotype" w:cs="Palatino Linotype"/>
          <w:sz w:val="18"/>
          <w:szCs w:val="18"/>
        </w:rPr>
        <w:t>T</w:t>
      </w:r>
      <w:r>
        <w:rPr>
          <w:rFonts w:ascii="Palatino Linotype" w:eastAsia="Palatino Linotype" w:hAnsi="Palatino Linotype" w:cs="Palatino Linotype"/>
          <w:sz w:val="18"/>
          <w:szCs w:val="18"/>
          <w:vertAlign w:val="subscript"/>
        </w:rPr>
        <w:t>M</w:t>
      </w:r>
      <w:r>
        <w:rPr>
          <w:rFonts w:ascii="Palatino Linotype" w:eastAsia="Palatino Linotype" w:hAnsi="Palatino Linotype" w:cs="Palatino Linotype"/>
          <w:sz w:val="18"/>
          <w:szCs w:val="18"/>
        </w:rPr>
        <w:t xml:space="preserve"> (c), CD8</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xml:space="preserve"> T</w:t>
      </w:r>
      <w:r>
        <w:rPr>
          <w:rFonts w:ascii="Palatino Linotype" w:eastAsia="Palatino Linotype" w:hAnsi="Palatino Linotype" w:cs="Palatino Linotype"/>
          <w:sz w:val="18"/>
          <w:szCs w:val="18"/>
          <w:vertAlign w:val="subscript"/>
        </w:rPr>
        <w:t>N</w:t>
      </w:r>
      <w:r>
        <w:rPr>
          <w:rFonts w:ascii="Palatino Linotype" w:eastAsia="Palatino Linotype" w:hAnsi="Palatino Linotype" w:cs="Palatino Linotype"/>
          <w:sz w:val="18"/>
          <w:szCs w:val="18"/>
        </w:rPr>
        <w:t xml:space="preserve"> (e), CD8</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xml:space="preserve"> T</w:t>
      </w:r>
      <w:r>
        <w:rPr>
          <w:rFonts w:ascii="Palatino Linotype" w:eastAsia="Palatino Linotype" w:hAnsi="Palatino Linotype" w:cs="Palatino Linotype"/>
          <w:sz w:val="18"/>
          <w:szCs w:val="18"/>
          <w:vertAlign w:val="subscript"/>
        </w:rPr>
        <w:t>M</w:t>
      </w:r>
      <w:r>
        <w:rPr>
          <w:rFonts w:ascii="Palatino Linotype" w:eastAsia="Palatino Linotype" w:hAnsi="Palatino Linotype" w:cs="Palatino Linotype"/>
          <w:sz w:val="18"/>
          <w:szCs w:val="18"/>
        </w:rPr>
        <w:t xml:space="preserve"> (f) from each aged group obtained by one-way ANOVA test. The coefficient of determination and p-values are shown on the graphs. *</w:t>
      </w:r>
      <w:r>
        <w:rPr>
          <w:rFonts w:ascii="Palatino Linotype" w:eastAsia="Palatino Linotype" w:hAnsi="Palatino Linotype" w:cs="Palatino Linotype"/>
          <w:i/>
          <w:sz w:val="18"/>
          <w:szCs w:val="18"/>
        </w:rPr>
        <w:t>p</w:t>
      </w:r>
      <w:r>
        <w:rPr>
          <w:rFonts w:ascii="Palatino Linotype" w:eastAsia="Palatino Linotype" w:hAnsi="Palatino Linotype" w:cs="Palatino Linotype"/>
          <w:sz w:val="18"/>
          <w:szCs w:val="18"/>
        </w:rPr>
        <w:t>-value ≤0.05; **</w:t>
      </w:r>
      <w:r>
        <w:rPr>
          <w:rFonts w:ascii="Palatino Linotype" w:eastAsia="Palatino Linotype" w:hAnsi="Palatino Linotype" w:cs="Palatino Linotype"/>
          <w:i/>
          <w:sz w:val="18"/>
          <w:szCs w:val="18"/>
        </w:rPr>
        <w:t>p</w:t>
      </w:r>
      <w:r>
        <w:rPr>
          <w:rFonts w:ascii="Palatino Linotype" w:eastAsia="Palatino Linotype" w:hAnsi="Palatino Linotype" w:cs="Palatino Linotype"/>
          <w:sz w:val="18"/>
          <w:szCs w:val="18"/>
        </w:rPr>
        <w:t>-value ≤0.01; ***</w:t>
      </w:r>
      <w:r>
        <w:rPr>
          <w:rFonts w:ascii="Palatino Linotype" w:eastAsia="Palatino Linotype" w:hAnsi="Palatino Linotype" w:cs="Palatino Linotype"/>
          <w:i/>
          <w:sz w:val="18"/>
          <w:szCs w:val="18"/>
        </w:rPr>
        <w:t>p</w:t>
      </w:r>
      <w:r>
        <w:rPr>
          <w:rFonts w:ascii="Palatino Linotype" w:eastAsia="Palatino Linotype" w:hAnsi="Palatino Linotype" w:cs="Palatino Linotype"/>
          <w:sz w:val="18"/>
          <w:szCs w:val="18"/>
        </w:rPr>
        <w:t>-value ≤0.001; ****</w:t>
      </w:r>
      <w:r>
        <w:rPr>
          <w:rFonts w:ascii="Palatino Linotype" w:eastAsia="Palatino Linotype" w:hAnsi="Palatino Linotype" w:cs="Palatino Linotype"/>
          <w:i/>
          <w:sz w:val="18"/>
          <w:szCs w:val="18"/>
        </w:rPr>
        <w:t>p</w:t>
      </w:r>
      <w:r>
        <w:rPr>
          <w:rFonts w:ascii="Palatino Linotype" w:eastAsia="Palatino Linotype" w:hAnsi="Palatino Linotype" w:cs="Palatino Linotype"/>
          <w:sz w:val="18"/>
          <w:szCs w:val="18"/>
        </w:rPr>
        <w:t>-value ≤0.0001; T</w:t>
      </w:r>
      <w:r>
        <w:rPr>
          <w:rFonts w:ascii="Palatino Linotype" w:eastAsia="Palatino Linotype" w:hAnsi="Palatino Linotype" w:cs="Palatino Linotype"/>
          <w:sz w:val="18"/>
          <w:szCs w:val="18"/>
          <w:vertAlign w:val="subscript"/>
        </w:rPr>
        <w:t>N</w:t>
      </w:r>
      <w:r>
        <w:rPr>
          <w:rFonts w:ascii="Palatino Linotype" w:eastAsia="Palatino Linotype" w:hAnsi="Palatino Linotype" w:cs="Palatino Linotype"/>
          <w:sz w:val="18"/>
          <w:szCs w:val="18"/>
        </w:rPr>
        <w:t>: T Naïve (CD45RA</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CD27</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T</w:t>
      </w:r>
      <w:r>
        <w:rPr>
          <w:rFonts w:ascii="Palatino Linotype" w:eastAsia="Palatino Linotype" w:hAnsi="Palatino Linotype" w:cs="Palatino Linotype"/>
          <w:sz w:val="18"/>
          <w:szCs w:val="18"/>
          <w:vertAlign w:val="subscript"/>
        </w:rPr>
        <w:t>M</w:t>
      </w:r>
      <w:r>
        <w:rPr>
          <w:rFonts w:ascii="Palatino Linotype" w:eastAsia="Palatino Linotype" w:hAnsi="Palatino Linotype" w:cs="Palatino Linotype"/>
          <w:sz w:val="18"/>
          <w:szCs w:val="18"/>
        </w:rPr>
        <w:t>: T</w:t>
      </w:r>
      <w:r>
        <w:rPr>
          <w:rFonts w:ascii="Palatino Linotype" w:eastAsia="Palatino Linotype" w:hAnsi="Palatino Linotype" w:cs="Palatino Linotype"/>
          <w:sz w:val="18"/>
          <w:szCs w:val="18"/>
          <w:vertAlign w:val="subscript"/>
        </w:rPr>
        <w:t>CM</w:t>
      </w:r>
      <w:r>
        <w:rPr>
          <w:rFonts w:ascii="Palatino Linotype" w:eastAsia="Palatino Linotype" w:hAnsi="Palatino Linotype" w:cs="Palatino Linotype"/>
          <w:sz w:val="18"/>
          <w:szCs w:val="18"/>
        </w:rPr>
        <w:t xml:space="preserve"> (CD45RA</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CD27</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 T</w:t>
      </w:r>
      <w:r>
        <w:rPr>
          <w:rFonts w:ascii="Palatino Linotype" w:eastAsia="Palatino Linotype" w:hAnsi="Palatino Linotype" w:cs="Palatino Linotype"/>
          <w:sz w:val="18"/>
          <w:szCs w:val="18"/>
          <w:vertAlign w:val="subscript"/>
        </w:rPr>
        <w:t>EM</w:t>
      </w:r>
      <w:r>
        <w:rPr>
          <w:rFonts w:ascii="Palatino Linotype" w:eastAsia="Palatino Linotype" w:hAnsi="Palatino Linotype" w:cs="Palatino Linotype"/>
          <w:sz w:val="18"/>
          <w:szCs w:val="18"/>
        </w:rPr>
        <w:t xml:space="preserve"> (CD45RA</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CD27</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 T</w:t>
      </w:r>
      <w:r>
        <w:rPr>
          <w:rFonts w:ascii="Palatino Linotype" w:eastAsia="Palatino Linotype" w:hAnsi="Palatino Linotype" w:cs="Palatino Linotype"/>
          <w:sz w:val="18"/>
          <w:szCs w:val="18"/>
          <w:vertAlign w:val="subscript"/>
        </w:rPr>
        <w:t>EMRA</w:t>
      </w:r>
      <w:r>
        <w:rPr>
          <w:rFonts w:ascii="Palatino Linotype" w:eastAsia="Palatino Linotype" w:hAnsi="Palatino Linotype" w:cs="Palatino Linotype"/>
          <w:sz w:val="18"/>
          <w:szCs w:val="18"/>
        </w:rPr>
        <w:t xml:space="preserve"> (CD45RA</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CD27</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xml:space="preserve">); LLIs= Long-Lived Individuals; Semi and </w:t>
      </w:r>
      <w:proofErr w:type="spellStart"/>
      <w:r>
        <w:rPr>
          <w:rFonts w:ascii="Palatino Linotype" w:eastAsia="Palatino Linotype" w:hAnsi="Palatino Linotype" w:cs="Palatino Linotype"/>
          <w:sz w:val="18"/>
          <w:szCs w:val="18"/>
        </w:rPr>
        <w:t>Supercent</w:t>
      </w:r>
      <w:proofErr w:type="spellEnd"/>
      <w:r>
        <w:rPr>
          <w:rFonts w:ascii="Palatino Linotype" w:eastAsia="Palatino Linotype" w:hAnsi="Palatino Linotype" w:cs="Palatino Linotype"/>
          <w:sz w:val="18"/>
          <w:szCs w:val="18"/>
        </w:rPr>
        <w:t>= Semi- and Supercentenarians; R</w:t>
      </w:r>
      <w:r>
        <w:rPr>
          <w:rFonts w:ascii="Palatino Linotype" w:eastAsia="Palatino Linotype" w:hAnsi="Palatino Linotype" w:cs="Palatino Linotype"/>
          <w:sz w:val="18"/>
          <w:szCs w:val="18"/>
          <w:vertAlign w:val="superscript"/>
        </w:rPr>
        <w:t>2</w:t>
      </w:r>
      <w:r>
        <w:rPr>
          <w:rFonts w:ascii="Palatino Linotype" w:eastAsia="Palatino Linotype" w:hAnsi="Palatino Linotype" w:cs="Palatino Linotype"/>
          <w:sz w:val="18"/>
          <w:szCs w:val="18"/>
        </w:rPr>
        <w:t xml:space="preserve">= R squared; ns= not significant;  </w:t>
      </w:r>
      <w:r>
        <w:rPr>
          <w:rFonts w:ascii="Palatino Linotype" w:eastAsia="Palatino Linotype" w:hAnsi="Palatino Linotype" w:cs="Palatino Linotype"/>
          <w:b/>
          <w:i/>
          <w:sz w:val="18"/>
          <w:szCs w:val="18"/>
        </w:rPr>
        <w:t>p-value</w:t>
      </w:r>
      <w:r>
        <w:rPr>
          <w:rFonts w:ascii="Palatino Linotype" w:eastAsia="Palatino Linotype" w:hAnsi="Palatino Linotype" w:cs="Palatino Linotype"/>
          <w:sz w:val="18"/>
          <w:szCs w:val="18"/>
        </w:rPr>
        <w:t xml:space="preserve"> (bold and italic)= statistically significant. </w:t>
      </w:r>
    </w:p>
    <w:p w14:paraId="77AB3DF4" w14:textId="77777777" w:rsidR="00984508" w:rsidRDefault="00984508"/>
    <w:p w14:paraId="7F74BDBC" w14:textId="77777777" w:rsidR="00984508" w:rsidRDefault="00984508">
      <w:pPr>
        <w:pBdr>
          <w:top w:val="nil"/>
          <w:left w:val="nil"/>
          <w:bottom w:val="nil"/>
          <w:right w:val="nil"/>
          <w:between w:val="nil"/>
        </w:pBdr>
        <w:spacing w:before="240" w:after="120" w:line="228" w:lineRule="auto"/>
        <w:jc w:val="both"/>
        <w:rPr>
          <w:rFonts w:ascii="Palatino Linotype" w:eastAsia="Palatino Linotype" w:hAnsi="Palatino Linotype" w:cs="Palatino Linotype"/>
          <w:b/>
          <w:color w:val="000000"/>
          <w:sz w:val="18"/>
          <w:szCs w:val="18"/>
        </w:rPr>
      </w:pPr>
    </w:p>
    <w:p w14:paraId="3C9FDE7E" w14:textId="77777777" w:rsidR="00984508" w:rsidRDefault="00984508"/>
    <w:p w14:paraId="5C2751BA" w14:textId="77777777" w:rsidR="00984508" w:rsidRDefault="00984508"/>
    <w:p w14:paraId="6B77311F" w14:textId="77777777" w:rsidR="00984508" w:rsidRDefault="00984508"/>
    <w:p w14:paraId="56A46952" w14:textId="77777777" w:rsidR="00984508" w:rsidRDefault="00984508"/>
    <w:p w14:paraId="7C6960C0" w14:textId="77777777" w:rsidR="00984508" w:rsidRDefault="00984508"/>
    <w:p w14:paraId="71B1B084" w14:textId="77777777" w:rsidR="00984508" w:rsidRDefault="00984508"/>
    <w:p w14:paraId="48CDA114" w14:textId="77777777" w:rsidR="00984508" w:rsidRDefault="00984508"/>
    <w:p w14:paraId="13A9501D" w14:textId="77777777" w:rsidR="00984508" w:rsidRDefault="00984508"/>
    <w:p w14:paraId="617325D3" w14:textId="77777777" w:rsidR="00984508" w:rsidRDefault="00984508"/>
    <w:p w14:paraId="197EFFD3" w14:textId="77777777" w:rsidR="00984508" w:rsidRDefault="00984508"/>
    <w:p w14:paraId="3828F1E8" w14:textId="77777777" w:rsidR="00984508" w:rsidRDefault="00984508"/>
    <w:p w14:paraId="15D52A39" w14:textId="77777777" w:rsidR="00984508" w:rsidRDefault="00984508"/>
    <w:p w14:paraId="2DC1977D" w14:textId="77777777" w:rsidR="00984508" w:rsidRDefault="00984508"/>
    <w:p w14:paraId="76DD5486" w14:textId="77777777" w:rsidR="00984508" w:rsidRDefault="00984508"/>
    <w:p w14:paraId="240088C6" w14:textId="77777777" w:rsidR="00984508" w:rsidRDefault="00984508"/>
    <w:p w14:paraId="438BE394" w14:textId="77777777" w:rsidR="00984508" w:rsidRDefault="00984508"/>
    <w:p w14:paraId="68A681D3" w14:textId="77777777" w:rsidR="00984508" w:rsidRDefault="00984508"/>
    <w:p w14:paraId="56CF6C6B" w14:textId="77777777" w:rsidR="00984508" w:rsidRDefault="00000000">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 xml:space="preserve">Table S1. INFLA-score parameters. </w:t>
      </w:r>
      <w:proofErr w:type="spellStart"/>
      <w:r>
        <w:rPr>
          <w:rFonts w:ascii="Palatino Linotype" w:eastAsia="Palatino Linotype" w:hAnsi="Palatino Linotype" w:cs="Palatino Linotype"/>
          <w:sz w:val="18"/>
          <w:szCs w:val="18"/>
        </w:rPr>
        <w:t>Mean±SD</w:t>
      </w:r>
      <w:proofErr w:type="spellEnd"/>
      <w:r>
        <w:rPr>
          <w:rFonts w:ascii="Palatino Linotype" w:eastAsia="Palatino Linotype" w:hAnsi="Palatino Linotype" w:cs="Palatino Linotype"/>
          <w:sz w:val="18"/>
          <w:szCs w:val="18"/>
        </w:rPr>
        <w:t xml:space="preserve"> of INFLA-score parameters according to age groups.</w:t>
      </w:r>
    </w:p>
    <w:tbl>
      <w:tblPr>
        <w:tblStyle w:val="a"/>
        <w:tblW w:w="9952"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366"/>
        <w:gridCol w:w="1304"/>
        <w:gridCol w:w="1304"/>
        <w:gridCol w:w="1216"/>
        <w:gridCol w:w="1916"/>
        <w:gridCol w:w="1854"/>
        <w:gridCol w:w="992"/>
      </w:tblGrid>
      <w:tr w:rsidR="00984508" w14:paraId="07327B19" w14:textId="77777777">
        <w:trPr>
          <w:trHeight w:val="1079"/>
        </w:trPr>
        <w:tc>
          <w:tcPr>
            <w:tcW w:w="1366" w:type="dxa"/>
            <w:vAlign w:val="center"/>
          </w:tcPr>
          <w:p w14:paraId="6E7F2CDE"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Variable</w:t>
            </w:r>
          </w:p>
        </w:tc>
        <w:tc>
          <w:tcPr>
            <w:tcW w:w="1304" w:type="dxa"/>
            <w:vAlign w:val="center"/>
          </w:tcPr>
          <w:p w14:paraId="1FE94559"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Adults</w:t>
            </w:r>
          </w:p>
          <w:p w14:paraId="5316352F"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(N= 91)</w:t>
            </w:r>
          </w:p>
        </w:tc>
        <w:tc>
          <w:tcPr>
            <w:tcW w:w="1304" w:type="dxa"/>
            <w:vAlign w:val="center"/>
          </w:tcPr>
          <w:p w14:paraId="16031B5A"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Older</w:t>
            </w:r>
          </w:p>
          <w:p w14:paraId="103D05EB"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(N= 76)</w:t>
            </w:r>
          </w:p>
        </w:tc>
        <w:tc>
          <w:tcPr>
            <w:tcW w:w="1216" w:type="dxa"/>
            <w:vAlign w:val="center"/>
          </w:tcPr>
          <w:p w14:paraId="1018C105"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LLIs</w:t>
            </w:r>
          </w:p>
          <w:p w14:paraId="20B19C95"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(N= 68)</w:t>
            </w:r>
          </w:p>
        </w:tc>
        <w:tc>
          <w:tcPr>
            <w:tcW w:w="1916" w:type="dxa"/>
            <w:vAlign w:val="center"/>
          </w:tcPr>
          <w:p w14:paraId="58D0C9B5"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Semi- and Supercentenarians</w:t>
            </w:r>
          </w:p>
          <w:p w14:paraId="5CD70CD4"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 12)</w:t>
            </w:r>
          </w:p>
        </w:tc>
        <w:tc>
          <w:tcPr>
            <w:tcW w:w="1854" w:type="dxa"/>
            <w:tcBorders>
              <w:bottom w:val="single" w:sz="4" w:space="0" w:color="000000"/>
            </w:tcBorders>
            <w:vAlign w:val="center"/>
          </w:tcPr>
          <w:p w14:paraId="41140652"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Significant comparisons</w:t>
            </w:r>
          </w:p>
        </w:tc>
        <w:tc>
          <w:tcPr>
            <w:tcW w:w="992" w:type="dxa"/>
            <w:tcBorders>
              <w:bottom w:val="single" w:sz="4" w:space="0" w:color="000000"/>
            </w:tcBorders>
            <w:vAlign w:val="center"/>
          </w:tcPr>
          <w:p w14:paraId="38434172"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p-value</w:t>
            </w:r>
          </w:p>
        </w:tc>
      </w:tr>
      <w:tr w:rsidR="00984508" w14:paraId="71AB419A" w14:textId="77777777">
        <w:tc>
          <w:tcPr>
            <w:tcW w:w="1366" w:type="dxa"/>
            <w:vAlign w:val="center"/>
          </w:tcPr>
          <w:p w14:paraId="36A928E7"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WBC count (10</w:t>
            </w:r>
            <w:r>
              <w:rPr>
                <w:rFonts w:ascii="Palatino Linotype" w:eastAsia="Palatino Linotype" w:hAnsi="Palatino Linotype" w:cs="Palatino Linotype"/>
                <w:b/>
                <w:sz w:val="20"/>
                <w:szCs w:val="20"/>
                <w:vertAlign w:val="superscript"/>
              </w:rPr>
              <w:t>3</w:t>
            </w:r>
            <w:r>
              <w:rPr>
                <w:rFonts w:ascii="Palatino Linotype" w:eastAsia="Palatino Linotype" w:hAnsi="Palatino Linotype" w:cs="Palatino Linotype"/>
                <w:b/>
                <w:sz w:val="20"/>
                <w:szCs w:val="20"/>
              </w:rPr>
              <w:t>/</w:t>
            </w:r>
            <w:proofErr w:type="spellStart"/>
            <w:r>
              <w:rPr>
                <w:rFonts w:ascii="Palatino Linotype" w:eastAsia="Palatino Linotype" w:hAnsi="Palatino Linotype" w:cs="Palatino Linotype"/>
                <w:b/>
                <w:sz w:val="20"/>
                <w:szCs w:val="20"/>
              </w:rPr>
              <w:t>μL</w:t>
            </w:r>
            <w:proofErr w:type="spellEnd"/>
            <w:r>
              <w:rPr>
                <w:rFonts w:ascii="Palatino Linotype" w:eastAsia="Palatino Linotype" w:hAnsi="Palatino Linotype" w:cs="Palatino Linotype"/>
                <w:b/>
                <w:sz w:val="20"/>
                <w:szCs w:val="20"/>
              </w:rPr>
              <w:t>)</w:t>
            </w:r>
          </w:p>
        </w:tc>
        <w:tc>
          <w:tcPr>
            <w:tcW w:w="1304" w:type="dxa"/>
            <w:vAlign w:val="center"/>
          </w:tcPr>
          <w:p w14:paraId="1292EFF3"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6.65±1.83</w:t>
            </w:r>
          </w:p>
        </w:tc>
        <w:tc>
          <w:tcPr>
            <w:tcW w:w="1304" w:type="dxa"/>
            <w:vAlign w:val="center"/>
          </w:tcPr>
          <w:p w14:paraId="2A0C0270"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6.77±1.82</w:t>
            </w:r>
          </w:p>
        </w:tc>
        <w:tc>
          <w:tcPr>
            <w:tcW w:w="1216" w:type="dxa"/>
            <w:vAlign w:val="center"/>
          </w:tcPr>
          <w:p w14:paraId="29C64F44"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6.81±2.02</w:t>
            </w:r>
          </w:p>
        </w:tc>
        <w:tc>
          <w:tcPr>
            <w:tcW w:w="1916" w:type="dxa"/>
            <w:vAlign w:val="center"/>
          </w:tcPr>
          <w:p w14:paraId="37DBAF9B"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7.03±2.10</w:t>
            </w:r>
          </w:p>
        </w:tc>
        <w:tc>
          <w:tcPr>
            <w:tcW w:w="1854" w:type="dxa"/>
            <w:tcBorders>
              <w:top w:val="single" w:sz="4" w:space="0" w:color="000000"/>
              <w:bottom w:val="nil"/>
            </w:tcBorders>
            <w:vAlign w:val="center"/>
          </w:tcPr>
          <w:p w14:paraId="01ECA73A"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None</w:t>
            </w:r>
          </w:p>
        </w:tc>
        <w:tc>
          <w:tcPr>
            <w:tcW w:w="992" w:type="dxa"/>
            <w:tcBorders>
              <w:top w:val="single" w:sz="4" w:space="0" w:color="000000"/>
              <w:bottom w:val="nil"/>
            </w:tcBorders>
            <w:vAlign w:val="center"/>
          </w:tcPr>
          <w:p w14:paraId="6ED80E58"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ns</w:t>
            </w:r>
          </w:p>
        </w:tc>
      </w:tr>
      <w:tr w:rsidR="00984508" w14:paraId="2313F0C6" w14:textId="77777777">
        <w:tc>
          <w:tcPr>
            <w:tcW w:w="1366" w:type="dxa"/>
            <w:vMerge w:val="restart"/>
            <w:vAlign w:val="center"/>
          </w:tcPr>
          <w:p w14:paraId="5200969F"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NLR</w:t>
            </w:r>
          </w:p>
        </w:tc>
        <w:tc>
          <w:tcPr>
            <w:tcW w:w="1304" w:type="dxa"/>
            <w:vMerge w:val="restart"/>
            <w:vAlign w:val="center"/>
          </w:tcPr>
          <w:p w14:paraId="7B9F3E54"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1.85±0.64</w:t>
            </w:r>
          </w:p>
        </w:tc>
        <w:tc>
          <w:tcPr>
            <w:tcW w:w="1304" w:type="dxa"/>
            <w:vMerge w:val="restart"/>
            <w:vAlign w:val="center"/>
          </w:tcPr>
          <w:p w14:paraId="2727244A"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1.98±0.84</w:t>
            </w:r>
          </w:p>
        </w:tc>
        <w:tc>
          <w:tcPr>
            <w:tcW w:w="1216" w:type="dxa"/>
            <w:vMerge w:val="restart"/>
            <w:vAlign w:val="center"/>
          </w:tcPr>
          <w:p w14:paraId="23A7E375"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2.47±1.56</w:t>
            </w:r>
          </w:p>
        </w:tc>
        <w:tc>
          <w:tcPr>
            <w:tcW w:w="1916" w:type="dxa"/>
            <w:vMerge w:val="restart"/>
            <w:vAlign w:val="center"/>
          </w:tcPr>
          <w:p w14:paraId="7ACDB84C"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2.97±1.66</w:t>
            </w:r>
          </w:p>
        </w:tc>
        <w:tc>
          <w:tcPr>
            <w:tcW w:w="1854" w:type="dxa"/>
            <w:tcBorders>
              <w:top w:val="single" w:sz="4" w:space="0" w:color="000000"/>
              <w:bottom w:val="nil"/>
            </w:tcBorders>
            <w:vAlign w:val="center"/>
          </w:tcPr>
          <w:p w14:paraId="41242FAC"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Adults vs LLIs</w:t>
            </w:r>
          </w:p>
        </w:tc>
        <w:tc>
          <w:tcPr>
            <w:tcW w:w="992" w:type="dxa"/>
            <w:tcBorders>
              <w:top w:val="single" w:sz="4" w:space="0" w:color="000000"/>
              <w:bottom w:val="nil"/>
            </w:tcBorders>
            <w:vAlign w:val="center"/>
          </w:tcPr>
          <w:p w14:paraId="2445C143"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0.002</w:t>
            </w:r>
          </w:p>
        </w:tc>
      </w:tr>
      <w:tr w:rsidR="00984508" w14:paraId="30084C06" w14:textId="77777777">
        <w:tc>
          <w:tcPr>
            <w:tcW w:w="1366" w:type="dxa"/>
            <w:vMerge/>
            <w:vAlign w:val="center"/>
          </w:tcPr>
          <w:p w14:paraId="4F088FB4"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304" w:type="dxa"/>
            <w:vMerge/>
            <w:vAlign w:val="center"/>
          </w:tcPr>
          <w:p w14:paraId="167DD9F0"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304" w:type="dxa"/>
            <w:vMerge/>
            <w:vAlign w:val="center"/>
          </w:tcPr>
          <w:p w14:paraId="751E9517"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314A8972"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916" w:type="dxa"/>
            <w:vMerge/>
            <w:vAlign w:val="center"/>
          </w:tcPr>
          <w:p w14:paraId="13879815"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854" w:type="dxa"/>
            <w:tcBorders>
              <w:top w:val="nil"/>
              <w:bottom w:val="nil"/>
            </w:tcBorders>
            <w:vAlign w:val="center"/>
          </w:tcPr>
          <w:p w14:paraId="53E223E9"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Adults vs Semi- and Supercentenarians</w:t>
            </w:r>
          </w:p>
        </w:tc>
        <w:tc>
          <w:tcPr>
            <w:tcW w:w="992" w:type="dxa"/>
            <w:tcBorders>
              <w:top w:val="nil"/>
              <w:bottom w:val="nil"/>
            </w:tcBorders>
            <w:vAlign w:val="center"/>
          </w:tcPr>
          <w:p w14:paraId="25888A06"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0.004</w:t>
            </w:r>
          </w:p>
          <w:p w14:paraId="0223BCA2" w14:textId="77777777" w:rsidR="00984508" w:rsidRDefault="00984508">
            <w:pPr>
              <w:jc w:val="center"/>
              <w:rPr>
                <w:rFonts w:ascii="Palatino Linotype" w:eastAsia="Palatino Linotype" w:hAnsi="Palatino Linotype" w:cs="Palatino Linotype"/>
                <w:sz w:val="20"/>
                <w:szCs w:val="20"/>
              </w:rPr>
            </w:pPr>
          </w:p>
        </w:tc>
      </w:tr>
      <w:tr w:rsidR="00984508" w14:paraId="07C7956E" w14:textId="77777777">
        <w:tc>
          <w:tcPr>
            <w:tcW w:w="1366" w:type="dxa"/>
            <w:vMerge/>
            <w:vAlign w:val="center"/>
          </w:tcPr>
          <w:p w14:paraId="49594C5C"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304" w:type="dxa"/>
            <w:vMerge/>
            <w:vAlign w:val="center"/>
          </w:tcPr>
          <w:p w14:paraId="01D34F86"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304" w:type="dxa"/>
            <w:vMerge/>
            <w:vAlign w:val="center"/>
          </w:tcPr>
          <w:p w14:paraId="229E82F3"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361271C2"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916" w:type="dxa"/>
            <w:vMerge/>
            <w:vAlign w:val="center"/>
          </w:tcPr>
          <w:p w14:paraId="7CA2E2E9"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854" w:type="dxa"/>
            <w:tcBorders>
              <w:top w:val="nil"/>
              <w:bottom w:val="nil"/>
            </w:tcBorders>
            <w:vAlign w:val="center"/>
          </w:tcPr>
          <w:p w14:paraId="0FE7F0C5"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Older vs LLIs</w:t>
            </w:r>
          </w:p>
        </w:tc>
        <w:tc>
          <w:tcPr>
            <w:tcW w:w="992" w:type="dxa"/>
            <w:tcBorders>
              <w:top w:val="nil"/>
              <w:bottom w:val="nil"/>
            </w:tcBorders>
            <w:vAlign w:val="center"/>
          </w:tcPr>
          <w:p w14:paraId="500C6D3D"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0.043</w:t>
            </w:r>
          </w:p>
        </w:tc>
      </w:tr>
      <w:tr w:rsidR="00984508" w14:paraId="483629A3" w14:textId="77777777">
        <w:tc>
          <w:tcPr>
            <w:tcW w:w="1366" w:type="dxa"/>
            <w:vMerge/>
            <w:vAlign w:val="center"/>
          </w:tcPr>
          <w:p w14:paraId="0EBC4F64"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304" w:type="dxa"/>
            <w:vMerge/>
            <w:vAlign w:val="center"/>
          </w:tcPr>
          <w:p w14:paraId="693E6C2B"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304" w:type="dxa"/>
            <w:vMerge/>
            <w:vAlign w:val="center"/>
          </w:tcPr>
          <w:p w14:paraId="1AC89A58"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1CD5EAF4"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916" w:type="dxa"/>
            <w:vMerge/>
            <w:vAlign w:val="center"/>
          </w:tcPr>
          <w:p w14:paraId="55A342F8"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854" w:type="dxa"/>
            <w:tcBorders>
              <w:top w:val="nil"/>
              <w:bottom w:val="single" w:sz="4" w:space="0" w:color="000000"/>
            </w:tcBorders>
            <w:vAlign w:val="center"/>
          </w:tcPr>
          <w:p w14:paraId="734D0400"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Older vs Semi- and Supercentenarians</w:t>
            </w:r>
          </w:p>
        </w:tc>
        <w:tc>
          <w:tcPr>
            <w:tcW w:w="992" w:type="dxa"/>
            <w:tcBorders>
              <w:top w:val="nil"/>
              <w:bottom w:val="single" w:sz="4" w:space="0" w:color="000000"/>
            </w:tcBorders>
            <w:vAlign w:val="center"/>
          </w:tcPr>
          <w:p w14:paraId="6C9F6105"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0.019</w:t>
            </w:r>
          </w:p>
          <w:p w14:paraId="3959E1BF" w14:textId="77777777" w:rsidR="00984508" w:rsidRDefault="00984508">
            <w:pPr>
              <w:jc w:val="center"/>
              <w:rPr>
                <w:rFonts w:ascii="Palatino Linotype" w:eastAsia="Palatino Linotype" w:hAnsi="Palatino Linotype" w:cs="Palatino Linotype"/>
                <w:sz w:val="20"/>
                <w:szCs w:val="20"/>
              </w:rPr>
            </w:pPr>
          </w:p>
        </w:tc>
      </w:tr>
      <w:tr w:rsidR="00984508" w14:paraId="02890F22" w14:textId="77777777">
        <w:tc>
          <w:tcPr>
            <w:tcW w:w="1366" w:type="dxa"/>
            <w:vAlign w:val="center"/>
          </w:tcPr>
          <w:p w14:paraId="60E83678"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Platelet count</w:t>
            </w:r>
          </w:p>
        </w:tc>
        <w:tc>
          <w:tcPr>
            <w:tcW w:w="1304" w:type="dxa"/>
            <w:vAlign w:val="center"/>
          </w:tcPr>
          <w:p w14:paraId="477E74C8"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237.4±57.26</w:t>
            </w:r>
          </w:p>
        </w:tc>
        <w:tc>
          <w:tcPr>
            <w:tcW w:w="1304" w:type="dxa"/>
            <w:vAlign w:val="center"/>
          </w:tcPr>
          <w:p w14:paraId="5952F8AB"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227±62.33</w:t>
            </w:r>
          </w:p>
        </w:tc>
        <w:tc>
          <w:tcPr>
            <w:tcW w:w="1216" w:type="dxa"/>
            <w:vAlign w:val="center"/>
          </w:tcPr>
          <w:p w14:paraId="5F1A940E"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211.4±67.62</w:t>
            </w:r>
          </w:p>
        </w:tc>
        <w:tc>
          <w:tcPr>
            <w:tcW w:w="1916" w:type="dxa"/>
            <w:vAlign w:val="center"/>
          </w:tcPr>
          <w:p w14:paraId="19AED86C"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214.1±75.68</w:t>
            </w:r>
          </w:p>
        </w:tc>
        <w:tc>
          <w:tcPr>
            <w:tcW w:w="1854" w:type="dxa"/>
            <w:tcBorders>
              <w:top w:val="single" w:sz="4" w:space="0" w:color="000000"/>
              <w:bottom w:val="single" w:sz="4" w:space="0" w:color="000000"/>
            </w:tcBorders>
            <w:vAlign w:val="center"/>
          </w:tcPr>
          <w:p w14:paraId="63B159F5"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Adults vs LLIs</w:t>
            </w:r>
          </w:p>
        </w:tc>
        <w:tc>
          <w:tcPr>
            <w:tcW w:w="992" w:type="dxa"/>
            <w:tcBorders>
              <w:top w:val="single" w:sz="4" w:space="0" w:color="000000"/>
              <w:bottom w:val="single" w:sz="4" w:space="0" w:color="000000"/>
            </w:tcBorders>
            <w:vAlign w:val="center"/>
          </w:tcPr>
          <w:p w14:paraId="25D50B16"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0.044</w:t>
            </w:r>
          </w:p>
          <w:p w14:paraId="791700DD" w14:textId="77777777" w:rsidR="00984508" w:rsidRDefault="00984508">
            <w:pPr>
              <w:jc w:val="center"/>
              <w:rPr>
                <w:rFonts w:ascii="Palatino Linotype" w:eastAsia="Palatino Linotype" w:hAnsi="Palatino Linotype" w:cs="Palatino Linotype"/>
                <w:sz w:val="20"/>
                <w:szCs w:val="20"/>
              </w:rPr>
            </w:pPr>
          </w:p>
        </w:tc>
      </w:tr>
      <w:tr w:rsidR="00984508" w14:paraId="5AD2FA9B" w14:textId="77777777">
        <w:tc>
          <w:tcPr>
            <w:tcW w:w="1366" w:type="dxa"/>
            <w:vMerge w:val="restart"/>
            <w:vAlign w:val="center"/>
          </w:tcPr>
          <w:p w14:paraId="5F162DBE"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CRP (mg/L)</w:t>
            </w:r>
          </w:p>
        </w:tc>
        <w:tc>
          <w:tcPr>
            <w:tcW w:w="1304" w:type="dxa"/>
            <w:vMerge w:val="restart"/>
            <w:vAlign w:val="center"/>
          </w:tcPr>
          <w:p w14:paraId="70E5BA2C"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1.94±3.03</w:t>
            </w:r>
          </w:p>
        </w:tc>
        <w:tc>
          <w:tcPr>
            <w:tcW w:w="1304" w:type="dxa"/>
            <w:vMerge w:val="restart"/>
            <w:vAlign w:val="center"/>
          </w:tcPr>
          <w:p w14:paraId="38242D42"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4.23±8.53</w:t>
            </w:r>
          </w:p>
        </w:tc>
        <w:tc>
          <w:tcPr>
            <w:tcW w:w="1216" w:type="dxa"/>
            <w:vMerge w:val="restart"/>
            <w:vAlign w:val="center"/>
          </w:tcPr>
          <w:p w14:paraId="5EE91FCE"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8.36±10.96</w:t>
            </w:r>
          </w:p>
        </w:tc>
        <w:tc>
          <w:tcPr>
            <w:tcW w:w="1916" w:type="dxa"/>
            <w:vMerge w:val="restart"/>
            <w:vAlign w:val="center"/>
          </w:tcPr>
          <w:p w14:paraId="30761214"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1.69±1.31</w:t>
            </w:r>
          </w:p>
        </w:tc>
        <w:tc>
          <w:tcPr>
            <w:tcW w:w="1854" w:type="dxa"/>
            <w:tcBorders>
              <w:top w:val="single" w:sz="4" w:space="0" w:color="000000"/>
              <w:bottom w:val="nil"/>
            </w:tcBorders>
            <w:vAlign w:val="center"/>
          </w:tcPr>
          <w:p w14:paraId="3CA066DA"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Adults vs LLIs</w:t>
            </w:r>
          </w:p>
        </w:tc>
        <w:tc>
          <w:tcPr>
            <w:tcW w:w="992" w:type="dxa"/>
            <w:tcBorders>
              <w:top w:val="single" w:sz="4" w:space="0" w:color="000000"/>
              <w:bottom w:val="nil"/>
            </w:tcBorders>
            <w:vAlign w:val="center"/>
          </w:tcPr>
          <w:p w14:paraId="70968E03"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&lt;0.0001</w:t>
            </w:r>
          </w:p>
        </w:tc>
      </w:tr>
      <w:tr w:rsidR="00984508" w14:paraId="0497D21C" w14:textId="77777777">
        <w:tc>
          <w:tcPr>
            <w:tcW w:w="1366" w:type="dxa"/>
            <w:vMerge/>
            <w:vAlign w:val="center"/>
          </w:tcPr>
          <w:p w14:paraId="6AE4ED57"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304" w:type="dxa"/>
            <w:vMerge/>
            <w:vAlign w:val="center"/>
          </w:tcPr>
          <w:p w14:paraId="6B72050F"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304" w:type="dxa"/>
            <w:vMerge/>
            <w:vAlign w:val="center"/>
          </w:tcPr>
          <w:p w14:paraId="1039045E"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76693D9F"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916" w:type="dxa"/>
            <w:vMerge/>
            <w:vAlign w:val="center"/>
          </w:tcPr>
          <w:p w14:paraId="3E6DF4CC"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854" w:type="dxa"/>
            <w:tcBorders>
              <w:top w:val="nil"/>
              <w:bottom w:val="nil"/>
            </w:tcBorders>
            <w:vAlign w:val="center"/>
          </w:tcPr>
          <w:p w14:paraId="1B550FA7"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Older vs LLIs</w:t>
            </w:r>
          </w:p>
        </w:tc>
        <w:tc>
          <w:tcPr>
            <w:tcW w:w="992" w:type="dxa"/>
            <w:tcBorders>
              <w:top w:val="nil"/>
              <w:bottom w:val="nil"/>
            </w:tcBorders>
            <w:vAlign w:val="center"/>
          </w:tcPr>
          <w:p w14:paraId="29462F78"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0.009</w:t>
            </w:r>
          </w:p>
        </w:tc>
      </w:tr>
      <w:tr w:rsidR="00984508" w14:paraId="61251AA1" w14:textId="77777777">
        <w:tc>
          <w:tcPr>
            <w:tcW w:w="1366" w:type="dxa"/>
            <w:vMerge/>
            <w:vAlign w:val="center"/>
          </w:tcPr>
          <w:p w14:paraId="4F642289"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304" w:type="dxa"/>
            <w:vMerge/>
            <w:vAlign w:val="center"/>
          </w:tcPr>
          <w:p w14:paraId="4F8DBB9C"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304" w:type="dxa"/>
            <w:vMerge/>
            <w:vAlign w:val="center"/>
          </w:tcPr>
          <w:p w14:paraId="0B632159"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7503065B"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916" w:type="dxa"/>
            <w:vMerge/>
            <w:vAlign w:val="center"/>
          </w:tcPr>
          <w:p w14:paraId="1017C5A6"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854" w:type="dxa"/>
            <w:tcBorders>
              <w:top w:val="nil"/>
              <w:bottom w:val="single" w:sz="4" w:space="0" w:color="000000"/>
            </w:tcBorders>
            <w:vAlign w:val="center"/>
          </w:tcPr>
          <w:p w14:paraId="7B063D0E"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LLIs vs Semi- and Supercentenarians</w:t>
            </w:r>
          </w:p>
        </w:tc>
        <w:tc>
          <w:tcPr>
            <w:tcW w:w="992" w:type="dxa"/>
            <w:tcBorders>
              <w:top w:val="nil"/>
              <w:bottom w:val="single" w:sz="4" w:space="0" w:color="000000"/>
            </w:tcBorders>
            <w:vAlign w:val="center"/>
          </w:tcPr>
          <w:p w14:paraId="3961346D"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0.026</w:t>
            </w:r>
          </w:p>
        </w:tc>
      </w:tr>
    </w:tbl>
    <w:p w14:paraId="677B74F1" w14:textId="0AE80826" w:rsidR="00984508" w:rsidRDefault="00000000">
      <w:pPr>
        <w:spacing w:after="200" w:line="276" w:lineRule="auto"/>
        <w:jc w:val="both"/>
        <w:rPr>
          <w:rFonts w:ascii="Palatino Linotype" w:eastAsia="Palatino Linotype" w:hAnsi="Palatino Linotype" w:cs="Palatino Linotype"/>
          <w:sz w:val="18"/>
          <w:szCs w:val="18"/>
        </w:rPr>
      </w:pPr>
      <w:bookmarkStart w:id="0" w:name="_heading=h.gjdgxs" w:colFirst="0" w:colLast="0"/>
      <w:bookmarkEnd w:id="0"/>
      <w:r>
        <w:rPr>
          <w:rFonts w:ascii="Palatino Linotype" w:eastAsia="Palatino Linotype" w:hAnsi="Palatino Linotype" w:cs="Palatino Linotype"/>
          <w:sz w:val="18"/>
          <w:szCs w:val="18"/>
        </w:rPr>
        <w:t xml:space="preserve">*SD: Standard Deviation; ns: not significant; LLIs: Long-Lived Individuals; WBC: White Blood Cells; NLR: Neutrophil-to-Lymphocyte Ratio; CRP: C-Reactive Protein. p-values obtained from the one-way ANOVA test are reported. p-values &gt;0.05 is not significant. </w:t>
      </w:r>
    </w:p>
    <w:p w14:paraId="06423552" w14:textId="77777777" w:rsidR="00984508" w:rsidRDefault="00000000">
      <w:r>
        <w:br w:type="page"/>
      </w:r>
    </w:p>
    <w:p w14:paraId="35043041" w14:textId="77777777" w:rsidR="00984508" w:rsidRDefault="00000000">
      <w:pPr>
        <w:jc w:val="both"/>
      </w:pPr>
      <w:r>
        <w:rPr>
          <w:rFonts w:ascii="Palatino Linotype" w:eastAsia="Palatino Linotype" w:hAnsi="Palatino Linotype" w:cs="Palatino Linotype"/>
          <w:b/>
          <w:sz w:val="18"/>
          <w:szCs w:val="18"/>
        </w:rPr>
        <w:lastRenderedPageBreak/>
        <w:t>Table S2</w:t>
      </w:r>
      <w:r>
        <w:rPr>
          <w:rFonts w:ascii="Palatino Linotype" w:eastAsia="Palatino Linotype" w:hAnsi="Palatino Linotype" w:cs="Palatino Linotype"/>
          <w:sz w:val="18"/>
          <w:szCs w:val="18"/>
        </w:rPr>
        <w:t xml:space="preserve">. </w:t>
      </w:r>
      <w:r>
        <w:rPr>
          <w:rFonts w:ascii="Palatino Linotype" w:eastAsia="Palatino Linotype" w:hAnsi="Palatino Linotype" w:cs="Palatino Linotype"/>
          <w:b/>
          <w:sz w:val="18"/>
          <w:szCs w:val="18"/>
        </w:rPr>
        <w:t>SIRI parameters</w:t>
      </w:r>
      <w:r>
        <w:rPr>
          <w:rFonts w:ascii="Palatino Linotype" w:eastAsia="Palatino Linotype" w:hAnsi="Palatino Linotype" w:cs="Palatino Linotype"/>
          <w:sz w:val="18"/>
          <w:szCs w:val="18"/>
        </w:rPr>
        <w:t xml:space="preserve">. </w:t>
      </w:r>
      <w:proofErr w:type="spellStart"/>
      <w:r>
        <w:rPr>
          <w:rFonts w:ascii="Palatino Linotype" w:eastAsia="Palatino Linotype" w:hAnsi="Palatino Linotype" w:cs="Palatino Linotype"/>
          <w:sz w:val="18"/>
          <w:szCs w:val="18"/>
        </w:rPr>
        <w:t>Mean±SD</w:t>
      </w:r>
      <w:proofErr w:type="spellEnd"/>
      <w:r>
        <w:rPr>
          <w:rFonts w:ascii="Palatino Linotype" w:eastAsia="Palatino Linotype" w:hAnsi="Palatino Linotype" w:cs="Palatino Linotype"/>
          <w:sz w:val="18"/>
          <w:szCs w:val="18"/>
        </w:rPr>
        <w:t xml:space="preserve"> of SIRI parameters according to age groups.</w:t>
      </w:r>
    </w:p>
    <w:tbl>
      <w:tblPr>
        <w:tblStyle w:val="a0"/>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1214"/>
        <w:gridCol w:w="1202"/>
        <w:gridCol w:w="1214"/>
        <w:gridCol w:w="1916"/>
        <w:gridCol w:w="1669"/>
        <w:gridCol w:w="1012"/>
      </w:tblGrid>
      <w:tr w:rsidR="00984508" w14:paraId="6459F31C" w14:textId="77777777">
        <w:tc>
          <w:tcPr>
            <w:tcW w:w="1554" w:type="dxa"/>
            <w:tcBorders>
              <w:top w:val="single" w:sz="4" w:space="0" w:color="000000"/>
              <w:left w:val="nil"/>
              <w:bottom w:val="single" w:sz="4" w:space="0" w:color="000000"/>
              <w:right w:val="nil"/>
            </w:tcBorders>
            <w:vAlign w:val="center"/>
          </w:tcPr>
          <w:p w14:paraId="7CBC008E" w14:textId="77777777" w:rsidR="00984508" w:rsidRDefault="00000000">
            <w:pPr>
              <w:jc w:val="center"/>
              <w:rPr>
                <w:rFonts w:ascii="Palatino Linotype" w:eastAsia="Palatino Linotype" w:hAnsi="Palatino Linotype" w:cs="Palatino Linotype"/>
                <w:b/>
                <w:sz w:val="20"/>
                <w:szCs w:val="20"/>
              </w:rPr>
            </w:pPr>
            <w:bookmarkStart w:id="1" w:name="_heading=h.30j0zll" w:colFirst="0" w:colLast="0"/>
            <w:bookmarkEnd w:id="1"/>
            <w:r>
              <w:rPr>
                <w:rFonts w:ascii="Palatino Linotype" w:eastAsia="Palatino Linotype" w:hAnsi="Palatino Linotype" w:cs="Palatino Linotype"/>
                <w:b/>
                <w:sz w:val="20"/>
                <w:szCs w:val="20"/>
              </w:rPr>
              <w:t>Variable</w:t>
            </w:r>
          </w:p>
        </w:tc>
        <w:tc>
          <w:tcPr>
            <w:tcW w:w="1214" w:type="dxa"/>
            <w:tcBorders>
              <w:top w:val="single" w:sz="4" w:space="0" w:color="000000"/>
              <w:left w:val="nil"/>
              <w:bottom w:val="single" w:sz="4" w:space="0" w:color="000000"/>
              <w:right w:val="nil"/>
            </w:tcBorders>
            <w:vAlign w:val="center"/>
          </w:tcPr>
          <w:p w14:paraId="536E4AB6"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Adults</w:t>
            </w:r>
          </w:p>
          <w:p w14:paraId="4934FD29"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 91)</w:t>
            </w:r>
          </w:p>
        </w:tc>
        <w:tc>
          <w:tcPr>
            <w:tcW w:w="1202" w:type="dxa"/>
            <w:tcBorders>
              <w:top w:val="single" w:sz="4" w:space="0" w:color="000000"/>
              <w:left w:val="nil"/>
              <w:bottom w:val="single" w:sz="4" w:space="0" w:color="000000"/>
              <w:right w:val="nil"/>
            </w:tcBorders>
            <w:vAlign w:val="center"/>
          </w:tcPr>
          <w:p w14:paraId="10E0EDF5"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Older</w:t>
            </w:r>
          </w:p>
          <w:p w14:paraId="20157E3D"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 76)</w:t>
            </w:r>
          </w:p>
        </w:tc>
        <w:tc>
          <w:tcPr>
            <w:tcW w:w="1214" w:type="dxa"/>
            <w:tcBorders>
              <w:top w:val="single" w:sz="4" w:space="0" w:color="000000"/>
              <w:left w:val="nil"/>
              <w:bottom w:val="single" w:sz="4" w:space="0" w:color="000000"/>
              <w:right w:val="nil"/>
            </w:tcBorders>
            <w:vAlign w:val="center"/>
          </w:tcPr>
          <w:p w14:paraId="7398A068"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LLIs</w:t>
            </w:r>
          </w:p>
          <w:p w14:paraId="414EA31A"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 69)</w:t>
            </w:r>
          </w:p>
        </w:tc>
        <w:tc>
          <w:tcPr>
            <w:tcW w:w="1916" w:type="dxa"/>
            <w:tcBorders>
              <w:top w:val="single" w:sz="4" w:space="0" w:color="000000"/>
              <w:left w:val="nil"/>
              <w:bottom w:val="single" w:sz="4" w:space="0" w:color="000000"/>
              <w:right w:val="nil"/>
            </w:tcBorders>
            <w:vAlign w:val="center"/>
          </w:tcPr>
          <w:p w14:paraId="00D3F6E3"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Semi- and Supercentenarians</w:t>
            </w:r>
          </w:p>
          <w:p w14:paraId="5EB31F28"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 13)</w:t>
            </w:r>
          </w:p>
          <w:p w14:paraId="18BF2052" w14:textId="77777777" w:rsidR="00984508" w:rsidRDefault="00984508">
            <w:pPr>
              <w:jc w:val="center"/>
              <w:rPr>
                <w:rFonts w:ascii="Palatino Linotype" w:eastAsia="Palatino Linotype" w:hAnsi="Palatino Linotype" w:cs="Palatino Linotype"/>
                <w:b/>
                <w:sz w:val="20"/>
                <w:szCs w:val="20"/>
              </w:rPr>
            </w:pPr>
          </w:p>
        </w:tc>
        <w:tc>
          <w:tcPr>
            <w:tcW w:w="1669" w:type="dxa"/>
            <w:tcBorders>
              <w:top w:val="single" w:sz="4" w:space="0" w:color="000000"/>
              <w:left w:val="nil"/>
              <w:bottom w:val="single" w:sz="4" w:space="0" w:color="000000"/>
              <w:right w:val="nil"/>
            </w:tcBorders>
            <w:vAlign w:val="center"/>
          </w:tcPr>
          <w:p w14:paraId="7747A01C"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Significant comparisons</w:t>
            </w:r>
          </w:p>
        </w:tc>
        <w:tc>
          <w:tcPr>
            <w:tcW w:w="1012" w:type="dxa"/>
            <w:tcBorders>
              <w:top w:val="single" w:sz="4" w:space="0" w:color="000000"/>
              <w:left w:val="nil"/>
              <w:bottom w:val="single" w:sz="4" w:space="0" w:color="000000"/>
              <w:right w:val="nil"/>
            </w:tcBorders>
            <w:vAlign w:val="center"/>
          </w:tcPr>
          <w:p w14:paraId="11D64677"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p-value</w:t>
            </w:r>
          </w:p>
        </w:tc>
      </w:tr>
      <w:tr w:rsidR="00984508" w14:paraId="11498DF7" w14:textId="77777777">
        <w:tc>
          <w:tcPr>
            <w:tcW w:w="1554" w:type="dxa"/>
            <w:tcBorders>
              <w:top w:val="single" w:sz="4" w:space="0" w:color="000000"/>
              <w:left w:val="nil"/>
              <w:bottom w:val="single" w:sz="4" w:space="0" w:color="000000"/>
              <w:right w:val="nil"/>
            </w:tcBorders>
            <w:vAlign w:val="center"/>
          </w:tcPr>
          <w:p w14:paraId="69D055A2"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Neutrophil count (10</w:t>
            </w:r>
            <w:r>
              <w:rPr>
                <w:rFonts w:ascii="Palatino Linotype" w:eastAsia="Palatino Linotype" w:hAnsi="Palatino Linotype" w:cs="Palatino Linotype"/>
                <w:b/>
                <w:sz w:val="20"/>
                <w:szCs w:val="20"/>
                <w:vertAlign w:val="superscript"/>
              </w:rPr>
              <w:t>3</w:t>
            </w:r>
            <w:r>
              <w:rPr>
                <w:rFonts w:ascii="Palatino Linotype" w:eastAsia="Palatino Linotype" w:hAnsi="Palatino Linotype" w:cs="Palatino Linotype"/>
                <w:b/>
                <w:sz w:val="20"/>
                <w:szCs w:val="20"/>
              </w:rPr>
              <w:t>/</w:t>
            </w:r>
            <w:proofErr w:type="spellStart"/>
            <w:r>
              <w:rPr>
                <w:rFonts w:ascii="Palatino Linotype" w:eastAsia="Palatino Linotype" w:hAnsi="Palatino Linotype" w:cs="Palatino Linotype"/>
                <w:b/>
                <w:sz w:val="20"/>
                <w:szCs w:val="20"/>
              </w:rPr>
              <w:t>μL</w:t>
            </w:r>
            <w:proofErr w:type="spellEnd"/>
            <w:r>
              <w:rPr>
                <w:rFonts w:ascii="Palatino Linotype" w:eastAsia="Palatino Linotype" w:hAnsi="Palatino Linotype" w:cs="Palatino Linotype"/>
                <w:b/>
                <w:sz w:val="20"/>
                <w:szCs w:val="20"/>
              </w:rPr>
              <w:t>)</w:t>
            </w:r>
          </w:p>
        </w:tc>
        <w:tc>
          <w:tcPr>
            <w:tcW w:w="1214" w:type="dxa"/>
            <w:tcBorders>
              <w:top w:val="single" w:sz="4" w:space="0" w:color="000000"/>
              <w:left w:val="nil"/>
              <w:bottom w:val="single" w:sz="4" w:space="0" w:color="000000"/>
              <w:right w:val="nil"/>
            </w:tcBorders>
            <w:vAlign w:val="center"/>
          </w:tcPr>
          <w:p w14:paraId="7872073B"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3.8±1.37</w:t>
            </w:r>
          </w:p>
        </w:tc>
        <w:tc>
          <w:tcPr>
            <w:tcW w:w="1202" w:type="dxa"/>
            <w:tcBorders>
              <w:top w:val="single" w:sz="4" w:space="0" w:color="000000"/>
              <w:left w:val="nil"/>
              <w:bottom w:val="single" w:sz="4" w:space="0" w:color="000000"/>
              <w:right w:val="nil"/>
            </w:tcBorders>
            <w:vAlign w:val="center"/>
          </w:tcPr>
          <w:p w14:paraId="498C6B67"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3.82±1.24</w:t>
            </w:r>
          </w:p>
        </w:tc>
        <w:tc>
          <w:tcPr>
            <w:tcW w:w="1214" w:type="dxa"/>
            <w:tcBorders>
              <w:top w:val="single" w:sz="4" w:space="0" w:color="000000"/>
              <w:left w:val="nil"/>
              <w:bottom w:val="single" w:sz="4" w:space="0" w:color="000000"/>
              <w:right w:val="nil"/>
            </w:tcBorders>
            <w:vAlign w:val="center"/>
          </w:tcPr>
          <w:p w14:paraId="2B0129C2"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4.18±1.45</w:t>
            </w:r>
          </w:p>
        </w:tc>
        <w:tc>
          <w:tcPr>
            <w:tcW w:w="1916" w:type="dxa"/>
            <w:tcBorders>
              <w:top w:val="single" w:sz="4" w:space="0" w:color="000000"/>
              <w:left w:val="nil"/>
              <w:bottom w:val="single" w:sz="4" w:space="0" w:color="000000"/>
              <w:right w:val="nil"/>
            </w:tcBorders>
            <w:vAlign w:val="center"/>
          </w:tcPr>
          <w:p w14:paraId="66ABBB0F"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4.07±1.30</w:t>
            </w:r>
          </w:p>
        </w:tc>
        <w:tc>
          <w:tcPr>
            <w:tcW w:w="1669" w:type="dxa"/>
            <w:tcBorders>
              <w:top w:val="single" w:sz="4" w:space="0" w:color="000000"/>
              <w:left w:val="nil"/>
              <w:bottom w:val="single" w:sz="4" w:space="0" w:color="000000"/>
              <w:right w:val="nil"/>
            </w:tcBorders>
            <w:vAlign w:val="center"/>
          </w:tcPr>
          <w:p w14:paraId="65342881"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None</w:t>
            </w:r>
          </w:p>
        </w:tc>
        <w:tc>
          <w:tcPr>
            <w:tcW w:w="1012" w:type="dxa"/>
            <w:tcBorders>
              <w:top w:val="single" w:sz="4" w:space="0" w:color="000000"/>
              <w:left w:val="nil"/>
              <w:bottom w:val="single" w:sz="4" w:space="0" w:color="000000"/>
              <w:right w:val="nil"/>
            </w:tcBorders>
            <w:vAlign w:val="center"/>
          </w:tcPr>
          <w:p w14:paraId="1D02D8F2"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ns</w:t>
            </w:r>
          </w:p>
        </w:tc>
      </w:tr>
      <w:tr w:rsidR="00984508" w14:paraId="6D086FD4" w14:textId="77777777">
        <w:tc>
          <w:tcPr>
            <w:tcW w:w="1554" w:type="dxa"/>
            <w:tcBorders>
              <w:top w:val="single" w:sz="4" w:space="0" w:color="000000"/>
              <w:left w:val="nil"/>
              <w:bottom w:val="single" w:sz="4" w:space="0" w:color="000000"/>
              <w:right w:val="nil"/>
            </w:tcBorders>
            <w:vAlign w:val="center"/>
          </w:tcPr>
          <w:p w14:paraId="4DD7EC3C"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Monocyte count (10</w:t>
            </w:r>
            <w:r>
              <w:rPr>
                <w:rFonts w:ascii="Palatino Linotype" w:eastAsia="Palatino Linotype" w:hAnsi="Palatino Linotype" w:cs="Palatino Linotype"/>
                <w:b/>
                <w:sz w:val="20"/>
                <w:szCs w:val="20"/>
                <w:vertAlign w:val="superscript"/>
              </w:rPr>
              <w:t>3</w:t>
            </w:r>
            <w:r>
              <w:rPr>
                <w:rFonts w:ascii="Palatino Linotype" w:eastAsia="Palatino Linotype" w:hAnsi="Palatino Linotype" w:cs="Palatino Linotype"/>
                <w:b/>
                <w:sz w:val="20"/>
                <w:szCs w:val="20"/>
              </w:rPr>
              <w:t>/</w:t>
            </w:r>
            <w:proofErr w:type="spellStart"/>
            <w:r>
              <w:rPr>
                <w:rFonts w:ascii="Palatino Linotype" w:eastAsia="Palatino Linotype" w:hAnsi="Palatino Linotype" w:cs="Palatino Linotype"/>
                <w:b/>
                <w:sz w:val="20"/>
                <w:szCs w:val="20"/>
              </w:rPr>
              <w:t>μL</w:t>
            </w:r>
            <w:proofErr w:type="spellEnd"/>
            <w:r>
              <w:rPr>
                <w:rFonts w:ascii="Palatino Linotype" w:eastAsia="Palatino Linotype" w:hAnsi="Palatino Linotype" w:cs="Palatino Linotype"/>
                <w:b/>
                <w:sz w:val="20"/>
                <w:szCs w:val="20"/>
              </w:rPr>
              <w:t>)</w:t>
            </w:r>
          </w:p>
        </w:tc>
        <w:tc>
          <w:tcPr>
            <w:tcW w:w="1214" w:type="dxa"/>
            <w:tcBorders>
              <w:top w:val="single" w:sz="4" w:space="0" w:color="000000"/>
              <w:left w:val="nil"/>
              <w:bottom w:val="single" w:sz="4" w:space="0" w:color="000000"/>
              <w:right w:val="nil"/>
            </w:tcBorders>
            <w:vAlign w:val="center"/>
          </w:tcPr>
          <w:p w14:paraId="6F8E99C7"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0.52±0.16</w:t>
            </w:r>
          </w:p>
        </w:tc>
        <w:tc>
          <w:tcPr>
            <w:tcW w:w="1202" w:type="dxa"/>
            <w:tcBorders>
              <w:top w:val="single" w:sz="4" w:space="0" w:color="000000"/>
              <w:left w:val="nil"/>
              <w:bottom w:val="single" w:sz="4" w:space="0" w:color="000000"/>
              <w:right w:val="nil"/>
            </w:tcBorders>
            <w:vAlign w:val="center"/>
          </w:tcPr>
          <w:p w14:paraId="4CAE5B48"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0.56±0.17</w:t>
            </w:r>
          </w:p>
        </w:tc>
        <w:tc>
          <w:tcPr>
            <w:tcW w:w="1214" w:type="dxa"/>
            <w:tcBorders>
              <w:top w:val="single" w:sz="4" w:space="0" w:color="000000"/>
              <w:left w:val="nil"/>
              <w:bottom w:val="single" w:sz="4" w:space="0" w:color="000000"/>
              <w:right w:val="nil"/>
            </w:tcBorders>
            <w:vAlign w:val="center"/>
          </w:tcPr>
          <w:p w14:paraId="57F0B9E3"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0.62±0.29</w:t>
            </w:r>
          </w:p>
        </w:tc>
        <w:tc>
          <w:tcPr>
            <w:tcW w:w="1916" w:type="dxa"/>
            <w:tcBorders>
              <w:top w:val="single" w:sz="4" w:space="0" w:color="000000"/>
              <w:left w:val="nil"/>
              <w:bottom w:val="single" w:sz="4" w:space="0" w:color="000000"/>
              <w:right w:val="nil"/>
            </w:tcBorders>
            <w:vAlign w:val="center"/>
          </w:tcPr>
          <w:p w14:paraId="49182669"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0.58±0.19</w:t>
            </w:r>
          </w:p>
        </w:tc>
        <w:tc>
          <w:tcPr>
            <w:tcW w:w="1669" w:type="dxa"/>
            <w:tcBorders>
              <w:top w:val="single" w:sz="4" w:space="0" w:color="000000"/>
              <w:left w:val="nil"/>
              <w:bottom w:val="single" w:sz="4" w:space="0" w:color="000000"/>
              <w:right w:val="nil"/>
            </w:tcBorders>
            <w:vAlign w:val="center"/>
          </w:tcPr>
          <w:p w14:paraId="3E866808"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Adults vs LLIs</w:t>
            </w:r>
          </w:p>
        </w:tc>
        <w:tc>
          <w:tcPr>
            <w:tcW w:w="1012" w:type="dxa"/>
            <w:tcBorders>
              <w:top w:val="single" w:sz="4" w:space="0" w:color="000000"/>
              <w:left w:val="nil"/>
              <w:bottom w:val="single" w:sz="4" w:space="0" w:color="000000"/>
              <w:right w:val="nil"/>
            </w:tcBorders>
            <w:vAlign w:val="center"/>
          </w:tcPr>
          <w:p w14:paraId="4551C53C"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0.011</w:t>
            </w:r>
          </w:p>
        </w:tc>
      </w:tr>
      <w:tr w:rsidR="00984508" w14:paraId="17AF0ABF" w14:textId="77777777">
        <w:tc>
          <w:tcPr>
            <w:tcW w:w="1554" w:type="dxa"/>
            <w:tcBorders>
              <w:top w:val="single" w:sz="4" w:space="0" w:color="000000"/>
              <w:left w:val="nil"/>
              <w:bottom w:val="single" w:sz="4" w:space="0" w:color="000000"/>
              <w:right w:val="nil"/>
            </w:tcBorders>
            <w:vAlign w:val="center"/>
          </w:tcPr>
          <w:p w14:paraId="77B6FA78"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Lymphocyte count (10</w:t>
            </w:r>
            <w:r>
              <w:rPr>
                <w:rFonts w:ascii="Palatino Linotype" w:eastAsia="Palatino Linotype" w:hAnsi="Palatino Linotype" w:cs="Palatino Linotype"/>
                <w:b/>
                <w:sz w:val="20"/>
                <w:szCs w:val="20"/>
                <w:vertAlign w:val="superscript"/>
              </w:rPr>
              <w:t>3</w:t>
            </w:r>
            <w:r>
              <w:rPr>
                <w:rFonts w:ascii="Palatino Linotype" w:eastAsia="Palatino Linotype" w:hAnsi="Palatino Linotype" w:cs="Palatino Linotype"/>
                <w:b/>
                <w:sz w:val="20"/>
                <w:szCs w:val="20"/>
              </w:rPr>
              <w:t>/</w:t>
            </w:r>
            <w:proofErr w:type="spellStart"/>
            <w:r>
              <w:rPr>
                <w:rFonts w:ascii="Palatino Linotype" w:eastAsia="Palatino Linotype" w:hAnsi="Palatino Linotype" w:cs="Palatino Linotype"/>
                <w:b/>
                <w:sz w:val="20"/>
                <w:szCs w:val="20"/>
              </w:rPr>
              <w:t>μL</w:t>
            </w:r>
            <w:proofErr w:type="spellEnd"/>
            <w:r>
              <w:rPr>
                <w:rFonts w:ascii="Palatino Linotype" w:eastAsia="Palatino Linotype" w:hAnsi="Palatino Linotype" w:cs="Palatino Linotype"/>
                <w:b/>
                <w:sz w:val="20"/>
                <w:szCs w:val="20"/>
              </w:rPr>
              <w:t>)</w:t>
            </w:r>
          </w:p>
        </w:tc>
        <w:tc>
          <w:tcPr>
            <w:tcW w:w="1214" w:type="dxa"/>
            <w:tcBorders>
              <w:top w:val="single" w:sz="4" w:space="0" w:color="000000"/>
              <w:left w:val="nil"/>
              <w:bottom w:val="single" w:sz="4" w:space="0" w:color="000000"/>
              <w:right w:val="nil"/>
            </w:tcBorders>
            <w:vAlign w:val="center"/>
          </w:tcPr>
          <w:p w14:paraId="41B3C182"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2.14±0.61</w:t>
            </w:r>
          </w:p>
        </w:tc>
        <w:tc>
          <w:tcPr>
            <w:tcW w:w="1202" w:type="dxa"/>
            <w:tcBorders>
              <w:top w:val="single" w:sz="4" w:space="0" w:color="000000"/>
              <w:left w:val="nil"/>
              <w:bottom w:val="single" w:sz="4" w:space="0" w:color="000000"/>
              <w:right w:val="nil"/>
            </w:tcBorders>
            <w:vAlign w:val="center"/>
          </w:tcPr>
          <w:p w14:paraId="28137211"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2.11±0.78</w:t>
            </w:r>
          </w:p>
        </w:tc>
        <w:tc>
          <w:tcPr>
            <w:tcW w:w="1214" w:type="dxa"/>
            <w:tcBorders>
              <w:top w:val="single" w:sz="4" w:space="0" w:color="000000"/>
              <w:left w:val="nil"/>
              <w:bottom w:val="single" w:sz="4" w:space="0" w:color="000000"/>
              <w:right w:val="nil"/>
            </w:tcBorders>
            <w:vAlign w:val="center"/>
          </w:tcPr>
          <w:p w14:paraId="0D0BC7DA"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1.91±0.74</w:t>
            </w:r>
          </w:p>
        </w:tc>
        <w:tc>
          <w:tcPr>
            <w:tcW w:w="1916" w:type="dxa"/>
            <w:tcBorders>
              <w:top w:val="single" w:sz="4" w:space="0" w:color="000000"/>
              <w:left w:val="nil"/>
              <w:bottom w:val="single" w:sz="4" w:space="0" w:color="000000"/>
              <w:right w:val="nil"/>
            </w:tcBorders>
            <w:vAlign w:val="center"/>
          </w:tcPr>
          <w:p w14:paraId="17FEA939"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1.98±1.13</w:t>
            </w:r>
          </w:p>
        </w:tc>
        <w:tc>
          <w:tcPr>
            <w:tcW w:w="1669" w:type="dxa"/>
            <w:tcBorders>
              <w:top w:val="single" w:sz="4" w:space="0" w:color="000000"/>
              <w:left w:val="nil"/>
              <w:bottom w:val="single" w:sz="4" w:space="0" w:color="000000"/>
              <w:right w:val="nil"/>
            </w:tcBorders>
            <w:vAlign w:val="center"/>
          </w:tcPr>
          <w:p w14:paraId="1FAEBDEF"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None </w:t>
            </w:r>
          </w:p>
        </w:tc>
        <w:tc>
          <w:tcPr>
            <w:tcW w:w="1012" w:type="dxa"/>
            <w:tcBorders>
              <w:top w:val="single" w:sz="4" w:space="0" w:color="000000"/>
              <w:left w:val="nil"/>
              <w:bottom w:val="single" w:sz="4" w:space="0" w:color="000000"/>
              <w:right w:val="nil"/>
            </w:tcBorders>
            <w:vAlign w:val="center"/>
          </w:tcPr>
          <w:p w14:paraId="0DB94595"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ns</w:t>
            </w:r>
          </w:p>
        </w:tc>
      </w:tr>
    </w:tbl>
    <w:p w14:paraId="313BFBE8" w14:textId="283E3654" w:rsidR="00984508" w:rsidRDefault="00000000">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*SIRI: Systemic Inflammation Response Index; SD: Standard Deviation; ns: not significant; LLIs: Long-Lived Individuals. p-values obtained from the one-way ANOVA test are reported. p-values &gt;0.05 is not significant.</w:t>
      </w:r>
    </w:p>
    <w:p w14:paraId="653BC7CC" w14:textId="77777777" w:rsidR="00984508" w:rsidRDefault="00984508"/>
    <w:p w14:paraId="416CD91E" w14:textId="77777777" w:rsidR="00984508" w:rsidRDefault="00000000">
      <w:r>
        <w:br w:type="page"/>
      </w:r>
    </w:p>
    <w:p w14:paraId="07D21EFB" w14:textId="77777777" w:rsidR="00984508" w:rsidRDefault="00000000">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Table S3.</w:t>
      </w:r>
      <w:r>
        <w:rPr>
          <w:rFonts w:ascii="Palatino Linotype" w:eastAsia="Palatino Linotype" w:hAnsi="Palatino Linotype" w:cs="Palatino Linotype"/>
          <w:sz w:val="18"/>
          <w:szCs w:val="18"/>
        </w:rPr>
        <w:t xml:space="preserve"> </w:t>
      </w:r>
      <w:r>
        <w:rPr>
          <w:rFonts w:ascii="Palatino Linotype" w:eastAsia="Palatino Linotype" w:hAnsi="Palatino Linotype" w:cs="Palatino Linotype"/>
          <w:b/>
          <w:sz w:val="18"/>
          <w:szCs w:val="18"/>
        </w:rPr>
        <w:t>T</w:t>
      </w:r>
      <w:r>
        <w:rPr>
          <w:rFonts w:ascii="Palatino Linotype" w:eastAsia="Palatino Linotype" w:hAnsi="Palatino Linotype" w:cs="Palatino Linotype"/>
          <w:b/>
          <w:sz w:val="18"/>
          <w:szCs w:val="18"/>
          <w:vertAlign w:val="subscript"/>
        </w:rPr>
        <w:t>N</w:t>
      </w:r>
      <w:r>
        <w:rPr>
          <w:rFonts w:ascii="Palatino Linotype" w:eastAsia="Palatino Linotype" w:hAnsi="Palatino Linotype" w:cs="Palatino Linotype"/>
          <w:b/>
          <w:sz w:val="18"/>
          <w:szCs w:val="18"/>
        </w:rPr>
        <w:t>-T</w:t>
      </w:r>
      <w:r>
        <w:rPr>
          <w:rFonts w:ascii="Palatino Linotype" w:eastAsia="Palatino Linotype" w:hAnsi="Palatino Linotype" w:cs="Palatino Linotype"/>
          <w:b/>
          <w:sz w:val="18"/>
          <w:szCs w:val="18"/>
          <w:vertAlign w:val="subscript"/>
        </w:rPr>
        <w:t>M</w:t>
      </w:r>
      <w:r>
        <w:rPr>
          <w:rFonts w:ascii="Palatino Linotype" w:eastAsia="Palatino Linotype" w:hAnsi="Palatino Linotype" w:cs="Palatino Linotype"/>
          <w:b/>
          <w:sz w:val="18"/>
          <w:szCs w:val="18"/>
        </w:rPr>
        <w:t xml:space="preserve"> parameters</w:t>
      </w:r>
      <w:r>
        <w:rPr>
          <w:rFonts w:ascii="Palatino Linotype" w:eastAsia="Palatino Linotype" w:hAnsi="Palatino Linotype" w:cs="Palatino Linotype"/>
          <w:sz w:val="18"/>
          <w:szCs w:val="18"/>
        </w:rPr>
        <w:t xml:space="preserve">. </w:t>
      </w:r>
      <w:proofErr w:type="spellStart"/>
      <w:r>
        <w:rPr>
          <w:rFonts w:ascii="Palatino Linotype" w:eastAsia="Palatino Linotype" w:hAnsi="Palatino Linotype" w:cs="Palatino Linotype"/>
          <w:sz w:val="18"/>
          <w:szCs w:val="18"/>
        </w:rPr>
        <w:t>Mean±SD</w:t>
      </w:r>
      <w:proofErr w:type="spellEnd"/>
      <w:r>
        <w:rPr>
          <w:rFonts w:ascii="Palatino Linotype" w:eastAsia="Palatino Linotype" w:hAnsi="Palatino Linotype" w:cs="Palatino Linotype"/>
          <w:sz w:val="18"/>
          <w:szCs w:val="18"/>
        </w:rPr>
        <w:t xml:space="preserve"> of CD4</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xml:space="preserve"> and CD8</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xml:space="preserve"> T</w:t>
      </w:r>
      <w:r>
        <w:rPr>
          <w:rFonts w:ascii="Palatino Linotype" w:eastAsia="Palatino Linotype" w:hAnsi="Palatino Linotype" w:cs="Palatino Linotype"/>
          <w:sz w:val="18"/>
          <w:szCs w:val="18"/>
          <w:vertAlign w:val="subscript"/>
        </w:rPr>
        <w:t>N</w:t>
      </w:r>
      <w:r>
        <w:rPr>
          <w:rFonts w:ascii="Palatino Linotype" w:eastAsia="Palatino Linotype" w:hAnsi="Palatino Linotype" w:cs="Palatino Linotype"/>
          <w:sz w:val="18"/>
          <w:szCs w:val="18"/>
        </w:rPr>
        <w:t>-T</w:t>
      </w:r>
      <w:r>
        <w:rPr>
          <w:rFonts w:ascii="Palatino Linotype" w:eastAsia="Palatino Linotype" w:hAnsi="Palatino Linotype" w:cs="Palatino Linotype"/>
          <w:sz w:val="18"/>
          <w:szCs w:val="18"/>
          <w:vertAlign w:val="subscript"/>
        </w:rPr>
        <w:t>M</w:t>
      </w:r>
      <w:r>
        <w:rPr>
          <w:rFonts w:ascii="Palatino Linotype" w:eastAsia="Palatino Linotype" w:hAnsi="Palatino Linotype" w:cs="Palatino Linotype"/>
          <w:sz w:val="18"/>
          <w:szCs w:val="18"/>
        </w:rPr>
        <w:t xml:space="preserve"> according to age groups.</w:t>
      </w:r>
    </w:p>
    <w:tbl>
      <w:tblPr>
        <w:tblStyle w:val="a1"/>
        <w:tblW w:w="10114"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789"/>
        <w:gridCol w:w="1216"/>
        <w:gridCol w:w="1216"/>
        <w:gridCol w:w="1216"/>
        <w:gridCol w:w="1916"/>
        <w:gridCol w:w="1854"/>
        <w:gridCol w:w="907"/>
      </w:tblGrid>
      <w:tr w:rsidR="00984508" w14:paraId="10AAD76A" w14:textId="77777777">
        <w:tc>
          <w:tcPr>
            <w:tcW w:w="1789" w:type="dxa"/>
            <w:vAlign w:val="center"/>
          </w:tcPr>
          <w:p w14:paraId="22FB36D0"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Variable</w:t>
            </w:r>
          </w:p>
        </w:tc>
        <w:tc>
          <w:tcPr>
            <w:tcW w:w="1216" w:type="dxa"/>
            <w:vAlign w:val="center"/>
          </w:tcPr>
          <w:p w14:paraId="1A7282CF"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Adults</w:t>
            </w:r>
          </w:p>
          <w:p w14:paraId="36111059"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(N= 20)</w:t>
            </w:r>
          </w:p>
        </w:tc>
        <w:tc>
          <w:tcPr>
            <w:tcW w:w="1216" w:type="dxa"/>
            <w:vAlign w:val="center"/>
          </w:tcPr>
          <w:p w14:paraId="47ACF54E"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Older</w:t>
            </w:r>
          </w:p>
          <w:p w14:paraId="514B9C68"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(N= 15)</w:t>
            </w:r>
          </w:p>
        </w:tc>
        <w:tc>
          <w:tcPr>
            <w:tcW w:w="1216" w:type="dxa"/>
            <w:vAlign w:val="center"/>
          </w:tcPr>
          <w:p w14:paraId="5CBC3146"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LLIs</w:t>
            </w:r>
          </w:p>
          <w:p w14:paraId="3ABB2F0F"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(N= 11)</w:t>
            </w:r>
          </w:p>
        </w:tc>
        <w:tc>
          <w:tcPr>
            <w:tcW w:w="1916" w:type="dxa"/>
            <w:vAlign w:val="center"/>
          </w:tcPr>
          <w:p w14:paraId="3A092A1E"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Semi- and Supercentenarians</w:t>
            </w:r>
          </w:p>
          <w:p w14:paraId="0CA1884F"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(N= 8)</w:t>
            </w:r>
          </w:p>
        </w:tc>
        <w:tc>
          <w:tcPr>
            <w:tcW w:w="1854" w:type="dxa"/>
            <w:vAlign w:val="center"/>
          </w:tcPr>
          <w:p w14:paraId="2BF6F626"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Significant comparisons</w:t>
            </w:r>
          </w:p>
        </w:tc>
        <w:tc>
          <w:tcPr>
            <w:tcW w:w="907" w:type="dxa"/>
            <w:vAlign w:val="center"/>
          </w:tcPr>
          <w:p w14:paraId="3C4DD32A"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p-value</w:t>
            </w:r>
          </w:p>
        </w:tc>
      </w:tr>
      <w:tr w:rsidR="00984508" w14:paraId="53CCB6FE" w14:textId="77777777">
        <w:tc>
          <w:tcPr>
            <w:tcW w:w="10114" w:type="dxa"/>
            <w:gridSpan w:val="7"/>
            <w:vAlign w:val="center"/>
          </w:tcPr>
          <w:p w14:paraId="0516B93B"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CD4</w:t>
            </w:r>
            <w:r>
              <w:rPr>
                <w:rFonts w:ascii="Palatino Linotype" w:eastAsia="Palatino Linotype" w:hAnsi="Palatino Linotype" w:cs="Palatino Linotype"/>
                <w:b/>
                <w:sz w:val="20"/>
                <w:szCs w:val="20"/>
                <w:vertAlign w:val="superscript"/>
              </w:rPr>
              <w:t>+</w:t>
            </w:r>
            <w:r>
              <w:rPr>
                <w:rFonts w:ascii="Palatino Linotype" w:eastAsia="Palatino Linotype" w:hAnsi="Palatino Linotype" w:cs="Palatino Linotype"/>
                <w:b/>
                <w:sz w:val="20"/>
                <w:szCs w:val="20"/>
              </w:rPr>
              <w:t xml:space="preserve"> T</w:t>
            </w:r>
            <w:r>
              <w:rPr>
                <w:rFonts w:ascii="Palatino Linotype" w:eastAsia="Palatino Linotype" w:hAnsi="Palatino Linotype" w:cs="Palatino Linotype"/>
                <w:b/>
                <w:sz w:val="20"/>
                <w:szCs w:val="20"/>
                <w:vertAlign w:val="subscript"/>
              </w:rPr>
              <w:t>N</w:t>
            </w:r>
            <w:r>
              <w:rPr>
                <w:rFonts w:ascii="Palatino Linotype" w:eastAsia="Palatino Linotype" w:hAnsi="Palatino Linotype" w:cs="Palatino Linotype"/>
                <w:b/>
                <w:sz w:val="20"/>
                <w:szCs w:val="20"/>
              </w:rPr>
              <w:t>-T</w:t>
            </w:r>
            <w:r>
              <w:rPr>
                <w:rFonts w:ascii="Palatino Linotype" w:eastAsia="Palatino Linotype" w:hAnsi="Palatino Linotype" w:cs="Palatino Linotype"/>
                <w:b/>
                <w:sz w:val="20"/>
                <w:szCs w:val="20"/>
                <w:vertAlign w:val="subscript"/>
              </w:rPr>
              <w:t>M</w:t>
            </w:r>
            <w:r>
              <w:rPr>
                <w:rFonts w:ascii="Palatino Linotype" w:eastAsia="Palatino Linotype" w:hAnsi="Palatino Linotype" w:cs="Palatino Linotype"/>
                <w:b/>
                <w:sz w:val="20"/>
                <w:szCs w:val="20"/>
              </w:rPr>
              <w:t xml:space="preserve"> parameters</w:t>
            </w:r>
          </w:p>
        </w:tc>
      </w:tr>
      <w:tr w:rsidR="00984508" w14:paraId="16F3623D" w14:textId="77777777">
        <w:tc>
          <w:tcPr>
            <w:tcW w:w="1789" w:type="dxa"/>
            <w:vAlign w:val="center"/>
          </w:tcPr>
          <w:p w14:paraId="6F950EB4"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CD4</w:t>
            </w:r>
            <w:r>
              <w:rPr>
                <w:rFonts w:ascii="Palatino Linotype" w:eastAsia="Palatino Linotype" w:hAnsi="Palatino Linotype" w:cs="Palatino Linotype"/>
                <w:b/>
                <w:sz w:val="20"/>
                <w:szCs w:val="20"/>
                <w:vertAlign w:val="superscript"/>
              </w:rPr>
              <w:t>+</w:t>
            </w:r>
            <w:r>
              <w:rPr>
                <w:rFonts w:ascii="Palatino Linotype" w:eastAsia="Palatino Linotype" w:hAnsi="Palatino Linotype" w:cs="Palatino Linotype"/>
                <w:b/>
                <w:sz w:val="20"/>
                <w:szCs w:val="20"/>
              </w:rPr>
              <w:t xml:space="preserve"> T</w:t>
            </w:r>
            <w:r>
              <w:rPr>
                <w:rFonts w:ascii="Palatino Linotype" w:eastAsia="Palatino Linotype" w:hAnsi="Palatino Linotype" w:cs="Palatino Linotype"/>
                <w:b/>
                <w:sz w:val="20"/>
                <w:szCs w:val="20"/>
                <w:vertAlign w:val="subscript"/>
              </w:rPr>
              <w:t>N</w:t>
            </w:r>
          </w:p>
        </w:tc>
        <w:tc>
          <w:tcPr>
            <w:tcW w:w="1216" w:type="dxa"/>
            <w:vAlign w:val="center"/>
          </w:tcPr>
          <w:p w14:paraId="446206D4"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29.83±16.79</w:t>
            </w:r>
          </w:p>
        </w:tc>
        <w:tc>
          <w:tcPr>
            <w:tcW w:w="1216" w:type="dxa"/>
            <w:vAlign w:val="center"/>
          </w:tcPr>
          <w:p w14:paraId="7FACBB2B"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26.21±17.66</w:t>
            </w:r>
          </w:p>
        </w:tc>
        <w:tc>
          <w:tcPr>
            <w:tcW w:w="1216" w:type="dxa"/>
            <w:vAlign w:val="center"/>
          </w:tcPr>
          <w:p w14:paraId="20955DC1"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20.21±19.82</w:t>
            </w:r>
          </w:p>
        </w:tc>
        <w:tc>
          <w:tcPr>
            <w:tcW w:w="1916" w:type="dxa"/>
            <w:vAlign w:val="center"/>
          </w:tcPr>
          <w:p w14:paraId="1D3A75C7"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19.49±12.6</w:t>
            </w:r>
          </w:p>
        </w:tc>
        <w:tc>
          <w:tcPr>
            <w:tcW w:w="1854" w:type="dxa"/>
            <w:vAlign w:val="center"/>
          </w:tcPr>
          <w:p w14:paraId="66C523C4"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None</w:t>
            </w:r>
          </w:p>
        </w:tc>
        <w:tc>
          <w:tcPr>
            <w:tcW w:w="907" w:type="dxa"/>
            <w:vAlign w:val="center"/>
          </w:tcPr>
          <w:p w14:paraId="33F9F331"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ns</w:t>
            </w:r>
          </w:p>
        </w:tc>
      </w:tr>
      <w:tr w:rsidR="00984508" w14:paraId="237D5DC2" w14:textId="77777777">
        <w:tc>
          <w:tcPr>
            <w:tcW w:w="1789" w:type="dxa"/>
            <w:vAlign w:val="center"/>
          </w:tcPr>
          <w:p w14:paraId="120C83EC"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CD4</w:t>
            </w:r>
            <w:r>
              <w:rPr>
                <w:rFonts w:ascii="Palatino Linotype" w:eastAsia="Palatino Linotype" w:hAnsi="Palatino Linotype" w:cs="Palatino Linotype"/>
                <w:b/>
                <w:sz w:val="20"/>
                <w:szCs w:val="20"/>
                <w:vertAlign w:val="superscript"/>
              </w:rPr>
              <w:t>+</w:t>
            </w:r>
            <w:r>
              <w:rPr>
                <w:rFonts w:ascii="Palatino Linotype" w:eastAsia="Palatino Linotype" w:hAnsi="Palatino Linotype" w:cs="Palatino Linotype"/>
                <w:b/>
                <w:sz w:val="20"/>
                <w:szCs w:val="20"/>
              </w:rPr>
              <w:t xml:space="preserve"> T</w:t>
            </w:r>
            <w:r>
              <w:rPr>
                <w:rFonts w:ascii="Palatino Linotype" w:eastAsia="Palatino Linotype" w:hAnsi="Palatino Linotype" w:cs="Palatino Linotype"/>
                <w:b/>
                <w:sz w:val="20"/>
                <w:szCs w:val="20"/>
                <w:vertAlign w:val="subscript"/>
              </w:rPr>
              <w:t>M</w:t>
            </w:r>
          </w:p>
        </w:tc>
        <w:tc>
          <w:tcPr>
            <w:tcW w:w="1216" w:type="dxa"/>
            <w:vAlign w:val="center"/>
          </w:tcPr>
          <w:p w14:paraId="052DAC56"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70.14±16.80</w:t>
            </w:r>
          </w:p>
        </w:tc>
        <w:tc>
          <w:tcPr>
            <w:tcW w:w="1216" w:type="dxa"/>
            <w:vAlign w:val="center"/>
          </w:tcPr>
          <w:p w14:paraId="44390A2D"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73.85±17.70</w:t>
            </w:r>
          </w:p>
        </w:tc>
        <w:tc>
          <w:tcPr>
            <w:tcW w:w="1216" w:type="dxa"/>
            <w:vAlign w:val="center"/>
          </w:tcPr>
          <w:p w14:paraId="5B483D42"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79.90±81.53</w:t>
            </w:r>
          </w:p>
        </w:tc>
        <w:tc>
          <w:tcPr>
            <w:tcW w:w="1916" w:type="dxa"/>
            <w:vAlign w:val="center"/>
          </w:tcPr>
          <w:p w14:paraId="7D62EFCE"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81.53±12.09</w:t>
            </w:r>
          </w:p>
        </w:tc>
        <w:tc>
          <w:tcPr>
            <w:tcW w:w="1854" w:type="dxa"/>
            <w:vAlign w:val="center"/>
          </w:tcPr>
          <w:p w14:paraId="5796A214"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None</w:t>
            </w:r>
          </w:p>
        </w:tc>
        <w:tc>
          <w:tcPr>
            <w:tcW w:w="907" w:type="dxa"/>
            <w:vAlign w:val="center"/>
          </w:tcPr>
          <w:p w14:paraId="48D4B700"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ns</w:t>
            </w:r>
          </w:p>
        </w:tc>
      </w:tr>
      <w:tr w:rsidR="00984508" w14:paraId="7D031DAB" w14:textId="77777777">
        <w:tc>
          <w:tcPr>
            <w:tcW w:w="10114" w:type="dxa"/>
            <w:gridSpan w:val="7"/>
            <w:vAlign w:val="center"/>
          </w:tcPr>
          <w:p w14:paraId="1B829E64"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CD8</w:t>
            </w:r>
            <w:r>
              <w:rPr>
                <w:rFonts w:ascii="Palatino Linotype" w:eastAsia="Palatino Linotype" w:hAnsi="Palatino Linotype" w:cs="Palatino Linotype"/>
                <w:b/>
                <w:sz w:val="20"/>
                <w:szCs w:val="20"/>
                <w:vertAlign w:val="superscript"/>
              </w:rPr>
              <w:t>+</w:t>
            </w:r>
            <w:r>
              <w:rPr>
                <w:rFonts w:ascii="Palatino Linotype" w:eastAsia="Palatino Linotype" w:hAnsi="Palatino Linotype" w:cs="Palatino Linotype"/>
                <w:b/>
                <w:sz w:val="20"/>
                <w:szCs w:val="20"/>
              </w:rPr>
              <w:t xml:space="preserve"> T</w:t>
            </w:r>
            <w:r>
              <w:rPr>
                <w:rFonts w:ascii="Palatino Linotype" w:eastAsia="Palatino Linotype" w:hAnsi="Palatino Linotype" w:cs="Palatino Linotype"/>
                <w:b/>
                <w:sz w:val="20"/>
                <w:szCs w:val="20"/>
                <w:vertAlign w:val="subscript"/>
              </w:rPr>
              <w:t>N</w:t>
            </w:r>
            <w:r>
              <w:rPr>
                <w:rFonts w:ascii="Palatino Linotype" w:eastAsia="Palatino Linotype" w:hAnsi="Palatino Linotype" w:cs="Palatino Linotype"/>
                <w:b/>
                <w:sz w:val="20"/>
                <w:szCs w:val="20"/>
              </w:rPr>
              <w:t>-T</w:t>
            </w:r>
            <w:r>
              <w:rPr>
                <w:rFonts w:ascii="Palatino Linotype" w:eastAsia="Palatino Linotype" w:hAnsi="Palatino Linotype" w:cs="Palatino Linotype"/>
                <w:b/>
                <w:sz w:val="20"/>
                <w:szCs w:val="20"/>
                <w:vertAlign w:val="subscript"/>
              </w:rPr>
              <w:t>M</w:t>
            </w:r>
            <w:r>
              <w:rPr>
                <w:rFonts w:ascii="Palatino Linotype" w:eastAsia="Palatino Linotype" w:hAnsi="Palatino Linotype" w:cs="Palatino Linotype"/>
                <w:b/>
                <w:sz w:val="20"/>
                <w:szCs w:val="20"/>
              </w:rPr>
              <w:t xml:space="preserve"> parameters</w:t>
            </w:r>
          </w:p>
        </w:tc>
      </w:tr>
      <w:tr w:rsidR="00984508" w14:paraId="6F948ECF" w14:textId="77777777">
        <w:tc>
          <w:tcPr>
            <w:tcW w:w="1789" w:type="dxa"/>
            <w:vMerge w:val="restart"/>
            <w:vAlign w:val="center"/>
          </w:tcPr>
          <w:p w14:paraId="7B9623ED"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CD8</w:t>
            </w:r>
            <w:r>
              <w:rPr>
                <w:rFonts w:ascii="Palatino Linotype" w:eastAsia="Palatino Linotype" w:hAnsi="Palatino Linotype" w:cs="Palatino Linotype"/>
                <w:b/>
                <w:sz w:val="20"/>
                <w:szCs w:val="20"/>
                <w:vertAlign w:val="superscript"/>
              </w:rPr>
              <w:t>+</w:t>
            </w:r>
            <w:r>
              <w:rPr>
                <w:rFonts w:ascii="Palatino Linotype" w:eastAsia="Palatino Linotype" w:hAnsi="Palatino Linotype" w:cs="Palatino Linotype"/>
                <w:b/>
                <w:sz w:val="20"/>
                <w:szCs w:val="20"/>
              </w:rPr>
              <w:t xml:space="preserve"> T</w:t>
            </w:r>
            <w:r>
              <w:rPr>
                <w:rFonts w:ascii="Palatino Linotype" w:eastAsia="Palatino Linotype" w:hAnsi="Palatino Linotype" w:cs="Palatino Linotype"/>
                <w:b/>
                <w:sz w:val="20"/>
                <w:szCs w:val="20"/>
                <w:vertAlign w:val="subscript"/>
              </w:rPr>
              <w:t>N</w:t>
            </w:r>
          </w:p>
        </w:tc>
        <w:tc>
          <w:tcPr>
            <w:tcW w:w="1216" w:type="dxa"/>
            <w:vMerge w:val="restart"/>
            <w:vAlign w:val="center"/>
          </w:tcPr>
          <w:p w14:paraId="49ED3036"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41.16±21.62</w:t>
            </w:r>
          </w:p>
        </w:tc>
        <w:tc>
          <w:tcPr>
            <w:tcW w:w="1216" w:type="dxa"/>
            <w:vMerge w:val="restart"/>
            <w:vAlign w:val="center"/>
          </w:tcPr>
          <w:p w14:paraId="2B5F5DDC"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23.28±11.09</w:t>
            </w:r>
          </w:p>
        </w:tc>
        <w:tc>
          <w:tcPr>
            <w:tcW w:w="1216" w:type="dxa"/>
            <w:vMerge w:val="restart"/>
            <w:vAlign w:val="center"/>
          </w:tcPr>
          <w:p w14:paraId="04A09D63"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20.91±16.01</w:t>
            </w:r>
          </w:p>
        </w:tc>
        <w:tc>
          <w:tcPr>
            <w:tcW w:w="1916" w:type="dxa"/>
            <w:vMerge w:val="restart"/>
            <w:vAlign w:val="center"/>
          </w:tcPr>
          <w:p w14:paraId="20C297FD"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18.31±14.36</w:t>
            </w:r>
          </w:p>
        </w:tc>
        <w:tc>
          <w:tcPr>
            <w:tcW w:w="1854" w:type="dxa"/>
            <w:tcBorders>
              <w:top w:val="single" w:sz="4" w:space="0" w:color="000000"/>
              <w:bottom w:val="nil"/>
            </w:tcBorders>
            <w:vAlign w:val="center"/>
          </w:tcPr>
          <w:p w14:paraId="644D8127"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Adults vs Older</w:t>
            </w:r>
          </w:p>
        </w:tc>
        <w:tc>
          <w:tcPr>
            <w:tcW w:w="907" w:type="dxa"/>
            <w:tcBorders>
              <w:top w:val="single" w:sz="4" w:space="0" w:color="000000"/>
              <w:bottom w:val="nil"/>
            </w:tcBorders>
            <w:vAlign w:val="center"/>
          </w:tcPr>
          <w:p w14:paraId="0C609082"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0.018</w:t>
            </w:r>
          </w:p>
        </w:tc>
      </w:tr>
      <w:tr w:rsidR="00984508" w14:paraId="2F041251" w14:textId="77777777">
        <w:tc>
          <w:tcPr>
            <w:tcW w:w="1789" w:type="dxa"/>
            <w:vMerge/>
            <w:vAlign w:val="center"/>
          </w:tcPr>
          <w:p w14:paraId="31379542"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3C65DAC5"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2A869095"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076575E1"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916" w:type="dxa"/>
            <w:vMerge/>
            <w:vAlign w:val="center"/>
          </w:tcPr>
          <w:p w14:paraId="5A67F2BB"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854" w:type="dxa"/>
            <w:tcBorders>
              <w:top w:val="nil"/>
              <w:bottom w:val="nil"/>
            </w:tcBorders>
            <w:vAlign w:val="center"/>
          </w:tcPr>
          <w:p w14:paraId="60D7E066"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Adults vs LLIs</w:t>
            </w:r>
          </w:p>
        </w:tc>
        <w:tc>
          <w:tcPr>
            <w:tcW w:w="907" w:type="dxa"/>
            <w:tcBorders>
              <w:top w:val="nil"/>
              <w:bottom w:val="nil"/>
            </w:tcBorders>
            <w:vAlign w:val="center"/>
          </w:tcPr>
          <w:p w14:paraId="54C89B8B"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0.014</w:t>
            </w:r>
          </w:p>
        </w:tc>
      </w:tr>
      <w:tr w:rsidR="00984508" w14:paraId="790B25D5" w14:textId="77777777">
        <w:tc>
          <w:tcPr>
            <w:tcW w:w="1789" w:type="dxa"/>
            <w:vMerge/>
            <w:vAlign w:val="center"/>
          </w:tcPr>
          <w:p w14:paraId="4A3F79B4"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002CC4CA"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5086170E"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432F4B3B"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916" w:type="dxa"/>
            <w:vMerge/>
            <w:vAlign w:val="center"/>
          </w:tcPr>
          <w:p w14:paraId="0865E1D1"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854" w:type="dxa"/>
            <w:tcBorders>
              <w:top w:val="nil"/>
              <w:bottom w:val="single" w:sz="4" w:space="0" w:color="000000"/>
            </w:tcBorders>
            <w:vAlign w:val="center"/>
          </w:tcPr>
          <w:p w14:paraId="4794B810"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Adults vs Semi- and Supercentenarians</w:t>
            </w:r>
          </w:p>
        </w:tc>
        <w:tc>
          <w:tcPr>
            <w:tcW w:w="907" w:type="dxa"/>
            <w:tcBorders>
              <w:top w:val="nil"/>
              <w:bottom w:val="single" w:sz="4" w:space="0" w:color="000000"/>
            </w:tcBorders>
            <w:vAlign w:val="center"/>
          </w:tcPr>
          <w:p w14:paraId="2F660CF0"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0.013</w:t>
            </w:r>
          </w:p>
        </w:tc>
      </w:tr>
      <w:tr w:rsidR="00984508" w14:paraId="0A15D89C" w14:textId="77777777">
        <w:tc>
          <w:tcPr>
            <w:tcW w:w="1789" w:type="dxa"/>
            <w:vMerge w:val="restart"/>
            <w:vAlign w:val="center"/>
          </w:tcPr>
          <w:p w14:paraId="3BB743A1" w14:textId="77777777" w:rsidR="00984508" w:rsidRDefault="0000000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CD8</w:t>
            </w:r>
            <w:r>
              <w:rPr>
                <w:rFonts w:ascii="Palatino Linotype" w:eastAsia="Palatino Linotype" w:hAnsi="Palatino Linotype" w:cs="Palatino Linotype"/>
                <w:b/>
                <w:sz w:val="20"/>
                <w:szCs w:val="20"/>
                <w:vertAlign w:val="superscript"/>
              </w:rPr>
              <w:t>+</w:t>
            </w:r>
            <w:r>
              <w:rPr>
                <w:rFonts w:ascii="Palatino Linotype" w:eastAsia="Palatino Linotype" w:hAnsi="Palatino Linotype" w:cs="Palatino Linotype"/>
                <w:b/>
                <w:sz w:val="20"/>
                <w:szCs w:val="20"/>
              </w:rPr>
              <w:t xml:space="preserve"> T</w:t>
            </w:r>
            <w:r>
              <w:rPr>
                <w:rFonts w:ascii="Palatino Linotype" w:eastAsia="Palatino Linotype" w:hAnsi="Palatino Linotype" w:cs="Palatino Linotype"/>
                <w:b/>
                <w:sz w:val="20"/>
                <w:szCs w:val="20"/>
                <w:vertAlign w:val="subscript"/>
              </w:rPr>
              <w:t>M</w:t>
            </w:r>
          </w:p>
        </w:tc>
        <w:tc>
          <w:tcPr>
            <w:tcW w:w="1216" w:type="dxa"/>
            <w:vMerge w:val="restart"/>
            <w:vAlign w:val="center"/>
          </w:tcPr>
          <w:p w14:paraId="00AA5D05"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58.95±21.67</w:t>
            </w:r>
          </w:p>
        </w:tc>
        <w:tc>
          <w:tcPr>
            <w:tcW w:w="1216" w:type="dxa"/>
            <w:vMerge w:val="restart"/>
            <w:vAlign w:val="center"/>
          </w:tcPr>
          <w:p w14:paraId="22BF4104"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75.97±10.83</w:t>
            </w:r>
          </w:p>
        </w:tc>
        <w:tc>
          <w:tcPr>
            <w:tcW w:w="1216" w:type="dxa"/>
            <w:vMerge w:val="restart"/>
            <w:vAlign w:val="center"/>
          </w:tcPr>
          <w:p w14:paraId="1E2DF2C6"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79.07±16</w:t>
            </w:r>
          </w:p>
        </w:tc>
        <w:tc>
          <w:tcPr>
            <w:tcW w:w="1916" w:type="dxa"/>
            <w:vMerge w:val="restart"/>
            <w:vAlign w:val="center"/>
          </w:tcPr>
          <w:p w14:paraId="63C75D5F"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81.70±14.36 </w:t>
            </w:r>
          </w:p>
        </w:tc>
        <w:tc>
          <w:tcPr>
            <w:tcW w:w="1854" w:type="dxa"/>
            <w:tcBorders>
              <w:top w:val="single" w:sz="4" w:space="0" w:color="000000"/>
              <w:bottom w:val="nil"/>
            </w:tcBorders>
            <w:vAlign w:val="center"/>
          </w:tcPr>
          <w:p w14:paraId="7255F9FC"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Adults vs Older</w:t>
            </w:r>
          </w:p>
        </w:tc>
        <w:tc>
          <w:tcPr>
            <w:tcW w:w="907" w:type="dxa"/>
            <w:tcBorders>
              <w:top w:val="single" w:sz="4" w:space="0" w:color="000000"/>
              <w:bottom w:val="nil"/>
            </w:tcBorders>
            <w:vAlign w:val="center"/>
          </w:tcPr>
          <w:p w14:paraId="6764336D"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0.026</w:t>
            </w:r>
          </w:p>
        </w:tc>
      </w:tr>
      <w:tr w:rsidR="00984508" w14:paraId="0FBAEC41" w14:textId="77777777">
        <w:tc>
          <w:tcPr>
            <w:tcW w:w="1789" w:type="dxa"/>
            <w:vMerge/>
            <w:vAlign w:val="center"/>
          </w:tcPr>
          <w:p w14:paraId="03237D64"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038E18F5"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7D60283F"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6CF50763"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916" w:type="dxa"/>
            <w:vMerge/>
            <w:vAlign w:val="center"/>
          </w:tcPr>
          <w:p w14:paraId="0F296478"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854" w:type="dxa"/>
            <w:tcBorders>
              <w:top w:val="nil"/>
              <w:bottom w:val="nil"/>
            </w:tcBorders>
            <w:vAlign w:val="center"/>
          </w:tcPr>
          <w:p w14:paraId="41FFFAAD"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Adults vs LLIs</w:t>
            </w:r>
          </w:p>
        </w:tc>
        <w:tc>
          <w:tcPr>
            <w:tcW w:w="907" w:type="dxa"/>
            <w:tcBorders>
              <w:top w:val="nil"/>
              <w:bottom w:val="nil"/>
            </w:tcBorders>
            <w:vAlign w:val="center"/>
          </w:tcPr>
          <w:p w14:paraId="1440A9B3"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0.015</w:t>
            </w:r>
          </w:p>
        </w:tc>
      </w:tr>
      <w:tr w:rsidR="00984508" w14:paraId="7F1402BB" w14:textId="77777777">
        <w:tc>
          <w:tcPr>
            <w:tcW w:w="1789" w:type="dxa"/>
            <w:vMerge/>
            <w:vAlign w:val="center"/>
          </w:tcPr>
          <w:p w14:paraId="1106443F"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3874D511"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751EBF25"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216" w:type="dxa"/>
            <w:vMerge/>
            <w:vAlign w:val="center"/>
          </w:tcPr>
          <w:p w14:paraId="3797E3B4"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916" w:type="dxa"/>
            <w:vMerge/>
            <w:vAlign w:val="center"/>
          </w:tcPr>
          <w:p w14:paraId="59075492" w14:textId="77777777" w:rsidR="00984508" w:rsidRDefault="00984508">
            <w:pPr>
              <w:widowControl w:val="0"/>
              <w:spacing w:line="276" w:lineRule="auto"/>
              <w:rPr>
                <w:rFonts w:ascii="Palatino Linotype" w:eastAsia="Palatino Linotype" w:hAnsi="Palatino Linotype" w:cs="Palatino Linotype"/>
                <w:sz w:val="20"/>
                <w:szCs w:val="20"/>
              </w:rPr>
            </w:pPr>
          </w:p>
        </w:tc>
        <w:tc>
          <w:tcPr>
            <w:tcW w:w="1854" w:type="dxa"/>
            <w:tcBorders>
              <w:top w:val="nil"/>
              <w:bottom w:val="single" w:sz="4" w:space="0" w:color="000000"/>
            </w:tcBorders>
            <w:vAlign w:val="center"/>
          </w:tcPr>
          <w:p w14:paraId="09443943"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Adults vs Semi- and Supercentenarians</w:t>
            </w:r>
          </w:p>
        </w:tc>
        <w:tc>
          <w:tcPr>
            <w:tcW w:w="907" w:type="dxa"/>
            <w:tcBorders>
              <w:top w:val="nil"/>
              <w:bottom w:val="single" w:sz="4" w:space="0" w:color="000000"/>
            </w:tcBorders>
            <w:vAlign w:val="center"/>
          </w:tcPr>
          <w:p w14:paraId="1955791D" w14:textId="77777777" w:rsidR="00984508" w:rsidRDefault="0000000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0.013</w:t>
            </w:r>
          </w:p>
        </w:tc>
      </w:tr>
    </w:tbl>
    <w:p w14:paraId="3DB9BECA" w14:textId="75B70FDA" w:rsidR="00984508" w:rsidRDefault="00000000">
      <w:pPr>
        <w:spacing w:after="200" w:line="276" w:lineRule="auto"/>
        <w:jc w:val="both"/>
      </w:pPr>
      <w:r>
        <w:rPr>
          <w:rFonts w:ascii="Palatino Linotype" w:eastAsia="Palatino Linotype" w:hAnsi="Palatino Linotype" w:cs="Palatino Linotype"/>
          <w:sz w:val="18"/>
          <w:szCs w:val="18"/>
        </w:rPr>
        <w:t>*SD: Standard Deviation; ns: not significative; LLIs: Long-Lived Individuals; T</w:t>
      </w:r>
      <w:r>
        <w:rPr>
          <w:rFonts w:ascii="Palatino Linotype" w:eastAsia="Palatino Linotype" w:hAnsi="Palatino Linotype" w:cs="Palatino Linotype"/>
          <w:sz w:val="18"/>
          <w:szCs w:val="18"/>
          <w:vertAlign w:val="subscript"/>
        </w:rPr>
        <w:t>N</w:t>
      </w:r>
      <w:r>
        <w:rPr>
          <w:rFonts w:ascii="Palatino Linotype" w:eastAsia="Palatino Linotype" w:hAnsi="Palatino Linotype" w:cs="Palatino Linotype"/>
          <w:sz w:val="18"/>
          <w:szCs w:val="18"/>
        </w:rPr>
        <w:t>: T Naïve (CD45RA</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CD27</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T</w:t>
      </w:r>
      <w:r>
        <w:rPr>
          <w:rFonts w:ascii="Palatino Linotype" w:eastAsia="Palatino Linotype" w:hAnsi="Palatino Linotype" w:cs="Palatino Linotype"/>
          <w:sz w:val="18"/>
          <w:szCs w:val="18"/>
          <w:vertAlign w:val="subscript"/>
        </w:rPr>
        <w:t>M</w:t>
      </w:r>
      <w:r>
        <w:rPr>
          <w:rFonts w:ascii="Palatino Linotype" w:eastAsia="Palatino Linotype" w:hAnsi="Palatino Linotype" w:cs="Palatino Linotype"/>
          <w:sz w:val="18"/>
          <w:szCs w:val="18"/>
        </w:rPr>
        <w:t>: T</w:t>
      </w:r>
      <w:r>
        <w:rPr>
          <w:rFonts w:ascii="Palatino Linotype" w:eastAsia="Palatino Linotype" w:hAnsi="Palatino Linotype" w:cs="Palatino Linotype"/>
          <w:sz w:val="18"/>
          <w:szCs w:val="18"/>
          <w:vertAlign w:val="subscript"/>
        </w:rPr>
        <w:t>CM</w:t>
      </w:r>
      <w:r>
        <w:rPr>
          <w:rFonts w:ascii="Palatino Linotype" w:eastAsia="Palatino Linotype" w:hAnsi="Palatino Linotype" w:cs="Palatino Linotype"/>
          <w:sz w:val="18"/>
          <w:szCs w:val="18"/>
        </w:rPr>
        <w:t xml:space="preserve"> (CD45RA</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CD27</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 T</w:t>
      </w:r>
      <w:r>
        <w:rPr>
          <w:rFonts w:ascii="Palatino Linotype" w:eastAsia="Palatino Linotype" w:hAnsi="Palatino Linotype" w:cs="Palatino Linotype"/>
          <w:sz w:val="18"/>
          <w:szCs w:val="18"/>
          <w:vertAlign w:val="subscript"/>
        </w:rPr>
        <w:t>EM</w:t>
      </w:r>
      <w:r>
        <w:rPr>
          <w:rFonts w:ascii="Palatino Linotype" w:eastAsia="Palatino Linotype" w:hAnsi="Palatino Linotype" w:cs="Palatino Linotype"/>
          <w:sz w:val="18"/>
          <w:szCs w:val="18"/>
        </w:rPr>
        <w:t xml:space="preserve"> (CD45RA</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CD27</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 T</w:t>
      </w:r>
      <w:r>
        <w:rPr>
          <w:rFonts w:ascii="Palatino Linotype" w:eastAsia="Palatino Linotype" w:hAnsi="Palatino Linotype" w:cs="Palatino Linotype"/>
          <w:sz w:val="18"/>
          <w:szCs w:val="18"/>
          <w:vertAlign w:val="subscript"/>
        </w:rPr>
        <w:t>EMRA</w:t>
      </w:r>
      <w:r>
        <w:rPr>
          <w:rFonts w:ascii="Palatino Linotype" w:eastAsia="Palatino Linotype" w:hAnsi="Palatino Linotype" w:cs="Palatino Linotype"/>
          <w:sz w:val="18"/>
          <w:szCs w:val="18"/>
        </w:rPr>
        <w:t xml:space="preserve"> (CD45RA</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CD27</w:t>
      </w:r>
      <w:r>
        <w:rPr>
          <w:rFonts w:ascii="Palatino Linotype" w:eastAsia="Palatino Linotype" w:hAnsi="Palatino Linotype" w:cs="Palatino Linotype"/>
          <w:sz w:val="18"/>
          <w:szCs w:val="18"/>
          <w:vertAlign w:val="superscript"/>
        </w:rPr>
        <w:t>-</w:t>
      </w:r>
      <w:r>
        <w:rPr>
          <w:rFonts w:ascii="Palatino Linotype" w:eastAsia="Palatino Linotype" w:hAnsi="Palatino Linotype" w:cs="Palatino Linotype"/>
          <w:sz w:val="18"/>
          <w:szCs w:val="18"/>
        </w:rPr>
        <w:t>). p-values obtained from the one-way ANOVA test are reported. p-values &gt;0.05 is not significant.</w:t>
      </w:r>
    </w:p>
    <w:sectPr w:rsidR="00984508">
      <w:footerReference w:type="even" r:id="rId12"/>
      <w:footerReference w:type="default" r:id="rId13"/>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9A5E7B" w14:textId="77777777" w:rsidR="00237EB6" w:rsidRDefault="00237EB6">
      <w:r>
        <w:separator/>
      </w:r>
    </w:p>
  </w:endnote>
  <w:endnote w:type="continuationSeparator" w:id="0">
    <w:p w14:paraId="36356E75" w14:textId="77777777" w:rsidR="00237EB6" w:rsidRDefault="00237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4B5D2F5-8F54-4604-8239-6EA66C8AF819}"/>
    <w:embedBold r:id="rId2" w:fontKey="{4023DD5D-E9BE-4F89-9967-528AD966E30E}"/>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ACFCE769-DAAB-4F33-975F-1DF1F03FE6A5}"/>
    <w:embedBold r:id="rId4" w:fontKey="{B3E2969A-E699-4614-A779-7D8C5AFAC620}"/>
    <w:embedItalic r:id="rId5" w:fontKey="{A52536B6-2663-49BD-8E17-E592EEBA0157}"/>
    <w:embedBoldItalic r:id="rId6" w:fontKey="{15A742DF-91FC-4D39-B328-5311D12F7735}"/>
  </w:font>
  <w:font w:name="Cordia New">
    <w:panose1 w:val="020B0304020202020204"/>
    <w:charset w:val="DE"/>
    <w:family w:val="swiss"/>
    <w:pitch w:val="variable"/>
    <w:sig w:usb0="81000003" w:usb1="00000000" w:usb2="00000000" w:usb3="00000000" w:csb0="00010001" w:csb1="00000000"/>
    <w:embedRegular r:id="rId7" w:fontKey="{F25A95D8-2C89-4ED2-8AEB-A8A38D5DCBAE}"/>
  </w:font>
  <w:font w:name="Georgia">
    <w:panose1 w:val="02040502050405020303"/>
    <w:charset w:val="00"/>
    <w:family w:val="roman"/>
    <w:pitch w:val="variable"/>
    <w:sig w:usb0="00000287" w:usb1="00000000" w:usb2="00000000" w:usb3="00000000" w:csb0="0000009F" w:csb1="00000000"/>
    <w:embedRegular r:id="rId8" w:fontKey="{DEE7AEED-FD2A-4CEF-88B9-4EDF15E0B30A}"/>
    <w:embedItalic r:id="rId9" w:fontKey="{35F9BD4D-FD75-4370-8315-F86E6B3F5E46}"/>
  </w:font>
  <w:font w:name="Calibri Light">
    <w:panose1 w:val="020F0302020204030204"/>
    <w:charset w:val="00"/>
    <w:family w:val="swiss"/>
    <w:pitch w:val="variable"/>
    <w:sig w:usb0="E4002EFF" w:usb1="C000247B" w:usb2="00000009" w:usb3="00000000" w:csb0="000001FF" w:csb1="00000000"/>
    <w:embedRegular r:id="rId10" w:fontKey="{B2366EA3-C0B3-4744-98C8-0DB558CDD1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AB846" w14:textId="77777777" w:rsidR="00984508"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ABC1D70" w14:textId="77777777" w:rsidR="00984508" w:rsidRDefault="00984508">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02912" w14:textId="77777777" w:rsidR="00984508"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6975E8">
      <w:rPr>
        <w:noProof/>
        <w:color w:val="000000"/>
      </w:rPr>
      <w:t>1</w:t>
    </w:r>
    <w:r>
      <w:rPr>
        <w:color w:val="000000"/>
      </w:rPr>
      <w:fldChar w:fldCharType="end"/>
    </w:r>
  </w:p>
  <w:p w14:paraId="51B47FB0" w14:textId="77777777" w:rsidR="00984508" w:rsidRDefault="00984508">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617EA" w14:textId="77777777" w:rsidR="00237EB6" w:rsidRDefault="00237EB6">
      <w:r>
        <w:separator/>
      </w:r>
    </w:p>
  </w:footnote>
  <w:footnote w:type="continuationSeparator" w:id="0">
    <w:p w14:paraId="644E4030" w14:textId="77777777" w:rsidR="00237EB6" w:rsidRDefault="00237E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508"/>
    <w:rsid w:val="000B453B"/>
    <w:rsid w:val="00237613"/>
    <w:rsid w:val="00237EB6"/>
    <w:rsid w:val="003A723E"/>
    <w:rsid w:val="006975E8"/>
    <w:rsid w:val="00984508"/>
    <w:rsid w:val="00CE0A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E8F2CF"/>
  <w15:docId w15:val="{E274EF5E-96EB-477E-B4CD-9CEF66C0C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MDPI51figurecaption">
    <w:name w:val="MDPI_5.1_figure_caption"/>
    <w:qFormat/>
    <w:rsid w:val="00CC35D4"/>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styleId="Pidipagina">
    <w:name w:val="footer"/>
    <w:basedOn w:val="Normale"/>
    <w:link w:val="PidipaginaCarattere"/>
    <w:uiPriority w:val="99"/>
    <w:unhideWhenUsed/>
    <w:rsid w:val="00CC35D4"/>
    <w:pPr>
      <w:tabs>
        <w:tab w:val="center" w:pos="4819"/>
        <w:tab w:val="right" w:pos="9638"/>
      </w:tabs>
    </w:pPr>
  </w:style>
  <w:style w:type="character" w:customStyle="1" w:styleId="PidipaginaCarattere">
    <w:name w:val="Piè di pagina Carattere"/>
    <w:basedOn w:val="Carpredefinitoparagrafo"/>
    <w:link w:val="Pidipagina"/>
    <w:uiPriority w:val="99"/>
    <w:rsid w:val="00CC35D4"/>
  </w:style>
  <w:style w:type="character" w:styleId="Numeropagina">
    <w:name w:val="page number"/>
    <w:basedOn w:val="Carpredefinitoparagrafo"/>
    <w:uiPriority w:val="99"/>
    <w:semiHidden/>
    <w:unhideWhenUsed/>
    <w:rsid w:val="00CC35D4"/>
  </w:style>
  <w:style w:type="paragraph" w:customStyle="1" w:styleId="MDPI41tablecaption">
    <w:name w:val="MDPI_4.1_table_caption"/>
    <w:qFormat/>
    <w:rsid w:val="00CC35D4"/>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val="en-US" w:eastAsia="de-DE" w:bidi="en-US"/>
    </w:rPr>
  </w:style>
  <w:style w:type="table" w:customStyle="1" w:styleId="Grigliatabella1">
    <w:name w:val="Griglia tabella1"/>
    <w:basedOn w:val="Tabellanormale"/>
    <w:next w:val="Grigliatabella"/>
    <w:uiPriority w:val="59"/>
    <w:rsid w:val="00885C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59"/>
    <w:rsid w:val="00885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left w:w="108" w:type="dxa"/>
        <w:right w:w="108" w:type="dxa"/>
      </w:tblCellMar>
    </w:tblPr>
  </w:style>
  <w:style w:type="table" w:customStyle="1" w:styleId="a0">
    <w:basedOn w:val="TableNormal"/>
    <w:rPr>
      <w:sz w:val="22"/>
      <w:szCs w:val="22"/>
    </w:rPr>
    <w:tblPr>
      <w:tblStyleRowBandSize w:val="1"/>
      <w:tblStyleColBandSize w:val="1"/>
      <w:tblCellMar>
        <w:left w:w="108" w:type="dxa"/>
        <w:right w:w="108" w:type="dxa"/>
      </w:tblCellMar>
    </w:tblPr>
  </w:style>
  <w:style w:type="table" w:customStyle="1" w:styleId="a1">
    <w:basedOn w:val="TableNormal"/>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Nx6xzD05Rd7wheNo+nIKeoRng==">CgMxLjAyCGguZ2pkZ3hzMgloLjMwajB6bGw4AGolChRzdWdnZXN0LjFhdGR1ZHd2aDluNRINQW5uYSBDYWxhYnJvJ2olChRzdWdnZXN0Lm4ydHN1aXY1a3ozZRINQW5uYSBDYWxhYnJvJ2omChRzdWdnZXN0LjRzMXFremY0MTI2bhIOR2l1bGlhIEFjY2FyZGlqJQoUc3VnZ2VzdC5icXQyOTh2aG43dXQSDUFubmEgQ2FsYWJybydqJQoUc3VnZ2VzdC41NHozZmplcm02eXgSDUFubmEgQ2FsYWJybydyITFjQ0ExbHlWOVBnQmdvUFgyaE5xRXgzU1BubmszQzh3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952</Words>
  <Characters>5623</Characters>
  <Application>Microsoft Office Word</Application>
  <DocSecurity>0</DocSecurity>
  <Lines>312</Lines>
  <Paragraphs>168</Paragraphs>
  <ScaleCrop>false</ScaleCrop>
  <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ANNA CALABRO'</cp:lastModifiedBy>
  <cp:revision>4</cp:revision>
  <dcterms:created xsi:type="dcterms:W3CDTF">2024-05-31T15:07:00Z</dcterms:created>
  <dcterms:modified xsi:type="dcterms:W3CDTF">2024-06-04T16:02:00Z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831de151b248a340fcaecd9748181c8485d302e62f612e7117983a563f2bfe01</vt:lpwstr>
  </property>
</Properties>
</file>