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5F12F4" w14:textId="77777777" w:rsidR="002E0529" w:rsidRPr="002E0529" w:rsidRDefault="002E0529" w:rsidP="002E0529">
      <w:pPr>
        <w:autoSpaceDE w:val="0"/>
        <w:autoSpaceDN w:val="0"/>
        <w:adjustRightInd w:val="0"/>
        <w:spacing w:line="360" w:lineRule="auto"/>
        <w:rPr>
          <w:rFonts w:ascii="Times New Roman" w:hAnsi="Times New Roman"/>
          <w:sz w:val="36"/>
          <w:szCs w:val="36"/>
          <w:lang w:val="en-US"/>
        </w:rPr>
      </w:pPr>
      <w:r w:rsidRPr="002E0529">
        <w:rPr>
          <w:rFonts w:ascii="Times New Roman" w:hAnsi="Times New Roman"/>
          <w:sz w:val="36"/>
          <w:szCs w:val="36"/>
          <w:lang w:val="en-US"/>
        </w:rPr>
        <w:t>Supplementary Materials of the article:</w:t>
      </w:r>
    </w:p>
    <w:p w14:paraId="3B37E244" w14:textId="77777777" w:rsidR="00256633" w:rsidRDefault="00256633" w:rsidP="00304564">
      <w:pPr>
        <w:contextualSpacing/>
        <w:jc w:val="both"/>
        <w:rPr>
          <w:rFonts w:ascii="Times New Roman" w:hAnsi="Times New Roman"/>
          <w:b/>
          <w:color w:val="000000" w:themeColor="text1"/>
          <w:sz w:val="40"/>
          <w:szCs w:val="40"/>
        </w:rPr>
      </w:pPr>
    </w:p>
    <w:p w14:paraId="71862BF6" w14:textId="77777777" w:rsidR="002E0529" w:rsidRPr="002E0529" w:rsidRDefault="002E0529" w:rsidP="002E0529">
      <w:pPr>
        <w:contextualSpacing/>
        <w:jc w:val="both"/>
        <w:rPr>
          <w:rFonts w:ascii="Times New Roman" w:hAnsi="Times New Roman"/>
          <w:b/>
          <w:color w:val="000000" w:themeColor="text1"/>
          <w:sz w:val="36"/>
          <w:szCs w:val="36"/>
        </w:rPr>
      </w:pPr>
    </w:p>
    <w:p w14:paraId="3C9F6DE8" w14:textId="77777777" w:rsidR="00256633" w:rsidRDefault="00256633" w:rsidP="002E0529">
      <w:pPr>
        <w:autoSpaceDE w:val="0"/>
        <w:autoSpaceDN w:val="0"/>
        <w:adjustRightInd w:val="0"/>
        <w:spacing w:line="360" w:lineRule="auto"/>
        <w:rPr>
          <w:rFonts w:ascii="Times New Roman" w:hAnsi="Times New Roman"/>
          <w:b/>
          <w:sz w:val="36"/>
          <w:szCs w:val="36"/>
          <w:lang w:val="en-US"/>
        </w:rPr>
      </w:pPr>
    </w:p>
    <w:p w14:paraId="7542C43C" w14:textId="77777777" w:rsidR="00F15B3D" w:rsidRDefault="0042453D">
      <w:pPr>
        <w:spacing w:after="160" w:line="259" w:lineRule="auto"/>
        <w:rPr>
          <w:rFonts w:ascii="Times New Roman" w:hAnsi="Times New Roman"/>
          <w:sz w:val="36"/>
          <w:szCs w:val="36"/>
          <w:lang w:val="en-US"/>
        </w:rPr>
      </w:pPr>
      <w:r w:rsidRPr="0042453D">
        <w:rPr>
          <w:rFonts w:ascii="Times New Roman" w:hAnsi="Times New Roman"/>
          <w:b/>
          <w:sz w:val="36"/>
          <w:szCs w:val="36"/>
          <w:lang w:val="en-US"/>
        </w:rPr>
        <w:t xml:space="preserve">Cytotoxicity and Chemotaxonomic Significance of Saponins from Wild and Cultured </w:t>
      </w:r>
      <w:r w:rsidRPr="00757653">
        <w:rPr>
          <w:rFonts w:ascii="Times New Roman" w:hAnsi="Times New Roman"/>
          <w:b/>
          <w:i/>
          <w:sz w:val="36"/>
          <w:szCs w:val="36"/>
          <w:lang w:val="en-US"/>
        </w:rPr>
        <w:t>Asparagus</w:t>
      </w:r>
      <w:r w:rsidRPr="0042453D">
        <w:rPr>
          <w:rFonts w:ascii="Times New Roman" w:hAnsi="Times New Roman"/>
          <w:b/>
          <w:sz w:val="36"/>
          <w:szCs w:val="36"/>
          <w:lang w:val="en-US"/>
        </w:rPr>
        <w:t xml:space="preserve"> Shoots</w:t>
      </w:r>
    </w:p>
    <w:p w14:paraId="4CC1687A" w14:textId="77777777" w:rsidR="00F15B3D" w:rsidRPr="00F15B3D" w:rsidRDefault="00F15B3D">
      <w:pPr>
        <w:spacing w:after="160" w:line="259" w:lineRule="auto"/>
        <w:rPr>
          <w:rFonts w:ascii="Times New Roman" w:hAnsi="Times New Roman"/>
          <w:b/>
          <w:sz w:val="36"/>
          <w:szCs w:val="36"/>
          <w:lang w:val="en-US"/>
        </w:rPr>
      </w:pPr>
    </w:p>
    <w:p w14:paraId="3D92A4F9" w14:textId="3BEAD7DC" w:rsidR="0042453D" w:rsidRDefault="00F15B3D">
      <w:pPr>
        <w:spacing w:after="160" w:line="259" w:lineRule="auto"/>
        <w:rPr>
          <w:rFonts w:ascii="Times New Roman" w:hAnsi="Times New Roman"/>
          <w:b/>
          <w:lang w:val="en-US"/>
        </w:rPr>
      </w:pPr>
      <w:r w:rsidRPr="00F15B3D">
        <w:rPr>
          <w:rFonts w:ascii="Times New Roman" w:hAnsi="Times New Roman"/>
          <w:b/>
          <w:sz w:val="36"/>
          <w:szCs w:val="36"/>
          <w:lang w:val="en-US"/>
        </w:rPr>
        <w:t xml:space="preserve">Supplementary File 1. </w:t>
      </w:r>
      <w:r w:rsidR="00560D33">
        <w:rPr>
          <w:rFonts w:ascii="Times New Roman" w:hAnsi="Times New Roman"/>
          <w:b/>
          <w:sz w:val="36"/>
          <w:szCs w:val="36"/>
          <w:lang w:val="en-US"/>
        </w:rPr>
        <w:t>Material and Methods</w:t>
      </w:r>
      <w:r w:rsidRPr="00F15B3D">
        <w:rPr>
          <w:rFonts w:ascii="Times New Roman" w:hAnsi="Times New Roman"/>
          <w:sz w:val="36"/>
          <w:szCs w:val="36"/>
          <w:lang w:val="en-US"/>
        </w:rPr>
        <w:t xml:space="preserve"> </w:t>
      </w:r>
      <w:r w:rsidR="0042453D">
        <w:rPr>
          <w:rFonts w:ascii="Times New Roman" w:hAnsi="Times New Roman"/>
          <w:b/>
          <w:lang w:val="en-US"/>
        </w:rPr>
        <w:br w:type="page"/>
      </w:r>
    </w:p>
    <w:p w14:paraId="1A04DDA0" w14:textId="33361BFC" w:rsidR="007F08B9" w:rsidRPr="007F08B9" w:rsidRDefault="007F08B9" w:rsidP="007F08B9">
      <w:pPr>
        <w:spacing w:after="160" w:line="360" w:lineRule="auto"/>
        <w:jc w:val="both"/>
        <w:rPr>
          <w:rFonts w:ascii="Times New Roman" w:hAnsi="Times New Roman"/>
          <w:b/>
          <w:iCs/>
          <w:lang w:val="en-US"/>
        </w:rPr>
      </w:pPr>
      <w:r w:rsidRPr="007F08B9">
        <w:rPr>
          <w:rFonts w:ascii="Times New Roman" w:hAnsi="Times New Roman"/>
          <w:b/>
          <w:iCs/>
          <w:lang w:val="en-US"/>
        </w:rPr>
        <w:lastRenderedPageBreak/>
        <w:t>1. Characterization of saponins by LC-MS</w:t>
      </w:r>
    </w:p>
    <w:p w14:paraId="0B0F6BF0" w14:textId="77777777" w:rsidR="007F08B9" w:rsidRPr="007F08B9" w:rsidRDefault="007F08B9" w:rsidP="007F08B9">
      <w:pPr>
        <w:spacing w:after="160" w:line="360" w:lineRule="auto"/>
        <w:jc w:val="both"/>
        <w:rPr>
          <w:rFonts w:ascii="Times New Roman" w:hAnsi="Times New Roman"/>
          <w:iCs/>
          <w:lang w:val="en-US"/>
        </w:rPr>
      </w:pPr>
      <w:r w:rsidRPr="007F08B9">
        <w:rPr>
          <w:rFonts w:ascii="Times New Roman" w:hAnsi="Times New Roman"/>
          <w:iCs/>
          <w:lang w:val="en-US"/>
        </w:rPr>
        <w:t>The chromatographic separations were performed on a Vanquish Flex Quaternary LC equipped with a reverse-phase C18 column (Hypersil Gold, 100 mm × 2.1 mm, 1.9 μm) at a flow rate of 0.3 mL/min. The compounds were separated with gradient elution using acidified water (H</w:t>
      </w:r>
      <w:r w:rsidRPr="007F08B9">
        <w:rPr>
          <w:rFonts w:ascii="Times New Roman" w:hAnsi="Times New Roman"/>
          <w:iCs/>
          <w:vertAlign w:val="subscript"/>
          <w:lang w:val="en-US"/>
        </w:rPr>
        <w:t>2</w:t>
      </w:r>
      <w:r w:rsidRPr="007F08B9">
        <w:rPr>
          <w:rFonts w:ascii="Times New Roman" w:hAnsi="Times New Roman"/>
          <w:iCs/>
          <w:lang w:val="en-US"/>
        </w:rPr>
        <w:t>O containing 0.1% formic acid) (A) and acetonitrile (B) as eluents at room temperature (30 ºC). The step gradient was as follows: 0-6 min 76% A; then, it was linearly decreased to 73% in 2 min, to 72% in 4 min, to 68% in 2 min, to 58% in 6 min, to 20% in 3 min and remained constant during 2 min. Later, it increased to 76% in 5 min and remained constant for 5 min. The total running time was 35 min. The injection volume was 10 μL.</w:t>
      </w:r>
    </w:p>
    <w:p w14:paraId="11360687" w14:textId="646D00BD" w:rsidR="007F08B9" w:rsidRDefault="007F08B9" w:rsidP="007F08B9">
      <w:pPr>
        <w:spacing w:after="160" w:line="360" w:lineRule="auto"/>
        <w:jc w:val="both"/>
        <w:rPr>
          <w:rFonts w:ascii="Times New Roman" w:hAnsi="Times New Roman"/>
          <w:iCs/>
          <w:lang w:val="en-US"/>
        </w:rPr>
      </w:pPr>
      <w:r w:rsidRPr="007F08B9">
        <w:rPr>
          <w:rFonts w:ascii="Times New Roman" w:hAnsi="Times New Roman"/>
          <w:iCs/>
          <w:lang w:val="en-US"/>
        </w:rPr>
        <w:t>The LC system is coupled to a single mass spectrometer Orbitrap Thermo Fisher Scientific (ExactiveTM, Thermo Fisher Scientific, Bremen, Germany) using an electrospray interface (ESI) (HESI-II, Thermo Fisher Scientific, San Jose, CA, USA) in positive and negative ion mode. ESI parameters were as follows: spray voltage, 4 kV; sheath gas (N</w:t>
      </w:r>
      <w:r w:rsidRPr="007F08B9">
        <w:rPr>
          <w:rFonts w:ascii="Times New Roman" w:hAnsi="Times New Roman"/>
          <w:iCs/>
          <w:vertAlign w:val="subscript"/>
          <w:lang w:val="en-US"/>
        </w:rPr>
        <w:t>2</w:t>
      </w:r>
      <w:r w:rsidRPr="007F08B9">
        <w:rPr>
          <w:rFonts w:ascii="Times New Roman" w:hAnsi="Times New Roman"/>
          <w:iCs/>
          <w:lang w:val="en-US"/>
        </w:rPr>
        <w:t>&gt;95%), 35 (adimensional); auxiliary gas (N</w:t>
      </w:r>
      <w:r w:rsidRPr="007F08B9">
        <w:rPr>
          <w:rFonts w:ascii="Times New Roman" w:hAnsi="Times New Roman"/>
          <w:iCs/>
          <w:vertAlign w:val="subscript"/>
          <w:lang w:val="en-US"/>
        </w:rPr>
        <w:t>2</w:t>
      </w:r>
      <w:r w:rsidRPr="007F08B9">
        <w:rPr>
          <w:rFonts w:ascii="Times New Roman" w:hAnsi="Times New Roman"/>
          <w:iCs/>
          <w:lang w:val="en-US"/>
        </w:rPr>
        <w:t>&gt;95%), 10 (adimensional); skimmer voltage, 18 V; capillary voltage, 35 V; tube lens voltage, 95 V; heater temperature, 305 °C; capillary temperature, 300 °C. Operating in Full Scan mode (mass resolving power of 70000 FWHM at m/z 200) and in data independent acquisition (DIA) mode (mass resolving power of 35000 FWHM at m/z 200) with HCD fragmentation with a collision energy (CE) of 30 eV and an isolation window of m/z 50. Mass range in the full scan experiments was set at m/z 90–1000. LC chromatograms were acquired using the external calibration mode and they were processed using XcaliburTM version 3.0, with Qualbrowser and Trace Finder 4.0 (Thermo Fisher Scientific, Les Ulis, France). Unknown analysis was carried out with Compound DiscovererTM version 2.1.</w:t>
      </w:r>
    </w:p>
    <w:p w14:paraId="50ECA686" w14:textId="355D2806" w:rsidR="007F08B9" w:rsidRPr="007F08B9" w:rsidRDefault="007F08B9" w:rsidP="007F08B9">
      <w:pPr>
        <w:spacing w:after="160" w:line="360" w:lineRule="auto"/>
        <w:jc w:val="both"/>
        <w:rPr>
          <w:rFonts w:ascii="Times New Roman" w:hAnsi="Times New Roman"/>
          <w:iCs/>
          <w:lang w:val="en-US"/>
        </w:rPr>
      </w:pPr>
      <w:r w:rsidRPr="007F08B9">
        <w:rPr>
          <w:rFonts w:ascii="Times New Roman" w:hAnsi="Times New Roman"/>
          <w:iCs/>
          <w:lang w:val="en-US"/>
        </w:rPr>
        <w:t xml:space="preserve">The LC coupled to Orbitrap MS is a powerful analytical technique used for identifying and quantifying </w:t>
      </w:r>
      <w:r w:rsidR="00486479">
        <w:rPr>
          <w:rFonts w:ascii="Times New Roman" w:hAnsi="Times New Roman"/>
          <w:iCs/>
          <w:lang w:val="en-US"/>
        </w:rPr>
        <w:t>saponins</w:t>
      </w:r>
      <w:r w:rsidRPr="007F08B9">
        <w:rPr>
          <w:rFonts w:ascii="Times New Roman" w:hAnsi="Times New Roman"/>
          <w:iCs/>
          <w:lang w:val="en-US"/>
        </w:rPr>
        <w:t>. Sensitivity and specificity are key performance parameters for this technique:</w:t>
      </w:r>
    </w:p>
    <w:p w14:paraId="21BD4058" w14:textId="77777777" w:rsidR="007F08B9" w:rsidRPr="007F08B9" w:rsidRDefault="007F08B9" w:rsidP="007F08B9">
      <w:pPr>
        <w:spacing w:after="160" w:line="360" w:lineRule="auto"/>
        <w:jc w:val="both"/>
        <w:rPr>
          <w:rFonts w:ascii="Times New Roman" w:hAnsi="Times New Roman"/>
          <w:iCs/>
          <w:lang w:val="en-US"/>
        </w:rPr>
      </w:pPr>
      <w:r w:rsidRPr="007F08B9">
        <w:rPr>
          <w:rFonts w:ascii="Times New Roman" w:hAnsi="Times New Roman"/>
          <w:i/>
          <w:iCs/>
          <w:lang w:val="en-US"/>
        </w:rPr>
        <w:t>Sensitivity:</w:t>
      </w:r>
      <w:r w:rsidRPr="007F08B9">
        <w:rPr>
          <w:rFonts w:ascii="Times New Roman" w:hAnsi="Times New Roman"/>
          <w:iCs/>
          <w:lang w:val="en-US"/>
        </w:rPr>
        <w:t xml:space="preserve"> Sensitivity refers to the ability of the LC-Orbitrap MS system to detect and quantify analytes at low concentrations. In LC-Orbitrap MS, sensitivity is often excellent due to the high-resolution capabilities of the Orbitrap mass analyzer and the sensitivity of modern LC systems. The instrument can detect analytes at very low </w:t>
      </w:r>
      <w:r w:rsidRPr="007F08B9">
        <w:rPr>
          <w:rFonts w:ascii="Times New Roman" w:hAnsi="Times New Roman"/>
          <w:iCs/>
          <w:lang w:val="en-US"/>
        </w:rPr>
        <w:lastRenderedPageBreak/>
        <w:t>concentrations, often in the low parts-per-billion (ppb) or even parts-per-trillion (ppt) range.</w:t>
      </w:r>
    </w:p>
    <w:p w14:paraId="2E15DDDC" w14:textId="0FEE8916" w:rsidR="00C2705D" w:rsidRDefault="007F08B9" w:rsidP="007F08B9">
      <w:pPr>
        <w:spacing w:after="160" w:line="360" w:lineRule="auto"/>
        <w:jc w:val="both"/>
        <w:rPr>
          <w:rFonts w:ascii="Times New Roman" w:hAnsi="Times New Roman"/>
          <w:iCs/>
          <w:lang w:val="en-US"/>
        </w:rPr>
      </w:pPr>
      <w:r w:rsidRPr="007F08B9">
        <w:rPr>
          <w:rFonts w:ascii="Times New Roman" w:hAnsi="Times New Roman"/>
          <w:i/>
          <w:iCs/>
          <w:lang w:val="en-US"/>
        </w:rPr>
        <w:t>Specificity:</w:t>
      </w:r>
      <w:r w:rsidRPr="007F08B9">
        <w:rPr>
          <w:rFonts w:ascii="Times New Roman" w:hAnsi="Times New Roman"/>
          <w:iCs/>
          <w:lang w:val="en-US"/>
        </w:rPr>
        <w:t xml:space="preserve"> Specificity refers to the ability of the LC-Orbitrap MS system to differentiate between analytes of interest and other compounds present in the sample matrix. The high resolution and mass accuracy of the Orbitrap mass analyzer contribute to excellent specificity by enabling precise determination of the mass-to-charge ratios (m/z) of analytes (up to 5 decimal points). Additionally, LC separation prior to MS analysis helps to resolve complex mixtures, further enhancing specificity. </w:t>
      </w:r>
    </w:p>
    <w:p w14:paraId="27789BC3" w14:textId="77777777" w:rsidR="008C2B23" w:rsidRDefault="008C2B23" w:rsidP="007F08B9">
      <w:pPr>
        <w:spacing w:after="160" w:line="360" w:lineRule="auto"/>
        <w:jc w:val="both"/>
        <w:rPr>
          <w:rFonts w:ascii="Times New Roman" w:hAnsi="Times New Roman"/>
          <w:iCs/>
          <w:lang w:val="en-US"/>
        </w:rPr>
      </w:pPr>
    </w:p>
    <w:p w14:paraId="100172B9" w14:textId="316FEE4D" w:rsidR="006B6D4C" w:rsidRPr="00C47561" w:rsidRDefault="00C2705D" w:rsidP="007F08B9">
      <w:pPr>
        <w:autoSpaceDE w:val="0"/>
        <w:autoSpaceDN w:val="0"/>
        <w:adjustRightInd w:val="0"/>
        <w:spacing w:line="360" w:lineRule="auto"/>
        <w:jc w:val="both"/>
        <w:rPr>
          <w:rFonts w:ascii="Times New Roman" w:hAnsi="Times New Roman"/>
          <w:b/>
          <w:iCs/>
          <w:lang w:val="en-US"/>
        </w:rPr>
      </w:pPr>
      <w:r>
        <w:rPr>
          <w:rFonts w:ascii="Times New Roman" w:hAnsi="Times New Roman"/>
          <w:b/>
          <w:iCs/>
          <w:lang w:val="en-US"/>
        </w:rPr>
        <w:t>2</w:t>
      </w:r>
      <w:r w:rsidR="008305D8" w:rsidRPr="00C47561">
        <w:rPr>
          <w:rFonts w:ascii="Times New Roman" w:hAnsi="Times New Roman"/>
          <w:b/>
          <w:iCs/>
          <w:lang w:val="en-US"/>
        </w:rPr>
        <w:t>.</w:t>
      </w:r>
      <w:r w:rsidR="006B6D4C" w:rsidRPr="00C47561">
        <w:rPr>
          <w:rFonts w:ascii="Times New Roman" w:hAnsi="Times New Roman"/>
          <w:b/>
        </w:rPr>
        <w:t xml:space="preserve"> </w:t>
      </w:r>
      <w:r w:rsidR="006B6D4C" w:rsidRPr="00C47561">
        <w:rPr>
          <w:rFonts w:ascii="Times New Roman" w:hAnsi="Times New Roman"/>
          <w:b/>
          <w:iCs/>
          <w:lang w:val="en-US"/>
        </w:rPr>
        <w:t>Cell assays</w:t>
      </w:r>
      <w:r w:rsidR="008305D8" w:rsidRPr="00C47561">
        <w:rPr>
          <w:rFonts w:ascii="Times New Roman" w:hAnsi="Times New Roman"/>
          <w:b/>
          <w:iCs/>
          <w:lang w:val="en-US"/>
        </w:rPr>
        <w:t xml:space="preserve"> </w:t>
      </w:r>
    </w:p>
    <w:p w14:paraId="75E10BDD" w14:textId="402357D2" w:rsidR="00FB766C" w:rsidRPr="00FB766C" w:rsidRDefault="00FB766C" w:rsidP="007F08B9">
      <w:pPr>
        <w:autoSpaceDE w:val="0"/>
        <w:autoSpaceDN w:val="0"/>
        <w:adjustRightInd w:val="0"/>
        <w:spacing w:line="360" w:lineRule="auto"/>
        <w:jc w:val="both"/>
        <w:rPr>
          <w:rFonts w:ascii="Times New Roman" w:hAnsi="Times New Roman"/>
          <w:bCs/>
          <w:lang w:val="en-US"/>
        </w:rPr>
      </w:pPr>
      <w:r w:rsidRPr="00FB766C">
        <w:rPr>
          <w:rFonts w:ascii="Times New Roman" w:hAnsi="Times New Roman"/>
          <w:bCs/>
          <w:lang w:val="en-US"/>
        </w:rPr>
        <w:t xml:space="preserve">The anticancer activity was determined for </w:t>
      </w:r>
      <w:r w:rsidR="0042453D">
        <w:rPr>
          <w:rFonts w:ascii="Times New Roman" w:hAnsi="Times New Roman"/>
          <w:bCs/>
          <w:lang w:val="en-US"/>
        </w:rPr>
        <w:t>saponin</w:t>
      </w:r>
      <w:r w:rsidRPr="00FB766C">
        <w:rPr>
          <w:rFonts w:ascii="Times New Roman" w:hAnsi="Times New Roman"/>
          <w:bCs/>
          <w:lang w:val="en-US"/>
        </w:rPr>
        <w:t xml:space="preserve"> extracts from </w:t>
      </w:r>
      <w:r w:rsidR="0042453D" w:rsidRPr="0042453D">
        <w:rPr>
          <w:rFonts w:ascii="Times New Roman" w:hAnsi="Times New Roman"/>
          <w:bCs/>
          <w:i/>
          <w:lang w:val="en-US"/>
        </w:rPr>
        <w:t xml:space="preserve">Asparagus </w:t>
      </w:r>
      <w:r w:rsidR="0042453D">
        <w:rPr>
          <w:rFonts w:ascii="Times New Roman" w:hAnsi="Times New Roman"/>
          <w:bCs/>
          <w:lang w:val="en-US"/>
        </w:rPr>
        <w:t>shoots</w:t>
      </w:r>
      <w:r w:rsidRPr="00FB766C">
        <w:rPr>
          <w:rFonts w:ascii="Times New Roman" w:hAnsi="Times New Roman"/>
          <w:bCs/>
          <w:lang w:val="en-US"/>
        </w:rPr>
        <w:t xml:space="preserve">. The HT-29 colon cancer cells line and the CCD-18 colonic human myofibroblasts cells line were used to check antiproliferative activities. Cultures were supplied by the Technical Instrumentation Service of the University of Granada (Granada, Spain). First, they were checked for the absence of </w:t>
      </w:r>
      <w:r w:rsidRPr="007F08B9">
        <w:rPr>
          <w:rFonts w:ascii="Times New Roman" w:hAnsi="Times New Roman"/>
          <w:bCs/>
          <w:i/>
          <w:lang w:val="en-US"/>
        </w:rPr>
        <w:t>Mycoplasma</w:t>
      </w:r>
      <w:r w:rsidRPr="00FB766C">
        <w:rPr>
          <w:rFonts w:ascii="Times New Roman" w:hAnsi="Times New Roman"/>
          <w:bCs/>
          <w:lang w:val="en-US"/>
        </w:rPr>
        <w:t xml:space="preserve"> and bacteria. Then, cells were grown at 37 °C and 5% CO</w:t>
      </w:r>
      <w:r w:rsidRPr="00C2705D">
        <w:rPr>
          <w:rFonts w:ascii="Times New Roman" w:hAnsi="Times New Roman"/>
          <w:bCs/>
          <w:vertAlign w:val="subscript"/>
          <w:lang w:val="en-US"/>
        </w:rPr>
        <w:t>2</w:t>
      </w:r>
      <w:r w:rsidRPr="00FB766C">
        <w:rPr>
          <w:rFonts w:ascii="Times New Roman" w:hAnsi="Times New Roman"/>
          <w:bCs/>
          <w:lang w:val="en-US"/>
        </w:rPr>
        <w:t xml:space="preserve"> humidified atmosphere in medium RPMI-1640 supplemented with 5% fetal bovine serum, 2 mM L-Glutamine, 1 mM sodium pyruvate, 0.125 mg/mL amphotericin, and 100 mg/mL penicillin-streptomycin. </w:t>
      </w:r>
    </w:p>
    <w:p w14:paraId="559126C7" w14:textId="2E794E20" w:rsidR="00FB766C" w:rsidRPr="00FB766C" w:rsidRDefault="00FB766C" w:rsidP="007F08B9">
      <w:pPr>
        <w:autoSpaceDE w:val="0"/>
        <w:autoSpaceDN w:val="0"/>
        <w:adjustRightInd w:val="0"/>
        <w:spacing w:line="360" w:lineRule="auto"/>
        <w:jc w:val="both"/>
        <w:rPr>
          <w:rFonts w:ascii="Times New Roman" w:hAnsi="Times New Roman"/>
          <w:bCs/>
          <w:lang w:val="en-US"/>
        </w:rPr>
      </w:pPr>
      <w:r w:rsidRPr="00FB766C">
        <w:rPr>
          <w:rFonts w:ascii="Times New Roman" w:hAnsi="Times New Roman"/>
          <w:bCs/>
          <w:lang w:val="en-US"/>
        </w:rPr>
        <w:t>All cultures were plated in 25 cm</w:t>
      </w:r>
      <w:r w:rsidRPr="00C2705D">
        <w:rPr>
          <w:rFonts w:ascii="Times New Roman" w:hAnsi="Times New Roman"/>
          <w:bCs/>
          <w:vertAlign w:val="superscript"/>
          <w:lang w:val="en-US"/>
        </w:rPr>
        <w:t>2</w:t>
      </w:r>
      <w:r w:rsidRPr="00FB766C">
        <w:rPr>
          <w:rFonts w:ascii="Times New Roman" w:hAnsi="Times New Roman"/>
          <w:bCs/>
          <w:lang w:val="en-US"/>
        </w:rPr>
        <w:t xml:space="preserve"> plastic tissue culture flasks (Sarstedt, Newton, NC, USA). Cell culture and cell assay, that is, the MTT test, were accomplished as previously described </w:t>
      </w:r>
      <w:r>
        <w:rPr>
          <w:rFonts w:ascii="Times New Roman" w:hAnsi="Times New Roman"/>
          <w:bCs/>
          <w:lang w:val="en-US"/>
        </w:rPr>
        <w:t>(</w:t>
      </w:r>
      <w:r w:rsidRPr="00FB766C">
        <w:rPr>
          <w:rFonts w:ascii="Times New Roman" w:hAnsi="Times New Roman"/>
          <w:bCs/>
          <w:lang w:val="en-US"/>
        </w:rPr>
        <w:t>Ramos-Bueno et al.</w:t>
      </w:r>
      <w:r>
        <w:rPr>
          <w:rFonts w:ascii="Times New Roman" w:hAnsi="Times New Roman"/>
          <w:bCs/>
          <w:lang w:val="en-US"/>
        </w:rPr>
        <w:t xml:space="preserve">, </w:t>
      </w:r>
      <w:r w:rsidRPr="00FB766C">
        <w:rPr>
          <w:rFonts w:ascii="Times New Roman" w:hAnsi="Times New Roman"/>
          <w:bCs/>
          <w:lang w:val="en-US"/>
        </w:rPr>
        <w:t xml:space="preserve">2017). </w:t>
      </w:r>
    </w:p>
    <w:p w14:paraId="3C89861F" w14:textId="644AACBF" w:rsidR="00FB766C" w:rsidRPr="00FB766C" w:rsidRDefault="00FB766C" w:rsidP="007F08B9">
      <w:pPr>
        <w:autoSpaceDE w:val="0"/>
        <w:autoSpaceDN w:val="0"/>
        <w:adjustRightInd w:val="0"/>
        <w:spacing w:line="360" w:lineRule="auto"/>
        <w:jc w:val="both"/>
        <w:rPr>
          <w:rFonts w:ascii="Times New Roman" w:hAnsi="Times New Roman"/>
          <w:bCs/>
          <w:lang w:val="en-US"/>
        </w:rPr>
      </w:pPr>
      <w:r w:rsidRPr="00FB766C">
        <w:rPr>
          <w:rFonts w:ascii="Times New Roman" w:hAnsi="Times New Roman"/>
          <w:bCs/>
          <w:lang w:val="en-US"/>
        </w:rPr>
        <w:t>In the MTT assay, cells were divided into 96-well microtiter plates, adjusted to 1×10</w:t>
      </w:r>
      <w:r w:rsidRPr="008C2B23">
        <w:rPr>
          <w:rFonts w:ascii="Times New Roman" w:hAnsi="Times New Roman"/>
          <w:bCs/>
          <w:vertAlign w:val="superscript"/>
          <w:lang w:val="en-US"/>
        </w:rPr>
        <w:t>4</w:t>
      </w:r>
      <w:r w:rsidRPr="00FB766C">
        <w:rPr>
          <w:rFonts w:ascii="Times New Roman" w:hAnsi="Times New Roman"/>
          <w:bCs/>
          <w:lang w:val="en-US"/>
        </w:rPr>
        <w:t xml:space="preserve"> cells/well, and cultivated in a medium at 37 °C and 5% CO</w:t>
      </w:r>
      <w:r w:rsidRPr="0042453D">
        <w:rPr>
          <w:rFonts w:ascii="Times New Roman" w:hAnsi="Times New Roman"/>
          <w:bCs/>
          <w:vertAlign w:val="subscript"/>
          <w:lang w:val="en-US"/>
        </w:rPr>
        <w:t>2</w:t>
      </w:r>
      <w:r w:rsidRPr="00FB766C">
        <w:rPr>
          <w:rFonts w:ascii="Times New Roman" w:hAnsi="Times New Roman"/>
          <w:bCs/>
          <w:lang w:val="en-US"/>
        </w:rPr>
        <w:t xml:space="preserve"> prior to adding the different extracts dissolved in the medium. The </w:t>
      </w:r>
      <w:r w:rsidR="00C2705D">
        <w:rPr>
          <w:rFonts w:ascii="Times New Roman" w:hAnsi="Times New Roman"/>
          <w:bCs/>
          <w:lang w:val="en-US"/>
        </w:rPr>
        <w:t>saponin</w:t>
      </w:r>
      <w:r w:rsidRPr="00FB766C">
        <w:rPr>
          <w:rFonts w:ascii="Times New Roman" w:hAnsi="Times New Roman"/>
          <w:bCs/>
          <w:lang w:val="en-US"/>
        </w:rPr>
        <w:t xml:space="preserve">-containing extracts were supplied to cells dissolved in a mixture of </w:t>
      </w:r>
      <w:r w:rsidR="00B57E3F">
        <w:rPr>
          <w:rFonts w:ascii="Times New Roman" w:hAnsi="Times New Roman"/>
          <w:bCs/>
          <w:lang w:val="en-US"/>
        </w:rPr>
        <w:t>DMSO</w:t>
      </w:r>
      <w:r w:rsidR="00FA1478">
        <w:rPr>
          <w:rFonts w:ascii="Times New Roman" w:hAnsi="Times New Roman"/>
          <w:bCs/>
          <w:lang w:val="en-US"/>
        </w:rPr>
        <w:t xml:space="preserve"> </w:t>
      </w:r>
      <w:r w:rsidRPr="00FB766C">
        <w:rPr>
          <w:rFonts w:ascii="Times New Roman" w:hAnsi="Times New Roman"/>
          <w:bCs/>
          <w:lang w:val="en-US"/>
        </w:rPr>
        <w:t xml:space="preserve">and then in the culture medium at designed concentrations </w:t>
      </w:r>
      <w:r w:rsidR="00FA1478" w:rsidRPr="00FA1478">
        <w:rPr>
          <w:rFonts w:ascii="Times New Roman" w:hAnsi="Times New Roman"/>
          <w:bCs/>
          <w:lang w:val="en-US"/>
        </w:rPr>
        <w:t>(0-10</w:t>
      </w:r>
      <w:r w:rsidRPr="00FA1478">
        <w:rPr>
          <w:rFonts w:ascii="Times New Roman" w:hAnsi="Times New Roman"/>
          <w:bCs/>
          <w:lang w:val="en-US"/>
        </w:rPr>
        <w:t>00 μg/mL).</w:t>
      </w:r>
      <w:r w:rsidRPr="00FB766C">
        <w:rPr>
          <w:rFonts w:ascii="Times New Roman" w:hAnsi="Times New Roman"/>
          <w:bCs/>
          <w:lang w:val="en-US"/>
        </w:rPr>
        <w:t xml:space="preserve"> After 48 and 72 h of cell exposure, 5 mg/mL of an MTT solution was added to the culture medium to determine</w:t>
      </w:r>
      <w:r w:rsidR="0042453D">
        <w:rPr>
          <w:rFonts w:ascii="Times New Roman" w:hAnsi="Times New Roman"/>
          <w:bCs/>
          <w:lang w:val="en-US"/>
        </w:rPr>
        <w:t xml:space="preserve"> the viability of cells. The ab</w:t>
      </w:r>
      <w:r w:rsidRPr="00FB766C">
        <w:rPr>
          <w:rFonts w:ascii="Times New Roman" w:hAnsi="Times New Roman"/>
          <w:bCs/>
          <w:lang w:val="en-US"/>
        </w:rPr>
        <w:t>sorbance was recorded at 570 nm on an enzyme-linked immunosorbent assay (ELISA) plate reader (Thermo Electron Corporation, Sant Cugat del Valles, Barcelona, Spain). The formazan crystals produced were solubilized using 10</w:t>
      </w:r>
      <w:r w:rsidR="00C2705D">
        <w:rPr>
          <w:rFonts w:ascii="Times New Roman" w:hAnsi="Times New Roman"/>
          <w:bCs/>
          <w:lang w:val="en-US"/>
        </w:rPr>
        <w:t>0 μL of DMSO. Cells without saponin</w:t>
      </w:r>
      <w:r w:rsidRPr="00FB766C">
        <w:rPr>
          <w:rFonts w:ascii="Times New Roman" w:hAnsi="Times New Roman"/>
          <w:bCs/>
          <w:lang w:val="en-US"/>
        </w:rPr>
        <w:t xml:space="preserve"> extracts were considered negative controls, which were used for all concentrations and tested extracts. Cell survival in exposed cultures relative to </w:t>
      </w:r>
      <w:r w:rsidRPr="00FB766C">
        <w:rPr>
          <w:rFonts w:ascii="Times New Roman" w:hAnsi="Times New Roman"/>
          <w:bCs/>
          <w:lang w:val="en-US"/>
        </w:rPr>
        <w:lastRenderedPageBreak/>
        <w:t xml:space="preserve">unexposed cultures was calculated, and the number of viable cells was calculated using the following equation: </w:t>
      </w:r>
    </w:p>
    <w:p w14:paraId="02EB2756" w14:textId="77777777" w:rsidR="00FB766C" w:rsidRPr="00FB766C" w:rsidRDefault="00FB766C" w:rsidP="007F08B9">
      <w:pPr>
        <w:autoSpaceDE w:val="0"/>
        <w:autoSpaceDN w:val="0"/>
        <w:adjustRightInd w:val="0"/>
        <w:spacing w:line="360" w:lineRule="auto"/>
        <w:jc w:val="both"/>
        <w:rPr>
          <w:rFonts w:ascii="Times New Roman" w:hAnsi="Times New Roman"/>
          <w:bCs/>
          <w:lang w:val="en-US"/>
        </w:rPr>
      </w:pPr>
      <w:r w:rsidRPr="00FB766C">
        <w:rPr>
          <w:rFonts w:ascii="Times New Roman" w:hAnsi="Times New Roman"/>
          <w:bCs/>
          <w:lang w:val="en-US"/>
        </w:rPr>
        <w:t xml:space="preserve">Percentage of viable cells (%) = (Absorbance of treated cells/Absorbance of untreated cells) × 100%. </w:t>
      </w:r>
      <w:r w:rsidRPr="00FB766C">
        <w:rPr>
          <w:rFonts w:ascii="Times New Roman" w:hAnsi="Times New Roman"/>
          <w:bCs/>
          <w:lang w:val="en-US"/>
        </w:rPr>
        <w:tab/>
      </w:r>
    </w:p>
    <w:p w14:paraId="266B0A31" w14:textId="4177F77A" w:rsidR="0029578E" w:rsidRDefault="00FB766C" w:rsidP="007F08B9">
      <w:pPr>
        <w:autoSpaceDE w:val="0"/>
        <w:autoSpaceDN w:val="0"/>
        <w:adjustRightInd w:val="0"/>
        <w:spacing w:line="360" w:lineRule="auto"/>
        <w:jc w:val="both"/>
        <w:rPr>
          <w:rFonts w:ascii="Times New Roman" w:hAnsi="Times New Roman"/>
          <w:bCs/>
          <w:lang w:val="en-US"/>
        </w:rPr>
      </w:pPr>
      <w:r w:rsidRPr="00FB766C">
        <w:rPr>
          <w:rFonts w:ascii="Times New Roman" w:hAnsi="Times New Roman"/>
          <w:bCs/>
          <w:lang w:val="en-US"/>
        </w:rPr>
        <w:t>The concentrations causing 50% cell growth inhibition (GI</w:t>
      </w:r>
      <w:r w:rsidRPr="00FB766C">
        <w:rPr>
          <w:rFonts w:ascii="Times New Roman" w:hAnsi="Times New Roman"/>
          <w:bCs/>
          <w:vertAlign w:val="subscript"/>
          <w:lang w:val="en-US"/>
        </w:rPr>
        <w:t>50</w:t>
      </w:r>
      <w:r w:rsidRPr="00FB766C">
        <w:rPr>
          <w:rFonts w:ascii="Times New Roman" w:hAnsi="Times New Roman"/>
          <w:bCs/>
          <w:lang w:val="en-US"/>
        </w:rPr>
        <w:t xml:space="preserve">) were calculated from the growth curves. </w:t>
      </w:r>
      <w:r w:rsidR="00560D33">
        <w:rPr>
          <w:rFonts w:ascii="Times New Roman" w:hAnsi="Times New Roman"/>
          <w:bCs/>
          <w:lang w:val="en-US"/>
        </w:rPr>
        <w:t>Diosgenin</w:t>
      </w:r>
      <w:r w:rsidRPr="00FB766C">
        <w:rPr>
          <w:rFonts w:ascii="Times New Roman" w:hAnsi="Times New Roman"/>
          <w:bCs/>
          <w:lang w:val="en-US"/>
        </w:rPr>
        <w:t xml:space="preserve"> (</w:t>
      </w:r>
      <w:r w:rsidR="00C2705D">
        <w:rPr>
          <w:rFonts w:ascii="Times New Roman" w:hAnsi="Times New Roman"/>
          <w:bCs/>
          <w:lang w:val="en-US"/>
        </w:rPr>
        <w:t>99</w:t>
      </w:r>
      <w:r w:rsidRPr="00FB766C">
        <w:rPr>
          <w:rFonts w:ascii="Times New Roman" w:hAnsi="Times New Roman"/>
          <w:bCs/>
          <w:lang w:val="en-US"/>
        </w:rPr>
        <w:t xml:space="preserve">%, </w:t>
      </w:r>
      <w:r w:rsidR="00C2705D" w:rsidRPr="00C2705D">
        <w:rPr>
          <w:rFonts w:ascii="Times New Roman" w:hAnsi="Times New Roman"/>
          <w:bCs/>
          <w:lang w:val="en-US"/>
        </w:rPr>
        <w:t>700085P</w:t>
      </w:r>
      <w:r w:rsidRPr="00FB766C">
        <w:rPr>
          <w:rFonts w:ascii="Times New Roman" w:hAnsi="Times New Roman"/>
          <w:bCs/>
          <w:lang w:val="en-US"/>
        </w:rPr>
        <w:t xml:space="preserve">) from </w:t>
      </w:r>
      <w:r w:rsidR="00C2705D">
        <w:rPr>
          <w:rFonts w:ascii="Times New Roman" w:hAnsi="Times New Roman"/>
          <w:bCs/>
          <w:lang w:val="en-US"/>
        </w:rPr>
        <w:t>Merck</w:t>
      </w:r>
      <w:r w:rsidRPr="00FB766C">
        <w:rPr>
          <w:rFonts w:ascii="Times New Roman" w:hAnsi="Times New Roman"/>
          <w:bCs/>
          <w:lang w:val="en-US"/>
        </w:rPr>
        <w:t xml:space="preserve"> (Madrid, Spain) was used as a positive control, while DMSO and methanol were used as the negative (vehicle) controls. </w:t>
      </w:r>
      <w:r w:rsidR="00C2705D">
        <w:rPr>
          <w:rFonts w:ascii="Times New Roman" w:hAnsi="Times New Roman"/>
          <w:bCs/>
          <w:lang w:val="en-US"/>
        </w:rPr>
        <w:t>Saponins</w:t>
      </w:r>
      <w:r w:rsidRPr="00FB766C">
        <w:rPr>
          <w:rFonts w:ascii="Times New Roman" w:hAnsi="Times New Roman"/>
          <w:bCs/>
          <w:lang w:val="en-US"/>
        </w:rPr>
        <w:t xml:space="preserve"> extracts and controls were evaluated in three independent assays. Values presented are mean ± standard error of the mean. The SI of each compound was calculated as GI</w:t>
      </w:r>
      <w:r w:rsidRPr="00FB766C">
        <w:rPr>
          <w:rFonts w:ascii="Times New Roman" w:hAnsi="Times New Roman"/>
          <w:bCs/>
          <w:vertAlign w:val="subscript"/>
          <w:lang w:val="en-US"/>
        </w:rPr>
        <w:t>50</w:t>
      </w:r>
      <w:r w:rsidRPr="00FB766C">
        <w:rPr>
          <w:rFonts w:ascii="Times New Roman" w:hAnsi="Times New Roman"/>
          <w:bCs/>
          <w:lang w:val="en-US"/>
        </w:rPr>
        <w:t xml:space="preserve"> of the extract against the CCD-18 normal cell line/GI</w:t>
      </w:r>
      <w:r w:rsidRPr="00C2705D">
        <w:rPr>
          <w:rFonts w:ascii="Times New Roman" w:hAnsi="Times New Roman"/>
          <w:bCs/>
          <w:vertAlign w:val="subscript"/>
          <w:lang w:val="en-US"/>
        </w:rPr>
        <w:t xml:space="preserve">50 </w:t>
      </w:r>
      <w:r w:rsidRPr="00FB766C">
        <w:rPr>
          <w:rFonts w:ascii="Times New Roman" w:hAnsi="Times New Roman"/>
          <w:bCs/>
          <w:lang w:val="en-US"/>
        </w:rPr>
        <w:t xml:space="preserve">of the same extract against the HT-29 cancer cell line </w:t>
      </w:r>
      <w:r>
        <w:rPr>
          <w:rFonts w:ascii="Times New Roman" w:hAnsi="Times New Roman"/>
          <w:bCs/>
          <w:lang w:val="en-US"/>
        </w:rPr>
        <w:t>(</w:t>
      </w:r>
      <w:r w:rsidRPr="00FB766C">
        <w:rPr>
          <w:rFonts w:ascii="Times New Roman" w:hAnsi="Times New Roman"/>
          <w:bCs/>
          <w:lang w:val="en-US"/>
        </w:rPr>
        <w:t xml:space="preserve">Vichitsakul, </w:t>
      </w:r>
      <w:r>
        <w:rPr>
          <w:rFonts w:ascii="Times New Roman" w:hAnsi="Times New Roman"/>
          <w:bCs/>
          <w:lang w:val="en-US"/>
        </w:rPr>
        <w:t xml:space="preserve">et al., 2023). </w:t>
      </w:r>
    </w:p>
    <w:p w14:paraId="54CAC2F7" w14:textId="77777777" w:rsidR="008C2B23" w:rsidRPr="00C47561" w:rsidRDefault="008C2B23" w:rsidP="007F08B9">
      <w:pPr>
        <w:autoSpaceDE w:val="0"/>
        <w:autoSpaceDN w:val="0"/>
        <w:adjustRightInd w:val="0"/>
        <w:spacing w:line="360" w:lineRule="auto"/>
        <w:jc w:val="both"/>
        <w:rPr>
          <w:rFonts w:ascii="Times New Roman" w:hAnsi="Times New Roman"/>
          <w:lang w:val="en-US"/>
        </w:rPr>
      </w:pPr>
    </w:p>
    <w:p w14:paraId="5CBE7F01" w14:textId="0DD2303B" w:rsidR="008305D8" w:rsidRPr="00256633" w:rsidRDefault="00051105" w:rsidP="00FA6D8B">
      <w:pPr>
        <w:spacing w:after="160" w:line="259" w:lineRule="auto"/>
        <w:rPr>
          <w:rFonts w:ascii="Times New Roman" w:hAnsi="Times New Roman"/>
          <w:lang w:val="es-ES"/>
        </w:rPr>
      </w:pPr>
      <w:r w:rsidRPr="00C47561">
        <w:rPr>
          <w:rFonts w:ascii="Times New Roman" w:hAnsi="Times New Roman"/>
          <w:b/>
          <w:lang w:val="es-ES"/>
        </w:rPr>
        <w:t>References</w:t>
      </w:r>
    </w:p>
    <w:p w14:paraId="3704D9AB" w14:textId="7913B7E1" w:rsidR="006037FA" w:rsidRPr="00C03BE4" w:rsidRDefault="006037FA" w:rsidP="004773A1">
      <w:pPr>
        <w:autoSpaceDE w:val="0"/>
        <w:autoSpaceDN w:val="0"/>
        <w:adjustRightInd w:val="0"/>
        <w:spacing w:line="360" w:lineRule="auto"/>
        <w:jc w:val="both"/>
        <w:rPr>
          <w:rFonts w:ascii="Times New Roman" w:hAnsi="Times New Roman"/>
          <w:iCs/>
        </w:rPr>
      </w:pPr>
      <w:r w:rsidRPr="00C03BE4">
        <w:rPr>
          <w:rFonts w:ascii="Times New Roman" w:hAnsi="Times New Roman"/>
          <w:iCs/>
          <w:lang w:val="es-ES"/>
        </w:rPr>
        <w:t>Ramos-Bueno, R. P., Romero</w:t>
      </w:r>
      <w:r w:rsidRPr="00C03BE4">
        <w:rPr>
          <w:rFonts w:ascii="Cambria Math" w:hAnsi="Cambria Math" w:cs="Cambria Math"/>
          <w:iCs/>
          <w:lang w:val="es-ES"/>
        </w:rPr>
        <w:t>‐</w:t>
      </w:r>
      <w:r w:rsidRPr="00C03BE4">
        <w:rPr>
          <w:rFonts w:ascii="Times New Roman" w:hAnsi="Times New Roman"/>
          <w:iCs/>
          <w:lang w:val="es-ES"/>
        </w:rPr>
        <w:t>González, R., González</w:t>
      </w:r>
      <w:r w:rsidRPr="00C03BE4">
        <w:rPr>
          <w:rFonts w:ascii="Cambria Math" w:hAnsi="Cambria Math" w:cs="Cambria Math"/>
          <w:iCs/>
          <w:lang w:val="es-ES"/>
        </w:rPr>
        <w:t>‐</w:t>
      </w:r>
      <w:r w:rsidRPr="00C03BE4">
        <w:rPr>
          <w:rFonts w:ascii="Times New Roman" w:hAnsi="Times New Roman"/>
          <w:iCs/>
          <w:lang w:val="es-ES"/>
        </w:rPr>
        <w:t>Fernández, M. J., &amp; Guil</w:t>
      </w:r>
      <w:r w:rsidRPr="00C03BE4">
        <w:rPr>
          <w:rFonts w:ascii="Cambria Math" w:hAnsi="Cambria Math" w:cs="Cambria Math"/>
          <w:iCs/>
          <w:lang w:val="es-ES"/>
        </w:rPr>
        <w:t>‐</w:t>
      </w:r>
      <w:r w:rsidRPr="00C03BE4">
        <w:rPr>
          <w:rFonts w:ascii="Times New Roman" w:hAnsi="Times New Roman"/>
          <w:iCs/>
          <w:lang w:val="es-ES"/>
        </w:rPr>
        <w:t xml:space="preserve">Guerrero, J. L. (2017). </w:t>
      </w:r>
      <w:r w:rsidRPr="00C03BE4">
        <w:rPr>
          <w:rFonts w:ascii="Times New Roman" w:hAnsi="Times New Roman"/>
          <w:iCs/>
        </w:rPr>
        <w:t>Phytochemical composition and in vitro anti</w:t>
      </w:r>
      <w:r w:rsidRPr="00C03BE4">
        <w:rPr>
          <w:rFonts w:ascii="Cambria Math" w:hAnsi="Cambria Math" w:cs="Cambria Math"/>
          <w:iCs/>
        </w:rPr>
        <w:t>‐</w:t>
      </w:r>
      <w:r w:rsidRPr="00C03BE4">
        <w:rPr>
          <w:rFonts w:ascii="Times New Roman" w:hAnsi="Times New Roman"/>
          <w:iCs/>
        </w:rPr>
        <w:t xml:space="preserve">tumour activities of selected tomato varieties. </w:t>
      </w:r>
      <w:r w:rsidRPr="00D8132E">
        <w:rPr>
          <w:rFonts w:ascii="Times New Roman" w:hAnsi="Times New Roman"/>
          <w:i/>
          <w:iCs/>
        </w:rPr>
        <w:t>Journal of the Science of Food and Agriculture</w:t>
      </w:r>
      <w:r w:rsidRPr="00C03BE4">
        <w:rPr>
          <w:rFonts w:ascii="Times New Roman" w:hAnsi="Times New Roman"/>
          <w:iCs/>
        </w:rPr>
        <w:t>, 97(2), 488-496.</w:t>
      </w:r>
      <w:r w:rsidR="008C38F3" w:rsidRPr="00C03BE4">
        <w:rPr>
          <w:rFonts w:ascii="Times New Roman" w:hAnsi="Times New Roman"/>
          <w:iCs/>
        </w:rPr>
        <w:t xml:space="preserve"> </w:t>
      </w:r>
      <w:r w:rsidR="008C38F3" w:rsidRPr="00C03BE4">
        <w:rPr>
          <w:rFonts w:ascii="Times New Roman" w:hAnsi="Times New Roman"/>
          <w:iCs/>
          <w:lang w:val="en-US"/>
        </w:rPr>
        <w:t>https://doi.org/</w:t>
      </w:r>
      <w:r w:rsidR="008C38F3" w:rsidRPr="00C03BE4">
        <w:rPr>
          <w:rFonts w:ascii="Times New Roman" w:hAnsi="Times New Roman"/>
          <w:iCs/>
        </w:rPr>
        <w:t>10.1002/jsfa.7750</w:t>
      </w:r>
    </w:p>
    <w:p w14:paraId="126E5C73" w14:textId="17127EDD" w:rsidR="00FB766C" w:rsidRPr="00FB766C" w:rsidRDefault="00FB766C" w:rsidP="009A3521">
      <w:pPr>
        <w:autoSpaceDE w:val="0"/>
        <w:autoSpaceDN w:val="0"/>
        <w:adjustRightInd w:val="0"/>
        <w:spacing w:line="360" w:lineRule="auto"/>
        <w:jc w:val="both"/>
        <w:rPr>
          <w:rFonts w:ascii="Times New Roman" w:hAnsi="Times New Roman"/>
          <w:iCs/>
        </w:rPr>
      </w:pPr>
      <w:r w:rsidRPr="00FB766C">
        <w:rPr>
          <w:rFonts w:ascii="Times New Roman" w:hAnsi="Times New Roman"/>
          <w:iCs/>
        </w:rPr>
        <w:t>Vichitsakul, K.</w:t>
      </w:r>
      <w:r>
        <w:rPr>
          <w:rFonts w:ascii="Times New Roman" w:hAnsi="Times New Roman"/>
          <w:iCs/>
        </w:rPr>
        <w:t>,</w:t>
      </w:r>
      <w:r w:rsidRPr="00FB766C">
        <w:rPr>
          <w:rFonts w:ascii="Times New Roman" w:hAnsi="Times New Roman"/>
          <w:iCs/>
        </w:rPr>
        <w:t xml:space="preserve"> Laowichuwakonnukul, K.</w:t>
      </w:r>
      <w:r>
        <w:rPr>
          <w:rFonts w:ascii="Times New Roman" w:hAnsi="Times New Roman"/>
          <w:iCs/>
        </w:rPr>
        <w:t>,</w:t>
      </w:r>
      <w:r w:rsidRPr="00FB766C">
        <w:rPr>
          <w:rFonts w:ascii="Times New Roman" w:hAnsi="Times New Roman"/>
          <w:iCs/>
        </w:rPr>
        <w:t xml:space="preserve"> Soontornworajit, B.</w:t>
      </w:r>
      <w:r>
        <w:rPr>
          <w:rFonts w:ascii="Times New Roman" w:hAnsi="Times New Roman"/>
          <w:iCs/>
        </w:rPr>
        <w:t>,</w:t>
      </w:r>
      <w:r w:rsidRPr="00FB766C">
        <w:rPr>
          <w:rFonts w:ascii="Times New Roman" w:hAnsi="Times New Roman"/>
          <w:iCs/>
        </w:rPr>
        <w:t xml:space="preserve"> Poomipark, N.</w:t>
      </w:r>
      <w:r>
        <w:rPr>
          <w:rFonts w:ascii="Times New Roman" w:hAnsi="Times New Roman"/>
          <w:iCs/>
        </w:rPr>
        <w:t>,</w:t>
      </w:r>
      <w:r w:rsidRPr="00FB766C">
        <w:rPr>
          <w:rFonts w:ascii="Times New Roman" w:hAnsi="Times New Roman"/>
          <w:iCs/>
        </w:rPr>
        <w:t xml:space="preserve"> Itharat, A.</w:t>
      </w:r>
      <w:r>
        <w:rPr>
          <w:rFonts w:ascii="Times New Roman" w:hAnsi="Times New Roman"/>
          <w:iCs/>
        </w:rPr>
        <w:t xml:space="preserve">, </w:t>
      </w:r>
      <w:r w:rsidRPr="00FB766C">
        <w:rPr>
          <w:rFonts w:ascii="Times New Roman" w:hAnsi="Times New Roman"/>
          <w:iCs/>
        </w:rPr>
        <w:t xml:space="preserve">Rotkrua, P. </w:t>
      </w:r>
      <w:r>
        <w:rPr>
          <w:rFonts w:ascii="Times New Roman" w:hAnsi="Times New Roman"/>
          <w:iCs/>
        </w:rPr>
        <w:t xml:space="preserve">(2023). </w:t>
      </w:r>
      <w:r w:rsidRPr="00FB766C">
        <w:rPr>
          <w:rFonts w:ascii="Times New Roman" w:hAnsi="Times New Roman"/>
          <w:iCs/>
        </w:rPr>
        <w:t>Anti-proliferation and induction of mitochondria-mediated apoptosis by Garcinia hanburyi resin in colorectal cancer cells</w:t>
      </w:r>
      <w:r w:rsidRPr="00FB766C">
        <w:rPr>
          <w:rFonts w:ascii="Times New Roman" w:hAnsi="Times New Roman"/>
          <w:i/>
        </w:rPr>
        <w:t>. Heliyon</w:t>
      </w:r>
      <w:r w:rsidRPr="00FB766C">
        <w:rPr>
          <w:rFonts w:ascii="Times New Roman" w:hAnsi="Times New Roman"/>
          <w:iCs/>
        </w:rPr>
        <w:t xml:space="preserve"> </w:t>
      </w:r>
      <w:r w:rsidRPr="00FB766C">
        <w:rPr>
          <w:rFonts w:ascii="Times New Roman" w:hAnsi="Times New Roman"/>
          <w:i/>
        </w:rPr>
        <w:t>22</w:t>
      </w:r>
      <w:r w:rsidRPr="00FB766C">
        <w:rPr>
          <w:rFonts w:ascii="Times New Roman" w:hAnsi="Times New Roman"/>
          <w:iCs/>
        </w:rPr>
        <w:t>, e16411.</w:t>
      </w:r>
    </w:p>
    <w:p w14:paraId="5443BCA0" w14:textId="0B608F83" w:rsidR="00FB766C" w:rsidRPr="00FB766C" w:rsidRDefault="00FB766C" w:rsidP="009A3521">
      <w:pPr>
        <w:autoSpaceDE w:val="0"/>
        <w:autoSpaceDN w:val="0"/>
        <w:adjustRightInd w:val="0"/>
        <w:spacing w:line="360" w:lineRule="auto"/>
        <w:jc w:val="both"/>
        <w:rPr>
          <w:rFonts w:ascii="Times New Roman" w:hAnsi="Times New Roman"/>
          <w:iCs/>
        </w:rPr>
      </w:pPr>
      <w:r w:rsidRPr="00FB766C">
        <w:rPr>
          <w:rFonts w:ascii="Times New Roman" w:hAnsi="Times New Roman"/>
          <w:iCs/>
        </w:rPr>
        <w:t>https://doi.org/10.1016/j.heliyon.2023.e16411.</w:t>
      </w:r>
    </w:p>
    <w:p w14:paraId="0E96612D" w14:textId="77777777" w:rsidR="009A3521" w:rsidRDefault="009A3521" w:rsidP="009A3521">
      <w:pPr>
        <w:autoSpaceDE w:val="0"/>
        <w:autoSpaceDN w:val="0"/>
        <w:adjustRightInd w:val="0"/>
        <w:spacing w:line="360" w:lineRule="auto"/>
        <w:jc w:val="both"/>
        <w:rPr>
          <w:rFonts w:asciiTheme="majorBidi" w:hAnsiTheme="majorBidi" w:cstheme="majorBidi"/>
          <w:iCs/>
        </w:rPr>
      </w:pPr>
    </w:p>
    <w:p w14:paraId="719AA430" w14:textId="77777777" w:rsidR="009A3521" w:rsidRPr="00067D36" w:rsidRDefault="009A3521" w:rsidP="004773A1">
      <w:pPr>
        <w:autoSpaceDE w:val="0"/>
        <w:autoSpaceDN w:val="0"/>
        <w:adjustRightInd w:val="0"/>
        <w:spacing w:line="360" w:lineRule="auto"/>
        <w:jc w:val="both"/>
        <w:rPr>
          <w:rFonts w:ascii="Times New Roman" w:eastAsia="CharisSIL" w:hAnsi="Times New Roman"/>
        </w:rPr>
      </w:pPr>
    </w:p>
    <w:p w14:paraId="18A99357" w14:textId="77777777" w:rsidR="004773A1" w:rsidRDefault="004773A1"/>
    <w:sectPr w:rsidR="004773A1">
      <w:foot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6D1631" w14:textId="77777777" w:rsidR="00E8524B" w:rsidRDefault="00E8524B" w:rsidP="009A3521">
      <w:r>
        <w:separator/>
      </w:r>
    </w:p>
  </w:endnote>
  <w:endnote w:type="continuationSeparator" w:id="0">
    <w:p w14:paraId="7CE537EE" w14:textId="77777777" w:rsidR="00E8524B" w:rsidRDefault="00E8524B" w:rsidP="009A3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harisSI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0054695"/>
      <w:docPartObj>
        <w:docPartGallery w:val="Page Numbers (Bottom of Page)"/>
        <w:docPartUnique/>
      </w:docPartObj>
    </w:sdtPr>
    <w:sdtContent>
      <w:p w14:paraId="30BDC8CF" w14:textId="12A64BA4" w:rsidR="009A3521" w:rsidRDefault="009A3521">
        <w:pPr>
          <w:pStyle w:val="Piedepgina"/>
          <w:jc w:val="right"/>
        </w:pPr>
        <w:r>
          <w:fldChar w:fldCharType="begin"/>
        </w:r>
        <w:r>
          <w:instrText>PAGE   \* MERGEFORMAT</w:instrText>
        </w:r>
        <w:r>
          <w:fldChar w:fldCharType="separate"/>
        </w:r>
        <w:r w:rsidR="00B57E3F" w:rsidRPr="00B57E3F">
          <w:rPr>
            <w:noProof/>
            <w:lang w:val="es-ES"/>
          </w:rPr>
          <w:t>4</w:t>
        </w:r>
        <w:r>
          <w:fldChar w:fldCharType="end"/>
        </w:r>
      </w:p>
    </w:sdtContent>
  </w:sdt>
  <w:p w14:paraId="69A41877" w14:textId="77777777" w:rsidR="009A3521" w:rsidRDefault="009A352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38A99A" w14:textId="77777777" w:rsidR="00E8524B" w:rsidRDefault="00E8524B" w:rsidP="009A3521">
      <w:r>
        <w:separator/>
      </w:r>
    </w:p>
  </w:footnote>
  <w:footnote w:type="continuationSeparator" w:id="0">
    <w:p w14:paraId="7CE9D7B7" w14:textId="77777777" w:rsidR="00E8524B" w:rsidRDefault="00E8524B" w:rsidP="009A35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D4C"/>
    <w:rsid w:val="000054C9"/>
    <w:rsid w:val="00051105"/>
    <w:rsid w:val="001B797B"/>
    <w:rsid w:val="00256633"/>
    <w:rsid w:val="0029578E"/>
    <w:rsid w:val="002A16CB"/>
    <w:rsid w:val="002E0529"/>
    <w:rsid w:val="00304564"/>
    <w:rsid w:val="00374D18"/>
    <w:rsid w:val="003B546B"/>
    <w:rsid w:val="0042453D"/>
    <w:rsid w:val="004773A1"/>
    <w:rsid w:val="00480BF2"/>
    <w:rsid w:val="00486479"/>
    <w:rsid w:val="004930BE"/>
    <w:rsid w:val="004C0878"/>
    <w:rsid w:val="00512031"/>
    <w:rsid w:val="00520B8F"/>
    <w:rsid w:val="00560D33"/>
    <w:rsid w:val="00591FEB"/>
    <w:rsid w:val="005B5951"/>
    <w:rsid w:val="006037FA"/>
    <w:rsid w:val="00685383"/>
    <w:rsid w:val="006B6D4C"/>
    <w:rsid w:val="00757653"/>
    <w:rsid w:val="00766838"/>
    <w:rsid w:val="0078366C"/>
    <w:rsid w:val="007919A3"/>
    <w:rsid w:val="007F08B9"/>
    <w:rsid w:val="00817E87"/>
    <w:rsid w:val="00830205"/>
    <w:rsid w:val="008305D8"/>
    <w:rsid w:val="00881508"/>
    <w:rsid w:val="008C2B23"/>
    <w:rsid w:val="008C38F3"/>
    <w:rsid w:val="009374A1"/>
    <w:rsid w:val="00941C2E"/>
    <w:rsid w:val="009A3521"/>
    <w:rsid w:val="00A81730"/>
    <w:rsid w:val="00AF485F"/>
    <w:rsid w:val="00B42014"/>
    <w:rsid w:val="00B57E3F"/>
    <w:rsid w:val="00BC5344"/>
    <w:rsid w:val="00BD5A53"/>
    <w:rsid w:val="00BF2B51"/>
    <w:rsid w:val="00C03BE4"/>
    <w:rsid w:val="00C2705D"/>
    <w:rsid w:val="00C47561"/>
    <w:rsid w:val="00C57C75"/>
    <w:rsid w:val="00D055C7"/>
    <w:rsid w:val="00D37CEF"/>
    <w:rsid w:val="00D8132E"/>
    <w:rsid w:val="00D97E02"/>
    <w:rsid w:val="00DD1E31"/>
    <w:rsid w:val="00E52B78"/>
    <w:rsid w:val="00E8524B"/>
    <w:rsid w:val="00F15B3D"/>
    <w:rsid w:val="00F44481"/>
    <w:rsid w:val="00FA1478"/>
    <w:rsid w:val="00FA6D8B"/>
    <w:rsid w:val="00FB766C"/>
    <w:rsid w:val="00FE432C"/>
    <w:rsid w:val="00FF0B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D605E"/>
  <w15:docId w15:val="{B05411AC-BF6B-420E-ADA5-8F672B7ED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6D4C"/>
    <w:pPr>
      <w:spacing w:after="0" w:line="240" w:lineRule="auto"/>
    </w:pPr>
    <w:rPr>
      <w:rFonts w:ascii="Cambria" w:eastAsia="MS Mincho" w:hAnsi="Cambria" w:cs="Times New Roman"/>
      <w:sz w:val="24"/>
      <w:szCs w:val="24"/>
      <w:lang w:val="en-GB"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305D8"/>
    <w:pPr>
      <w:ind w:left="720"/>
      <w:contextualSpacing/>
    </w:pPr>
  </w:style>
  <w:style w:type="paragraph" w:styleId="Encabezado">
    <w:name w:val="header"/>
    <w:basedOn w:val="Normal"/>
    <w:link w:val="EncabezadoCar"/>
    <w:uiPriority w:val="99"/>
    <w:unhideWhenUsed/>
    <w:rsid w:val="009A3521"/>
    <w:pPr>
      <w:tabs>
        <w:tab w:val="center" w:pos="4252"/>
        <w:tab w:val="right" w:pos="8504"/>
      </w:tabs>
    </w:pPr>
  </w:style>
  <w:style w:type="character" w:customStyle="1" w:styleId="EncabezadoCar">
    <w:name w:val="Encabezado Car"/>
    <w:basedOn w:val="Fuentedeprrafopredeter"/>
    <w:link w:val="Encabezado"/>
    <w:uiPriority w:val="99"/>
    <w:rsid w:val="009A3521"/>
    <w:rPr>
      <w:rFonts w:ascii="Cambria" w:eastAsia="MS Mincho" w:hAnsi="Cambria" w:cs="Times New Roman"/>
      <w:sz w:val="24"/>
      <w:szCs w:val="24"/>
      <w:lang w:val="en-GB" w:eastAsia="es-ES"/>
    </w:rPr>
  </w:style>
  <w:style w:type="paragraph" w:styleId="Piedepgina">
    <w:name w:val="footer"/>
    <w:basedOn w:val="Normal"/>
    <w:link w:val="PiedepginaCar"/>
    <w:uiPriority w:val="99"/>
    <w:unhideWhenUsed/>
    <w:rsid w:val="009A3521"/>
    <w:pPr>
      <w:tabs>
        <w:tab w:val="center" w:pos="4252"/>
        <w:tab w:val="right" w:pos="8504"/>
      </w:tabs>
    </w:pPr>
  </w:style>
  <w:style w:type="character" w:customStyle="1" w:styleId="PiedepginaCar">
    <w:name w:val="Pie de página Car"/>
    <w:basedOn w:val="Fuentedeprrafopredeter"/>
    <w:link w:val="Piedepgina"/>
    <w:uiPriority w:val="99"/>
    <w:rsid w:val="009A3521"/>
    <w:rPr>
      <w:rFonts w:ascii="Cambria" w:eastAsia="MS Mincho" w:hAnsi="Cambria" w:cs="Times New Roman"/>
      <w:sz w:val="24"/>
      <w:szCs w:val="24"/>
      <w:lang w:val="en-GB" w:eastAsia="es-ES"/>
    </w:rPr>
  </w:style>
  <w:style w:type="character" w:styleId="Hipervnculo">
    <w:name w:val="Hyperlink"/>
    <w:basedOn w:val="Fuentedeprrafopredeter"/>
    <w:uiPriority w:val="99"/>
    <w:unhideWhenUsed/>
    <w:rsid w:val="009A3521"/>
    <w:rPr>
      <w:color w:val="0563C1" w:themeColor="hyperlink"/>
      <w:u w:val="single"/>
    </w:rPr>
  </w:style>
  <w:style w:type="character" w:customStyle="1" w:styleId="anchor-text">
    <w:name w:val="anchor-text"/>
    <w:basedOn w:val="Fuentedeprrafopredeter"/>
    <w:rsid w:val="008C38F3"/>
  </w:style>
  <w:style w:type="paragraph" w:customStyle="1" w:styleId="MDPI31text">
    <w:name w:val="MDPI_3.1_text"/>
    <w:qFormat/>
    <w:rsid w:val="00FB766C"/>
    <w:pPr>
      <w:adjustRightInd w:val="0"/>
      <w:snapToGrid w:val="0"/>
      <w:spacing w:after="0" w:line="228" w:lineRule="auto"/>
      <w:ind w:left="2608" w:firstLine="425"/>
      <w:jc w:val="both"/>
    </w:pPr>
    <w:rPr>
      <w:rFonts w:ascii="Palatino Linotype" w:eastAsia="Times New Roman" w:hAnsi="Palatino Linotype" w:cs="Times New Roman"/>
      <w:snapToGrid w:val="0"/>
      <w:color w:val="000000"/>
      <w:kern w:val="2"/>
      <w:sz w:val="20"/>
      <w:lang w:val="en-US" w:eastAsia="de-DE" w:bidi="en-US"/>
    </w:rPr>
  </w:style>
  <w:style w:type="paragraph" w:customStyle="1" w:styleId="MDPI23heading3">
    <w:name w:val="MDPI_2.3_heading3"/>
    <w:qFormat/>
    <w:rsid w:val="00FB766C"/>
    <w:pPr>
      <w:adjustRightInd w:val="0"/>
      <w:snapToGrid w:val="0"/>
      <w:spacing w:before="60" w:after="60" w:line="228" w:lineRule="auto"/>
      <w:ind w:left="2608"/>
      <w:outlineLvl w:val="2"/>
    </w:pPr>
    <w:rPr>
      <w:rFonts w:ascii="Palatino Linotype" w:eastAsia="Times New Roman" w:hAnsi="Palatino Linotype" w:cs="Times New Roman"/>
      <w:snapToGrid w:val="0"/>
      <w:color w:val="000000"/>
      <w:kern w:val="2"/>
      <w:sz w:val="20"/>
      <w:lang w:val="en-US" w:eastAsia="de-DE" w:bidi="en-US"/>
    </w:rPr>
  </w:style>
  <w:style w:type="paragraph" w:customStyle="1" w:styleId="MDPI21heading1">
    <w:name w:val="MDPI_2.1_heading1"/>
    <w:qFormat/>
    <w:rsid w:val="007F08B9"/>
    <w:pPr>
      <w:adjustRightInd w:val="0"/>
      <w:snapToGrid w:val="0"/>
      <w:spacing w:before="240" w:after="60" w:line="228" w:lineRule="auto"/>
      <w:ind w:left="2608"/>
      <w:outlineLvl w:val="0"/>
    </w:pPr>
    <w:rPr>
      <w:rFonts w:ascii="Palatino Linotype" w:eastAsia="Times New Roman" w:hAnsi="Palatino Linotype" w:cs="Times New Roman"/>
      <w:b/>
      <w:snapToGrid w:val="0"/>
      <w:color w:val="000000"/>
      <w:sz w:val="20"/>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60665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981</Words>
  <Characters>5399</Characters>
  <Application>Microsoft Office Word</Application>
  <DocSecurity>0</DocSecurity>
  <Lines>44</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Luffi</Company>
  <LinksUpToDate>false</LinksUpToDate>
  <CharactersWithSpaces>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José Luis Guil Guerrero</cp:lastModifiedBy>
  <cp:revision>2</cp:revision>
  <dcterms:created xsi:type="dcterms:W3CDTF">2024-06-10T15:37:00Z</dcterms:created>
  <dcterms:modified xsi:type="dcterms:W3CDTF">2024-06-10T15:37:00Z</dcterms:modified>
</cp:coreProperties>
</file>