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AD7E" w14:textId="55F02C40" w:rsidR="00673242" w:rsidRPr="00D21D3A" w:rsidRDefault="00673242" w:rsidP="005F70C7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21D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Supplementary materials</w:t>
      </w:r>
    </w:p>
    <w:p w14:paraId="61BFCE6C" w14:textId="49AD6289" w:rsidR="008B5061" w:rsidRDefault="00D24A1D" w:rsidP="003402BE">
      <w:pPr>
        <w:pStyle w:val="Paragrafoelenco"/>
        <w:spacing w:after="0"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bookmarkStart w:id="0" w:name="_Hlk134798875"/>
      <w:r w:rsidRPr="00D24A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ESM Table 1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A)-C) Odds ratios of remission, response and improvement at 24 vs. 12 weeks for p</w:t>
      </w:r>
      <w:r w:rsidR="008B5061" w:rsidRPr="00D21D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ramipexole</w:t>
      </w:r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vs. </w:t>
      </w:r>
      <w:proofErr w:type="spellStart"/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ariripiprazole</w:t>
      </w:r>
      <w:proofErr w:type="spellEnd"/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D) Regression coefficients of functioning over time by type of augmentation</w:t>
      </w:r>
      <w:r w:rsidR="00D21D3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Results obtained from r</w:t>
      </w:r>
      <w:r w:rsidR="008B5061"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epeated measures generalized linear mixed models.</w:t>
      </w:r>
    </w:p>
    <w:p w14:paraId="57D0F8D0" w14:textId="6D72A20D" w:rsidR="0057563C" w:rsidRDefault="0057563C" w:rsidP="005F70C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5A6B0F55" w14:textId="16868CFB" w:rsidR="00D21D3A" w:rsidRPr="00DB4245" w:rsidRDefault="00D21D3A" w:rsidP="005F70C7">
      <w:pPr>
        <w:pStyle w:val="Paragrafoelenco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Remission (HDRS ≤ 7)</w:t>
      </w:r>
    </w:p>
    <w:tbl>
      <w:tblPr>
        <w:tblW w:w="6351" w:type="dxa"/>
        <w:jc w:val="center"/>
        <w:tblLook w:val="04A0" w:firstRow="1" w:lastRow="0" w:firstColumn="1" w:lastColumn="0" w:noHBand="0" w:noVBand="1"/>
      </w:tblPr>
      <w:tblGrid>
        <w:gridCol w:w="2994"/>
        <w:gridCol w:w="2251"/>
        <w:gridCol w:w="1106"/>
      </w:tblGrid>
      <w:tr w:rsidR="00D21D3A" w:rsidRPr="00D21D3A" w14:paraId="6A1B39F8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7F480" w14:textId="77777777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CB9EC8" w14:textId="77777777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OR (95%CI)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970EB0" w14:textId="77777777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p-value</w:t>
            </w:r>
          </w:p>
        </w:tc>
      </w:tr>
      <w:tr w:rsidR="00D21D3A" w:rsidRPr="00D21D3A" w14:paraId="3944B0C9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BDC9A" w14:textId="77777777" w:rsidR="00D21D3A" w:rsidRPr="00D21D3A" w:rsidRDefault="00D21D3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Intercept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ABCEF" w14:textId="69F8AADC" w:rsidR="00D21D3A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F5C96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18</w:t>
            </w:r>
            <w:r w:rsidR="00D21D3A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06</w:t>
            </w:r>
            <w:r w:rsidR="00D21D3A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54</w:t>
            </w:r>
            <w:r w:rsidR="00D21D3A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F177C" w14:textId="684C693C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5B1B9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00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</w:tr>
      <w:tr w:rsidR="00D21D3A" w:rsidRPr="00D21D3A" w14:paraId="581DA168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EE677" w14:textId="77777777" w:rsidR="00D21D3A" w:rsidRPr="00D21D3A" w:rsidRDefault="00D21D3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Type of augmentation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15BB" w14:textId="77777777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A911B" w14:textId="77777777" w:rsidR="00D21D3A" w:rsidRPr="00D21D3A" w:rsidRDefault="00D21D3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1B90" w:rsidRPr="00D21D3A" w14:paraId="61F6E376" w14:textId="77777777" w:rsidTr="005B1B90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205C" w14:textId="09264890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aripiprazol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56522C" w14:textId="0BDD5BCC" w:rsidR="005B1B90" w:rsidRPr="00D21D3A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9B396D" w14:textId="3F541238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5B1B90" w:rsidRPr="00D21D3A" w14:paraId="47FF8DEA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60281" w14:textId="6F9AEBCF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pramipexol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ABBAB" w14:textId="1FB09943" w:rsidR="005B1B90" w:rsidRPr="00D21D3A" w:rsidRDefault="001646A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</w:t>
            </w:r>
            <w:r w:rsidR="005B1B9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.24</w:t>
            </w:r>
            <w:r w:rsidR="005B1B90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 w:rsidR="005B1B9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54</w:t>
            </w:r>
            <w:r w:rsidR="005B1B90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11</w:t>
            </w:r>
            <w:r w:rsidR="005B1B9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67</w:t>
            </w:r>
            <w:r w:rsidR="005B1B90"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E80C9" w14:textId="295CCD3E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</w:t>
            </w:r>
            <w:r w:rsidR="001646AF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05</w:t>
            </w:r>
          </w:p>
        </w:tc>
      </w:tr>
      <w:tr w:rsidR="005B1B90" w:rsidRPr="00D21D3A" w14:paraId="30C47B58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AB942" w14:textId="77777777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Time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1EB05" w14:textId="77777777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21B0D" w14:textId="77777777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1B90" w:rsidRPr="00D21D3A" w14:paraId="23475E8A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CAC97" w14:textId="77777777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12-week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623F3" w14:textId="0856A445" w:rsidR="005B1B90" w:rsidRPr="00D21D3A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E0E4C" w14:textId="77777777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5B1B90" w:rsidRPr="00D21D3A" w14:paraId="64FF3732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2A150" w14:textId="77777777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24-week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330FB" w14:textId="6DB47951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1.6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0.67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4.15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B12DB" w14:textId="09C9C32C" w:rsidR="005B1B90" w:rsidRPr="005B1B90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5B1B90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65</w:t>
            </w:r>
          </w:p>
        </w:tc>
      </w:tr>
      <w:tr w:rsidR="005B1B90" w:rsidRPr="00D21D3A" w14:paraId="51FF21D4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F558A0" w14:textId="77777777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Augmentation*time</w:t>
            </w:r>
          </w:p>
        </w:tc>
        <w:tc>
          <w:tcPr>
            <w:tcW w:w="22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5B556" w14:textId="768FB4DC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61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0.5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4.9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7B75" w14:textId="27242648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403</w:t>
            </w:r>
          </w:p>
        </w:tc>
      </w:tr>
      <w:tr w:rsidR="005B1B90" w:rsidRPr="00D21D3A" w14:paraId="7AC4F4B8" w14:textId="77777777" w:rsidTr="00DB4245">
        <w:trPr>
          <w:trHeight w:val="268"/>
          <w:jc w:val="center"/>
        </w:trPr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19230" w14:textId="77777777" w:rsidR="005B1B90" w:rsidRPr="00D21D3A" w:rsidRDefault="005B1B9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Propensity score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222E9" w14:textId="61632A74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79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57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5.60</w:t>
            </w: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23EED" w14:textId="2D26458B" w:rsidR="005B1B90" w:rsidRPr="00D21D3A" w:rsidRDefault="005B1B9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21D3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1646A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314</w:t>
            </w:r>
          </w:p>
        </w:tc>
      </w:tr>
      <w:tr w:rsidR="005B1B90" w:rsidRPr="007C1095" w14:paraId="1F74A038" w14:textId="77777777" w:rsidTr="00DB4245">
        <w:trPr>
          <w:trHeight w:val="268"/>
          <w:jc w:val="center"/>
        </w:trPr>
        <w:tc>
          <w:tcPr>
            <w:tcW w:w="635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6F80206" w14:textId="77777777" w:rsidR="005B1B90" w:rsidRDefault="005B1B90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B</w:t>
            </w:r>
            <w:r w:rsidRPr="00DB4245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inomial distribution with a logit-link function</w:t>
            </w: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1D24EDA1" w14:textId="78C52768" w:rsidR="005B1B90" w:rsidRDefault="005B1B90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OR: Odds ratio</w:t>
            </w:r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 xml:space="preserve">; </w:t>
            </w:r>
            <w:proofErr w:type="spellStart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r.c.</w:t>
            </w:r>
            <w:proofErr w:type="spellEnd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: reference category;</w:t>
            </w:r>
          </w:p>
          <w:p w14:paraId="702A3D0A" w14:textId="3C459460" w:rsidR="005B1B90" w:rsidRPr="00DB4245" w:rsidRDefault="005B1B90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95% CI: 95% Confidence Interval</w:t>
            </w:r>
          </w:p>
        </w:tc>
      </w:tr>
    </w:tbl>
    <w:p w14:paraId="169BD51C" w14:textId="5D197B84" w:rsidR="00D21D3A" w:rsidRPr="00DB4245" w:rsidRDefault="00D21D3A" w:rsidP="005F70C7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Response (≥50% reduction in HDRS)</w:t>
      </w:r>
    </w:p>
    <w:tbl>
      <w:tblPr>
        <w:tblW w:w="6214" w:type="dxa"/>
        <w:jc w:val="center"/>
        <w:tblLook w:val="04A0" w:firstRow="1" w:lastRow="0" w:firstColumn="1" w:lastColumn="0" w:noHBand="0" w:noVBand="1"/>
      </w:tblPr>
      <w:tblGrid>
        <w:gridCol w:w="2977"/>
        <w:gridCol w:w="2238"/>
        <w:gridCol w:w="999"/>
      </w:tblGrid>
      <w:tr w:rsidR="00DB4245" w:rsidRPr="00DB4245" w14:paraId="54E4C715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EC41D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064C73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OR (95%CI)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AFAF4C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p-value</w:t>
            </w:r>
          </w:p>
        </w:tc>
      </w:tr>
      <w:tr w:rsidR="00DB4245" w:rsidRPr="00DB4245" w14:paraId="52579876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64D9D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Intercept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69D5" w14:textId="2F229809" w:rsidR="00DB4245" w:rsidRPr="00DB4245" w:rsidRDefault="00B52646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0.4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0.1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1.1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4FC80" w14:textId="55109A11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B52646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85</w:t>
            </w:r>
          </w:p>
        </w:tc>
      </w:tr>
      <w:tr w:rsidR="00DB4245" w:rsidRPr="00DB4245" w14:paraId="6171B005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0B82B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Type of augmentation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6002B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15473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4D264003" w14:textId="77777777" w:rsidTr="00A4572A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86BD4" w14:textId="1AEC421C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aripiprazol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D8128" w14:textId="066268AF" w:rsidR="00A4572A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B0868A" w14:textId="468C29D5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4572A" w:rsidRPr="00DB4245" w14:paraId="7A15766C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A8D8D" w14:textId="1248700D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pramipexol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53CFB" w14:textId="4D6F4170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77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1.48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9.60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12C18" w14:textId="2B8CD73B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0.00</w:t>
            </w:r>
            <w:r w:rsidR="00661131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</w:tr>
      <w:tr w:rsidR="00A4572A" w:rsidRPr="00DB4245" w14:paraId="04B3F54A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414C5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Time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DABCC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48FF8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0B288EB4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5C358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12-week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3C7EE" w14:textId="09511369" w:rsidR="00A4572A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E1CE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70FA4961" w14:textId="77777777" w:rsidTr="00DB4245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75467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24-week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DB210" w14:textId="683C3BB5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2.96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4BD97" w14:textId="1E34C4EA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539</w:t>
            </w:r>
          </w:p>
        </w:tc>
      </w:tr>
      <w:tr w:rsidR="00A4572A" w:rsidRPr="00DB4245" w14:paraId="7B0E4611" w14:textId="77777777" w:rsidTr="00725682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DE146F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Augmentation*time</w:t>
            </w:r>
          </w:p>
        </w:tc>
        <w:tc>
          <w:tcPr>
            <w:tcW w:w="22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2CC73" w14:textId="1DEA92C1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39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47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06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A47B9" w14:textId="332EF2EE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550</w:t>
            </w:r>
          </w:p>
        </w:tc>
      </w:tr>
      <w:tr w:rsidR="00A4572A" w:rsidRPr="00DB4245" w14:paraId="59E86811" w14:textId="77777777" w:rsidTr="00725682">
        <w:trPr>
          <w:trHeight w:val="248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2ED6A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Propensity score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AE370" w14:textId="40E3EB3E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(0.4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3.8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73F0C3" w14:textId="120C4FE1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66113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633</w:t>
            </w:r>
          </w:p>
        </w:tc>
      </w:tr>
      <w:tr w:rsidR="00A4572A" w:rsidRPr="007C1095" w14:paraId="7C115E11" w14:textId="77777777" w:rsidTr="00725682">
        <w:trPr>
          <w:trHeight w:val="248"/>
          <w:jc w:val="center"/>
        </w:trPr>
        <w:tc>
          <w:tcPr>
            <w:tcW w:w="62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B6EE176" w14:textId="77777777" w:rsidR="00A4572A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B</w:t>
            </w:r>
            <w:r w:rsidRPr="00DB4245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inomial distribution with a logit-link function</w:t>
            </w: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67CC5E48" w14:textId="2DD8E365" w:rsidR="00A4572A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OR: Odds ratio</w:t>
            </w:r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 xml:space="preserve">; </w:t>
            </w:r>
            <w:proofErr w:type="spellStart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r.c.</w:t>
            </w:r>
            <w:proofErr w:type="spellEnd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: reference category;</w:t>
            </w:r>
          </w:p>
          <w:p w14:paraId="31D2B909" w14:textId="2649D815" w:rsidR="00A4572A" w:rsidRPr="00DB4245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95% CI: 95% Confidence Interval</w:t>
            </w:r>
          </w:p>
        </w:tc>
      </w:tr>
    </w:tbl>
    <w:p w14:paraId="12521BC3" w14:textId="38C1A4FD" w:rsidR="00D21D3A" w:rsidRPr="00DB4245" w:rsidRDefault="00D21D3A" w:rsidP="005F70C7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Improvement (CGI-</w:t>
      </w:r>
      <w:proofErr w:type="spellStart"/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i</w:t>
      </w:r>
      <w:proofErr w:type="spellEnd"/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 &lt; 2)</w:t>
      </w:r>
    </w:p>
    <w:tbl>
      <w:tblPr>
        <w:tblW w:w="6196" w:type="dxa"/>
        <w:jc w:val="center"/>
        <w:tblLook w:val="04A0" w:firstRow="1" w:lastRow="0" w:firstColumn="1" w:lastColumn="0" w:noHBand="0" w:noVBand="1"/>
      </w:tblPr>
      <w:tblGrid>
        <w:gridCol w:w="2912"/>
        <w:gridCol w:w="2189"/>
        <w:gridCol w:w="1095"/>
      </w:tblGrid>
      <w:tr w:rsidR="00DB4245" w:rsidRPr="00DB4245" w14:paraId="6DACE2D1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15355D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ACF738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OR (95%CI)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4EF4A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p-value</w:t>
            </w:r>
          </w:p>
        </w:tc>
      </w:tr>
      <w:tr w:rsidR="00DB4245" w:rsidRPr="00DB4245" w14:paraId="0C5BB42A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64C5C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Intercept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C3691" w14:textId="35EB2941" w:rsidR="00DB4245" w:rsidRPr="00DB4245" w:rsidRDefault="0084303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1.79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 w:rsidR="00A4572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64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</w:t>
            </w:r>
            <w:r w:rsidR="00A4572A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02</w:t>
            </w:r>
            <w:r w:rsidR="00DB4245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64E04" w14:textId="0927A225" w:rsidR="00DB4245" w:rsidRPr="00A4572A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268</w:t>
            </w:r>
          </w:p>
        </w:tc>
      </w:tr>
      <w:tr w:rsidR="00DB4245" w:rsidRPr="00DB4245" w14:paraId="2EF39406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B7864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Type of augmentation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65297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B68E3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3B5E437F" w14:textId="77777777" w:rsidTr="00A4572A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11AD" w14:textId="7FFF60E9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aripiprazol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6CF855" w14:textId="1BC5AB80" w:rsidR="00A4572A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7FBC0F" w14:textId="01574962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4572A" w:rsidRPr="00DB4245" w14:paraId="6C9B3057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26F90" w14:textId="14A805C0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pramipexol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EC8CC" w14:textId="4E4FFC65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76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94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8.10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9F9A6" w14:textId="59FA950A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064</w:t>
            </w:r>
          </w:p>
        </w:tc>
      </w:tr>
      <w:tr w:rsidR="00A4572A" w:rsidRPr="00DB4245" w14:paraId="0513E8C1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E54FB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Time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F17CB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0B530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67CE55E1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4E052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12-week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E8A12" w14:textId="3DAFC92D" w:rsidR="00A4572A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BE09" w14:textId="7777777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4572A" w:rsidRPr="00DB4245" w14:paraId="1EC05033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18741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24-week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EC5BF" w14:textId="6E86821A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81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33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2.01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4F10D" w14:textId="708C70D6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648</w:t>
            </w:r>
          </w:p>
        </w:tc>
      </w:tr>
      <w:tr w:rsidR="00A4572A" w:rsidRPr="00DB4245" w14:paraId="5CDD3422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2D16B26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Augmentation*time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87A9A" w14:textId="1C2B9670" w:rsidR="00A4572A" w:rsidRPr="00DB4245" w:rsidRDefault="0084303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0.94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27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3.26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45212" w14:textId="6CE48DC7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927</w:t>
            </w:r>
          </w:p>
        </w:tc>
      </w:tr>
      <w:tr w:rsidR="00A4572A" w:rsidRPr="00DB4245" w14:paraId="3E486342" w14:textId="77777777" w:rsidTr="00725682">
        <w:trPr>
          <w:trHeight w:val="248"/>
          <w:jc w:val="center"/>
        </w:trPr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25F403" w14:textId="77777777" w:rsidR="00A4572A" w:rsidRPr="00DB4245" w:rsidRDefault="00A4572A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Propensity score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EF401" w14:textId="2A5C91A4" w:rsidR="00A4572A" w:rsidRPr="00DB4245" w:rsidRDefault="0084303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2.34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69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7.91</w:t>
            </w:r>
            <w:r w:rsidR="00A4572A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B386D4" w14:textId="0F5C40CF" w:rsidR="00A4572A" w:rsidRPr="00DB4245" w:rsidRDefault="00A4572A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84303F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172</w:t>
            </w:r>
          </w:p>
        </w:tc>
      </w:tr>
      <w:tr w:rsidR="00A4572A" w:rsidRPr="007C1095" w14:paraId="73C1D823" w14:textId="77777777" w:rsidTr="00725682">
        <w:trPr>
          <w:trHeight w:val="248"/>
          <w:jc w:val="center"/>
        </w:trPr>
        <w:tc>
          <w:tcPr>
            <w:tcW w:w="619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E8DB5CA" w14:textId="77777777" w:rsidR="00A4572A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B</w:t>
            </w:r>
            <w:r w:rsidRPr="00DB4245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inomial distribution with a logit-link function</w:t>
            </w: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4D8408FB" w14:textId="74985D46" w:rsidR="00A4572A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OR: Odds ratio</w:t>
            </w:r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 xml:space="preserve">; </w:t>
            </w:r>
            <w:proofErr w:type="spellStart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r.c.</w:t>
            </w:r>
            <w:proofErr w:type="spellEnd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: reference category;</w:t>
            </w:r>
          </w:p>
          <w:p w14:paraId="06D35072" w14:textId="5D597619" w:rsidR="00A4572A" w:rsidRPr="00DB4245" w:rsidRDefault="00A4572A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95% CI: 95% Confidence Interval</w:t>
            </w:r>
          </w:p>
        </w:tc>
      </w:tr>
    </w:tbl>
    <w:p w14:paraId="48CA3620" w14:textId="77777777" w:rsidR="00DB4245" w:rsidRDefault="00DB4245" w:rsidP="005F70C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br w:type="page"/>
      </w:r>
    </w:p>
    <w:p w14:paraId="6F7A81B0" w14:textId="764596B4" w:rsidR="00D21D3A" w:rsidRPr="00DB4245" w:rsidRDefault="00D21D3A" w:rsidP="005F70C7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DB424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lastRenderedPageBreak/>
        <w:t>GAF</w:t>
      </w:r>
    </w:p>
    <w:tbl>
      <w:tblPr>
        <w:tblW w:w="6107" w:type="dxa"/>
        <w:jc w:val="center"/>
        <w:tblLook w:val="04A0" w:firstRow="1" w:lastRow="0" w:firstColumn="1" w:lastColumn="0" w:noHBand="0" w:noVBand="1"/>
      </w:tblPr>
      <w:tblGrid>
        <w:gridCol w:w="2911"/>
        <w:gridCol w:w="2189"/>
        <w:gridCol w:w="1007"/>
      </w:tblGrid>
      <w:tr w:rsidR="00DB4245" w:rsidRPr="00DB4245" w14:paraId="2541DE6C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27549E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E5E519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b (95%CI)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2D6A9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p-value</w:t>
            </w:r>
          </w:p>
        </w:tc>
      </w:tr>
      <w:tr w:rsidR="00DB4245" w:rsidRPr="00DB4245" w14:paraId="48E06253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EA495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Intercept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CFAE" w14:textId="47387AF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3.</w:t>
            </w:r>
            <w:r w:rsidR="00E66E03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8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7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(3.</w:t>
            </w:r>
            <w:r w:rsidR="00E66E03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8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; </w:t>
            </w:r>
            <w:r w:rsidR="00E66E03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3.94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82141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&lt;0.001</w:t>
            </w:r>
          </w:p>
        </w:tc>
      </w:tr>
      <w:tr w:rsidR="00DB4245" w:rsidRPr="00DB4245" w14:paraId="51955B8B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8EE54" w14:textId="77777777" w:rsidR="00DB4245" w:rsidRPr="00DB4245" w:rsidRDefault="00DB4245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Type of augmentation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C0719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2A37" w14:textId="77777777" w:rsidR="00DB4245" w:rsidRPr="00DB4245" w:rsidRDefault="00DB4245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E66E03" w:rsidRPr="00DB4245" w14:paraId="250AC712" w14:textId="77777777" w:rsidTr="00E66E03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9C5B8" w14:textId="112D4B1B" w:rsidR="00E66E03" w:rsidRPr="00DB4245" w:rsidRDefault="008B5061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</w:t>
            </w:r>
            <w:r w:rsidR="00E66E03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ripiprazol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A31B35" w14:textId="566F7AFA" w:rsidR="00E66E03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57815E" w14:textId="2C4D6518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66E03" w:rsidRPr="00DB4245" w14:paraId="3E197AA1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5BBFC" w14:textId="13101BDE" w:rsidR="00E66E03" w:rsidRPr="00DB4245" w:rsidRDefault="008B5061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P</w:t>
            </w:r>
            <w:r w:rsidR="00E66E03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ramipexol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9A03E" w14:textId="1E11E06C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0.0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9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5415D" w14:textId="041F00BE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0.00</w:t>
            </w:r>
            <w:r w:rsidR="00E836B8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</w:tr>
      <w:tr w:rsidR="00E66E03" w:rsidRPr="00DB4245" w14:paraId="67B79B79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53F4C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Time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A36DB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26C7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E66E03" w:rsidRPr="00DB4245" w14:paraId="2A1911A9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4627A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Baseline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29CEA" w14:textId="4048A35C" w:rsidR="00E66E03" w:rsidRPr="00DB4245" w:rsidRDefault="00352A5F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r.c.</w:t>
            </w:r>
            <w:proofErr w:type="spellEnd"/>
            <w:r w:rsidR="00E66E03"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A987F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E66E03" w:rsidRPr="00DB4245" w14:paraId="64C8B7D7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74BDA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12-week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59A4C" w14:textId="61883A72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16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09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22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D46F9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&lt;0.001</w:t>
            </w:r>
          </w:p>
        </w:tc>
      </w:tr>
      <w:tr w:rsidR="00E66E03" w:rsidRPr="00DB4245" w14:paraId="53617E16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196D7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24-week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6085" w14:textId="1BBB1995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19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2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5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7A75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&lt;0.001</w:t>
            </w:r>
          </w:p>
        </w:tc>
      </w:tr>
      <w:tr w:rsidR="00E66E03" w:rsidRPr="00DB4245" w14:paraId="67BB8DB4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EE74A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Augmentation*time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BD7E6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68079" w14:textId="77777777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E66E03" w:rsidRPr="00DB4245" w14:paraId="757525EA" w14:textId="77777777" w:rsidTr="00DB4245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81406" w14:textId="2CFBAA95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aripiprazol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*12-week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4F7A7" w14:textId="76B9213E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0.1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02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0.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19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DBAD3" w14:textId="7B010EC5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</w:t>
            </w:r>
            <w:r w:rsidR="00E836B8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</w:tr>
      <w:tr w:rsidR="00E66E03" w:rsidRPr="00DB4245" w14:paraId="74CE7A9D" w14:textId="77777777" w:rsidTr="00725682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A3C661D" w14:textId="46EC35EE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aripiprazol</w:t>
            </w:r>
            <w:r w:rsidR="008B5061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e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*24-week</w:t>
            </w:r>
          </w:p>
        </w:tc>
        <w:tc>
          <w:tcPr>
            <w:tcW w:w="218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2633C9" w14:textId="1C7B66FB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0.1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3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 xml:space="preserve"> (0.0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4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; 0.2</w:t>
            </w:r>
            <w:r w:rsidR="00E836B8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1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D8A46" w14:textId="15E96D4D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0.00</w:t>
            </w:r>
            <w:r w:rsidR="00E836B8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</w:tr>
      <w:tr w:rsidR="00E66E03" w:rsidRPr="00DB4245" w14:paraId="4A1F37AC" w14:textId="77777777" w:rsidTr="00725682">
        <w:trPr>
          <w:trHeight w:val="74"/>
          <w:jc w:val="center"/>
        </w:trPr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2DB69" w14:textId="77777777" w:rsidR="00E66E03" w:rsidRPr="00DB4245" w:rsidRDefault="00E66E03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Propensity score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82716" w14:textId="0F011F30" w:rsidR="00E66E03" w:rsidRPr="00DB4245" w:rsidRDefault="00E66E03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</w:pP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0.13 (0.06; 0.2</w:t>
            </w:r>
            <w:r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0</w:t>
            </w:r>
            <w:r w:rsidRPr="00DB4245">
              <w:rPr>
                <w:rFonts w:ascii="Calisto MT" w:eastAsia="Times New Roman" w:hAnsi="Calisto MT" w:cs="Calibri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02599" w14:textId="3712D566" w:rsidR="00E66E03" w:rsidRPr="00DB4245" w:rsidRDefault="00E836B8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&lt;</w:t>
            </w:r>
            <w:r w:rsidR="00E66E03" w:rsidRPr="00DB4245"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0.001</w:t>
            </w:r>
          </w:p>
        </w:tc>
      </w:tr>
      <w:tr w:rsidR="00E66E03" w:rsidRPr="00DB4245" w14:paraId="3A4176F0" w14:textId="77777777" w:rsidTr="00F51DFC">
        <w:trPr>
          <w:trHeight w:val="74"/>
          <w:jc w:val="center"/>
        </w:trPr>
        <w:tc>
          <w:tcPr>
            <w:tcW w:w="610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0C28F7" w14:textId="100A747F" w:rsidR="00E66E03" w:rsidRDefault="00E66E03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 w:rsidRPr="00725682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Gamma distribution with a log-link function</w:t>
            </w: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.</w:t>
            </w:r>
          </w:p>
          <w:p w14:paraId="3E8C4EDE" w14:textId="143F407E" w:rsidR="00E66E03" w:rsidRDefault="00E66E03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b: beta coefficient</w:t>
            </w:r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 xml:space="preserve">; </w:t>
            </w:r>
            <w:proofErr w:type="spellStart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r.c.</w:t>
            </w:r>
            <w:proofErr w:type="spellEnd"/>
            <w:r w:rsidR="00352A5F"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: reference category;</w:t>
            </w:r>
          </w:p>
          <w:p w14:paraId="5AD50C30" w14:textId="27BA6AE6" w:rsidR="00E66E03" w:rsidRPr="00DB4245" w:rsidRDefault="00E66E03" w:rsidP="005F70C7">
            <w:pPr>
              <w:spacing w:after="0" w:line="480" w:lineRule="auto"/>
              <w:jc w:val="right"/>
              <w:rPr>
                <w:rFonts w:ascii="Calisto MT" w:eastAsia="Times New Roman" w:hAnsi="Calisto MT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Calisto MT" w:eastAsia="Times New Roman" w:hAnsi="Calisto MT" w:cs="Calibri"/>
                <w:color w:val="000000"/>
                <w:sz w:val="18"/>
                <w:szCs w:val="18"/>
                <w:lang w:val="en-GB" w:eastAsia="en-GB"/>
              </w:rPr>
              <w:t>95% CI: 95% Confidence Interval</w:t>
            </w:r>
          </w:p>
        </w:tc>
      </w:tr>
    </w:tbl>
    <w:p w14:paraId="7CAD26A1" w14:textId="157D1A5A" w:rsidR="00C36941" w:rsidRPr="004A5316" w:rsidRDefault="00C36941" w:rsidP="005F70C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88E9D96" w14:textId="77777777" w:rsidR="004A5316" w:rsidRDefault="004A5316" w:rsidP="005F70C7">
      <w:pPr>
        <w:pStyle w:val="Paragrafoelenco"/>
        <w:spacing w:after="0" w:line="48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26F5FAF0" w14:textId="77777777" w:rsidR="00E66E03" w:rsidRDefault="00E66E03" w:rsidP="005F70C7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br w:type="page"/>
      </w:r>
    </w:p>
    <w:p w14:paraId="220F88AB" w14:textId="3CC4F11B" w:rsidR="004B5EAC" w:rsidRDefault="004B5EAC" w:rsidP="005F70C7">
      <w:pPr>
        <w:pStyle w:val="Paragrafoelenco"/>
        <w:spacing w:after="0" w:line="48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lastRenderedPageBreak/>
        <w:t xml:space="preserve">ESM </w:t>
      </w:r>
      <w:r w:rsidRPr="00CF59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CF59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Predicted rates of remission, response, improvement and predicted mean of GAF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score</w:t>
      </w:r>
      <w:r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according to type of augmentation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time</w:t>
      </w:r>
      <w:r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adjust</w:t>
      </w:r>
      <w:r w:rsidR="008B506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ed for the</w:t>
      </w:r>
      <w:r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propensity score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Results obtained from r</w:t>
      </w:r>
      <w:r w:rsidRPr="00CF595A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epeated measures generalized linear mixed models.</w:t>
      </w:r>
    </w:p>
    <w:tbl>
      <w:tblPr>
        <w:tblW w:w="9304" w:type="dxa"/>
        <w:tblLook w:val="04A0" w:firstRow="1" w:lastRow="0" w:firstColumn="1" w:lastColumn="0" w:noHBand="0" w:noVBand="1"/>
      </w:tblPr>
      <w:tblGrid>
        <w:gridCol w:w="4075"/>
        <w:gridCol w:w="1743"/>
        <w:gridCol w:w="1743"/>
        <w:gridCol w:w="1743"/>
      </w:tblGrid>
      <w:tr w:rsidR="00D36800" w:rsidRPr="00D36800" w14:paraId="6AFB1BF5" w14:textId="77777777" w:rsidTr="00D36800">
        <w:trPr>
          <w:trHeight w:val="265"/>
        </w:trPr>
        <w:tc>
          <w:tcPr>
            <w:tcW w:w="4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70F5C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6501F4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Baseline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8DD1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12-week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15661C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24-week</w:t>
            </w:r>
          </w:p>
        </w:tc>
      </w:tr>
      <w:tr w:rsidR="00D36800" w:rsidRPr="00D36800" w14:paraId="1A5A095A" w14:textId="77777777" w:rsidTr="00D36800">
        <w:trPr>
          <w:trHeight w:val="26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C7366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Remission, estimated rate (</w:t>
            </w:r>
            <w:r w:rsidRPr="00D36800">
              <w:rPr>
                <w:rFonts w:ascii="Calisto MT" w:eastAsia="Times New Roman" w:hAnsi="Calisto MT" w:cs="Calibri"/>
                <w:b/>
                <w:bCs/>
                <w:i/>
                <w:iCs/>
                <w:color w:val="000000"/>
                <w:lang w:val="en-GB" w:eastAsia="en-GB"/>
              </w:rPr>
              <w:t>95% CI</w:t>
            </w: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F163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3AEF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19FBE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</w:tr>
      <w:tr w:rsidR="00D36800" w:rsidRPr="00D36800" w14:paraId="2950D93A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5868F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Pramipexole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7CCA7" w14:textId="4B01C692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2FF0D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49.7%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F948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72.7%</w:t>
            </w:r>
          </w:p>
        </w:tc>
      </w:tr>
      <w:tr w:rsidR="00D36800" w:rsidRPr="00D36800" w14:paraId="18B0D0D4" w14:textId="77777777" w:rsidTr="00D36800">
        <w:trPr>
          <w:trHeight w:val="253"/>
        </w:trPr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A611C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C3D40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67E1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37.7% - 60.9%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F2665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61.8% - 82.0%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7FC1490C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2480A37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Aripiprazole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30BCB879" w14:textId="1E2BA463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DC14A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18.9%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D0AB9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28.1%</w:t>
            </w:r>
          </w:p>
        </w:tc>
      </w:tr>
      <w:tr w:rsidR="00D36800" w:rsidRPr="00D36800" w14:paraId="338CA813" w14:textId="77777777" w:rsidTr="00D36800">
        <w:trPr>
          <w:trHeight w:val="265"/>
        </w:trPr>
        <w:tc>
          <w:tcPr>
            <w:tcW w:w="40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1C5CA7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C1B3FEC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6FFEA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9.6% - 33.7%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881B5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16.0% - 44.3%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7E01A404" w14:textId="77777777" w:rsidTr="00D36800">
        <w:trPr>
          <w:trHeight w:val="253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8BCD7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Response, estimated rate (</w:t>
            </w:r>
            <w:r w:rsidRPr="00D36800">
              <w:rPr>
                <w:rFonts w:ascii="Calisto MT" w:eastAsia="Times New Roman" w:hAnsi="Calisto MT" w:cs="Calibri"/>
                <w:b/>
                <w:bCs/>
                <w:i/>
                <w:iCs/>
                <w:color w:val="000000"/>
                <w:lang w:val="en-GB" w:eastAsia="en-GB"/>
              </w:rPr>
              <w:t>95% CI</w:t>
            </w: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115912" w14:textId="0B4E192C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306FE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0171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</w:tr>
      <w:tr w:rsidR="00D36800" w:rsidRPr="00D36800" w14:paraId="142D80F0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E1A2D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Pramipexole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3EF966" w14:textId="4E287118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2C213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64.1%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C5534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76.2%</w:t>
            </w:r>
          </w:p>
        </w:tc>
      </w:tr>
      <w:tr w:rsidR="00D36800" w:rsidRPr="00D36800" w14:paraId="403F5D30" w14:textId="77777777" w:rsidTr="00D36800">
        <w:trPr>
          <w:trHeight w:val="253"/>
        </w:trPr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830E2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22B3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7E346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51.9% - 74.8%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6E1C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64.8% - 84.8%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68D7A80C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9E6DD7E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Aripiprazole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08CC0990" w14:textId="008783D5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7842D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32.2%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661ED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38.0%</w:t>
            </w:r>
          </w:p>
        </w:tc>
      </w:tr>
      <w:tr w:rsidR="00D36800" w:rsidRPr="00D36800" w14:paraId="7FC941B0" w14:textId="77777777" w:rsidTr="00D36800">
        <w:trPr>
          <w:trHeight w:val="265"/>
        </w:trPr>
        <w:tc>
          <w:tcPr>
            <w:tcW w:w="40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56C43A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B2C62C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6995C7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19.3% - 48.5%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A39649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23.9% - 54.5%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5E1E8FB4" w14:textId="77777777" w:rsidTr="00D36800">
        <w:trPr>
          <w:trHeight w:val="241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EE9A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Improvement, estimated rate (</w:t>
            </w:r>
            <w:r w:rsidRPr="00D36800">
              <w:rPr>
                <w:rFonts w:ascii="Calisto MT" w:eastAsia="Times New Roman" w:hAnsi="Calisto MT" w:cs="Calibri"/>
                <w:b/>
                <w:bCs/>
                <w:i/>
                <w:iCs/>
                <w:color w:val="000000"/>
                <w:lang w:val="en-GB" w:eastAsia="en-GB"/>
              </w:rPr>
              <w:t>95% CI</w:t>
            </w: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7378EA" w14:textId="69D93B3F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28338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0EFDB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</w:tr>
      <w:tr w:rsidR="00D36800" w:rsidRPr="00D36800" w14:paraId="080440FA" w14:textId="77777777" w:rsidTr="00D36800">
        <w:trPr>
          <w:trHeight w:val="241"/>
        </w:trPr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BE2DA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Pramipexole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BAA5B5" w14:textId="4DC2DAEB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3C26E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87.2%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6E036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83.9%</w:t>
            </w:r>
          </w:p>
        </w:tc>
      </w:tr>
      <w:tr w:rsidR="00D36800" w:rsidRPr="00D36800" w14:paraId="4FD1CAE7" w14:textId="77777777" w:rsidTr="00D36800">
        <w:trPr>
          <w:trHeight w:val="241"/>
        </w:trPr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D63A1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3E2CB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04E47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77.8% - 93.0%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7CD0B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73.6% - 90.7%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1012457A" w14:textId="77777777" w:rsidTr="00D36800">
        <w:trPr>
          <w:trHeight w:val="241"/>
        </w:trPr>
        <w:tc>
          <w:tcPr>
            <w:tcW w:w="40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61EAB1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Aripiprazole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4D755BEC" w14:textId="4755586A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43B7C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71.2%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ADA36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66.7%</w:t>
            </w:r>
          </w:p>
        </w:tc>
      </w:tr>
      <w:tr w:rsidR="00D36800" w:rsidRPr="00D36800" w14:paraId="4AB23337" w14:textId="77777777" w:rsidTr="00D36800">
        <w:trPr>
          <w:trHeight w:val="265"/>
        </w:trPr>
        <w:tc>
          <w:tcPr>
            <w:tcW w:w="40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00168A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66D6EF9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46FAD5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54.3% - 83.8%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1195F1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49.4% - 80.4%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0BC06176" w14:textId="77777777" w:rsidTr="00D36800">
        <w:trPr>
          <w:trHeight w:val="26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397C7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GAF, estimated mean (</w:t>
            </w:r>
            <w:r w:rsidRPr="00D36800">
              <w:rPr>
                <w:rFonts w:ascii="Calisto MT" w:eastAsia="Times New Roman" w:hAnsi="Calisto MT" w:cs="Calibri"/>
                <w:b/>
                <w:bCs/>
                <w:i/>
                <w:iCs/>
                <w:color w:val="000000"/>
                <w:lang w:val="en-GB" w:eastAsia="en-GB"/>
              </w:rPr>
              <w:t>95% CI</w:t>
            </w: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27C1E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06809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3F2A5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 </w:t>
            </w:r>
          </w:p>
        </w:tc>
      </w:tr>
      <w:tr w:rsidR="00D36800" w:rsidRPr="00D36800" w14:paraId="6826E66A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7A436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Pramipexole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39C3D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55.5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D83F0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71.9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B555F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75.7</w:t>
            </w:r>
          </w:p>
        </w:tc>
      </w:tr>
      <w:tr w:rsidR="00D36800" w:rsidRPr="00D36800" w14:paraId="75F9FA8B" w14:textId="77777777" w:rsidTr="00D36800">
        <w:trPr>
          <w:trHeight w:val="253"/>
        </w:trPr>
        <w:tc>
          <w:tcPr>
            <w:tcW w:w="40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6698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6B93F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53.6 - 57.4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D9287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68.9 - 75.1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53C9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72.5 - 79.1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  <w:tr w:rsidR="00D36800" w:rsidRPr="00D36800" w14:paraId="71EADC44" w14:textId="77777777" w:rsidTr="00D36800">
        <w:trPr>
          <w:trHeight w:val="253"/>
        </w:trPr>
        <w:tc>
          <w:tcPr>
            <w:tcW w:w="40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20D8D00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Aripiprazole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6FF0F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50.6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B5EC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59.1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6DF8C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60.8</w:t>
            </w:r>
          </w:p>
        </w:tc>
      </w:tr>
      <w:tr w:rsidR="00D36800" w:rsidRPr="00D36800" w14:paraId="1C815B4B" w14:textId="77777777" w:rsidTr="00D36800">
        <w:trPr>
          <w:trHeight w:val="265"/>
        </w:trPr>
        <w:tc>
          <w:tcPr>
            <w:tcW w:w="40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1117CF" w14:textId="77777777" w:rsidR="00D36800" w:rsidRPr="00D36800" w:rsidRDefault="00D36800" w:rsidP="005F70C7">
            <w:pPr>
              <w:spacing w:after="0" w:line="480" w:lineRule="auto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CB4AD2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48.3 - 52.9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024655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55.9 - 62.4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51283C" w14:textId="77777777" w:rsidR="00D36800" w:rsidRPr="00D36800" w:rsidRDefault="00D36800" w:rsidP="005F70C7">
            <w:pPr>
              <w:spacing w:after="0" w:line="480" w:lineRule="auto"/>
              <w:jc w:val="center"/>
              <w:rPr>
                <w:rFonts w:ascii="Calisto MT" w:eastAsia="Times New Roman" w:hAnsi="Calisto MT" w:cs="Calibri"/>
                <w:color w:val="000000"/>
                <w:lang w:val="en-GB" w:eastAsia="en-GB"/>
              </w:rPr>
            </w:pP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(</w:t>
            </w:r>
            <w:r w:rsidRPr="00D36800">
              <w:rPr>
                <w:rFonts w:ascii="Calisto MT" w:eastAsia="Times New Roman" w:hAnsi="Calisto MT" w:cs="Calibri"/>
                <w:i/>
                <w:iCs/>
                <w:color w:val="000000"/>
                <w:lang w:val="en-GB" w:eastAsia="en-GB"/>
              </w:rPr>
              <w:t>57.4 - 64.4</w:t>
            </w:r>
            <w:r w:rsidRPr="00D36800">
              <w:rPr>
                <w:rFonts w:ascii="Calisto MT" w:eastAsia="Times New Roman" w:hAnsi="Calisto MT" w:cs="Calibri"/>
                <w:color w:val="000000"/>
                <w:lang w:val="en-GB" w:eastAsia="en-GB"/>
              </w:rPr>
              <w:t>)</w:t>
            </w:r>
          </w:p>
        </w:tc>
      </w:tr>
    </w:tbl>
    <w:p w14:paraId="46394D8C" w14:textId="7E650FE9" w:rsidR="00C36941" w:rsidRDefault="00C36941" w:rsidP="005F70C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172571B1" w14:textId="60EF8612" w:rsidR="00641688" w:rsidRPr="00641688" w:rsidRDefault="00641688" w:rsidP="005F70C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sectPr w:rsidR="00641688" w:rsidRPr="00641688" w:rsidSect="00072DE9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207E" w14:textId="77777777" w:rsidR="00015EED" w:rsidRDefault="00015EED" w:rsidP="00D13D0D">
      <w:pPr>
        <w:spacing w:after="0" w:line="240" w:lineRule="auto"/>
      </w:pPr>
      <w:r>
        <w:separator/>
      </w:r>
    </w:p>
  </w:endnote>
  <w:endnote w:type="continuationSeparator" w:id="0">
    <w:p w14:paraId="42AA85C4" w14:textId="77777777" w:rsidR="00015EED" w:rsidRDefault="00015EED" w:rsidP="00D1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848139448"/>
      <w:docPartObj>
        <w:docPartGallery w:val="Page Numbers (Bottom of Page)"/>
        <w:docPartUnique/>
      </w:docPartObj>
    </w:sdtPr>
    <w:sdtContent>
      <w:p w14:paraId="5059DF07" w14:textId="5153DCB4" w:rsidR="00D13D0D" w:rsidRDefault="00D13D0D" w:rsidP="0040192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25BA1C5" w14:textId="77777777" w:rsidR="00D13D0D" w:rsidRDefault="00D13D0D" w:rsidP="00D13D0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92764"/>
      <w:docPartObj>
        <w:docPartGallery w:val="Page Numbers (Bottom of Page)"/>
        <w:docPartUnique/>
      </w:docPartObj>
    </w:sdtPr>
    <w:sdtContent>
      <w:p w14:paraId="4A388374" w14:textId="4F0EB1A7" w:rsidR="003402BE" w:rsidRDefault="003402B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C53CF" w14:textId="77777777" w:rsidR="00D13D0D" w:rsidRDefault="00D13D0D" w:rsidP="00D13D0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AE91" w14:textId="77777777" w:rsidR="00015EED" w:rsidRDefault="00015EED" w:rsidP="00D13D0D">
      <w:pPr>
        <w:spacing w:after="0" w:line="240" w:lineRule="auto"/>
      </w:pPr>
      <w:r>
        <w:separator/>
      </w:r>
    </w:p>
  </w:footnote>
  <w:footnote w:type="continuationSeparator" w:id="0">
    <w:p w14:paraId="45DF5E32" w14:textId="77777777" w:rsidR="00015EED" w:rsidRDefault="00015EED" w:rsidP="00D13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626C2"/>
    <w:multiLevelType w:val="hybridMultilevel"/>
    <w:tmpl w:val="3DE61A08"/>
    <w:lvl w:ilvl="0" w:tplc="52AAB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7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7"/>
    <w:rsid w:val="00015EED"/>
    <w:rsid w:val="0005465A"/>
    <w:rsid w:val="00072DE9"/>
    <w:rsid w:val="00094547"/>
    <w:rsid w:val="000D4B3B"/>
    <w:rsid w:val="000D5451"/>
    <w:rsid w:val="001646AF"/>
    <w:rsid w:val="001D171B"/>
    <w:rsid w:val="00200C91"/>
    <w:rsid w:val="00204DBC"/>
    <w:rsid w:val="00230513"/>
    <w:rsid w:val="00250DB0"/>
    <w:rsid w:val="00297D5A"/>
    <w:rsid w:val="003402BE"/>
    <w:rsid w:val="00352A5F"/>
    <w:rsid w:val="003620F0"/>
    <w:rsid w:val="003C1A07"/>
    <w:rsid w:val="00422883"/>
    <w:rsid w:val="00423E80"/>
    <w:rsid w:val="004A5316"/>
    <w:rsid w:val="004B5EAC"/>
    <w:rsid w:val="0057563C"/>
    <w:rsid w:val="00580BBA"/>
    <w:rsid w:val="005A0620"/>
    <w:rsid w:val="005B1B90"/>
    <w:rsid w:val="005C39C3"/>
    <w:rsid w:val="005F70C7"/>
    <w:rsid w:val="00623DD4"/>
    <w:rsid w:val="006373C7"/>
    <w:rsid w:val="00641688"/>
    <w:rsid w:val="00646A17"/>
    <w:rsid w:val="006545CD"/>
    <w:rsid w:val="00661131"/>
    <w:rsid w:val="0066321A"/>
    <w:rsid w:val="00673242"/>
    <w:rsid w:val="006770D1"/>
    <w:rsid w:val="007014AD"/>
    <w:rsid w:val="00725682"/>
    <w:rsid w:val="00775AD5"/>
    <w:rsid w:val="007B258B"/>
    <w:rsid w:val="007C1095"/>
    <w:rsid w:val="007E6787"/>
    <w:rsid w:val="0083398D"/>
    <w:rsid w:val="0083551A"/>
    <w:rsid w:val="0084303F"/>
    <w:rsid w:val="008A3466"/>
    <w:rsid w:val="008B27C6"/>
    <w:rsid w:val="008B5061"/>
    <w:rsid w:val="008B520B"/>
    <w:rsid w:val="008F50FF"/>
    <w:rsid w:val="008F5C96"/>
    <w:rsid w:val="009135E0"/>
    <w:rsid w:val="00976617"/>
    <w:rsid w:val="009B3C82"/>
    <w:rsid w:val="00A35482"/>
    <w:rsid w:val="00A4572A"/>
    <w:rsid w:val="00A52CD7"/>
    <w:rsid w:val="00A54579"/>
    <w:rsid w:val="00AA69AA"/>
    <w:rsid w:val="00B52646"/>
    <w:rsid w:val="00BA542D"/>
    <w:rsid w:val="00BE667B"/>
    <w:rsid w:val="00C14634"/>
    <w:rsid w:val="00C24C66"/>
    <w:rsid w:val="00C36941"/>
    <w:rsid w:val="00C663B1"/>
    <w:rsid w:val="00C711EE"/>
    <w:rsid w:val="00CB1A6D"/>
    <w:rsid w:val="00CF595A"/>
    <w:rsid w:val="00D13D0D"/>
    <w:rsid w:val="00D21D3A"/>
    <w:rsid w:val="00D24A1D"/>
    <w:rsid w:val="00D36800"/>
    <w:rsid w:val="00D669E9"/>
    <w:rsid w:val="00DB4245"/>
    <w:rsid w:val="00E66E03"/>
    <w:rsid w:val="00E75344"/>
    <w:rsid w:val="00E836B8"/>
    <w:rsid w:val="00EA047B"/>
    <w:rsid w:val="00EB218C"/>
    <w:rsid w:val="00F14A19"/>
    <w:rsid w:val="00FF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5D98"/>
  <w15:chartTrackingRefBased/>
  <w15:docId w15:val="{6C750C34-1B02-4107-8D76-1AD62924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65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1D3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482"/>
    <w:rPr>
      <w:rFonts w:ascii="Segoe UI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9B3C82"/>
    <w:pPr>
      <w:spacing w:after="0" w:line="240" w:lineRule="auto"/>
    </w:pPr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3D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D0D"/>
    <w:rPr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D13D0D"/>
  </w:style>
  <w:style w:type="paragraph" w:styleId="Intestazione">
    <w:name w:val="header"/>
    <w:basedOn w:val="Normale"/>
    <w:link w:val="IntestazioneCarattere"/>
    <w:uiPriority w:val="99"/>
    <w:unhideWhenUsed/>
    <w:rsid w:val="00340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2BE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07923E0-0194-4408-9D3D-C7E8EED1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Iommi</dc:creator>
  <cp:keywords/>
  <dc:description/>
  <cp:lastModifiedBy>Sophia Betrò</cp:lastModifiedBy>
  <cp:revision>7</cp:revision>
  <dcterms:created xsi:type="dcterms:W3CDTF">2023-10-16T06:50:00Z</dcterms:created>
  <dcterms:modified xsi:type="dcterms:W3CDTF">2023-12-12T11:43:00Z</dcterms:modified>
</cp:coreProperties>
</file>