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65E7" w14:textId="77777777" w:rsidR="00CF200E" w:rsidRDefault="00000000">
      <w:pPr>
        <w:rPr>
          <w:rFonts w:ascii="Palatino Linotype" w:eastAsia="Palatino Linotype" w:hAnsi="Palatino Linotype" w:cs="Palatino Linotype"/>
          <w:b/>
        </w:rPr>
      </w:pPr>
      <w:r>
        <w:rPr>
          <w:rFonts w:ascii="Palatino Linotype" w:eastAsia="Palatino Linotype" w:hAnsi="Palatino Linotype" w:cs="Palatino Linotype"/>
          <w:b/>
        </w:rPr>
        <w:t>Supplementary data</w:t>
      </w:r>
    </w:p>
    <w:p w14:paraId="5D563B7D" w14:textId="77777777" w:rsidR="00CF200E" w:rsidRDefault="00CF200E">
      <w:pPr>
        <w:jc w:val="both"/>
        <w:rPr>
          <w:rFonts w:ascii="Palatino Linotype" w:eastAsia="Palatino Linotype" w:hAnsi="Palatino Linotype" w:cs="Palatino Linotype"/>
          <w:b/>
          <w:sz w:val="20"/>
          <w:szCs w:val="20"/>
        </w:rPr>
      </w:pPr>
    </w:p>
    <w:p w14:paraId="50350BD1" w14:textId="77777777" w:rsidR="00CF200E" w:rsidRDefault="00000000">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Table S1.  Summary of the available evidence about </w:t>
      </w:r>
      <w:proofErr w:type="spellStart"/>
      <w:r>
        <w:rPr>
          <w:rFonts w:ascii="Palatino Linotype" w:eastAsia="Palatino Linotype" w:hAnsi="Palatino Linotype" w:cs="Palatino Linotype"/>
          <w:b/>
          <w:sz w:val="20"/>
          <w:szCs w:val="20"/>
        </w:rPr>
        <w:t>PARPi</w:t>
      </w:r>
      <w:proofErr w:type="spellEnd"/>
      <w:r>
        <w:rPr>
          <w:rFonts w:ascii="Palatino Linotype" w:eastAsia="Palatino Linotype" w:hAnsi="Palatino Linotype" w:cs="Palatino Linotype"/>
          <w:b/>
          <w:sz w:val="20"/>
          <w:szCs w:val="20"/>
        </w:rPr>
        <w:t xml:space="preserve"> use in patients with BMs from EOC, according to the search criteria reported in the </w:t>
      </w:r>
      <w:r>
        <w:rPr>
          <w:rFonts w:ascii="Palatino Linotype" w:eastAsia="Palatino Linotype" w:hAnsi="Palatino Linotype" w:cs="Palatino Linotype"/>
          <w:b/>
          <w:i/>
          <w:sz w:val="20"/>
          <w:szCs w:val="20"/>
        </w:rPr>
        <w:t>search strategy section (below).</w:t>
      </w:r>
      <w:r>
        <w:rPr>
          <w:rFonts w:ascii="Palatino Linotype" w:eastAsia="Palatino Linotype" w:hAnsi="Palatino Linotype" w:cs="Palatino Linotype"/>
          <w:b/>
          <w:sz w:val="20"/>
          <w:szCs w:val="20"/>
        </w:rPr>
        <w:t xml:space="preserve"> </w:t>
      </w:r>
    </w:p>
    <w:p w14:paraId="1E132FDD" w14:textId="77777777" w:rsidR="00CF200E" w:rsidRDefault="00CF200E">
      <w:pPr>
        <w:rPr>
          <w:rFonts w:ascii="Palatino Linotype" w:eastAsia="Palatino Linotype" w:hAnsi="Palatino Linotype" w:cs="Palatino Linotype"/>
        </w:rPr>
      </w:pPr>
    </w:p>
    <w:tbl>
      <w:tblPr>
        <w:tblStyle w:val="a"/>
        <w:tblW w:w="9494" w:type="dxa"/>
        <w:tblInd w:w="-150" w:type="dxa"/>
        <w:tblLayout w:type="fixed"/>
        <w:tblLook w:val="0400" w:firstRow="0" w:lastRow="0" w:firstColumn="0" w:lastColumn="0" w:noHBand="0" w:noVBand="1"/>
      </w:tblPr>
      <w:tblGrid>
        <w:gridCol w:w="1079"/>
        <w:gridCol w:w="765"/>
        <w:gridCol w:w="706"/>
        <w:gridCol w:w="989"/>
        <w:gridCol w:w="991"/>
        <w:gridCol w:w="990"/>
        <w:gridCol w:w="989"/>
        <w:gridCol w:w="991"/>
        <w:gridCol w:w="854"/>
        <w:gridCol w:w="1140"/>
      </w:tblGrid>
      <w:tr w:rsidR="00CF200E" w14:paraId="3E9518CD" w14:textId="77777777">
        <w:trPr>
          <w:trHeight w:val="1252"/>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611FEA14"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Author (Year)</w:t>
            </w:r>
          </w:p>
        </w:tc>
        <w:tc>
          <w:tcPr>
            <w:tcW w:w="765" w:type="dxa"/>
            <w:tcBorders>
              <w:top w:val="single" w:sz="6" w:space="0" w:color="F3F3F3"/>
              <w:left w:val="single" w:sz="6" w:space="0" w:color="F3F3F3"/>
              <w:bottom w:val="single" w:sz="6" w:space="0" w:color="F3F3F3"/>
              <w:right w:val="single" w:sz="6" w:space="0" w:color="F3F3F3"/>
            </w:tcBorders>
            <w:shd w:val="clear" w:color="auto" w:fill="021E6E"/>
          </w:tcPr>
          <w:p w14:paraId="2063F555"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Number of cases/</w:t>
            </w:r>
          </w:p>
          <w:p w14:paraId="35C77F38"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Primary cancer</w:t>
            </w:r>
          </w:p>
        </w:tc>
        <w:tc>
          <w:tcPr>
            <w:tcW w:w="706" w:type="dxa"/>
            <w:tcBorders>
              <w:top w:val="single" w:sz="6" w:space="0" w:color="F3F3F3"/>
              <w:left w:val="single" w:sz="6" w:space="0" w:color="F3F3F3"/>
              <w:bottom w:val="single" w:sz="6" w:space="0" w:color="F3F3F3"/>
              <w:right w:val="single" w:sz="6" w:space="0" w:color="F3F3F3"/>
            </w:tcBorders>
            <w:shd w:val="clear" w:color="auto" w:fill="021E6E"/>
          </w:tcPr>
          <w:p w14:paraId="416849CE"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Age</w:t>
            </w:r>
          </w:p>
        </w:tc>
        <w:tc>
          <w:tcPr>
            <w:tcW w:w="989" w:type="dxa"/>
            <w:tcBorders>
              <w:top w:val="single" w:sz="6" w:space="0" w:color="F3F3F3"/>
              <w:left w:val="single" w:sz="6" w:space="0" w:color="F3F3F3"/>
              <w:bottom w:val="single" w:sz="6" w:space="0" w:color="F3F3F3"/>
              <w:right w:val="single" w:sz="6" w:space="0" w:color="F3F3F3"/>
            </w:tcBorders>
            <w:shd w:val="clear" w:color="auto" w:fill="021E6E"/>
          </w:tcPr>
          <w:p w14:paraId="58E44218" w14:textId="77777777" w:rsidR="00CF200E" w:rsidRDefault="00000000">
            <w:pPr>
              <w:widowControl w:val="0"/>
              <w:spacing w:line="240" w:lineRule="auto"/>
              <w:ind w:left="20" w:right="40"/>
              <w:rPr>
                <w:b/>
                <w:color w:val="FFFFFF"/>
                <w:sz w:val="18"/>
                <w:szCs w:val="18"/>
              </w:rPr>
            </w:pPr>
            <w:r>
              <w:rPr>
                <w:rFonts w:ascii="Palatino Linotype" w:eastAsia="Palatino Linotype" w:hAnsi="Palatino Linotype" w:cs="Palatino Linotype"/>
                <w:b/>
                <w:color w:val="FFFFFF"/>
                <w:sz w:val="18"/>
                <w:szCs w:val="18"/>
              </w:rPr>
              <w:t xml:space="preserve">BRCA </w:t>
            </w:r>
          </w:p>
          <w:p w14:paraId="47C87FE4" w14:textId="77777777" w:rsidR="00CF200E" w:rsidRDefault="00000000">
            <w:pPr>
              <w:widowControl w:val="0"/>
              <w:spacing w:line="240" w:lineRule="auto"/>
              <w:ind w:left="20" w:right="40"/>
              <w:rPr>
                <w:b/>
                <w:color w:val="FFFFFF"/>
                <w:sz w:val="18"/>
                <w:szCs w:val="18"/>
              </w:rPr>
            </w:pPr>
            <w:r>
              <w:rPr>
                <w:rFonts w:ascii="Palatino Linotype" w:eastAsia="Palatino Linotype" w:hAnsi="Palatino Linotype" w:cs="Palatino Linotype"/>
                <w:b/>
                <w:color w:val="FFFFFF"/>
                <w:sz w:val="18"/>
                <w:szCs w:val="18"/>
              </w:rPr>
              <w:t xml:space="preserve">mutation </w:t>
            </w:r>
          </w:p>
          <w:p w14:paraId="71DF1A41"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status</w:t>
            </w:r>
          </w:p>
        </w:tc>
        <w:tc>
          <w:tcPr>
            <w:tcW w:w="991" w:type="dxa"/>
            <w:tcBorders>
              <w:top w:val="single" w:sz="6" w:space="0" w:color="F3F3F3"/>
              <w:left w:val="single" w:sz="6" w:space="0" w:color="F3F3F3"/>
              <w:bottom w:val="single" w:sz="6" w:space="0" w:color="F3F3F3"/>
              <w:right w:val="single" w:sz="6" w:space="0" w:color="F3F3F3"/>
            </w:tcBorders>
            <w:shd w:val="clear" w:color="auto" w:fill="021E6E"/>
          </w:tcPr>
          <w:p w14:paraId="16FF13F2"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 CNS site(s)</w:t>
            </w:r>
          </w:p>
        </w:tc>
        <w:tc>
          <w:tcPr>
            <w:tcW w:w="990" w:type="dxa"/>
            <w:tcBorders>
              <w:top w:val="single" w:sz="6" w:space="0" w:color="F3F3F3"/>
              <w:left w:val="single" w:sz="6" w:space="0" w:color="F3F3F3"/>
              <w:bottom w:val="single" w:sz="6" w:space="0" w:color="F3F3F3"/>
              <w:right w:val="single" w:sz="6" w:space="0" w:color="F3F3F3"/>
            </w:tcBorders>
            <w:shd w:val="clear" w:color="auto" w:fill="021E6E"/>
          </w:tcPr>
          <w:p w14:paraId="52ACE6C8" w14:textId="77777777" w:rsidR="00CF200E" w:rsidRDefault="00000000">
            <w:pPr>
              <w:widowControl w:val="0"/>
              <w:spacing w:line="240" w:lineRule="auto"/>
              <w:ind w:left="20"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b/>
                <w:color w:val="FFFFFF"/>
                <w:sz w:val="18"/>
                <w:szCs w:val="18"/>
              </w:rPr>
              <w:t>PARPi</w:t>
            </w:r>
            <w:proofErr w:type="spellEnd"/>
            <w:r>
              <w:rPr>
                <w:rFonts w:ascii="Palatino Linotype" w:eastAsia="Palatino Linotype" w:hAnsi="Palatino Linotype" w:cs="Palatino Linotype"/>
                <w:b/>
                <w:color w:val="FFFFFF"/>
                <w:sz w:val="18"/>
                <w:szCs w:val="18"/>
              </w:rPr>
              <w:t xml:space="preserve"> agent</w:t>
            </w:r>
          </w:p>
          <w:p w14:paraId="4E1E6584" w14:textId="77777777" w:rsidR="00CF200E" w:rsidRDefault="00CF200E">
            <w:pPr>
              <w:widowControl w:val="0"/>
              <w:spacing w:line="240" w:lineRule="auto"/>
              <w:ind w:left="20" w:right="40"/>
              <w:rPr>
                <w:rFonts w:ascii="Palatino Linotype" w:eastAsia="Palatino Linotype" w:hAnsi="Palatino Linotype" w:cs="Palatino Linotype"/>
                <w:sz w:val="18"/>
                <w:szCs w:val="18"/>
              </w:rPr>
            </w:pPr>
          </w:p>
        </w:tc>
        <w:tc>
          <w:tcPr>
            <w:tcW w:w="989" w:type="dxa"/>
            <w:tcBorders>
              <w:top w:val="single" w:sz="6" w:space="0" w:color="F3F3F3"/>
              <w:left w:val="single" w:sz="6" w:space="0" w:color="F3F3F3"/>
              <w:bottom w:val="single" w:sz="6" w:space="0" w:color="F3F3F3"/>
              <w:right w:val="single" w:sz="6" w:space="0" w:color="F3F3F3"/>
            </w:tcBorders>
            <w:shd w:val="clear" w:color="auto" w:fill="021E6E"/>
          </w:tcPr>
          <w:p w14:paraId="7F295124" w14:textId="77777777" w:rsidR="00CF200E" w:rsidRDefault="00000000">
            <w:pPr>
              <w:widowControl w:val="0"/>
              <w:spacing w:line="240" w:lineRule="auto"/>
              <w:ind w:left="20" w:right="40"/>
              <w:rPr>
                <w:b/>
                <w:color w:val="FFFFFF"/>
                <w:sz w:val="18"/>
                <w:szCs w:val="18"/>
              </w:rPr>
            </w:pPr>
            <w:proofErr w:type="spellStart"/>
            <w:r>
              <w:rPr>
                <w:rFonts w:ascii="Palatino Linotype" w:eastAsia="Palatino Linotype" w:hAnsi="Palatino Linotype" w:cs="Palatino Linotype"/>
                <w:b/>
                <w:color w:val="FFFFFF"/>
                <w:sz w:val="18"/>
                <w:szCs w:val="18"/>
              </w:rPr>
              <w:t>PARPi</w:t>
            </w:r>
            <w:proofErr w:type="spellEnd"/>
            <w:r>
              <w:rPr>
                <w:rFonts w:ascii="Palatino Linotype" w:eastAsia="Palatino Linotype" w:hAnsi="Palatino Linotype" w:cs="Palatino Linotype"/>
                <w:b/>
                <w:color w:val="FFFFFF"/>
                <w:sz w:val="18"/>
                <w:szCs w:val="18"/>
              </w:rPr>
              <w:t xml:space="preserve"> </w:t>
            </w:r>
          </w:p>
          <w:p w14:paraId="6F1ACA43" w14:textId="77777777" w:rsidR="00CF200E" w:rsidRDefault="00000000">
            <w:pPr>
              <w:widowControl w:val="0"/>
              <w:spacing w:line="240" w:lineRule="auto"/>
              <w:ind w:left="20"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 xml:space="preserve">setting </w:t>
            </w:r>
          </w:p>
          <w:p w14:paraId="71CE53AA" w14:textId="77777777" w:rsidR="00CF200E" w:rsidRDefault="00000000">
            <w:pPr>
              <w:widowControl w:val="0"/>
              <w:spacing w:line="240" w:lineRule="auto"/>
              <w:ind w:left="20" w:right="40"/>
              <w:rPr>
                <w:b/>
                <w:color w:val="FFFFFF"/>
                <w:sz w:val="18"/>
                <w:szCs w:val="18"/>
              </w:rPr>
            </w:pPr>
            <w:r>
              <w:rPr>
                <w:rFonts w:ascii="Palatino Linotype" w:eastAsia="Palatino Linotype" w:hAnsi="Palatino Linotype" w:cs="Palatino Linotype"/>
                <w:b/>
                <w:color w:val="FFFFFF"/>
                <w:sz w:val="18"/>
                <w:szCs w:val="18"/>
              </w:rPr>
              <w:t xml:space="preserve">at time of </w:t>
            </w:r>
          </w:p>
          <w:p w14:paraId="136C8D2F"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BMs</w:t>
            </w:r>
          </w:p>
        </w:tc>
        <w:tc>
          <w:tcPr>
            <w:tcW w:w="991" w:type="dxa"/>
            <w:tcBorders>
              <w:top w:val="single" w:sz="6" w:space="0" w:color="F3F3F3"/>
              <w:left w:val="single" w:sz="6" w:space="0" w:color="F3F3F3"/>
              <w:bottom w:val="single" w:sz="6" w:space="0" w:color="F3F3F3"/>
              <w:right w:val="single" w:sz="6" w:space="0" w:color="F3F3F3"/>
            </w:tcBorders>
            <w:shd w:val="clear" w:color="auto" w:fill="021E6E"/>
          </w:tcPr>
          <w:p w14:paraId="4670F142"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Extra-</w:t>
            </w:r>
          </w:p>
          <w:p w14:paraId="75E438C1"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cranial site(s)</w:t>
            </w:r>
          </w:p>
        </w:tc>
        <w:tc>
          <w:tcPr>
            <w:tcW w:w="854" w:type="dxa"/>
            <w:tcBorders>
              <w:top w:val="single" w:sz="6" w:space="0" w:color="F3F3F3"/>
              <w:left w:val="single" w:sz="6" w:space="0" w:color="F3F3F3"/>
              <w:bottom w:val="single" w:sz="6" w:space="0" w:color="F3F3F3"/>
              <w:right w:val="single" w:sz="6" w:space="0" w:color="F3F3F3"/>
            </w:tcBorders>
            <w:shd w:val="clear" w:color="auto" w:fill="021E6E"/>
            <w:tcMar>
              <w:top w:w="0" w:type="dxa"/>
              <w:left w:w="108" w:type="dxa"/>
              <w:bottom w:w="0" w:type="dxa"/>
              <w:right w:w="108" w:type="dxa"/>
            </w:tcMar>
          </w:tcPr>
          <w:p w14:paraId="4F6244C4" w14:textId="77777777" w:rsidR="00CF200E" w:rsidRDefault="00000000">
            <w:pPr>
              <w:widowControl w:val="0"/>
              <w:spacing w:line="240" w:lineRule="auto"/>
              <w:ind w:left="20"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Local therapies</w:t>
            </w:r>
          </w:p>
          <w:p w14:paraId="07F4E866" w14:textId="77777777" w:rsidR="00CF200E" w:rsidRDefault="00000000">
            <w:pPr>
              <w:widowControl w:val="0"/>
              <w:spacing w:line="240" w:lineRule="auto"/>
              <w:ind w:left="20"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for BMs</w:t>
            </w:r>
          </w:p>
        </w:tc>
        <w:tc>
          <w:tcPr>
            <w:tcW w:w="1140" w:type="dxa"/>
            <w:tcBorders>
              <w:top w:val="single" w:sz="6" w:space="0" w:color="F3F3F3"/>
              <w:left w:val="single" w:sz="6" w:space="0" w:color="F3F3F3"/>
              <w:bottom w:val="single" w:sz="6" w:space="0" w:color="F3F3F3"/>
              <w:right w:val="single" w:sz="6" w:space="0" w:color="F3F3F3"/>
            </w:tcBorders>
            <w:shd w:val="clear" w:color="auto" w:fill="021E6E"/>
          </w:tcPr>
          <w:p w14:paraId="598458AF" w14:textId="77777777" w:rsidR="00CF200E" w:rsidRDefault="00000000">
            <w:pPr>
              <w:widowControl w:val="0"/>
              <w:spacing w:line="240" w:lineRule="auto"/>
              <w:ind w:left="20" w:right="40"/>
              <w:rPr>
                <w:b/>
                <w:color w:val="FFFFFF"/>
                <w:sz w:val="18"/>
                <w:szCs w:val="18"/>
              </w:rPr>
            </w:pPr>
            <w:r>
              <w:rPr>
                <w:rFonts w:ascii="Palatino Linotype" w:eastAsia="Palatino Linotype" w:hAnsi="Palatino Linotype" w:cs="Palatino Linotype"/>
                <w:b/>
                <w:color w:val="FFFFFF"/>
                <w:sz w:val="18"/>
                <w:szCs w:val="18"/>
              </w:rPr>
              <w:t xml:space="preserve">CNS </w:t>
            </w:r>
          </w:p>
          <w:p w14:paraId="454B244A" w14:textId="77777777" w:rsidR="00CF200E" w:rsidRDefault="00000000">
            <w:pPr>
              <w:widowControl w:val="0"/>
              <w:spacing w:line="240" w:lineRule="auto"/>
              <w:ind w:left="20"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 xml:space="preserve">BOR and PFS </w:t>
            </w:r>
          </w:p>
          <w:p w14:paraId="6EBC083E"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on </w:t>
            </w:r>
            <w:proofErr w:type="spellStart"/>
            <w:r>
              <w:rPr>
                <w:rFonts w:ascii="Palatino Linotype" w:eastAsia="Palatino Linotype" w:hAnsi="Palatino Linotype" w:cs="Palatino Linotype"/>
                <w:b/>
                <w:color w:val="FFFFFF"/>
                <w:sz w:val="18"/>
                <w:szCs w:val="18"/>
              </w:rPr>
              <w:t>PARPi</w:t>
            </w:r>
            <w:proofErr w:type="spellEnd"/>
            <w:r>
              <w:rPr>
                <w:rFonts w:ascii="Palatino Linotype" w:eastAsia="Palatino Linotype" w:hAnsi="Palatino Linotype" w:cs="Palatino Linotype"/>
                <w:b/>
                <w:color w:val="FFFFFF"/>
                <w:sz w:val="18"/>
                <w:szCs w:val="18"/>
              </w:rPr>
              <w:t xml:space="preserve"> </w:t>
            </w:r>
          </w:p>
        </w:tc>
      </w:tr>
      <w:tr w:rsidR="00CF200E" w14:paraId="001DA19E" w14:textId="77777777">
        <w:trPr>
          <w:trHeight w:val="1295"/>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78E54810"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Tao [18]</w:t>
            </w:r>
          </w:p>
          <w:p w14:paraId="0F0A749E"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(2020)</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1F288CF8"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 (EOC)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71B4C91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62</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1CC09F5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BRCA2 </w:t>
            </w:r>
          </w:p>
          <w:p w14:paraId="3F92ECF1" w14:textId="57F3C0AF" w:rsidR="00BB717F" w:rsidRDefault="00BB717F">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0298A9F4"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Multiple (</w:t>
            </w:r>
            <w:proofErr w:type="spellStart"/>
            <w:r>
              <w:rPr>
                <w:rFonts w:ascii="Palatino Linotype" w:eastAsia="Palatino Linotype" w:hAnsi="Palatino Linotype" w:cs="Palatino Linotype"/>
                <w:sz w:val="18"/>
                <w:szCs w:val="18"/>
              </w:rPr>
              <w:t>fronto</w:t>
            </w:r>
            <w:proofErr w:type="spellEnd"/>
            <w:r>
              <w:rPr>
                <w:rFonts w:ascii="Palatino Linotype" w:eastAsia="Palatino Linotype" w:hAnsi="Palatino Linotype" w:cs="Palatino Linotype"/>
                <w:sz w:val="18"/>
                <w:szCs w:val="18"/>
              </w:rPr>
              <w:t>-</w:t>
            </w:r>
          </w:p>
          <w:p w14:paraId="35BCA54C"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parietal, right cerebellar)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211E1C2C"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p w14:paraId="1B2B7A03" w14:textId="77777777" w:rsidR="00CF200E" w:rsidRDefault="00CF200E">
            <w:pPr>
              <w:widowControl w:val="0"/>
              <w:spacing w:line="240" w:lineRule="auto"/>
              <w:ind w:left="20" w:right="40"/>
              <w:rPr>
                <w:rFonts w:ascii="Palatino Linotype" w:eastAsia="Palatino Linotype" w:hAnsi="Palatino Linotype" w:cs="Palatino Linotype"/>
                <w:sz w:val="18"/>
                <w:szCs w:val="18"/>
              </w:rPr>
            </w:pPr>
          </w:p>
          <w:p w14:paraId="6DF47724" w14:textId="77777777" w:rsidR="00CF200E" w:rsidRDefault="00CF200E">
            <w:pPr>
              <w:widowControl w:val="0"/>
              <w:spacing w:line="240" w:lineRule="auto"/>
              <w:ind w:left="20" w:right="40"/>
              <w:rPr>
                <w:rFonts w:ascii="Palatino Linotype" w:eastAsia="Palatino Linotype" w:hAnsi="Palatino Linotype" w:cs="Palatino Linotype"/>
                <w:sz w:val="18"/>
                <w:szCs w:val="18"/>
              </w:rPr>
            </w:pPr>
          </w:p>
          <w:p w14:paraId="568B86CE" w14:textId="77777777" w:rsidR="00CF200E" w:rsidRDefault="00CF200E">
            <w:pPr>
              <w:widowControl w:val="0"/>
              <w:spacing w:line="240" w:lineRule="auto"/>
              <w:ind w:left="20" w:right="40"/>
              <w:rPr>
                <w:rFonts w:ascii="Palatino Linotype" w:eastAsia="Palatino Linotype" w:hAnsi="Palatino Linotype" w:cs="Palatino Linotype"/>
                <w:sz w:val="18"/>
                <w:szCs w:val="18"/>
              </w:rPr>
            </w:pP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41BF67E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6700CA7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Abdominal</w:t>
            </w:r>
          </w:p>
          <w:p w14:paraId="246381F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lymph nodes</w:t>
            </w:r>
          </w:p>
        </w:tc>
        <w:tc>
          <w:tcPr>
            <w:tcW w:w="854" w:type="dxa"/>
            <w:tcBorders>
              <w:top w:val="single" w:sz="6" w:space="0" w:color="F3F3F3"/>
              <w:left w:val="single" w:sz="6" w:space="0" w:color="F3F3F3"/>
              <w:bottom w:val="single" w:sz="6" w:space="0" w:color="F3F3F3"/>
              <w:right w:val="single" w:sz="6" w:space="0" w:color="F3F3F3"/>
            </w:tcBorders>
            <w:shd w:val="clear" w:color="auto" w:fill="FFFFFF"/>
            <w:tcMar>
              <w:top w:w="0" w:type="dxa"/>
              <w:left w:w="108" w:type="dxa"/>
              <w:bottom w:w="0" w:type="dxa"/>
              <w:right w:w="108" w:type="dxa"/>
            </w:tcMar>
          </w:tcPr>
          <w:p w14:paraId="187D683A"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RT (WBRT) </w:t>
            </w:r>
          </w:p>
        </w:tc>
        <w:tc>
          <w:tcPr>
            <w:tcW w:w="1140" w:type="dxa"/>
            <w:tcBorders>
              <w:top w:val="single" w:sz="6" w:space="0" w:color="F3F3F3"/>
              <w:left w:val="single" w:sz="6" w:space="0" w:color="F3F3F3"/>
              <w:bottom w:val="single" w:sz="6" w:space="0" w:color="F3F3F3"/>
              <w:right w:val="single" w:sz="6" w:space="0" w:color="F3F3F3"/>
            </w:tcBorders>
            <w:shd w:val="clear" w:color="auto" w:fill="FFFFFF"/>
          </w:tcPr>
          <w:p w14:paraId="1E1432D8"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CR </w:t>
            </w:r>
          </w:p>
          <w:p w14:paraId="07EF3DAC"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PFS 15 m</w:t>
            </w:r>
          </w:p>
        </w:tc>
      </w:tr>
      <w:tr w:rsidR="00CF200E" w14:paraId="698B844B" w14:textId="77777777">
        <w:trPr>
          <w:trHeight w:val="102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0BCDCB5F"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Gray [26]</w:t>
            </w:r>
          </w:p>
          <w:p w14:paraId="70FFABFD"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(2019)</w:t>
            </w:r>
          </w:p>
          <w:p w14:paraId="1B760522" w14:textId="77777777" w:rsidR="00CF200E" w:rsidRDefault="00CF200E">
            <w:pPr>
              <w:widowControl w:val="0"/>
              <w:spacing w:line="240" w:lineRule="auto"/>
              <w:rPr>
                <w:rFonts w:ascii="Palatino Linotype" w:eastAsia="Palatino Linotype" w:hAnsi="Palatino Linotype" w:cs="Palatino Linotype"/>
                <w:sz w:val="18"/>
                <w:szCs w:val="18"/>
              </w:rPr>
            </w:pP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19AFBA34"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05870FFF"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297D587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68</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1DF7C29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 </w:t>
            </w:r>
          </w:p>
          <w:p w14:paraId="48B7BB3A" w14:textId="13B60C5E" w:rsidR="00BB717F" w:rsidRDefault="00BB717F">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4B966C6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Multiple (the largest in the left centrum </w:t>
            </w:r>
            <w:proofErr w:type="spellStart"/>
            <w:r>
              <w:rPr>
                <w:rFonts w:ascii="Palatino Linotype" w:eastAsia="Palatino Linotype" w:hAnsi="Palatino Linotype" w:cs="Palatino Linotype"/>
                <w:sz w:val="18"/>
                <w:szCs w:val="18"/>
              </w:rPr>
              <w:t>semiovale</w:t>
            </w:r>
            <w:proofErr w:type="spellEnd"/>
            <w:r>
              <w:rPr>
                <w:rFonts w:ascii="Palatino Linotype" w:eastAsia="Palatino Linotype" w:hAnsi="Palatino Linotype" w:cs="Palatino Linotype"/>
                <w:sz w:val="18"/>
                <w:szCs w:val="18"/>
              </w:rPr>
              <w:t>)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64CA489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F4FD57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4BE40A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41C3268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RT </w:t>
            </w:r>
          </w:p>
          <w:p w14:paraId="76A8E2A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(WBRT)</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480B0411"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 </w:t>
            </w:r>
          </w:p>
          <w:p w14:paraId="69A7E86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17 m</w:t>
            </w:r>
          </w:p>
        </w:tc>
      </w:tr>
      <w:tr w:rsidR="00CF200E" w14:paraId="1D8D805B" w14:textId="77777777">
        <w:trPr>
          <w:trHeight w:val="124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285F1906"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b/>
                <w:color w:val="FFFFFF"/>
                <w:sz w:val="18"/>
                <w:szCs w:val="18"/>
              </w:rPr>
              <w:t>Cabitza</w:t>
            </w:r>
            <w:proofErr w:type="spellEnd"/>
            <w:r>
              <w:rPr>
                <w:rFonts w:ascii="Palatino Linotype" w:eastAsia="Palatino Linotype" w:hAnsi="Palatino Linotype" w:cs="Palatino Linotype"/>
                <w:b/>
                <w:color w:val="FFFFFF"/>
                <w:sz w:val="18"/>
                <w:szCs w:val="18"/>
              </w:rPr>
              <w:t xml:space="preserve"> [10]</w:t>
            </w:r>
          </w:p>
          <w:p w14:paraId="634FC49C"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(2023)</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06366ED1"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7145E8BE"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21FEB04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47</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42BDFD0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BRCA1-2 wild-type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0DA179F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Single (left cerebellar) BM</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06D1EDC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E9C93D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Frontline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17E1363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35E9A6E9"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Surgery</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5FB504B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w:t>
            </w:r>
          </w:p>
          <w:p w14:paraId="3E82088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20 m</w:t>
            </w:r>
          </w:p>
        </w:tc>
      </w:tr>
      <w:tr w:rsidR="00CF200E" w14:paraId="1546311D" w14:textId="77777777">
        <w:trPr>
          <w:trHeight w:val="124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5881D2B6"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b/>
                <w:color w:val="FFFFFF"/>
                <w:sz w:val="18"/>
                <w:szCs w:val="18"/>
              </w:rPr>
              <w:t>Alizzi</w:t>
            </w:r>
            <w:proofErr w:type="spellEnd"/>
          </w:p>
          <w:p w14:paraId="077D7E0A"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[5]</w:t>
            </w:r>
          </w:p>
          <w:p w14:paraId="74590B03"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(2023)</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170879F0"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39</w:t>
            </w:r>
          </w:p>
          <w:p w14:paraId="3B3AABCD"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54DDB97A"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65</w:t>
            </w:r>
          </w:p>
          <w:p w14:paraId="59216DA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(44–84) </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7277EAC4" w14:textId="11F0ECF4"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BRCA1-2 </w:t>
            </w:r>
            <w:r w:rsidR="00BB717F">
              <w:rPr>
                <w:rFonts w:ascii="Palatino Linotype" w:eastAsia="Palatino Linotype" w:hAnsi="Palatino Linotype" w:cs="Palatino Linotype"/>
                <w:sz w:val="18"/>
                <w:szCs w:val="18"/>
              </w:rPr>
              <w:t>PV</w:t>
            </w:r>
            <w:r>
              <w:rPr>
                <w:rFonts w:ascii="Palatino Linotype" w:eastAsia="Palatino Linotype" w:hAnsi="Palatino Linotype" w:cs="Palatino Linotype"/>
                <w:sz w:val="18"/>
                <w:szCs w:val="18"/>
              </w:rPr>
              <w:t xml:space="preserve"> and wild-type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D76584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 (n=25)</w:t>
            </w:r>
          </w:p>
          <w:p w14:paraId="4024F44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1-2 (n=14)</w:t>
            </w:r>
          </w:p>
          <w:p w14:paraId="64BD38D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4A3973A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p w14:paraId="1916C3A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195DC74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3DB292D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 (n=14)</w:t>
            </w:r>
          </w:p>
          <w:p w14:paraId="06B7DD6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Yes (n=25)</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56B4B09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Surgery </w:t>
            </w:r>
          </w:p>
          <w:p w14:paraId="6CE6C52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RT (SRS, WBRT)</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6C273E0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CR-PR</w:t>
            </w:r>
          </w:p>
          <w:p w14:paraId="3883043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18-20 m</w:t>
            </w:r>
          </w:p>
        </w:tc>
      </w:tr>
      <w:tr w:rsidR="00CF200E" w14:paraId="51F28E3C" w14:textId="77777777">
        <w:trPr>
          <w:trHeight w:val="124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40D6EBAB"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Zhang</w:t>
            </w:r>
          </w:p>
          <w:p w14:paraId="101BD990"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[32]</w:t>
            </w:r>
          </w:p>
          <w:p w14:paraId="17762602"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(2023)</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2A9CD326"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5D5D2A07"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5A22247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48</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6ADE8FF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BRCA1-2 wild-type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747198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Single (left frontal) BM</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7DAA4B0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090DD57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2C3026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3E412BC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Surgery </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65382CE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w:t>
            </w:r>
          </w:p>
          <w:p w14:paraId="371F970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29 m</w:t>
            </w:r>
          </w:p>
        </w:tc>
      </w:tr>
      <w:tr w:rsidR="00CF200E" w14:paraId="2A08B3E6" w14:textId="77777777">
        <w:trPr>
          <w:trHeight w:val="1035"/>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61477CB2" w14:textId="77777777" w:rsidR="00CF200E" w:rsidRDefault="00000000">
            <w:pPr>
              <w:widowControl w:val="0"/>
              <w:spacing w:before="20" w:line="240" w:lineRule="auto"/>
              <w:ind w:left="80"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Kasher-</w:t>
            </w:r>
          </w:p>
          <w:p w14:paraId="0E879DE5"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man [15]</w:t>
            </w:r>
          </w:p>
          <w:p w14:paraId="03C11CE2"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(2020)</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227DB08B"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4AEA7EF1"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2114B11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47</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CBBE091"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 </w:t>
            </w:r>
          </w:p>
          <w:p w14:paraId="31DB0C36" w14:textId="1A52173C" w:rsidR="00BB717F" w:rsidRDefault="00BB717F">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3B703E5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Multiple (right frontal; left cerebellar)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5C13AD4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79EC30D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PSR </w:t>
            </w:r>
          </w:p>
          <w:p w14:paraId="7519DDE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(beyond CNS oligo-recurrence)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C63ADD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17108B0A"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Surgery </w:t>
            </w:r>
          </w:p>
          <w:p w14:paraId="70B2BD3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and LITT</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14111AB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6F3A48D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21 m</w:t>
            </w:r>
          </w:p>
        </w:tc>
      </w:tr>
      <w:tr w:rsidR="00CF200E" w14:paraId="1FD12243" w14:textId="77777777">
        <w:trPr>
          <w:trHeight w:val="1445"/>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2AEA521A"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Cerda</w:t>
            </w:r>
          </w:p>
          <w:p w14:paraId="7A5C7739"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[41]</w:t>
            </w:r>
          </w:p>
          <w:p w14:paraId="4856C65C"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(2022)</w:t>
            </w:r>
          </w:p>
          <w:p w14:paraId="44048C9E" w14:textId="77777777" w:rsidR="00CF200E" w:rsidRDefault="00CF200E">
            <w:pPr>
              <w:widowControl w:val="0"/>
              <w:spacing w:before="20" w:line="240" w:lineRule="auto"/>
              <w:ind w:left="20" w:right="40"/>
              <w:rPr>
                <w:rFonts w:ascii="Palatino Linotype" w:eastAsia="Palatino Linotype" w:hAnsi="Palatino Linotype" w:cs="Palatino Linotype"/>
                <w:sz w:val="18"/>
                <w:szCs w:val="18"/>
              </w:rPr>
            </w:pP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7D935107"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 (out of 58 pts)</w:t>
            </w:r>
          </w:p>
          <w:p w14:paraId="17986C43"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4D7DFD69"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NR</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756F926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BRCA1-2 wild-type</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544FD9B9"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 CNS sites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16606E7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0C7B9AEA"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CF2ACE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Peritoneal (≤3 sites)</w:t>
            </w:r>
          </w:p>
        </w:tc>
        <w:tc>
          <w:tcPr>
            <w:tcW w:w="854" w:type="dxa"/>
            <w:tcBorders>
              <w:top w:val="single" w:sz="6" w:space="0" w:color="F3F3F3"/>
              <w:left w:val="single" w:sz="6" w:space="0" w:color="F3F3F3"/>
              <w:bottom w:val="single" w:sz="6" w:space="0" w:color="F3F3F3"/>
              <w:right w:val="single" w:sz="6" w:space="0" w:color="F3F3F3"/>
            </w:tcBorders>
            <w:shd w:val="clear" w:color="auto" w:fill="FFFFFF"/>
            <w:tcMar>
              <w:top w:w="0" w:type="dxa"/>
              <w:left w:w="108" w:type="dxa"/>
              <w:bottom w:w="0" w:type="dxa"/>
              <w:right w:w="108" w:type="dxa"/>
            </w:tcMar>
          </w:tcPr>
          <w:p w14:paraId="04DF954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Surgery </w:t>
            </w:r>
          </w:p>
          <w:p w14:paraId="106E6E62"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RT (SRS)</w:t>
            </w:r>
          </w:p>
        </w:tc>
        <w:tc>
          <w:tcPr>
            <w:tcW w:w="1140" w:type="dxa"/>
            <w:tcBorders>
              <w:top w:val="single" w:sz="6" w:space="0" w:color="F3F3F3"/>
              <w:left w:val="single" w:sz="6" w:space="0" w:color="F3F3F3"/>
              <w:bottom w:val="single" w:sz="6" w:space="0" w:color="F3F3F3"/>
              <w:right w:val="single" w:sz="6" w:space="0" w:color="F3F3F3"/>
            </w:tcBorders>
            <w:shd w:val="clear" w:color="auto" w:fill="FFFFFF"/>
          </w:tcPr>
          <w:p w14:paraId="778D51C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PR</w:t>
            </w:r>
          </w:p>
          <w:p w14:paraId="0388527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PFS NR</w:t>
            </w:r>
          </w:p>
        </w:tc>
      </w:tr>
      <w:tr w:rsidR="00CF200E" w14:paraId="4509F21B" w14:textId="77777777">
        <w:trPr>
          <w:trHeight w:val="975"/>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351C1532" w14:textId="77777777" w:rsidR="00CF200E" w:rsidRDefault="00000000">
            <w:pPr>
              <w:widowControl w:val="0"/>
              <w:spacing w:before="20"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lastRenderedPageBreak/>
              <w:t xml:space="preserve"> Gallego</w:t>
            </w:r>
          </w:p>
          <w:p w14:paraId="1165E321"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[14]</w:t>
            </w:r>
          </w:p>
          <w:p w14:paraId="0CC712CD" w14:textId="77777777" w:rsidR="00CF200E" w:rsidRDefault="00000000">
            <w:pPr>
              <w:widowControl w:val="0"/>
              <w:spacing w:before="20" w:line="240" w:lineRule="auto"/>
              <w:ind w:left="8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(2020)</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4C290396"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5C7B6569"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04EE57C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54</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5D8776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 </w:t>
            </w:r>
          </w:p>
          <w:p w14:paraId="46A9E640" w14:textId="06EF8A8F" w:rsidR="00BB717F" w:rsidRDefault="00BB717F">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EF2FC3D"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Multiple (left occipital; right cerebellar)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4AC3ABF1"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4FA8191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ED74757" w14:textId="77777777" w:rsidR="00CF200E" w:rsidRDefault="00000000">
            <w:pPr>
              <w:widowControl w:val="0"/>
              <w:spacing w:line="240" w:lineRule="auto"/>
              <w:ind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Mediasti-nal</w:t>
            </w:r>
            <w:proofErr w:type="spellEnd"/>
            <w:r>
              <w:rPr>
                <w:rFonts w:ascii="Palatino Linotype" w:eastAsia="Palatino Linotype" w:hAnsi="Palatino Linotype" w:cs="Palatino Linotype"/>
                <w:sz w:val="18"/>
                <w:szCs w:val="18"/>
              </w:rPr>
              <w:t xml:space="preserve"> sites</w:t>
            </w:r>
          </w:p>
        </w:tc>
        <w:tc>
          <w:tcPr>
            <w:tcW w:w="854" w:type="dxa"/>
            <w:tcBorders>
              <w:top w:val="single" w:sz="6" w:space="0" w:color="F3F3F3"/>
              <w:left w:val="single" w:sz="6" w:space="0" w:color="F3F3F3"/>
              <w:bottom w:val="single" w:sz="6" w:space="0" w:color="F3F3F3"/>
              <w:right w:val="single" w:sz="6" w:space="0" w:color="F3F3F3"/>
            </w:tcBorders>
            <w:shd w:val="clear" w:color="auto" w:fill="FFFFFF"/>
            <w:tcMar>
              <w:top w:w="0" w:type="dxa"/>
              <w:left w:w="108" w:type="dxa"/>
              <w:bottom w:w="0" w:type="dxa"/>
              <w:right w:w="108" w:type="dxa"/>
            </w:tcMar>
          </w:tcPr>
          <w:p w14:paraId="23D8D97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RT (WBRT)</w:t>
            </w:r>
          </w:p>
        </w:tc>
        <w:tc>
          <w:tcPr>
            <w:tcW w:w="1140" w:type="dxa"/>
            <w:tcBorders>
              <w:top w:val="single" w:sz="6" w:space="0" w:color="F3F3F3"/>
              <w:left w:val="single" w:sz="6" w:space="0" w:color="F3F3F3"/>
              <w:bottom w:val="single" w:sz="6" w:space="0" w:color="F3F3F3"/>
              <w:right w:val="single" w:sz="6" w:space="0" w:color="F3F3F3"/>
            </w:tcBorders>
            <w:shd w:val="clear" w:color="auto" w:fill="FFFFFF"/>
          </w:tcPr>
          <w:p w14:paraId="511B12E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PR</w:t>
            </w:r>
          </w:p>
          <w:p w14:paraId="16B1FB7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PFS 42 m</w:t>
            </w:r>
          </w:p>
        </w:tc>
      </w:tr>
      <w:tr w:rsidR="00CF200E" w14:paraId="31C7BB20" w14:textId="77777777">
        <w:trPr>
          <w:trHeight w:val="138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2999CDC7" w14:textId="77777777" w:rsidR="00CF200E" w:rsidRDefault="00000000">
            <w:pPr>
              <w:widowControl w:val="0"/>
              <w:spacing w:before="20" w:line="240" w:lineRule="auto"/>
              <w:ind w:left="20"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b/>
                <w:color w:val="FFFFFF"/>
                <w:sz w:val="18"/>
                <w:szCs w:val="18"/>
              </w:rPr>
              <w:t>Bangham</w:t>
            </w:r>
            <w:proofErr w:type="spellEnd"/>
          </w:p>
          <w:p w14:paraId="0C780837"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[34]</w:t>
            </w:r>
          </w:p>
          <w:p w14:paraId="73DFCCF1"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(2020)</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6BC624C5"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2B7D9713"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0C1970F9"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61</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470FB55B" w14:textId="443C09C3"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BRCA2 </w:t>
            </w:r>
            <w:r w:rsidR="00BB717F">
              <w:rPr>
                <w:rFonts w:ascii="Palatino Linotype" w:eastAsia="Palatino Linotype" w:hAnsi="Palatino Linotype" w:cs="Palatino Linotype"/>
                <w:sz w:val="18"/>
                <w:szCs w:val="18"/>
              </w:rPr>
              <w:b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40AD470A"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Multiple (left parietal, </w:t>
            </w:r>
            <w:proofErr w:type="spellStart"/>
            <w:r>
              <w:rPr>
                <w:rFonts w:ascii="Palatino Linotype" w:eastAsia="Palatino Linotype" w:hAnsi="Palatino Linotype" w:cs="Palatino Linotype"/>
                <w:sz w:val="18"/>
                <w:szCs w:val="18"/>
              </w:rPr>
              <w:t>lepto</w:t>
            </w:r>
            <w:proofErr w:type="spellEnd"/>
            <w:r>
              <w:rPr>
                <w:rFonts w:ascii="Palatino Linotype" w:eastAsia="Palatino Linotype" w:hAnsi="Palatino Linotype" w:cs="Palatino Linotype"/>
                <w:sz w:val="18"/>
                <w:szCs w:val="18"/>
              </w:rPr>
              <w:t>-</w:t>
            </w:r>
          </w:p>
          <w:p w14:paraId="528B227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meningeal)BMs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3EB56B1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50DB59D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PSR </w:t>
            </w:r>
          </w:p>
          <w:p w14:paraId="0A12047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(beyond CNS oligo-PD)</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70430D8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576A868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Surgery</w:t>
            </w:r>
          </w:p>
          <w:p w14:paraId="2CB8A3F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RT (SRS)</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4277254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6FDDF9D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12 m</w:t>
            </w:r>
          </w:p>
        </w:tc>
      </w:tr>
      <w:tr w:rsidR="00CF200E" w14:paraId="5B5C45BC" w14:textId="77777777">
        <w:trPr>
          <w:trHeight w:val="126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56628FAB" w14:textId="77777777" w:rsidR="00CF200E" w:rsidRDefault="00000000">
            <w:pPr>
              <w:widowControl w:val="0"/>
              <w:spacing w:before="20" w:line="240" w:lineRule="auto"/>
              <w:ind w:left="20" w:right="40"/>
              <w:rPr>
                <w:rFonts w:ascii="Palatino Linotype" w:eastAsia="Palatino Linotype" w:hAnsi="Palatino Linotype" w:cs="Palatino Linotype"/>
                <w:b/>
                <w:color w:val="FFFFFF"/>
                <w:sz w:val="18"/>
                <w:szCs w:val="18"/>
              </w:rPr>
            </w:pPr>
            <w:proofErr w:type="spellStart"/>
            <w:r>
              <w:rPr>
                <w:rFonts w:ascii="Palatino Linotype" w:eastAsia="Palatino Linotype" w:hAnsi="Palatino Linotype" w:cs="Palatino Linotype"/>
                <w:b/>
                <w:color w:val="FFFFFF"/>
                <w:sz w:val="18"/>
                <w:szCs w:val="18"/>
              </w:rPr>
              <w:t>Sakamo</w:t>
            </w:r>
            <w:proofErr w:type="spellEnd"/>
            <w:r>
              <w:rPr>
                <w:rFonts w:ascii="Palatino Linotype" w:eastAsia="Palatino Linotype" w:hAnsi="Palatino Linotype" w:cs="Palatino Linotype"/>
                <w:b/>
                <w:color w:val="FFFFFF"/>
                <w:sz w:val="18"/>
                <w:szCs w:val="18"/>
              </w:rPr>
              <w:t>-</w:t>
            </w:r>
          </w:p>
          <w:p w14:paraId="1E2E732E" w14:textId="77777777" w:rsidR="00CF200E" w:rsidRDefault="00000000">
            <w:pPr>
              <w:widowControl w:val="0"/>
              <w:spacing w:before="20"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to</w:t>
            </w:r>
          </w:p>
          <w:p w14:paraId="7705804D"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[35]</w:t>
            </w:r>
          </w:p>
          <w:p w14:paraId="29180CF3"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(2018)</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1AB58D3D"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41F81129"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PPC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64B72DF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58</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626BD916" w14:textId="3B7E8193"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 </w:t>
            </w:r>
            <w:r w:rsidR="00BB717F">
              <w:rPr>
                <w:rFonts w:ascii="Palatino Linotype" w:eastAsia="Palatino Linotype" w:hAnsi="Palatino Linotype" w:cs="Palatino Linotype"/>
                <w:sz w:val="18"/>
                <w:szCs w:val="18"/>
              </w:rPr>
              <w:b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5E74183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Multiple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26D15C5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48D0E44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10D1593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4A59923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None</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694C0B8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2562D39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18 m</w:t>
            </w:r>
          </w:p>
        </w:tc>
      </w:tr>
      <w:tr w:rsidR="00CF200E" w14:paraId="6A75532E" w14:textId="77777777">
        <w:trPr>
          <w:trHeight w:val="1200"/>
        </w:trPr>
        <w:tc>
          <w:tcPr>
            <w:tcW w:w="1079" w:type="dxa"/>
            <w:tcBorders>
              <w:top w:val="single" w:sz="6" w:space="0" w:color="F3F3F3"/>
              <w:left w:val="single" w:sz="6" w:space="0" w:color="F3F3F3"/>
              <w:bottom w:val="single" w:sz="6" w:space="0" w:color="F3F3F3"/>
              <w:right w:val="single" w:sz="6" w:space="0" w:color="F3F3F3"/>
            </w:tcBorders>
            <w:shd w:val="clear" w:color="auto" w:fill="021E6E"/>
            <w:tcMar>
              <w:left w:w="100" w:type="dxa"/>
              <w:right w:w="100" w:type="dxa"/>
            </w:tcMar>
          </w:tcPr>
          <w:p w14:paraId="7DEC1D20" w14:textId="77777777" w:rsidR="00CF200E" w:rsidRDefault="00000000">
            <w:pPr>
              <w:widowControl w:val="0"/>
              <w:spacing w:before="20"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Favier</w:t>
            </w:r>
          </w:p>
          <w:p w14:paraId="6626610A"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[38]</w:t>
            </w:r>
          </w:p>
          <w:p w14:paraId="6965A5C1"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(2020)</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7B94D73E"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18126893"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15429D6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54</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79D55A1" w14:textId="378E39DB"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BRCA2 </w:t>
            </w:r>
            <w:r w:rsidR="00BB717F">
              <w:rPr>
                <w:rFonts w:ascii="Palatino Linotype" w:eastAsia="Palatino Linotype" w:hAnsi="Palatino Linotype" w:cs="Palatino Linotype"/>
                <w:sz w:val="18"/>
                <w:szCs w:val="18"/>
              </w:rPr>
              <w:b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29EAD9D5" w14:textId="77777777" w:rsidR="00CF200E" w:rsidRDefault="00000000">
            <w:pPr>
              <w:widowControl w:val="0"/>
              <w:spacing w:line="240" w:lineRule="auto"/>
              <w:ind w:right="40"/>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Lepto</w:t>
            </w:r>
            <w:proofErr w:type="spellEnd"/>
            <w:r>
              <w:rPr>
                <w:rFonts w:ascii="Palatino Linotype" w:eastAsia="Palatino Linotype" w:hAnsi="Palatino Linotype" w:cs="Palatino Linotype"/>
                <w:sz w:val="18"/>
                <w:szCs w:val="18"/>
              </w:rPr>
              <w:t>-</w:t>
            </w:r>
          </w:p>
          <w:p w14:paraId="31B379C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meningeal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4D53800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1762E03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473F56E5"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Peritoneal sites</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63F577A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RT </w:t>
            </w:r>
          </w:p>
          <w:p w14:paraId="5AFBB05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(WBRT)</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04A994D7"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78BFA04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14 m</w:t>
            </w:r>
          </w:p>
        </w:tc>
      </w:tr>
      <w:tr w:rsidR="00CF200E" w14:paraId="3E328528" w14:textId="77777777">
        <w:trPr>
          <w:trHeight w:val="1448"/>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32050851"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 Wang</w:t>
            </w:r>
          </w:p>
          <w:p w14:paraId="061CE7E4"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 [33]</w:t>
            </w:r>
          </w:p>
          <w:p w14:paraId="1DF8CEDA"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 (2021)</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6D243D6F"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p w14:paraId="2255CD07"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G3 USC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50A7493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54</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3CB02A8E" w14:textId="76E1A913"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 </w:t>
            </w:r>
            <w:r w:rsidR="00BB717F">
              <w:rPr>
                <w:rFonts w:ascii="Palatino Linotype" w:eastAsia="Palatino Linotype" w:hAnsi="Palatino Linotype" w:cs="Palatino Linotype"/>
                <w:sz w:val="18"/>
                <w:szCs w:val="18"/>
              </w:rPr>
              <w:b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4D5D5B2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Multiple (parieto-</w:t>
            </w:r>
          </w:p>
          <w:p w14:paraId="117FEC8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occipital and right cerebellar)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73A0967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Niraparib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72B9DE6C"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PSR</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5F96CB3F"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37000D0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None</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1800708E"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63EAB51A"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8 m</w:t>
            </w:r>
          </w:p>
        </w:tc>
      </w:tr>
      <w:tr w:rsidR="00CF200E" w14:paraId="5B4D4806" w14:textId="77777777">
        <w:trPr>
          <w:trHeight w:val="1047"/>
        </w:trPr>
        <w:tc>
          <w:tcPr>
            <w:tcW w:w="1079" w:type="dxa"/>
            <w:tcBorders>
              <w:top w:val="single" w:sz="6" w:space="0" w:color="F3F3F3"/>
              <w:left w:val="single" w:sz="6" w:space="0" w:color="F3F3F3"/>
              <w:bottom w:val="single" w:sz="6" w:space="0" w:color="F3F3F3"/>
              <w:right w:val="single" w:sz="6" w:space="0" w:color="F3F3F3"/>
            </w:tcBorders>
            <w:shd w:val="clear" w:color="auto" w:fill="021E6E"/>
          </w:tcPr>
          <w:p w14:paraId="332B19C9" w14:textId="77777777" w:rsidR="00CF200E" w:rsidRDefault="00000000">
            <w:pPr>
              <w:widowControl w:val="0"/>
              <w:spacing w:before="20" w:line="240" w:lineRule="auto"/>
              <w:ind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 xml:space="preserve"> </w:t>
            </w:r>
            <w:proofErr w:type="spellStart"/>
            <w:r>
              <w:rPr>
                <w:rFonts w:ascii="Palatino Linotype" w:eastAsia="Palatino Linotype" w:hAnsi="Palatino Linotype" w:cs="Palatino Linotype"/>
                <w:b/>
                <w:color w:val="FFFFFF"/>
                <w:sz w:val="18"/>
                <w:szCs w:val="18"/>
              </w:rPr>
              <w:t>Sliwinska</w:t>
            </w:r>
            <w:proofErr w:type="spellEnd"/>
          </w:p>
          <w:p w14:paraId="17890E16" w14:textId="77777777" w:rsidR="00CF200E" w:rsidRDefault="00000000">
            <w:pPr>
              <w:widowControl w:val="0"/>
              <w:spacing w:before="20"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b/>
                <w:color w:val="FFFFFF"/>
                <w:sz w:val="18"/>
                <w:szCs w:val="18"/>
              </w:rPr>
              <w:t xml:space="preserve"> [37]</w:t>
            </w:r>
          </w:p>
          <w:p w14:paraId="7FEE2234" w14:textId="77777777" w:rsidR="00CF200E" w:rsidRDefault="00000000">
            <w:pPr>
              <w:widowControl w:val="0"/>
              <w:spacing w:before="20" w:line="240" w:lineRule="auto"/>
              <w:ind w:right="40"/>
              <w:rPr>
                <w:rFonts w:ascii="Palatino Linotype" w:eastAsia="Palatino Linotype" w:hAnsi="Palatino Linotype" w:cs="Palatino Linotype"/>
                <w:b/>
                <w:color w:val="FFFFFF"/>
                <w:sz w:val="18"/>
                <w:szCs w:val="18"/>
              </w:rPr>
            </w:pPr>
            <w:r>
              <w:rPr>
                <w:rFonts w:ascii="Palatino Linotype" w:eastAsia="Palatino Linotype" w:hAnsi="Palatino Linotype" w:cs="Palatino Linotype"/>
                <w:b/>
                <w:color w:val="FFFFFF"/>
                <w:sz w:val="18"/>
                <w:szCs w:val="18"/>
              </w:rPr>
              <w:t xml:space="preserve"> (2023)</w:t>
            </w:r>
          </w:p>
        </w:tc>
        <w:tc>
          <w:tcPr>
            <w:tcW w:w="765" w:type="dxa"/>
            <w:tcBorders>
              <w:top w:val="single" w:sz="6" w:space="0" w:color="F3F3F3"/>
              <w:left w:val="single" w:sz="6" w:space="0" w:color="F3F3F3"/>
              <w:bottom w:val="single" w:sz="6" w:space="0" w:color="F3F3F3"/>
              <w:right w:val="single" w:sz="6" w:space="0" w:color="F3F3F3"/>
            </w:tcBorders>
            <w:shd w:val="clear" w:color="auto" w:fill="FFFFFF"/>
          </w:tcPr>
          <w:p w14:paraId="6DA31847"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w:t>
            </w:r>
          </w:p>
          <w:p w14:paraId="24E75182" w14:textId="77777777" w:rsidR="00CF200E" w:rsidRDefault="00000000">
            <w:pPr>
              <w:widowControl w:val="0"/>
              <w:spacing w:line="240" w:lineRule="auto"/>
              <w:ind w:left="20"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EOC</w:t>
            </w:r>
          </w:p>
        </w:tc>
        <w:tc>
          <w:tcPr>
            <w:tcW w:w="706" w:type="dxa"/>
            <w:tcBorders>
              <w:top w:val="single" w:sz="6" w:space="0" w:color="F3F3F3"/>
              <w:left w:val="single" w:sz="6" w:space="0" w:color="F3F3F3"/>
              <w:bottom w:val="single" w:sz="6" w:space="0" w:color="F3F3F3"/>
              <w:right w:val="single" w:sz="6" w:space="0" w:color="F3F3F3"/>
            </w:tcBorders>
            <w:shd w:val="clear" w:color="auto" w:fill="FFFFFF"/>
          </w:tcPr>
          <w:p w14:paraId="592EA97D"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48.9 (mean)±10.8 (SD)</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6E290244" w14:textId="06419CB1"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BRCA1-2 </w:t>
            </w:r>
            <w:r w:rsidR="00BB717F">
              <w:rPr>
                <w:rFonts w:ascii="Palatino Linotype" w:eastAsia="Palatino Linotype" w:hAnsi="Palatino Linotype" w:cs="Palatino Linotype"/>
                <w:sz w:val="18"/>
                <w:szCs w:val="18"/>
              </w:rPr>
              <w:br/>
              <w:t>PV</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3648CD1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Single and multiple BMs</w:t>
            </w:r>
          </w:p>
        </w:tc>
        <w:tc>
          <w:tcPr>
            <w:tcW w:w="990" w:type="dxa"/>
            <w:tcBorders>
              <w:top w:val="single" w:sz="6" w:space="0" w:color="F3F3F3"/>
              <w:left w:val="single" w:sz="6" w:space="0" w:color="F3F3F3"/>
              <w:bottom w:val="single" w:sz="6" w:space="0" w:color="F3F3F3"/>
              <w:right w:val="single" w:sz="6" w:space="0" w:color="F3F3F3"/>
            </w:tcBorders>
            <w:shd w:val="clear" w:color="auto" w:fill="FFFFFF"/>
          </w:tcPr>
          <w:p w14:paraId="21F08B80"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Olaparib</w:t>
            </w:r>
          </w:p>
        </w:tc>
        <w:tc>
          <w:tcPr>
            <w:tcW w:w="989" w:type="dxa"/>
            <w:tcBorders>
              <w:top w:val="single" w:sz="6" w:space="0" w:color="F3F3F3"/>
              <w:left w:val="single" w:sz="6" w:space="0" w:color="F3F3F3"/>
              <w:bottom w:val="single" w:sz="6" w:space="0" w:color="F3F3F3"/>
              <w:right w:val="single" w:sz="6" w:space="0" w:color="F3F3F3"/>
            </w:tcBorders>
            <w:shd w:val="clear" w:color="auto" w:fill="FFFFFF"/>
          </w:tcPr>
          <w:p w14:paraId="2424846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PSR </w:t>
            </w:r>
          </w:p>
          <w:p w14:paraId="27F8CB5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(even beyond CNS-PD)</w:t>
            </w:r>
          </w:p>
        </w:tc>
        <w:tc>
          <w:tcPr>
            <w:tcW w:w="991" w:type="dxa"/>
            <w:tcBorders>
              <w:top w:val="single" w:sz="6" w:space="0" w:color="F3F3F3"/>
              <w:left w:val="single" w:sz="6" w:space="0" w:color="F3F3F3"/>
              <w:bottom w:val="single" w:sz="6" w:space="0" w:color="F3F3F3"/>
              <w:right w:val="single" w:sz="6" w:space="0" w:color="F3F3F3"/>
            </w:tcBorders>
            <w:shd w:val="clear" w:color="auto" w:fill="FFFFFF"/>
          </w:tcPr>
          <w:p w14:paraId="0E9CE97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w:t>
            </w:r>
          </w:p>
        </w:tc>
        <w:tc>
          <w:tcPr>
            <w:tcW w:w="854" w:type="dxa"/>
            <w:tcBorders>
              <w:top w:val="single" w:sz="6" w:space="0" w:color="F3F3F3"/>
              <w:left w:val="single" w:sz="6" w:space="0" w:color="F3F3F3"/>
              <w:bottom w:val="single" w:sz="6" w:space="0" w:color="F3F3F3"/>
              <w:right w:val="single" w:sz="6" w:space="0" w:color="F3F3F3"/>
            </w:tcBorders>
            <w:tcMar>
              <w:top w:w="0" w:type="dxa"/>
              <w:left w:w="108" w:type="dxa"/>
              <w:bottom w:w="0" w:type="dxa"/>
              <w:right w:w="108" w:type="dxa"/>
            </w:tcMar>
          </w:tcPr>
          <w:p w14:paraId="34B4A064"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Surgery</w:t>
            </w:r>
          </w:p>
          <w:p w14:paraId="1079FE56"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RT (SRS) (n=2)</w:t>
            </w:r>
          </w:p>
          <w:p w14:paraId="331EF333"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Palliative CNS RT (n=2)</w:t>
            </w:r>
          </w:p>
        </w:tc>
        <w:tc>
          <w:tcPr>
            <w:tcW w:w="1140" w:type="dxa"/>
            <w:tcBorders>
              <w:top w:val="single" w:sz="6" w:space="0" w:color="F3F3F3"/>
              <w:left w:val="single" w:sz="6" w:space="0" w:color="F3F3F3"/>
              <w:bottom w:val="single" w:sz="6" w:space="0" w:color="F3F3F3"/>
              <w:right w:val="single" w:sz="6" w:space="0" w:color="F3F3F3"/>
            </w:tcBorders>
            <w:tcMar>
              <w:left w:w="100" w:type="dxa"/>
              <w:right w:w="100" w:type="dxa"/>
            </w:tcMar>
          </w:tcPr>
          <w:p w14:paraId="4564A9B8"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w:t>
            </w:r>
          </w:p>
          <w:p w14:paraId="41CFC88B" w14:textId="77777777" w:rsidR="00CF200E" w:rsidRDefault="00000000">
            <w:pPr>
              <w:widowControl w:val="0"/>
              <w:spacing w:line="240" w:lineRule="auto"/>
              <w:ind w:right="4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PFS 8 m</w:t>
            </w:r>
          </w:p>
        </w:tc>
      </w:tr>
    </w:tbl>
    <w:p w14:paraId="3ED0EB9E" w14:textId="77777777" w:rsidR="00CF200E" w:rsidRDefault="00CF200E">
      <w:pPr>
        <w:rPr>
          <w:rFonts w:ascii="Palatino Linotype" w:eastAsia="Palatino Linotype" w:hAnsi="Palatino Linotype" w:cs="Palatino Linotype"/>
        </w:rPr>
      </w:pPr>
    </w:p>
    <w:p w14:paraId="6FEBD347" w14:textId="62B18F63" w:rsidR="00CF200E" w:rsidRDefault="00000000">
      <w:pPr>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Abbreviations. EOC: epithelial ovarian cancer. PPC: primary peritoneal cancer. USC: uterine serous carcinoma. </w:t>
      </w:r>
      <w:r w:rsidR="00BB717F">
        <w:rPr>
          <w:rFonts w:ascii="Palatino Linotype" w:eastAsia="Palatino Linotype" w:hAnsi="Palatino Linotype" w:cs="Palatino Linotype"/>
          <w:sz w:val="18"/>
          <w:szCs w:val="18"/>
        </w:rPr>
        <w:t xml:space="preserve">PV: pathogenic variant. </w:t>
      </w:r>
      <w:r>
        <w:rPr>
          <w:rFonts w:ascii="Palatino Linotype" w:eastAsia="Palatino Linotype" w:hAnsi="Palatino Linotype" w:cs="Palatino Linotype"/>
          <w:sz w:val="18"/>
          <w:szCs w:val="18"/>
        </w:rPr>
        <w:t xml:space="preserve">BMs: brain metastases. CNS: central nervous system. PSR: platinum-sensitive relapse. </w:t>
      </w:r>
      <w:r>
        <w:rPr>
          <w:rFonts w:ascii="Palatino Linotype" w:eastAsia="Palatino Linotype" w:hAnsi="Palatino Linotype" w:cs="Palatino Linotype"/>
          <w:color w:val="000000"/>
          <w:sz w:val="18"/>
          <w:szCs w:val="18"/>
        </w:rPr>
        <w:t>BOR: best overall response.</w:t>
      </w:r>
      <w:r>
        <w:rPr>
          <w:rFonts w:ascii="Palatino Linotype" w:eastAsia="Palatino Linotype" w:hAnsi="Palatino Linotype" w:cs="Palatino Linotype"/>
          <w:b/>
          <w:color w:val="000000"/>
          <w:sz w:val="18"/>
          <w:szCs w:val="18"/>
        </w:rPr>
        <w:t xml:space="preserve"> </w:t>
      </w:r>
      <w:r>
        <w:rPr>
          <w:rFonts w:ascii="Palatino Linotype" w:eastAsia="Palatino Linotype" w:hAnsi="Palatino Linotype" w:cs="Palatino Linotype"/>
          <w:sz w:val="18"/>
          <w:szCs w:val="18"/>
        </w:rPr>
        <w:t>CR: complete response. PR: partial response. PFS: progression-free survival. pts: patients. LITT: Laser interstitial thermal therapy. NR: not reported.</w:t>
      </w:r>
    </w:p>
    <w:p w14:paraId="4515448D" w14:textId="77777777" w:rsidR="00CF200E" w:rsidRDefault="00CF200E">
      <w:pPr>
        <w:rPr>
          <w:rFonts w:ascii="Palatino Linotype" w:eastAsia="Palatino Linotype" w:hAnsi="Palatino Linotype" w:cs="Palatino Linotype"/>
        </w:rPr>
      </w:pPr>
    </w:p>
    <w:p w14:paraId="5BF3B581" w14:textId="77777777" w:rsidR="00CF200E" w:rsidRDefault="00CF200E">
      <w:pPr>
        <w:rPr>
          <w:rFonts w:ascii="Palatino Linotype" w:eastAsia="Palatino Linotype" w:hAnsi="Palatino Linotype" w:cs="Palatino Linotype"/>
        </w:rPr>
      </w:pPr>
    </w:p>
    <w:p w14:paraId="2F86FF5D" w14:textId="77777777" w:rsidR="00CF200E" w:rsidRDefault="00CF200E">
      <w:pPr>
        <w:rPr>
          <w:rFonts w:ascii="Palatino Linotype" w:eastAsia="Palatino Linotype" w:hAnsi="Palatino Linotype" w:cs="Palatino Linotype"/>
        </w:rPr>
      </w:pPr>
    </w:p>
    <w:p w14:paraId="68FF6308" w14:textId="77777777" w:rsidR="00CF200E" w:rsidRDefault="00CF200E">
      <w:pPr>
        <w:rPr>
          <w:rFonts w:ascii="Palatino Linotype" w:eastAsia="Palatino Linotype" w:hAnsi="Palatino Linotype" w:cs="Palatino Linotype"/>
        </w:rPr>
      </w:pPr>
    </w:p>
    <w:p w14:paraId="3124AE18" w14:textId="77777777" w:rsidR="00CF200E" w:rsidRDefault="00CF200E">
      <w:pPr>
        <w:rPr>
          <w:rFonts w:ascii="Palatino Linotype" w:eastAsia="Palatino Linotype" w:hAnsi="Palatino Linotype" w:cs="Palatino Linotype"/>
        </w:rPr>
      </w:pPr>
    </w:p>
    <w:p w14:paraId="6737911A" w14:textId="77777777" w:rsidR="00CF200E" w:rsidRDefault="0000000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lastRenderedPageBreak/>
        <w:t>Search Strategy</w:t>
      </w:r>
    </w:p>
    <w:p w14:paraId="59C69019" w14:textId="77777777" w:rsidR="00CF200E" w:rsidRDefault="00000000">
      <w:pP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The Literature searches for the present narrative review</w:t>
      </w:r>
      <w:r>
        <w:rPr>
          <w:rFonts w:ascii="Palatino Linotype" w:eastAsia="Palatino Linotype" w:hAnsi="Palatino Linotype" w:cs="Palatino Linotype"/>
          <w:b/>
          <w:color w:val="000000"/>
          <w:sz w:val="20"/>
          <w:szCs w:val="20"/>
        </w:rPr>
        <w:t xml:space="preserve"> </w:t>
      </w:r>
      <w:r>
        <w:rPr>
          <w:rFonts w:ascii="Palatino Linotype" w:eastAsia="Palatino Linotype" w:hAnsi="Palatino Linotype" w:cs="Palatino Linotype"/>
          <w:color w:val="000000"/>
          <w:sz w:val="20"/>
          <w:szCs w:val="20"/>
        </w:rPr>
        <w:t xml:space="preserve">were </w:t>
      </w:r>
      <w:r>
        <w:rPr>
          <w:rFonts w:ascii="Palatino Linotype" w:eastAsia="Palatino Linotype" w:hAnsi="Palatino Linotype" w:cs="Palatino Linotype"/>
          <w:sz w:val="20"/>
          <w:szCs w:val="20"/>
        </w:rPr>
        <w:t>conducted in</w:t>
      </w:r>
      <w:r>
        <w:rPr>
          <w:rFonts w:ascii="Palatino Linotype" w:eastAsia="Palatino Linotype" w:hAnsi="Palatino Linotype" w:cs="Palatino Linotype"/>
          <w:color w:val="000000"/>
          <w:sz w:val="20"/>
          <w:szCs w:val="20"/>
        </w:rPr>
        <w:t xml:space="preserve"> the following databases from 2013 to March 2023: PubMed/MEDLINE; Google Scholar; US National Institutes of Health Ongoing Trials Register. We used the following search terms: (("PARP inhibitor" OR "PARP inhibitors" OR "Niraparib" OR "Olaparib" OR "Rucaparib") AND ("brain metastases" OR "CNS metastases" OR "intracranial recurrence") AND ("ovarian cancer" OR "epithelial ovarian cancer" OR "ovarian carcinoma")). A PubMed (PubMed, RRID:SCR_004846) search alert was used to capture additional articles published between May 2023 and December 2023. Searches were restricted to “epithelial ovarian cancer,” “brain metastases”, “CNS recurrence” and “PARP inhibitors”. A literature search from ASCO Annual Meeting 2024 was performed to capture the ongoing </w:t>
      </w:r>
      <w:proofErr w:type="spellStart"/>
      <w:r>
        <w:rPr>
          <w:rFonts w:ascii="Palatino Linotype" w:eastAsia="Palatino Linotype" w:hAnsi="Palatino Linotype" w:cs="Palatino Linotype"/>
          <w:color w:val="000000"/>
          <w:sz w:val="20"/>
          <w:szCs w:val="20"/>
        </w:rPr>
        <w:t>PARPi</w:t>
      </w:r>
      <w:proofErr w:type="spellEnd"/>
      <w:r>
        <w:rPr>
          <w:rFonts w:ascii="Palatino Linotype" w:eastAsia="Palatino Linotype" w:hAnsi="Palatino Linotype" w:cs="Palatino Linotype"/>
          <w:color w:val="000000"/>
          <w:sz w:val="20"/>
          <w:szCs w:val="20"/>
        </w:rPr>
        <w:t xml:space="preserve"> clinical trials. The 42 articles retrieved from the above sources included preclinical studies, in vitro studies, case reports, case series, retrospective studies and review articles providing a rationale for chemoresistance and potential targeting therapeutics. Only English language articles were included in the searches. Forward citation searching of the reference lists of the research studies and review papers was also performed. Thus, key papers were included based on the authors’ clinical experience and knowledge of the field. The results of our research are summarized in Table S1.</w:t>
      </w:r>
    </w:p>
    <w:p w14:paraId="31930060" w14:textId="77777777" w:rsidR="00CF200E" w:rsidRDefault="00CF200E"/>
    <w:sectPr w:rsidR="00CF200E">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59EF" w14:textId="77777777" w:rsidR="00CB19E5" w:rsidRDefault="00CB19E5">
      <w:pPr>
        <w:spacing w:line="240" w:lineRule="auto"/>
      </w:pPr>
      <w:r>
        <w:separator/>
      </w:r>
    </w:p>
  </w:endnote>
  <w:endnote w:type="continuationSeparator" w:id="0">
    <w:p w14:paraId="71534EC2" w14:textId="77777777" w:rsidR="00CB19E5" w:rsidRDefault="00CB1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F05D" w14:textId="77777777" w:rsidR="00CF200E" w:rsidRDefault="00000000">
    <w:pPr>
      <w:widowControl w:val="0"/>
      <w:ind w:right="-35"/>
      <w:jc w:val="both"/>
    </w:pPr>
    <w:r>
      <w:rPr>
        <w:sz w:val="18"/>
        <w:szCs w:val="18"/>
      </w:rPr>
      <w:fldChar w:fldCharType="begin"/>
    </w:r>
    <w:r>
      <w:rPr>
        <w:sz w:val="18"/>
        <w:szCs w:val="18"/>
      </w:rPr>
      <w:instrText>PAGE</w:instrText>
    </w:r>
    <w:r>
      <w:rPr>
        <w:sz w:val="18"/>
        <w:szCs w:val="18"/>
      </w:rPr>
      <w:fldChar w:fldCharType="separate"/>
    </w:r>
    <w:r w:rsidR="00BB717F">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36AD" w14:textId="77777777" w:rsidR="00CB19E5" w:rsidRDefault="00CB19E5">
      <w:pPr>
        <w:spacing w:line="240" w:lineRule="auto"/>
      </w:pPr>
      <w:r>
        <w:separator/>
      </w:r>
    </w:p>
  </w:footnote>
  <w:footnote w:type="continuationSeparator" w:id="0">
    <w:p w14:paraId="40B94136" w14:textId="77777777" w:rsidR="00CB19E5" w:rsidRDefault="00CB19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0E"/>
    <w:rsid w:val="00BB717F"/>
    <w:rsid w:val="00CB19E5"/>
    <w:rsid w:val="00CF2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7395B5"/>
  <w15:docId w15:val="{C3E42375-AE3E-3249-8584-8966FD2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27A"/>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rPr>
      <w:lang/>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top w:w="100" w:type="dxa"/>
        <w:left w:w="20" w:type="dxa"/>
        <w:bottom w:w="10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8MYahoDJJl0q9cSmUMh9SvWiDg==">CgMxLjA4AHIhMUZmeTllVFVWU29xWjNpTElObFViaGlaWVZoZ3NVNDYw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simofrex@icloud.com</dc:creator>
  <cp:lastModifiedBy>simofrex@icloud.com</cp:lastModifiedBy>
  <cp:revision>2</cp:revision>
  <dcterms:created xsi:type="dcterms:W3CDTF">2024-06-22T07:17:00Z</dcterms:created>
  <dcterms:modified xsi:type="dcterms:W3CDTF">2024-06-22T07:17:00Z</dcterms:modified>
</cp:coreProperties>
</file>