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22" w:rsidRPr="003C516C" w:rsidRDefault="003C6922" w:rsidP="003C6922">
      <w:pPr>
        <w:pStyle w:val="MDPI12title"/>
        <w:spacing w:line="240" w:lineRule="atLeast"/>
      </w:pPr>
      <w:r w:rsidRPr="00AA3455">
        <w:t>Slaughterhouse wastewater properties assessment by modern and classic methods</w:t>
      </w:r>
    </w:p>
    <w:p w:rsidR="003C6922" w:rsidRPr="003C516C" w:rsidRDefault="003C6922" w:rsidP="003C6922">
      <w:pPr>
        <w:pStyle w:val="MDPI13authornames"/>
      </w:pPr>
      <w:r w:rsidRPr="00AA3455">
        <w:t>Ramona Crainic</w:t>
      </w:r>
      <w:r w:rsidRPr="00AA3455">
        <w:rPr>
          <w:vertAlign w:val="superscript"/>
        </w:rPr>
        <w:t>1</w:t>
      </w:r>
      <w:r w:rsidRPr="00AA3455">
        <w:t xml:space="preserve"> and </w:t>
      </w:r>
      <w:proofErr w:type="spellStart"/>
      <w:r w:rsidRPr="00AA3455">
        <w:t>Radu</w:t>
      </w:r>
      <w:proofErr w:type="spellEnd"/>
      <w:r w:rsidRPr="00AA3455">
        <w:t xml:space="preserve"> Fechete</w:t>
      </w:r>
      <w:r w:rsidRPr="00AA3455">
        <w:rPr>
          <w:vertAlign w:val="superscript"/>
        </w:rPr>
        <w:t>2,*</w:t>
      </w:r>
    </w:p>
    <w:p w:rsidR="00E952F3" w:rsidRDefault="008675A8"/>
    <w:p w:rsidR="003C6922" w:rsidRPr="002F623B" w:rsidRDefault="002F623B" w:rsidP="00B321A4">
      <w:pPr>
        <w:pStyle w:val="MDPI33textspaceafter"/>
        <w:ind w:firstLine="0"/>
        <w:rPr>
          <w:b/>
          <w:sz w:val="24"/>
          <w:szCs w:val="24"/>
        </w:rPr>
      </w:pPr>
      <w:r w:rsidRPr="002F623B">
        <w:rPr>
          <w:b/>
          <w:sz w:val="24"/>
          <w:szCs w:val="24"/>
        </w:rPr>
        <w:t>The CPMG and PGSE pulse sequences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3C6922" w:rsidRPr="003C516C" w:rsidTr="003C6922">
        <w:tc>
          <w:tcPr>
            <w:tcW w:w="9889" w:type="dxa"/>
          </w:tcPr>
          <w:p w:rsidR="003C6922" w:rsidRDefault="008F69F5" w:rsidP="00877C7C">
            <w:pPr>
              <w:pStyle w:val="MDPI52figure"/>
              <w:adjustRightInd w:val="0"/>
              <w:snapToGrid w:val="0"/>
              <w:rPr>
                <w:sz w:val="20"/>
              </w:rPr>
            </w:pPr>
            <w:r>
              <w:rPr>
                <w:noProof/>
                <w:snapToGrid/>
                <w:sz w:val="20"/>
                <w:lang w:eastAsia="en-US" w:bidi="ar-SA"/>
              </w:rPr>
              <w:drawing>
                <wp:inline distT="0" distB="0" distL="0" distR="0">
                  <wp:extent cx="4212000" cy="232200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 SI 1a -CPMG-bi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0" cy="23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C07" w:rsidRDefault="00625C07" w:rsidP="00877C7C">
            <w:pPr>
              <w:pStyle w:val="MDPI52figure"/>
              <w:adjustRightInd w:val="0"/>
              <w:snapToGrid w:val="0"/>
              <w:rPr>
                <w:sz w:val="28"/>
                <w:szCs w:val="28"/>
              </w:rPr>
            </w:pPr>
            <w:r w:rsidRPr="00625C07">
              <w:rPr>
                <w:sz w:val="28"/>
                <w:szCs w:val="28"/>
              </w:rPr>
              <w:t>(a)</w:t>
            </w:r>
          </w:p>
          <w:p w:rsidR="00625C07" w:rsidRPr="00625C07" w:rsidRDefault="00625C07" w:rsidP="00877C7C">
            <w:pPr>
              <w:pStyle w:val="MDPI52figure"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C6922" w:rsidRPr="003C516C" w:rsidTr="003C6922">
        <w:tc>
          <w:tcPr>
            <w:tcW w:w="9889" w:type="dxa"/>
          </w:tcPr>
          <w:p w:rsidR="003C6922" w:rsidRDefault="006D384B" w:rsidP="00877C7C">
            <w:pPr>
              <w:pStyle w:val="MDPI52figure"/>
              <w:adjustRightInd w:val="0"/>
              <w:snapToGrid w:val="0"/>
              <w:rPr>
                <w:sz w:val="20"/>
              </w:rPr>
            </w:pPr>
            <w:r>
              <w:rPr>
                <w:noProof/>
                <w:snapToGrid/>
                <w:sz w:val="20"/>
                <w:lang w:eastAsia="en-US" w:bidi="ar-SA"/>
              </w:rPr>
              <w:drawing>
                <wp:inline distT="0" distB="0" distL="0" distR="0">
                  <wp:extent cx="5040000" cy="3150702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 SI 1b -PGS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315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C07" w:rsidRPr="00625C07" w:rsidRDefault="00625C07" w:rsidP="00877C7C">
            <w:pPr>
              <w:pStyle w:val="MDPI52figure"/>
              <w:adjustRightInd w:val="0"/>
              <w:snapToGrid w:val="0"/>
              <w:rPr>
                <w:sz w:val="28"/>
                <w:szCs w:val="28"/>
              </w:rPr>
            </w:pPr>
            <w:r w:rsidRPr="00625C07">
              <w:rPr>
                <w:sz w:val="28"/>
                <w:szCs w:val="28"/>
              </w:rPr>
              <w:t>(b)</w:t>
            </w:r>
          </w:p>
        </w:tc>
      </w:tr>
      <w:tr w:rsidR="00F858CA" w:rsidRPr="003C516C" w:rsidTr="003C6922">
        <w:tc>
          <w:tcPr>
            <w:tcW w:w="9889" w:type="dxa"/>
          </w:tcPr>
          <w:p w:rsidR="00F858CA" w:rsidRPr="00F858CA" w:rsidRDefault="00F858CA" w:rsidP="00542651">
            <w:pPr>
              <w:pStyle w:val="MDPI52figure"/>
              <w:adjustRightInd w:val="0"/>
              <w:snapToGrid w:val="0"/>
              <w:spacing w:before="120" w:after="240"/>
              <w:rPr>
                <w:noProof/>
                <w:snapToGrid/>
                <w:sz w:val="18"/>
                <w:szCs w:val="18"/>
                <w:lang w:eastAsia="en-US" w:bidi="ar-SA"/>
              </w:rPr>
            </w:pPr>
            <w:r w:rsidRPr="00F858CA">
              <w:rPr>
                <w:b/>
                <w:noProof/>
                <w:snapToGrid/>
                <w:sz w:val="18"/>
                <w:szCs w:val="18"/>
                <w:lang w:eastAsia="en-US" w:bidi="ar-SA"/>
              </w:rPr>
              <w:t>Figure SI 1</w:t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. a) The CPMG (Carr-Purcell-Meiboom-Gill) pulse sequence consisting </w:t>
            </w:r>
            <w:r w:rsidR="00542651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of </w:t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a tipping (excitation) radiofrequency pulse and a series of </w:t>
            </w:r>
            <w:r w:rsidR="00542651" w:rsidRPr="00542651">
              <w:rPr>
                <w:i/>
                <w:noProof/>
                <w:snapToGrid/>
                <w:sz w:val="18"/>
                <w:szCs w:val="18"/>
                <w:lang w:eastAsia="en-US" w:bidi="ar-SA"/>
              </w:rPr>
              <w:t>n</w:t>
            </w:r>
            <w:r w:rsidR="00542651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 </w:t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>refocusing pulses generating a series of multi-exponential dec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t>ay echoes, with the echo time 2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sym w:font="Symbol" w:char="F074"/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 and a total duration of 2n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sym w:font="Symbol" w:char="F074"/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 and b) The 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PGSE (pulsed gradient stimulated echo) pulse sequence with the echo time 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sym w:font="Symbol" w:char="F074"/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, duration of the coding/encoding grdient 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sym w:font="Symbol" w:char="F064"/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t xml:space="preserve"> and the free diffusion period </w:t>
            </w:r>
            <w:r>
              <w:rPr>
                <w:noProof/>
                <w:snapToGrid/>
                <w:sz w:val="18"/>
                <w:szCs w:val="18"/>
                <w:lang w:eastAsia="en-US" w:bidi="ar-SA"/>
              </w:rPr>
              <w:sym w:font="Symbol" w:char="F044"/>
            </w:r>
            <w:r w:rsidRPr="00F858CA">
              <w:rPr>
                <w:noProof/>
                <w:snapToGrid/>
                <w:sz w:val="18"/>
                <w:szCs w:val="18"/>
                <w:lang w:eastAsia="en-US" w:bidi="ar-SA"/>
              </w:rPr>
              <w:t>.</w:t>
            </w:r>
          </w:p>
        </w:tc>
      </w:tr>
    </w:tbl>
    <w:p w:rsidR="003C6922" w:rsidRDefault="003C6922">
      <w:r>
        <w:br w:type="page"/>
      </w:r>
    </w:p>
    <w:p w:rsidR="003C6922" w:rsidRDefault="003C6922" w:rsidP="003C6922">
      <w:pPr>
        <w:pStyle w:val="MDPI33textspaceafter"/>
      </w:pPr>
    </w:p>
    <w:p w:rsidR="00FD37D0" w:rsidRPr="002F623B" w:rsidRDefault="002F623B" w:rsidP="003C6922">
      <w:pPr>
        <w:pStyle w:val="MDPI33textspaceafter"/>
        <w:rPr>
          <w:b/>
          <w:sz w:val="24"/>
          <w:szCs w:val="24"/>
        </w:rPr>
      </w:pPr>
      <w:r w:rsidRPr="002F623B">
        <w:rPr>
          <w:b/>
          <w:sz w:val="24"/>
          <w:szCs w:val="24"/>
        </w:rPr>
        <w:t xml:space="preserve">The </w:t>
      </w:r>
      <w:r w:rsidRPr="00EC31B3">
        <w:rPr>
          <w:b/>
          <w:i/>
          <w:sz w:val="24"/>
          <w:szCs w:val="24"/>
        </w:rPr>
        <w:t>T</w:t>
      </w:r>
      <w:r w:rsidR="007B46CB" w:rsidRPr="00EC31B3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-</w:t>
      </w:r>
      <w:r w:rsidR="00EC31B3">
        <w:rPr>
          <w:b/>
          <w:sz w:val="24"/>
          <w:szCs w:val="24"/>
        </w:rPr>
        <w:t>distri</w:t>
      </w:r>
      <w:r w:rsidR="007B46CB">
        <w:rPr>
          <w:b/>
          <w:sz w:val="24"/>
          <w:szCs w:val="24"/>
        </w:rPr>
        <w:t>butions measured for sludge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922" w:rsidRPr="003C516C" w:rsidTr="00877C7C">
        <w:tc>
          <w:tcPr>
            <w:tcW w:w="9060" w:type="dxa"/>
          </w:tcPr>
          <w:p w:rsidR="003C6922" w:rsidRPr="00746129" w:rsidRDefault="003C6922" w:rsidP="00877C7C">
            <w:pPr>
              <w:pStyle w:val="MDPI52figure"/>
              <w:adjustRightInd w:val="0"/>
              <w:snapToGrid w:val="0"/>
              <w:rPr>
                <w:sz w:val="20"/>
              </w:rPr>
            </w:pPr>
            <w:r>
              <w:rPr>
                <w:noProof/>
                <w:snapToGrid/>
                <w:sz w:val="20"/>
                <w:lang w:eastAsia="en-US" w:bidi="ar-SA"/>
              </w:rPr>
              <w:drawing>
                <wp:inline distT="0" distB="0" distL="0" distR="0" wp14:anchorId="5B668B45" wp14:editId="07F9AE43">
                  <wp:extent cx="3602990" cy="2777490"/>
                  <wp:effectExtent l="0" t="0" r="0" b="3810"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CA2" w:rsidRPr="003C516C" w:rsidTr="007A1CA2">
        <w:trPr>
          <w:trHeight w:val="637"/>
        </w:trPr>
        <w:tc>
          <w:tcPr>
            <w:tcW w:w="9060" w:type="dxa"/>
          </w:tcPr>
          <w:p w:rsidR="007A1CA2" w:rsidRPr="007A1CA2" w:rsidRDefault="007A1CA2" w:rsidP="007A1CA2">
            <w:pPr>
              <w:pStyle w:val="MDPI51figurecaption"/>
              <w:rPr>
                <w:noProof/>
                <w:szCs w:val="18"/>
                <w:lang w:eastAsia="en-US" w:bidi="ar-SA"/>
              </w:rPr>
            </w:pPr>
            <w:r w:rsidRPr="003C516C">
              <w:rPr>
                <w:b/>
              </w:rPr>
              <w:t xml:space="preserve">Figure </w:t>
            </w:r>
            <w:r>
              <w:rPr>
                <w:b/>
              </w:rPr>
              <w:t>SI 2</w:t>
            </w:r>
            <w:r w:rsidRPr="003C516C">
              <w:rPr>
                <w:b/>
              </w:rPr>
              <w:t>.</w:t>
            </w:r>
            <w:r w:rsidRPr="003C516C">
              <w:t xml:space="preserve"> </w:t>
            </w:r>
            <w:r>
              <w:t xml:space="preserve">The normalized </w:t>
            </w:r>
            <w:r w:rsidRPr="004B72EB">
              <w:rPr>
                <w:i/>
              </w:rPr>
              <w:t>T</w:t>
            </w:r>
            <w:r w:rsidRPr="004B72EB">
              <w:rPr>
                <w:vertAlign w:val="subscript"/>
              </w:rPr>
              <w:t>2</w:t>
            </w:r>
            <w:r>
              <w:t xml:space="preserve"> –distributions recorded for the sludge residue collected from a chicken slaughterhouse in the months 1, 2, 3 and 4</w:t>
            </w:r>
            <w:r w:rsidR="00542651">
              <w:t xml:space="preserve"> of monitoring</w:t>
            </w:r>
            <w:r>
              <w:t>.</w:t>
            </w:r>
          </w:p>
        </w:tc>
      </w:tr>
    </w:tbl>
    <w:p w:rsidR="00FD37D0" w:rsidRDefault="00FD37D0" w:rsidP="00FD37D0">
      <w:pPr>
        <w:pStyle w:val="MDPI33textspaceafter"/>
      </w:pPr>
    </w:p>
    <w:p w:rsidR="00FD37D0" w:rsidRDefault="00FD37D0" w:rsidP="00FD37D0">
      <w:pPr>
        <w:pStyle w:val="MDPI33textspaceafter"/>
      </w:pPr>
    </w:p>
    <w:p w:rsidR="00FD37D0" w:rsidRDefault="00FD37D0" w:rsidP="00FD37D0">
      <w:pPr>
        <w:pStyle w:val="MDPI33textspaceafter"/>
      </w:pPr>
    </w:p>
    <w:p w:rsidR="00156CC2" w:rsidRDefault="00156CC2">
      <w:r>
        <w:br w:type="page"/>
      </w:r>
    </w:p>
    <w:p w:rsidR="00FD37D0" w:rsidRDefault="00FD37D0" w:rsidP="00FD37D0">
      <w:pPr>
        <w:pStyle w:val="MDPI33textspaceafter"/>
      </w:pPr>
    </w:p>
    <w:p w:rsidR="00B321A4" w:rsidRPr="003C516C" w:rsidRDefault="00EC31B3" w:rsidP="00FD37D0">
      <w:pPr>
        <w:pStyle w:val="MDPI33textspaceafter"/>
      </w:pPr>
      <w:r w:rsidRPr="002F623B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self-diffusion coefficient </w:t>
      </w:r>
      <w:r w:rsidRPr="00EC31B3">
        <w:rPr>
          <w:b/>
          <w:i/>
          <w:sz w:val="24"/>
          <w:szCs w:val="24"/>
        </w:rPr>
        <w:t>D</w:t>
      </w:r>
      <w:r>
        <w:rPr>
          <w:b/>
          <w:sz w:val="24"/>
          <w:szCs w:val="24"/>
        </w:rPr>
        <w:t xml:space="preserve"> distributions measured for sludge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FD37D0" w:rsidRPr="003C516C" w:rsidTr="00877C7C">
        <w:tc>
          <w:tcPr>
            <w:tcW w:w="9060" w:type="dxa"/>
          </w:tcPr>
          <w:p w:rsidR="00FD37D0" w:rsidRPr="00746129" w:rsidRDefault="00FD37D0" w:rsidP="00877C7C">
            <w:pPr>
              <w:pStyle w:val="MDPI52figure"/>
              <w:adjustRightInd w:val="0"/>
              <w:snapToGrid w:val="0"/>
              <w:rPr>
                <w:sz w:val="20"/>
              </w:rPr>
            </w:pPr>
            <w:r>
              <w:rPr>
                <w:noProof/>
                <w:snapToGrid/>
                <w:sz w:val="20"/>
                <w:lang w:eastAsia="en-US" w:bidi="ar-SA"/>
              </w:rPr>
              <w:drawing>
                <wp:inline distT="0" distB="0" distL="0" distR="0" wp14:anchorId="25D33BAC" wp14:editId="33A4EC1C">
                  <wp:extent cx="3602990" cy="2777490"/>
                  <wp:effectExtent l="0" t="0" r="0" b="3810"/>
                  <wp:docPr id="2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7D0" w:rsidRPr="003C516C" w:rsidTr="00877C7C">
        <w:tc>
          <w:tcPr>
            <w:tcW w:w="9060" w:type="dxa"/>
          </w:tcPr>
          <w:p w:rsidR="00FD37D0" w:rsidRPr="00FD37D0" w:rsidRDefault="00FD37D0" w:rsidP="00CD24D4">
            <w:pPr>
              <w:pStyle w:val="MDPI51figurecaption"/>
              <w:rPr>
                <w:noProof/>
                <w:szCs w:val="18"/>
                <w:lang w:eastAsia="en-US" w:bidi="ar-SA"/>
              </w:rPr>
            </w:pPr>
            <w:r w:rsidRPr="003C516C">
              <w:rPr>
                <w:b/>
              </w:rPr>
              <w:t xml:space="preserve">Figure </w:t>
            </w:r>
            <w:r>
              <w:rPr>
                <w:b/>
              </w:rPr>
              <w:t>SI 3</w:t>
            </w:r>
            <w:r w:rsidRPr="003C516C">
              <w:rPr>
                <w:b/>
              </w:rPr>
              <w:t>.</w:t>
            </w:r>
            <w:r w:rsidRPr="003C516C">
              <w:t xml:space="preserve"> </w:t>
            </w:r>
            <w:r>
              <w:t xml:space="preserve">The normalized </w:t>
            </w:r>
            <w:r w:rsidRPr="00542651">
              <w:rPr>
                <w:i/>
              </w:rPr>
              <w:t>D</w:t>
            </w:r>
            <w:r>
              <w:t>–distributions recorded for the sludge residues collected from a chicken slaughterhouse in the months 1, 2, 3 and 4</w:t>
            </w:r>
            <w:r w:rsidR="00542651">
              <w:t xml:space="preserve"> of monitoring</w:t>
            </w:r>
            <w:r>
              <w:t>.</w:t>
            </w:r>
          </w:p>
        </w:tc>
      </w:tr>
    </w:tbl>
    <w:p w:rsidR="00FD37D0" w:rsidRDefault="00FD37D0" w:rsidP="00FD37D0">
      <w:pPr>
        <w:pStyle w:val="MDPI33textspaceafter"/>
        <w:spacing w:after="0"/>
      </w:pPr>
    </w:p>
    <w:p w:rsidR="00FD37D0" w:rsidRDefault="00FD37D0" w:rsidP="00FD37D0">
      <w:pPr>
        <w:pStyle w:val="MDPI33textspaceafter"/>
        <w:spacing w:after="0"/>
      </w:pPr>
    </w:p>
    <w:p w:rsidR="009701E1" w:rsidRDefault="009701E1">
      <w:pPr>
        <w:rPr>
          <w:rFonts w:ascii="Palatino Linotype" w:eastAsia="Times New Roman" w:hAnsi="Palatino Linotype"/>
          <w:snapToGrid w:val="0"/>
          <w:color w:val="000000"/>
          <w:sz w:val="20"/>
          <w:szCs w:val="22"/>
          <w:lang w:eastAsia="de-DE" w:bidi="en-US"/>
        </w:rPr>
      </w:pPr>
      <w:r>
        <w:br w:type="page"/>
      </w:r>
    </w:p>
    <w:p w:rsidR="00FD37D0" w:rsidRDefault="00FD37D0" w:rsidP="00FD37D0">
      <w:pPr>
        <w:pStyle w:val="MDPI33textspaceafter"/>
        <w:spacing w:after="0"/>
      </w:pPr>
    </w:p>
    <w:p w:rsidR="00EC31B3" w:rsidRPr="003C516C" w:rsidRDefault="00EC31B3" w:rsidP="00EC31B3">
      <w:pPr>
        <w:pStyle w:val="MDPI33textspaceafter"/>
      </w:pPr>
      <w:r w:rsidRPr="002F623B">
        <w:rPr>
          <w:b/>
          <w:sz w:val="24"/>
          <w:szCs w:val="24"/>
        </w:rPr>
        <w:t xml:space="preserve">The </w:t>
      </w:r>
      <w:r w:rsidRPr="00EC31B3">
        <w:rPr>
          <w:b/>
          <w:sz w:val="24"/>
          <w:szCs w:val="24"/>
        </w:rPr>
        <w:t>relationship between the total absorbance in the VIS-NearIR spectra and turbidity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9"/>
      </w:tblGrid>
      <w:tr w:rsidR="00BC6538" w:rsidRPr="003C516C" w:rsidTr="00BC6538">
        <w:trPr>
          <w:trHeight w:val="4462"/>
        </w:trPr>
        <w:tc>
          <w:tcPr>
            <w:tcW w:w="9559" w:type="dxa"/>
          </w:tcPr>
          <w:p w:rsidR="00BC6538" w:rsidRPr="00542651" w:rsidRDefault="00542651" w:rsidP="00337ACF">
            <w:pPr>
              <w:pStyle w:val="MDPI52figure"/>
              <w:adjustRightInd w:val="0"/>
              <w:snapToGrid w:val="0"/>
              <w:rPr>
                <w:color w:val="auto"/>
                <w:sz w:val="20"/>
              </w:rPr>
            </w:pPr>
            <w:r w:rsidRPr="00542651">
              <w:rPr>
                <w:noProof/>
                <w:snapToGrid/>
                <w:color w:val="auto"/>
                <w:sz w:val="20"/>
                <w:lang w:eastAsia="en-US" w:bidi="ar-SA"/>
              </w:rPr>
              <w:drawing>
                <wp:inline distT="0" distB="0" distL="0" distR="0" wp14:anchorId="4EB770E9" wp14:editId="6E737FCC">
                  <wp:extent cx="3600000" cy="2779200"/>
                  <wp:effectExtent l="0" t="0" r="63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7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22" w:rsidRPr="003C516C" w:rsidTr="00340614">
        <w:tc>
          <w:tcPr>
            <w:tcW w:w="9559" w:type="dxa"/>
          </w:tcPr>
          <w:p w:rsidR="00FF7922" w:rsidRPr="00FF7922" w:rsidRDefault="00FF7922" w:rsidP="00CD24D4">
            <w:pPr>
              <w:pStyle w:val="MDPI51figurecaption"/>
              <w:rPr>
                <w:noProof/>
                <w:szCs w:val="18"/>
                <w:lang w:eastAsia="en-US" w:bidi="ar-SA"/>
              </w:rPr>
            </w:pPr>
            <w:r w:rsidRPr="003C516C">
              <w:rPr>
                <w:b/>
              </w:rPr>
              <w:t xml:space="preserve">Figure </w:t>
            </w:r>
            <w:r>
              <w:rPr>
                <w:b/>
              </w:rPr>
              <w:t xml:space="preserve">SI </w:t>
            </w:r>
            <w:r w:rsidR="00BC6538">
              <w:rPr>
                <w:b/>
              </w:rPr>
              <w:t>4</w:t>
            </w:r>
            <w:r w:rsidRPr="003C516C">
              <w:rPr>
                <w:b/>
              </w:rPr>
              <w:t>.</w:t>
            </w:r>
            <w:r w:rsidRPr="003C516C">
              <w:t xml:space="preserve"> </w:t>
            </w:r>
            <w:r w:rsidR="00BC6538">
              <w:t>The relationship between the total absorbance in the VIS-NearIR spectra and turbidity measured for milky-like samples.</w:t>
            </w:r>
          </w:p>
        </w:tc>
      </w:tr>
    </w:tbl>
    <w:p w:rsidR="00FF7922" w:rsidRDefault="00FF7922" w:rsidP="00FF7922">
      <w:pPr>
        <w:pStyle w:val="MDPI33textspaceafter"/>
        <w:spacing w:after="0"/>
      </w:pPr>
    </w:p>
    <w:p w:rsidR="009701E1" w:rsidRDefault="009701E1" w:rsidP="00FD37D0">
      <w:pPr>
        <w:pStyle w:val="MDPI33textspaceafter"/>
        <w:spacing w:after="0"/>
      </w:pPr>
    </w:p>
    <w:p w:rsidR="009701E1" w:rsidRDefault="009701E1" w:rsidP="00FD37D0">
      <w:pPr>
        <w:pStyle w:val="MDPI33textspaceafter"/>
        <w:spacing w:after="0"/>
      </w:pPr>
    </w:p>
    <w:p w:rsidR="00BC6538" w:rsidRDefault="00BC6538">
      <w:pPr>
        <w:rPr>
          <w:rFonts w:ascii="Palatino Linotype" w:eastAsia="Times New Roman" w:hAnsi="Palatino Linotype"/>
          <w:snapToGrid w:val="0"/>
          <w:color w:val="000000"/>
          <w:sz w:val="20"/>
          <w:szCs w:val="22"/>
          <w:lang w:eastAsia="de-DE" w:bidi="en-US"/>
        </w:rPr>
      </w:pPr>
      <w:r>
        <w:br w:type="page"/>
      </w:r>
    </w:p>
    <w:p w:rsidR="009701E1" w:rsidRDefault="009701E1" w:rsidP="00FD37D0">
      <w:pPr>
        <w:pStyle w:val="MDPI33textspaceafter"/>
        <w:spacing w:after="0"/>
      </w:pPr>
    </w:p>
    <w:p w:rsidR="00BC6538" w:rsidRPr="003C516C" w:rsidRDefault="00EC31B3" w:rsidP="00BC6538">
      <w:pPr>
        <w:pStyle w:val="MDPI33textspaceafter"/>
      </w:pPr>
      <w:r w:rsidRPr="002F623B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proportions and eigenvalues resulted from PCA applied on the measured parameters of poultry slaughterhouse wastewater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80"/>
      </w:tblGrid>
      <w:tr w:rsidR="00BC6538" w:rsidRPr="003C516C" w:rsidTr="00337ACF">
        <w:tc>
          <w:tcPr>
            <w:tcW w:w="4779" w:type="dxa"/>
          </w:tcPr>
          <w:p w:rsidR="00BC6538" w:rsidRPr="00746129" w:rsidRDefault="00BC6538" w:rsidP="00337ACF">
            <w:pPr>
              <w:pStyle w:val="MDPI52figure"/>
              <w:adjustRightInd w:val="0"/>
              <w:snapToGrid w:val="0"/>
            </w:pPr>
            <w:r>
              <w:rPr>
                <w:noProof/>
                <w:snapToGrid/>
                <w:lang w:eastAsia="en-US" w:bidi="ar-SA"/>
              </w:rPr>
              <w:drawing>
                <wp:inline distT="0" distB="0" distL="0" distR="0" wp14:anchorId="0F4FED95" wp14:editId="085A210F">
                  <wp:extent cx="2517409" cy="1726441"/>
                  <wp:effectExtent l="0" t="0" r="0" b="7620"/>
                  <wp:docPr id="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72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538" w:rsidRPr="00746129" w:rsidRDefault="00BC6538" w:rsidP="00337ACF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746129">
              <w:rPr>
                <w:sz w:val="20"/>
              </w:rPr>
              <w:t>(</w:t>
            </w:r>
            <w:r w:rsidRPr="00746129">
              <w:rPr>
                <w:b/>
                <w:sz w:val="20"/>
              </w:rPr>
              <w:t>a</w:t>
            </w:r>
            <w:r w:rsidRPr="00746129">
              <w:rPr>
                <w:sz w:val="20"/>
              </w:rPr>
              <w:t>)</w:t>
            </w:r>
          </w:p>
        </w:tc>
        <w:tc>
          <w:tcPr>
            <w:tcW w:w="4780" w:type="dxa"/>
          </w:tcPr>
          <w:p w:rsidR="00BC6538" w:rsidRPr="00746129" w:rsidRDefault="00BC6538" w:rsidP="00337ACF">
            <w:pPr>
              <w:pStyle w:val="MDPI52figure"/>
              <w:adjustRightInd w:val="0"/>
              <w:snapToGrid w:val="0"/>
            </w:pPr>
            <w:r>
              <w:rPr>
                <w:noProof/>
                <w:snapToGrid/>
                <w:lang w:eastAsia="en-US" w:bidi="ar-SA"/>
              </w:rPr>
              <w:drawing>
                <wp:inline distT="0" distB="0" distL="0" distR="0" wp14:anchorId="04B2EB35" wp14:editId="5EF610EA">
                  <wp:extent cx="2524393" cy="1726441"/>
                  <wp:effectExtent l="0" t="0" r="0" b="7620"/>
                  <wp:docPr id="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72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538" w:rsidRPr="00746129" w:rsidRDefault="00BC6538" w:rsidP="00337ACF">
            <w:pPr>
              <w:pStyle w:val="MDPI52figure"/>
              <w:adjustRightInd w:val="0"/>
              <w:snapToGrid w:val="0"/>
              <w:rPr>
                <w:sz w:val="20"/>
              </w:rPr>
            </w:pPr>
            <w:r w:rsidRPr="00746129">
              <w:rPr>
                <w:sz w:val="20"/>
              </w:rPr>
              <w:t>(</w:t>
            </w:r>
            <w:r w:rsidRPr="00746129">
              <w:rPr>
                <w:b/>
                <w:sz w:val="20"/>
              </w:rPr>
              <w:t>b</w:t>
            </w:r>
            <w:r w:rsidRPr="00746129">
              <w:rPr>
                <w:sz w:val="20"/>
              </w:rPr>
              <w:t>)</w:t>
            </w:r>
          </w:p>
        </w:tc>
      </w:tr>
      <w:tr w:rsidR="00BC6538" w:rsidRPr="003C516C" w:rsidTr="00337ACF">
        <w:tc>
          <w:tcPr>
            <w:tcW w:w="9559" w:type="dxa"/>
            <w:gridSpan w:val="2"/>
          </w:tcPr>
          <w:p w:rsidR="00BC6538" w:rsidRPr="00FF7922" w:rsidRDefault="00BC6538" w:rsidP="00337ACF">
            <w:pPr>
              <w:pStyle w:val="MDPI51figurecaption"/>
              <w:spacing w:before="0" w:after="120"/>
              <w:rPr>
                <w:noProof/>
                <w:szCs w:val="18"/>
                <w:lang w:eastAsia="en-US" w:bidi="ar-SA"/>
              </w:rPr>
            </w:pPr>
            <w:r w:rsidRPr="003C516C">
              <w:rPr>
                <w:b/>
              </w:rPr>
              <w:t xml:space="preserve">Figure </w:t>
            </w:r>
            <w:r>
              <w:rPr>
                <w:b/>
              </w:rPr>
              <w:t>SI 5</w:t>
            </w:r>
            <w:r w:rsidRPr="003C516C">
              <w:rPr>
                <w:b/>
              </w:rPr>
              <w:t>.</w:t>
            </w:r>
            <w:r w:rsidRPr="003C516C">
              <w:t xml:space="preserve"> (</w:t>
            </w:r>
            <w:r w:rsidRPr="003C516C">
              <w:rPr>
                <w:b/>
              </w:rPr>
              <w:t>a</w:t>
            </w:r>
            <w:r w:rsidRPr="003C516C">
              <w:t>)</w:t>
            </w:r>
            <w:r>
              <w:t xml:space="preserve"> The proportion and cumulated proportion function of principal component number as resulted from PCA – analysis using the input data presented in Table 1 for </w:t>
            </w:r>
            <w:r w:rsidR="008675A8">
              <w:t xml:space="preserve">the </w:t>
            </w:r>
            <w:r>
              <w:t xml:space="preserve">wastewater and sludge </w:t>
            </w:r>
            <w:r w:rsidR="008675A8">
              <w:t xml:space="preserve">collected </w:t>
            </w:r>
            <w:bookmarkStart w:id="0" w:name="_GoBack"/>
            <w:bookmarkEnd w:id="0"/>
            <w:r>
              <w:t xml:space="preserve">from a chicken slaughterhouse; </w:t>
            </w:r>
            <w:r w:rsidRPr="003C516C">
              <w:t>(</w:t>
            </w:r>
            <w:r>
              <w:rPr>
                <w:b/>
              </w:rPr>
              <w:t>b</w:t>
            </w:r>
            <w:r w:rsidRPr="003C516C">
              <w:t>)</w:t>
            </w:r>
            <w:r>
              <w:t xml:space="preserve"> The eigenvalues (variance) function of the principal component number PC1 – PC6</w:t>
            </w:r>
            <w:r w:rsidRPr="003C516C">
              <w:t>.</w:t>
            </w:r>
          </w:p>
        </w:tc>
      </w:tr>
    </w:tbl>
    <w:p w:rsidR="00BC6538" w:rsidRDefault="00BC6538" w:rsidP="00BC6538">
      <w:pPr>
        <w:pStyle w:val="MDPI33textspaceafter"/>
        <w:spacing w:after="0"/>
      </w:pPr>
    </w:p>
    <w:p w:rsidR="00BC6538" w:rsidRDefault="00BC6538" w:rsidP="00BC6538">
      <w:pPr>
        <w:pStyle w:val="MDPI33textspaceafter"/>
        <w:spacing w:after="0"/>
      </w:pPr>
    </w:p>
    <w:p w:rsidR="00BC6538" w:rsidRDefault="00BC6538" w:rsidP="00BC6538">
      <w:pPr>
        <w:pStyle w:val="MDPI33textspaceafter"/>
        <w:spacing w:after="0"/>
      </w:pPr>
    </w:p>
    <w:p w:rsidR="00BC6538" w:rsidRDefault="00BC6538" w:rsidP="00BC6538">
      <w:pPr>
        <w:pStyle w:val="MDPI33textspaceafter"/>
        <w:spacing w:after="0"/>
      </w:pPr>
    </w:p>
    <w:p w:rsidR="00BC6538" w:rsidRDefault="00BC6538" w:rsidP="00BC6538">
      <w:pPr>
        <w:pStyle w:val="MDPI33textspaceafter"/>
        <w:spacing w:after="0"/>
      </w:pPr>
    </w:p>
    <w:p w:rsidR="009701E1" w:rsidRDefault="009701E1" w:rsidP="00FD37D0">
      <w:pPr>
        <w:pStyle w:val="MDPI33textspaceafter"/>
        <w:spacing w:after="0"/>
      </w:pPr>
    </w:p>
    <w:sectPr w:rsidR="009701E1" w:rsidSect="00AE1965">
      <w:pgSz w:w="11907" w:h="16839" w:code="9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0"/>
    <w:rsid w:val="0011790B"/>
    <w:rsid w:val="00156CC2"/>
    <w:rsid w:val="00184CB0"/>
    <w:rsid w:val="0023407B"/>
    <w:rsid w:val="002F1D93"/>
    <w:rsid w:val="002F623B"/>
    <w:rsid w:val="00312431"/>
    <w:rsid w:val="00370D22"/>
    <w:rsid w:val="003C6922"/>
    <w:rsid w:val="00542651"/>
    <w:rsid w:val="00625C07"/>
    <w:rsid w:val="006A1DB4"/>
    <w:rsid w:val="006D384B"/>
    <w:rsid w:val="007A1CA2"/>
    <w:rsid w:val="007B46CB"/>
    <w:rsid w:val="00821658"/>
    <w:rsid w:val="008675A8"/>
    <w:rsid w:val="008E6AA0"/>
    <w:rsid w:val="008F69F5"/>
    <w:rsid w:val="009701E1"/>
    <w:rsid w:val="00AD010D"/>
    <w:rsid w:val="00AE1965"/>
    <w:rsid w:val="00B321A4"/>
    <w:rsid w:val="00BC6538"/>
    <w:rsid w:val="00CD24D4"/>
    <w:rsid w:val="00EC31B3"/>
    <w:rsid w:val="00F0635B"/>
    <w:rsid w:val="00F858CA"/>
    <w:rsid w:val="00FD37D0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3C6922"/>
    <w:pPr>
      <w:adjustRightInd w:val="0"/>
      <w:snapToGrid w:val="0"/>
      <w:spacing w:after="240" w:line="400" w:lineRule="exact"/>
      <w:jc w:val="lef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3C6922"/>
    <w:pPr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/>
      <w:b/>
      <w:color w:val="000000"/>
      <w:sz w:val="20"/>
      <w:szCs w:val="22"/>
      <w:lang w:eastAsia="de-DE" w:bidi="en-US"/>
    </w:rPr>
  </w:style>
  <w:style w:type="paragraph" w:customStyle="1" w:styleId="MDPI33textspaceafter">
    <w:name w:val="MDPI_3.3_text_space_after"/>
    <w:basedOn w:val="Normal"/>
    <w:qFormat/>
    <w:rsid w:val="003C6922"/>
    <w:pPr>
      <w:adjustRightInd w:val="0"/>
      <w:snapToGrid w:val="0"/>
      <w:spacing w:after="240" w:line="260" w:lineRule="atLeast"/>
      <w:ind w:firstLine="425"/>
    </w:pPr>
    <w:rPr>
      <w:rFonts w:ascii="Palatino Linotype" w:eastAsia="Times New Roma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51figurecaption">
    <w:name w:val="MDPI_5.1_figure_caption"/>
    <w:basedOn w:val="Normal"/>
    <w:qFormat/>
    <w:rsid w:val="003C6922"/>
    <w:pPr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3C6922"/>
    <w:pPr>
      <w:spacing w:line="240" w:lineRule="auto"/>
      <w:jc w:val="center"/>
    </w:pPr>
    <w:rPr>
      <w:rFonts w:ascii="Palatino Linotype" w:eastAsia="Times New Roman" w:hAnsi="Palatino Linotype"/>
      <w:snapToGrid w:val="0"/>
      <w:color w:val="000000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3C6922"/>
    <w:pPr>
      <w:adjustRightInd w:val="0"/>
      <w:snapToGrid w:val="0"/>
      <w:spacing w:after="240" w:line="400" w:lineRule="exact"/>
      <w:jc w:val="lef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3C6922"/>
    <w:pPr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/>
      <w:b/>
      <w:color w:val="000000"/>
      <w:sz w:val="20"/>
      <w:szCs w:val="22"/>
      <w:lang w:eastAsia="de-DE" w:bidi="en-US"/>
    </w:rPr>
  </w:style>
  <w:style w:type="paragraph" w:customStyle="1" w:styleId="MDPI33textspaceafter">
    <w:name w:val="MDPI_3.3_text_space_after"/>
    <w:basedOn w:val="Normal"/>
    <w:qFormat/>
    <w:rsid w:val="003C6922"/>
    <w:pPr>
      <w:adjustRightInd w:val="0"/>
      <w:snapToGrid w:val="0"/>
      <w:spacing w:after="240" w:line="260" w:lineRule="atLeast"/>
      <w:ind w:firstLine="425"/>
    </w:pPr>
    <w:rPr>
      <w:rFonts w:ascii="Palatino Linotype" w:eastAsia="Times New Roma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51figurecaption">
    <w:name w:val="MDPI_5.1_figure_caption"/>
    <w:basedOn w:val="Normal"/>
    <w:qFormat/>
    <w:rsid w:val="003C6922"/>
    <w:pPr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3C6922"/>
    <w:pPr>
      <w:spacing w:line="240" w:lineRule="auto"/>
      <w:jc w:val="center"/>
    </w:pPr>
    <w:rPr>
      <w:rFonts w:ascii="Palatino Linotype" w:eastAsia="Times New Roman" w:hAnsi="Palatino Linotype"/>
      <w:snapToGrid w:val="0"/>
      <w:color w:val="000000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2019-07-04T15:59:00Z</cp:lastPrinted>
  <dcterms:created xsi:type="dcterms:W3CDTF">2019-03-26T14:45:00Z</dcterms:created>
  <dcterms:modified xsi:type="dcterms:W3CDTF">2019-10-16T11:09:00Z</dcterms:modified>
</cp:coreProperties>
</file>