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422"/>
        <w:jc w:val="left"/>
        <w:rPr>
          <w:rFonts w:hint="default" w:ascii="Palatino Linotype" w:hAnsi="Palatino Linotype" w:cs="Palatino Linotype"/>
          <w:b/>
          <w:kern w:val="44"/>
          <w:szCs w:val="21"/>
        </w:rPr>
      </w:pPr>
      <w:r>
        <w:rPr>
          <w:rFonts w:hint="default" w:ascii="Palatino Linotype" w:hAnsi="Palatino Linotype" w:cs="Palatino Linotype"/>
          <w:b/>
          <w:kern w:val="44"/>
          <w:szCs w:val="21"/>
        </w:rPr>
        <w:drawing>
          <wp:inline distT="0" distB="0" distL="114300" distR="114300">
            <wp:extent cx="5269230" cy="6007735"/>
            <wp:effectExtent l="0" t="0" r="1270" b="12065"/>
            <wp:docPr id="36" name="图片 36" descr="Figure 3. Concentration-time profiles of micafungin for pediatrics at steady stat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igure 3. Concentration-time profiles of micafungin for pediatrics at steady state_00"/>
                    <pic:cNvPicPr>
                      <a:picLocks noChangeAspect="1"/>
                    </pic:cNvPicPr>
                  </pic:nvPicPr>
                  <pic:blipFill>
                    <a:blip r:embed="rId4"/>
                    <a:srcRect t="3255" b="161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>F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igure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 xml:space="preserve"> 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  <w:lang w:val="en-US" w:eastAsia="zh-CN"/>
        </w:rPr>
        <w:t>S1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  <w:lang w:val="en-US" w:eastAsia="zh-CN"/>
        </w:rPr>
        <w:t xml:space="preserve"> 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Concentration-time profiles of micafungin for (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A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) neonates, (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B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) infants, (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C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) preschool children, (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D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) school children and (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E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) adolescents at steady state. </w:t>
      </w:r>
      <w:r>
        <w:rPr>
          <w:rFonts w:hint="default" w:ascii="Palatino Linotype" w:hAnsi="Palatino Linotype" w:cs="Palatino Linotype"/>
          <w:bCs/>
          <w:kern w:val="44"/>
          <w:sz w:val="18"/>
          <w:szCs w:val="18"/>
        </w:rPr>
        <w:t>The solid orange lines represent the median of the simulated concentration-time profiles and the light orange shadows represent the 5</w:t>
      </w:r>
      <w:r>
        <w:rPr>
          <w:rFonts w:hint="default" w:ascii="Palatino Linotype" w:hAnsi="Palatino Linotype" w:cs="Palatino Linotype"/>
          <w:bCs/>
          <w:kern w:val="44"/>
          <w:sz w:val="18"/>
          <w:szCs w:val="18"/>
          <w:vertAlign w:val="superscript"/>
        </w:rPr>
        <w:t>th</w:t>
      </w:r>
      <w:r>
        <w:rPr>
          <w:rFonts w:hint="default" w:ascii="Palatino Linotype" w:hAnsi="Palatino Linotype" w:cs="Palatino Linotype"/>
          <w:bCs/>
          <w:kern w:val="44"/>
          <w:sz w:val="18"/>
          <w:szCs w:val="18"/>
        </w:rPr>
        <w:t>–95</w:t>
      </w:r>
      <w:r>
        <w:rPr>
          <w:rFonts w:hint="default" w:ascii="Palatino Linotype" w:hAnsi="Palatino Linotype" w:cs="Palatino Linotype"/>
          <w:bCs/>
          <w:kern w:val="44"/>
          <w:sz w:val="18"/>
          <w:szCs w:val="18"/>
          <w:vertAlign w:val="superscript"/>
        </w:rPr>
        <w:t>th</w:t>
      </w:r>
      <w:r>
        <w:rPr>
          <w:rFonts w:hint="default" w:ascii="Palatino Linotype" w:hAnsi="Palatino Linotype" w:cs="Palatino Linotype"/>
          <w:bCs/>
          <w:kern w:val="44"/>
          <w:sz w:val="18"/>
          <w:szCs w:val="18"/>
        </w:rPr>
        <w:t xml:space="preserve"> percentiles of the concentration-time profiles.</w:t>
      </w:r>
    </w:p>
    <w:p>
      <w:pPr>
        <w:spacing w:line="240" w:lineRule="auto"/>
        <w:rPr>
          <w:rFonts w:hint="default" w:ascii="Palatino Linotype" w:hAnsi="Palatino Linotype" w:cs="Palatino Linotype"/>
          <w:bCs/>
          <w:kern w:val="44"/>
          <w:sz w:val="20"/>
          <w:szCs w:val="20"/>
        </w:rPr>
      </w:pPr>
    </w:p>
    <w:p>
      <w:pPr>
        <w:spacing w:line="240" w:lineRule="auto"/>
        <w:jc w:val="center"/>
        <w:rPr>
          <w:rFonts w:hint="default" w:ascii="Palatino Linotype" w:hAnsi="Palatino Linotype" w:cs="Palatino Linotype"/>
          <w:b/>
          <w:kern w:val="44"/>
          <w:szCs w:val="21"/>
        </w:rPr>
      </w:pPr>
      <w:r>
        <w:rPr>
          <w:rFonts w:hint="default" w:ascii="Palatino Linotype" w:hAnsi="Palatino Linotype" w:cs="Palatino Linotype"/>
        </w:rPr>
        <w:drawing>
          <wp:inline distT="0" distB="0" distL="114300" distR="114300">
            <wp:extent cx="5269865" cy="3713480"/>
            <wp:effectExtent l="0" t="0" r="635" b="7620"/>
            <wp:docPr id="2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F</w:t>
      </w:r>
      <w:r>
        <w:rPr>
          <w:rFonts w:hint="eastAsia" w:eastAsia="宋体" w:cs="Palatino Linotype"/>
          <w:b/>
          <w:bCs w:val="0"/>
          <w:kern w:val="44"/>
          <w:sz w:val="18"/>
          <w:szCs w:val="18"/>
          <w:lang w:val="en-US" w:eastAsia="zh-CN"/>
        </w:rPr>
        <w:t>igure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 xml:space="preserve"> S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  <w:lang w:val="en-US" w:eastAsia="zh-CN"/>
        </w:rPr>
        <w:t>2</w:t>
      </w:r>
      <w:r>
        <w:rPr>
          <w:rFonts w:hint="eastAsia" w:cs="Palatino Linotype"/>
          <w:b/>
          <w:bCs w:val="0"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Distribution of the central volume of micafungin in various typical virtual populations. The typical ICU adults (SOFA&lt;10) were set at male, 40-years-old, 70kg, and had the following demographic parameters: ALT or AST, 25 IU/L; ALB, 40 g/L; SOFA, 7; The typical Non-ICU adults were set at male, 40-years-old, 70kg, and had the following demographic parameters: ALT or AST, 25 IU/L; ALB, 40 g/L; SOFA, 0. The dashed and dotted lines in each panel represent the medians of the clearance in each corresponding population, respectively.</w:t>
      </w:r>
    </w:p>
    <w:p>
      <w:pPr>
        <w:spacing w:line="240" w:lineRule="auto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rPr>
          <w:rFonts w:hint="default" w:ascii="Palatino Linotype" w:hAnsi="Palatino Linotype" w:cs="Palatino Linotype"/>
          <w:b/>
          <w:kern w:val="44"/>
          <w:szCs w:val="21"/>
        </w:rPr>
      </w:pPr>
      <w:r>
        <w:rPr>
          <w:rFonts w:hint="default" w:ascii="Palatino Linotype" w:hAnsi="Palatino Linotype" w:cs="Palatino Linotype"/>
        </w:rPr>
        <w:drawing>
          <wp:inline distT="0" distB="0" distL="114300" distR="114300">
            <wp:extent cx="5266690" cy="3727450"/>
            <wp:effectExtent l="0" t="0" r="3810" b="6350"/>
            <wp:docPr id="2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F</w:t>
      </w:r>
      <w:r>
        <w:rPr>
          <w:rFonts w:hint="eastAsia" w:eastAsia="宋体" w:cs="Palatino Linotype"/>
          <w:b/>
          <w:bCs w:val="0"/>
          <w:kern w:val="44"/>
          <w:sz w:val="18"/>
          <w:szCs w:val="18"/>
          <w:lang w:val="en-US" w:eastAsia="zh-CN"/>
        </w:rPr>
        <w:t>igure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  <w:lang w:val="en-US" w:eastAsia="zh-CN"/>
        </w:rPr>
        <w:t xml:space="preserve"> S3</w:t>
      </w:r>
      <w:r>
        <w:rPr>
          <w:rFonts w:hint="eastAsia" w:cs="Palatino Linotype"/>
          <w:b/>
          <w:bCs w:val="0"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Distribution of the AUC24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of micafungin in various typical virtual populations. The typical ICU adults (SOFA&lt;10) were set at male, 40-years-old, 70kg, and had the following demographic parameters: ALT or AST, 25 IU/L; ALB, 40 g/L; SOFA, 7; The typical Non-ICU adults were set at male, 40-years-old, 70kg, and had the following demographic parameters: ALT or AST, 25 IU/L; ALB, 40 g/L; SOFA, 0. </w:t>
      </w:r>
      <w:bookmarkStart w:id="0" w:name="OLE_LINK28"/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The dashed and dotted lines in each panel represent the medians of the clearance in each corresponding population, respectively.</w:t>
      </w: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1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bookmarkEnd w:id="0"/>
    <w:p>
      <w:pPr>
        <w:spacing w:line="240" w:lineRule="auto"/>
        <w:rPr>
          <w:rFonts w:hint="default" w:ascii="Palatino Linotype" w:hAnsi="Palatino Linotype" w:cs="Palatino Linotype"/>
          <w:szCs w:val="21"/>
        </w:rPr>
      </w:pPr>
    </w:p>
    <w:p>
      <w:pPr>
        <w:spacing w:line="240" w:lineRule="auto"/>
        <w:ind w:firstLine="360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ind w:firstLine="360"/>
        <w:jc w:val="center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Cs/>
          <w:kern w:val="44"/>
          <w:sz w:val="18"/>
          <w:szCs w:val="18"/>
        </w:rPr>
        <w:drawing>
          <wp:inline distT="0" distB="0" distL="114300" distR="114300">
            <wp:extent cx="3891915" cy="3331845"/>
            <wp:effectExtent l="0" t="0" r="6985" b="8255"/>
            <wp:docPr id="1" name="图片 1" descr="Figure 8. covariate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8. covariate distribution"/>
                    <pic:cNvPicPr>
                      <a:picLocks noChangeAspect="1"/>
                    </pic:cNvPicPr>
                  </pic:nvPicPr>
                  <pic:blipFill>
                    <a:blip r:embed="rId7"/>
                    <a:srcRect l="2614"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F</w:t>
      </w:r>
      <w:r>
        <w:rPr>
          <w:rFonts w:hint="eastAsia" w:eastAsia="宋体" w:cs="Palatino Linotype"/>
          <w:b/>
          <w:bCs w:val="0"/>
          <w:kern w:val="44"/>
          <w:sz w:val="18"/>
          <w:szCs w:val="18"/>
          <w:lang w:val="en-US" w:eastAsia="zh-CN"/>
        </w:rPr>
        <w:t>igure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 xml:space="preserve"> S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  <w:lang w:val="en-US" w:eastAsia="zh-CN"/>
        </w:rPr>
        <w:t>4</w:t>
      </w:r>
      <w:r>
        <w:rPr>
          <w:rFonts w:hint="eastAsia" w:cs="Palatino Linotype"/>
          <w:b/>
          <w:bCs w:val="0"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The histogram of the amount of investigated and identified covariates in included studies. AGE, age; HT, height; LBW or FFM, lean body weight; IBW, idea body weight; TBW or BW, Total body weight; BSA, body surface area; BMI, body mass index; ALP, alkaline phosphatase; BCHE, butyrylcholinesterase; CVVH, Continuous Veno-Venous Hemofiltration; HE, haemodialysis; RBC, red blood cell count; HCT, hematocrit; PLT, platelet count; eGFR, estimated glomerular filtration rate; CLCR, creatinine clearance; SCR, serum creatinine; CRRT, continuous renal replacement therapy; TP, total protein; ALB, albumin; BUN, blood urea nitrogen; TBILI, total bilirubin; DBIL, direct bilirubin; IBIL, indirect bilirubin; ALT, alanine amino transferase or glutamic pyruvic oxaloacetate transaminase/aspartate aminotransferase; AST, aspartate aminotransferase;γ-GTP, glutamate dehydrogenase; LDH, lactate dehydrogenase; SOFA, Sepsis-related organ failure assessment score, SAPS II, Simplifed Acute Physiology Score; CP, Child-Pugh score.</w:t>
      </w:r>
    </w:p>
    <w:p>
      <w:pPr>
        <w:spacing w:line="240" w:lineRule="auto"/>
        <w:ind w:firstLine="360"/>
        <w:rPr>
          <w:rFonts w:hint="default" w:ascii="Palatino Linotype" w:hAnsi="Palatino Linotype" w:cs="Palatino Linotype"/>
          <w:sz w:val="18"/>
          <w:szCs w:val="18"/>
        </w:rPr>
      </w:pPr>
    </w:p>
    <w:p>
      <w:pPr>
        <w:spacing w:line="240" w:lineRule="auto"/>
        <w:jc w:val="center"/>
        <w:rPr>
          <w:rFonts w:hint="default" w:ascii="Palatino Linotype" w:hAnsi="Palatino Linotype" w:cs="Palatino Linotype"/>
          <w:szCs w:val="21"/>
        </w:rPr>
      </w:pPr>
      <w:r>
        <w:rPr>
          <w:rFonts w:hint="default" w:ascii="Palatino Linotype" w:hAnsi="Palatino Linotype" w:cs="Palatino Linotype"/>
        </w:rPr>
        <w:drawing>
          <wp:inline distT="0" distB="0" distL="114300" distR="114300">
            <wp:extent cx="5154295" cy="767016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>F</w:t>
      </w:r>
      <w:r>
        <w:rPr>
          <w:rFonts w:hint="eastAsia" w:eastAsia="宋体" w:cs="Palatino Linotype"/>
          <w:b/>
          <w:bCs w:val="0"/>
          <w:kern w:val="44"/>
          <w:sz w:val="18"/>
          <w:szCs w:val="18"/>
          <w:lang w:val="en-US" w:eastAsia="zh-CN"/>
        </w:rPr>
        <w:t>igure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</w:rPr>
        <w:t xml:space="preserve"> S</w:t>
      </w:r>
      <w:r>
        <w:rPr>
          <w:rFonts w:hint="default" w:ascii="Palatino Linotype" w:hAnsi="Palatino Linotype" w:cs="Palatino Linotype"/>
          <w:b/>
          <w:bCs w:val="0"/>
          <w:kern w:val="44"/>
          <w:sz w:val="18"/>
          <w:szCs w:val="18"/>
          <w:lang w:val="en-US" w:eastAsia="zh-CN"/>
        </w:rPr>
        <w:t>5</w:t>
      </w:r>
      <w:r>
        <w:rPr>
          <w:rFonts w:hint="eastAsia" w:cs="Palatino Linotype"/>
          <w:b/>
          <w:bCs w:val="0"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The probability target achievement of micafungin for ICU adults or Non-ICU adults against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Albicans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,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glabrata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,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Krusei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,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tropicalis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and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parapsilosis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in included studies. The MIC breakpoints for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Albicans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(blue),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glabrata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(pink),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Krusei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(black),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tropicalis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(orange) and </w:t>
      </w:r>
      <w:r>
        <w:rPr>
          <w:rFonts w:hint="default" w:ascii="Palatino Linotype" w:hAnsi="Palatino Linotype" w:cs="Palatino Linotype"/>
          <w:b w:val="0"/>
          <w:bCs/>
          <w:i/>
          <w:iCs/>
          <w:kern w:val="44"/>
          <w:sz w:val="18"/>
          <w:szCs w:val="18"/>
        </w:rPr>
        <w:t>C. parapsilosis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(green) are marked with dashed and dotted lines in each panel, respectively. A PTA target of 90% is highlighted with red dashed and dotted lines.</w:t>
      </w:r>
      <w:bookmarkStart w:id="7" w:name="_GoBack"/>
      <w:bookmarkEnd w:id="7"/>
    </w:p>
    <w:p>
      <w:pPr>
        <w:spacing w:line="240" w:lineRule="auto"/>
        <w:rPr>
          <w:rFonts w:hint="default" w:ascii="Palatino Linotype" w:hAnsi="Palatino Linotype" w:cs="Palatino Linotype"/>
          <w:b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>T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able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 xml:space="preserve"> S1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  <w:lang w:val="en-US" w:eastAsia="zh-CN"/>
        </w:rPr>
        <w:t xml:space="preserve"> 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Demographic information of simulated patients.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"/>
        <w:gridCol w:w="3428"/>
        <w:gridCol w:w="753"/>
        <w:gridCol w:w="560"/>
        <w:gridCol w:w="62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  <w:tcBorders>
              <w:top w:val="single" w:color="auto" w:sz="4" w:space="0"/>
              <w:bottom w:val="single" w:color="auto" w:sz="4" w:space="0"/>
            </w:tcBorders>
            <w:shd w:val="clear" w:color="auto" w:fill="01BFC4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  <w:shd w:val="clear" w:color="auto" w:fill="01BFC4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  <w:shd w:val="clear" w:color="auto" w:fill="01BFC4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median </w:t>
            </w: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  <w:shd w:val="clear" w:color="auto" w:fill="01BFC4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min</w:t>
            </w: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  <w:shd w:val="clear" w:color="auto" w:fill="01BFC4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max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8" w:type="dxa"/>
            <w:gridSpan w:val="2"/>
            <w:tcBorders>
              <w:top w:val="single" w:color="auto" w:sz="4" w:space="0"/>
            </w:tcBorders>
            <w:shd w:val="clear" w:color="auto" w:fill="EDD9B4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Adults </w:t>
            </w:r>
          </w:p>
        </w:tc>
        <w:tc>
          <w:tcPr>
            <w:tcW w:w="753" w:type="dxa"/>
            <w:tcBorders>
              <w:top w:val="single" w:color="auto" w:sz="4" w:space="0"/>
            </w:tcBorders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</w:tcBorders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</w:tcBorders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8" w:type="dxa"/>
            <w:gridSpan w:val="2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Non-ICU group</w:t>
            </w:r>
          </w:p>
        </w:tc>
        <w:tc>
          <w:tcPr>
            <w:tcW w:w="1940" w:type="dxa"/>
            <w:gridSpan w:val="3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Sex</w:t>
            </w:r>
          </w:p>
        </w:tc>
        <w:tc>
          <w:tcPr>
            <w:tcW w:w="1940" w:type="dxa"/>
            <w:gridSpan w:val="3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Male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Age (years)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40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weight (kg)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70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40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Fat-free weight (kg) 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57.2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39.7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83.3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Height (cm)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180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150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190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mass index (kg/m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18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Platelet count (10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4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/μL)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21.6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12.5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Infusion rate (mg/h)</w:t>
            </w:r>
          </w:p>
        </w:tc>
        <w:tc>
          <w:tcPr>
            <w:tcW w:w="753" w:type="dxa"/>
            <w:tcBorders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100</w:t>
            </w:r>
          </w:p>
        </w:tc>
        <w:tc>
          <w:tcPr>
            <w:tcW w:w="560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Non-ICU 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Alanine aminotransferase (U/L)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25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Aspartate aminotransferase (U/L)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25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Total bilirubin (μmol/L)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12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17.1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Albumin (/min)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40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  <w:tcBorders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Sepsis related organ failure assessment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score</w:t>
            </w:r>
          </w:p>
        </w:tc>
        <w:tc>
          <w:tcPr>
            <w:tcW w:w="753" w:type="dxa"/>
            <w:tcBorders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7</w:t>
            </w:r>
          </w:p>
        </w:tc>
        <w:tc>
          <w:tcPr>
            <w:tcW w:w="560" w:type="dxa"/>
            <w:tcBorders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  <w:tcBorders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47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II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ICU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  <w:tcBorders>
              <w:top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Alanine aminotransferase (U/L)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50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199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Aspartate aminotransferase (U/L)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50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340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Total bilirubin (μmol/L)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70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Albumin (/min)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24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9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Sepsis related organ failure assessment (SOFA) score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11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8" w:type="dxa"/>
            <w:gridSpan w:val="2"/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Children </w:t>
            </w:r>
          </w:p>
        </w:tc>
        <w:tc>
          <w:tcPr>
            <w:tcW w:w="753" w:type="dxa"/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shd w:val="clear" w:color="auto" w:fill="EDD9B4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Neonate (≤1 month)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Sex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Male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Age (years)</w:t>
            </w:r>
          </w:p>
        </w:tc>
        <w:tc>
          <w:tcPr>
            <w:tcW w:w="753" w:type="dxa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0.04</w:t>
            </w:r>
          </w:p>
        </w:tc>
        <w:tc>
          <w:tcPr>
            <w:tcW w:w="560" w:type="dxa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0.003</w:t>
            </w:r>
          </w:p>
        </w:tc>
        <w:tc>
          <w:tcPr>
            <w:tcW w:w="627" w:type="dxa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0.08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weight (kg)</w:t>
            </w:r>
          </w:p>
        </w:tc>
        <w:tc>
          <w:tcPr>
            <w:tcW w:w="753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1.5</w:t>
            </w:r>
          </w:p>
        </w:tc>
        <w:tc>
          <w:tcPr>
            <w:tcW w:w="560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0.5</w:t>
            </w:r>
          </w:p>
        </w:tc>
        <w:tc>
          <w:tcPr>
            <w:tcW w:w="627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2.5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Fat-free weight (kg) </w:t>
            </w:r>
          </w:p>
        </w:tc>
        <w:tc>
          <w:tcPr>
            <w:tcW w:w="753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1.6</w:t>
            </w:r>
          </w:p>
        </w:tc>
        <w:tc>
          <w:tcPr>
            <w:tcW w:w="560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0.63</w:t>
            </w:r>
          </w:p>
        </w:tc>
        <w:tc>
          <w:tcPr>
            <w:tcW w:w="627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2.3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Height (cm)</w:t>
            </w:r>
          </w:p>
        </w:tc>
        <w:tc>
          <w:tcPr>
            <w:tcW w:w="753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40</w:t>
            </w:r>
          </w:p>
        </w:tc>
        <w:tc>
          <w:tcPr>
            <w:tcW w:w="560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20</w:t>
            </w:r>
          </w:p>
        </w:tc>
        <w:tc>
          <w:tcPr>
            <w:tcW w:w="627" w:type="dxa"/>
            <w:vAlign w:val="center"/>
          </w:tcPr>
          <w:p>
            <w:pPr>
              <w:spacing w:line="240" w:lineRule="auto"/>
              <w:jc w:val="both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mass index (kg/m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753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II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infants (4 months to 2 years)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Sex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Male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Age (years)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1.0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0.6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1.4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weight (kg)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6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Fat-free weight (kg) 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7.79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6.31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9.06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Height (cm)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78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60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96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mass index (kg/m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753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13</w:t>
            </w:r>
          </w:p>
        </w:tc>
        <w:tc>
          <w:tcPr>
            <w:tcW w:w="56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627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III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Preschool Children (2 to 6 years)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Sex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Male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Age (years)</w:t>
            </w:r>
          </w:p>
        </w:tc>
        <w:tc>
          <w:tcPr>
            <w:tcW w:w="753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3.7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2.5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4.9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weight (kg)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15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Fat-free weight (kg) 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13.88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10.41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16.65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Height (cm)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98.5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87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mass index (kg/m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753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15</w:t>
            </w:r>
          </w:p>
        </w:tc>
        <w:tc>
          <w:tcPr>
            <w:tcW w:w="56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627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IV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School Children (6 to 12 years)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Sex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Male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Age (years)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9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8.5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10.5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weight (kg)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40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Fat-free weight (kg) 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26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20.07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31.44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Height (cm)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130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115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mass index (kg/m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753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17</w:t>
            </w:r>
          </w:p>
        </w:tc>
        <w:tc>
          <w:tcPr>
            <w:tcW w:w="56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627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V</w:t>
            </w:r>
          </w:p>
        </w:tc>
        <w:tc>
          <w:tcPr>
            <w:tcW w:w="34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Adolescent (12 to 16 years)</w:t>
            </w:r>
          </w:p>
        </w:tc>
        <w:tc>
          <w:tcPr>
            <w:tcW w:w="75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Sex</w:t>
            </w:r>
          </w:p>
        </w:tc>
        <w:tc>
          <w:tcPr>
            <w:tcW w:w="753" w:type="dxa"/>
            <w:tcBorders>
              <w:top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Male</w:t>
            </w:r>
          </w:p>
        </w:tc>
        <w:tc>
          <w:tcPr>
            <w:tcW w:w="560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color="auto" w:sz="4" w:space="0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Age (years)</w:t>
            </w:r>
          </w:p>
        </w:tc>
        <w:tc>
          <w:tcPr>
            <w:tcW w:w="753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14.5</w:t>
            </w:r>
          </w:p>
        </w:tc>
        <w:tc>
          <w:tcPr>
            <w:tcW w:w="560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13</w:t>
            </w:r>
          </w:p>
        </w:tc>
        <w:tc>
          <w:tcPr>
            <w:tcW w:w="627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weight (kg)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50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37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Fat-free weight (kg) 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42.53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34.99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51.56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Height (cm)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160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150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cs="Palatino Linotype"/>
                <w:sz w:val="16"/>
                <w:szCs w:val="16"/>
              </w:rPr>
            </w:pPr>
          </w:p>
        </w:tc>
        <w:tc>
          <w:tcPr>
            <w:tcW w:w="3428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Body mass index (kg/m</w:t>
            </w:r>
            <w:r>
              <w:rPr>
                <w:rFonts w:hint="default" w:ascii="Palatino Linotype" w:hAnsi="Palatino Linotype" w:cs="Palatino Linotype"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753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19</w:t>
            </w:r>
          </w:p>
        </w:tc>
        <w:tc>
          <w:tcPr>
            <w:tcW w:w="560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627" w:type="dxa"/>
            <w:vAlign w:val="center"/>
          </w:tcPr>
          <w:p>
            <w:pPr>
              <w:widowControl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</w:tr>
    </w:tbl>
    <w:p>
      <w:pPr>
        <w:spacing w:line="240" w:lineRule="auto"/>
        <w:ind w:firstLine="422"/>
        <w:rPr>
          <w:rFonts w:hint="default" w:ascii="Palatino Linotype" w:hAnsi="Palatino Linotype" w:cs="Palatino Linotype"/>
          <w:b/>
          <w:kern w:val="44"/>
          <w:szCs w:val="21"/>
        </w:rPr>
      </w:pPr>
    </w:p>
    <w:p>
      <w:pPr>
        <w:spacing w:line="240" w:lineRule="auto"/>
        <w:ind w:firstLine="422"/>
        <w:rPr>
          <w:rFonts w:hint="default" w:ascii="Palatino Linotype" w:hAnsi="Palatino Linotype" w:cs="Palatino Linotype"/>
          <w:b/>
          <w:kern w:val="44"/>
          <w:szCs w:val="21"/>
        </w:rPr>
      </w:pPr>
    </w:p>
    <w:p>
      <w:pPr>
        <w:spacing w:line="240" w:lineRule="auto"/>
        <w:ind w:firstLine="422"/>
        <w:rPr>
          <w:rFonts w:hint="default" w:ascii="Palatino Linotype" w:hAnsi="Palatino Linotype" w:cs="Palatino Linotype"/>
          <w:b/>
          <w:kern w:val="44"/>
          <w:szCs w:val="21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2"/>
        <w:spacing w:before="0" w:after="0" w:line="240" w:lineRule="auto"/>
        <w:rPr>
          <w:rFonts w:hint="eastAsia" w:ascii="Palatino Linotype" w:hAnsi="Palatino Linotype" w:cs="Palatino Linotype" w:eastAsiaTheme="minorEastAsia"/>
          <w:kern w:val="2"/>
          <w:sz w:val="18"/>
          <w:szCs w:val="18"/>
          <w:lang w:val="en-US" w:eastAsia="zh-CN"/>
        </w:rPr>
      </w:pPr>
      <w:r>
        <w:rPr>
          <w:rFonts w:hint="default" w:ascii="Palatino Linotype" w:hAnsi="Palatino Linotype" w:cs="Palatino Linotype"/>
          <w:kern w:val="2"/>
          <w:sz w:val="18"/>
          <w:szCs w:val="18"/>
        </w:rPr>
        <w:t>T</w:t>
      </w:r>
      <w:r>
        <w:rPr>
          <w:rFonts w:hint="eastAsia" w:ascii="Palatino Linotype" w:hAnsi="Palatino Linotype" w:cs="Palatino Linotype"/>
          <w:kern w:val="2"/>
          <w:sz w:val="18"/>
          <w:szCs w:val="18"/>
          <w:lang w:val="en-US" w:eastAsia="zh-CN"/>
        </w:rPr>
        <w:t>able</w:t>
      </w:r>
      <w:r>
        <w:rPr>
          <w:rFonts w:hint="default" w:ascii="Palatino Linotype" w:hAnsi="Palatino Linotype" w:cs="Palatino Linotype"/>
          <w:kern w:val="2"/>
          <w:sz w:val="18"/>
          <w:szCs w:val="18"/>
        </w:rPr>
        <w:t xml:space="preserve"> S2</w:t>
      </w:r>
      <w:r>
        <w:rPr>
          <w:rFonts w:hint="eastAsia" w:ascii="Palatino Linotype" w:hAnsi="Palatino Linotype" w:cs="Palatino Linotype"/>
          <w:kern w:val="2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 w:val="0"/>
          <w:bCs w:val="0"/>
          <w:kern w:val="2"/>
          <w:sz w:val="18"/>
          <w:szCs w:val="18"/>
        </w:rPr>
        <w:t xml:space="preserve"> Checklist for literature quality when reporting a clinical pharmacokinetic study</w:t>
      </w:r>
      <w:r>
        <w:rPr>
          <w:rFonts w:hint="eastAsia" w:ascii="Palatino Linotype" w:hAnsi="Palatino Linotype" w:cs="Palatino Linotype"/>
          <w:b w:val="0"/>
          <w:bCs w:val="0"/>
          <w:kern w:val="2"/>
          <w:sz w:val="18"/>
          <w:szCs w:val="18"/>
          <w:lang w:val="en-US" w:eastAsia="zh-CN"/>
        </w:rPr>
        <w:t>.</w:t>
      </w:r>
    </w:p>
    <w:tbl>
      <w:tblPr>
        <w:tblStyle w:val="4"/>
        <w:tblW w:w="14203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2540"/>
        <w:gridCol w:w="650"/>
        <w:gridCol w:w="640"/>
        <w:gridCol w:w="710"/>
        <w:gridCol w:w="620"/>
        <w:gridCol w:w="650"/>
        <w:gridCol w:w="770"/>
        <w:gridCol w:w="720"/>
        <w:gridCol w:w="740"/>
        <w:gridCol w:w="640"/>
        <w:gridCol w:w="660"/>
        <w:gridCol w:w="900"/>
        <w:gridCol w:w="660"/>
        <w:gridCol w:w="630"/>
        <w:gridCol w:w="730"/>
        <w:gridCol w:w="800"/>
        <w:gridCol w:w="69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bottom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bookmarkStart w:id="1" w:name="OLE_LINK1" w:colFirst="0" w:colLast="17"/>
          </w:p>
        </w:tc>
        <w:tc>
          <w:tcPr>
            <w:tcW w:w="254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Item</w:t>
            </w:r>
          </w:p>
        </w:tc>
        <w:tc>
          <w:tcPr>
            <w:tcW w:w="65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Kenji Tabata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et al.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(2006)</w:t>
            </w:r>
          </w:p>
        </w:tc>
        <w:tc>
          <w:tcPr>
            <w:tcW w:w="64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Kazuro Ikawa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et al.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(2009)</w:t>
            </w:r>
          </w:p>
        </w:tc>
        <w:tc>
          <w:tcPr>
            <w:tcW w:w="71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P Brian Smith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et al. (2009)</w:t>
            </w:r>
          </w:p>
        </w:tc>
        <w:tc>
          <w:tcPr>
            <w:tcW w:w="62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David Andes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et al.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(2011)</w:t>
            </w:r>
          </w:p>
        </w:tc>
        <w:tc>
          <w:tcPr>
            <w:tcW w:w="65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Emilio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Maseda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et al.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(2014）</w:t>
            </w:r>
          </w:p>
        </w:tc>
        <w:tc>
          <w:tcPr>
            <w:tcW w:w="77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William W. Hope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et al. (2015)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Lisa C. Martial et al. (2017)</w:t>
            </w:r>
          </w:p>
        </w:tc>
        <w:tc>
          <w:tcPr>
            <w:tcW w:w="74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Vincent Jullien et al. (2017)</w:t>
            </w:r>
          </w:p>
        </w:tc>
        <w:tc>
          <w:tcPr>
            <w:tcW w:w="64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E. W. Muilwijk et al. (2018)</w:t>
            </w:r>
          </w:p>
        </w:tc>
        <w:tc>
          <w:tcPr>
            <w:tcW w:w="66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Sharat Chandra et al. (2018)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Roeland E. Wasmann et al. (2019)</w:t>
            </w:r>
          </w:p>
        </w:tc>
        <w:tc>
          <w:tcPr>
            <w:tcW w:w="66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Silke Gastine et al. (2019)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top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Zhong Shubai et al. (2019)</w:t>
            </w:r>
          </w:p>
        </w:tc>
        <w:tc>
          <w:tcPr>
            <w:tcW w:w="73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Iasonas Kapralos et al. (2020)</w:t>
            </w:r>
          </w:p>
        </w:tc>
        <w:tc>
          <w:tcPr>
            <w:tcW w:w="8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Saeed Alqahtani et al. (2021a)</w:t>
            </w:r>
          </w:p>
        </w:tc>
        <w:tc>
          <w:tcPr>
            <w:tcW w:w="69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b/>
                <w:bCs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Saeed Alqahtani et al. (2021b)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254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Drug and patient population</w:t>
            </w:r>
          </w:p>
        </w:tc>
        <w:tc>
          <w:tcPr>
            <w:tcW w:w="65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The name of the drug(s) studied, the route of administration, the population in whom it was studied, and the results of the primary objective and major clinical pharmacokinetic findings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3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Pharmacokinetic data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4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An explanation of the study rationale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5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Specific objectives or hypotheses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6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Eligibility criteria of study participants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7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Co-administration with other potentially interacting drugs or food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Drug preparation and administration characteristics including dose, route, formulation, infusion duration (if applicable) and frequency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Body fluid or tissue sampling (timing, frequency and storage) for quantitative drug measurement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10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Quantitative bioanalytical methods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11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Methods for handling missing data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12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Modelling software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13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Statistical methods and software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14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Candidate strutural models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15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Residual error struture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16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Methods for base model determination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17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Methods for base model evaluation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18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Covariates analysis strategy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19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Methods for final model evaluation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20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Distribution of individual model parameters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21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Estimation methods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22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Population characteristics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23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Schematic of the final model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24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Number of subjects and observations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25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Table of the final model parameter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26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Final model evaluation plots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27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Summary of the model-building process and the derived final model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28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Plot of concentration versus times and/or effect versus concentration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29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Study limitation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30</w:t>
            </w: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Study findings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Total score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26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24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24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23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28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30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29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27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27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27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27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27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26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26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</w:p>
        </w:tc>
        <w:tc>
          <w:tcPr>
            <w:tcW w:w="25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Compliance 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86.67%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80.00%</w:t>
            </w:r>
          </w:p>
        </w:tc>
        <w:tc>
          <w:tcPr>
            <w:tcW w:w="7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80.00%</w:t>
            </w:r>
          </w:p>
        </w:tc>
        <w:tc>
          <w:tcPr>
            <w:tcW w:w="6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76.67%</w:t>
            </w:r>
          </w:p>
        </w:tc>
        <w:tc>
          <w:tcPr>
            <w:tcW w:w="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93.33%</w:t>
            </w:r>
          </w:p>
        </w:tc>
        <w:tc>
          <w:tcPr>
            <w:tcW w:w="77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100.00%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96.67%</w:t>
            </w:r>
          </w:p>
        </w:tc>
        <w:tc>
          <w:tcPr>
            <w:tcW w:w="7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90.00%</w:t>
            </w:r>
          </w:p>
        </w:tc>
        <w:tc>
          <w:tcPr>
            <w:tcW w:w="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90.00%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83.33%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90.00%</w:t>
            </w:r>
          </w:p>
        </w:tc>
        <w:tc>
          <w:tcPr>
            <w:tcW w:w="6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90.00%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90.00%</w:t>
            </w:r>
          </w:p>
        </w:tc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86.67%</w:t>
            </w: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86.67%</w:t>
            </w:r>
          </w:p>
        </w:tc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Palatino Linotype" w:hAnsi="Palatino Linotype" w:cs="Palatino Linotype"/>
                <w:sz w:val="13"/>
                <w:szCs w:val="13"/>
                <w:vertAlign w:val="baseline"/>
              </w:rPr>
            </w:pPr>
            <w:r>
              <w:rPr>
                <w:rFonts w:hint="default" w:ascii="Palatino Linotype" w:hAnsi="Palatino Linotype" w:eastAsia="Palatino Linotype" w:cs="Palatino Linotype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86.67%</w:t>
            </w:r>
          </w:p>
        </w:tc>
      </w:tr>
      <w:bookmarkEnd w:id="1"/>
    </w:tbl>
    <w:p>
      <w:pPr>
        <w:spacing w:line="240" w:lineRule="auto"/>
        <w:rPr>
          <w:rFonts w:hint="default" w:ascii="Palatino Linotype" w:hAnsi="Palatino Linotype" w:cs="Palatino Linotyp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Palatino Linotype" w:hAnsi="Palatino Linotype" w:cs="Palatino Linotype"/>
          <w:b/>
          <w:kern w:val="44"/>
          <w:sz w:val="20"/>
          <w:szCs w:val="20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Palatino Linotype" w:hAnsi="Palatino Linotype" w:cs="Palatino Linotype"/>
          <w:b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kern w:val="44"/>
          <w:sz w:val="18"/>
          <w:szCs w:val="18"/>
          <w:lang w:val="en-US" w:eastAsia="zh-CN"/>
        </w:rPr>
        <w:t>T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able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 xml:space="preserve"> S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  <w:lang w:val="en-US" w:eastAsia="zh-CN"/>
        </w:rPr>
        <w:t>3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 xml:space="preserve"> List of tested and significant covariates in the included models.</w:t>
      </w:r>
    </w:p>
    <w:tbl>
      <w:tblPr>
        <w:tblStyle w:val="4"/>
        <w:tblpPr w:leftFromText="180" w:rightFromText="180" w:vertAnchor="text" w:horzAnchor="page" w:tblpX="1491" w:tblpY="315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085"/>
        <w:gridCol w:w="1639"/>
        <w:gridCol w:w="988"/>
        <w:gridCol w:w="835"/>
        <w:gridCol w:w="946"/>
        <w:gridCol w:w="641"/>
        <w:gridCol w:w="62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tblHeader/>
        </w:trPr>
        <w:tc>
          <w:tcPr>
            <w:tcW w:w="1742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  <w:t>Study</w:t>
            </w:r>
          </w:p>
          <w:p>
            <w:pPr>
              <w:snapToGrid w:val="0"/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  <w:t>(publication year)</w:t>
            </w:r>
          </w:p>
        </w:tc>
        <w:tc>
          <w:tcPr>
            <w:tcW w:w="3712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ind w:firstLine="301"/>
              <w:jc w:val="center"/>
              <w:rPr>
                <w:rFonts w:hint="default" w:ascii="Palatino Linotype" w:hAnsi="Palatino Linotype" w:eastAsia="宋体" w:cs="Palatino Linotype"/>
                <w:b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宋体" w:cs="Palatino Linotype"/>
                <w:b/>
                <w:kern w:val="0"/>
                <w:sz w:val="16"/>
                <w:szCs w:val="16"/>
                <w:lang w:val="en-GB"/>
              </w:rPr>
              <w:t>Tested covariates</w:t>
            </w:r>
          </w:p>
        </w:tc>
        <w:tc>
          <w:tcPr>
            <w:tcW w:w="1781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宋体" w:cs="Palatino Linotype"/>
                <w:b/>
                <w:kern w:val="0"/>
                <w:sz w:val="16"/>
                <w:szCs w:val="16"/>
                <w:lang w:val="en-GB"/>
              </w:rPr>
              <w:t xml:space="preserve">Covariate selection </w:t>
            </w:r>
          </w:p>
        </w:tc>
        <w:tc>
          <w:tcPr>
            <w:tcW w:w="1263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b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宋体" w:cs="Palatino Linotype"/>
                <w:b/>
                <w:kern w:val="0"/>
                <w:sz w:val="16"/>
                <w:szCs w:val="16"/>
                <w:lang w:val="en-GB"/>
              </w:rPr>
              <w:t>Significant covariates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742" w:type="dxa"/>
            <w:vMerge w:val="continue"/>
            <w:tcBorders>
              <w:bottom w:val="single" w:color="auto" w:sz="4" w:space="0"/>
            </w:tcBorders>
          </w:tcPr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108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  <w:t>Demographic</w:t>
            </w:r>
          </w:p>
        </w:tc>
        <w:tc>
          <w:tcPr>
            <w:tcW w:w="163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  <w:t>Laboratory tests</w:t>
            </w:r>
          </w:p>
        </w:tc>
        <w:tc>
          <w:tcPr>
            <w:tcW w:w="98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</w:rPr>
              <w:t>Co-administration</w:t>
            </w:r>
          </w:p>
        </w:tc>
        <w:tc>
          <w:tcPr>
            <w:tcW w:w="835" w:type="dxa"/>
            <w:tcBorders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b/>
                <w:kern w:val="0"/>
                <w:sz w:val="16"/>
                <w:szCs w:val="16"/>
                <w:lang w:val="en-GB"/>
              </w:rPr>
              <w:t>Forward inclusion</w:t>
            </w:r>
          </w:p>
        </w:tc>
        <w:tc>
          <w:tcPr>
            <w:tcW w:w="946" w:type="dxa"/>
            <w:tcBorders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b/>
                <w:kern w:val="0"/>
                <w:sz w:val="16"/>
                <w:szCs w:val="16"/>
                <w:lang w:val="en-GB"/>
              </w:rPr>
              <w:t>Backward elimination</w:t>
            </w:r>
          </w:p>
        </w:tc>
        <w:tc>
          <w:tcPr>
            <w:tcW w:w="641" w:type="dxa"/>
            <w:tcBorders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宋体" w:cs="Palatino Linotype"/>
                <w:b/>
                <w:i/>
                <w:kern w:val="0"/>
                <w:sz w:val="16"/>
                <w:szCs w:val="16"/>
                <w:lang w:val="en-GB"/>
              </w:rPr>
              <w:t>CL</w:t>
            </w:r>
          </w:p>
        </w:tc>
        <w:tc>
          <w:tcPr>
            <w:tcW w:w="622" w:type="dxa"/>
            <w:tcBorders>
              <w:bottom w:val="single" w:color="auto" w:sz="4" w:space="0"/>
            </w:tcBorders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b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宋体" w:cs="Palatino Linotype"/>
                <w:b/>
                <w:i/>
                <w:kern w:val="0"/>
                <w:sz w:val="16"/>
                <w:szCs w:val="16"/>
                <w:lang w:val="en-GB"/>
              </w:rPr>
              <w:t>V</w:t>
            </w:r>
          </w:p>
          <w:p>
            <w:pPr>
              <w:snapToGrid w:val="0"/>
              <w:spacing w:line="240" w:lineRule="auto"/>
              <w:ind w:firstLine="301"/>
              <w:jc w:val="left"/>
              <w:rPr>
                <w:rFonts w:hint="default" w:ascii="Palatino Linotype" w:hAnsi="Palatino Linotype" w:eastAsia="宋体" w:cs="Palatino Linotype"/>
                <w:b/>
                <w:i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i/>
                <w:kern w:val="0"/>
                <w:sz w:val="16"/>
                <w:szCs w:val="16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Kenji Tabata (2006)</w:t>
            </w:r>
          </w:p>
        </w:tc>
        <w:tc>
          <w:tcPr>
            <w:tcW w:w="1085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SEX, AGE, WT, BMI</w:t>
            </w:r>
          </w:p>
        </w:tc>
        <w:tc>
          <w:tcPr>
            <w:tcW w:w="1639" w:type="dxa"/>
          </w:tcPr>
          <w:p>
            <w:pPr>
              <w:spacing w:line="240" w:lineRule="auto"/>
              <w:ind w:left="150" w:hanging="160" w:hangingChars="1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RBC, HCT, PLT, TP, </w:t>
            </w:r>
          </w:p>
          <w:p>
            <w:pPr>
              <w:spacing w:line="240" w:lineRule="auto"/>
              <w:ind w:left="150" w:hanging="160" w:hangingChars="1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ALB, BUN, TBIL, </w:t>
            </w:r>
          </w:p>
          <w:p>
            <w:pPr>
              <w:spacing w:line="240" w:lineRule="auto"/>
              <w:ind w:left="150" w:hanging="160" w:hangingChars="1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ALT, AST, γ-GTP, </w:t>
            </w:r>
          </w:p>
          <w:p>
            <w:pPr>
              <w:spacing w:line="240" w:lineRule="auto"/>
              <w:ind w:left="150" w:hanging="160" w:hangingChars="1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LDH, ALP, CRCl, </w:t>
            </w:r>
          </w:p>
          <w:p>
            <w:pPr>
              <w:spacing w:line="240" w:lineRule="auto"/>
              <w:ind w:left="150" w:hanging="160" w:hangingChars="1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SCR,</w:t>
            </w:r>
          </w:p>
        </w:tc>
        <w:tc>
          <w:tcPr>
            <w:tcW w:w="988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AGE, WT, PLT 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Kazuro Ikawa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（2009）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1639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P Brian Smith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(2009)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1639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David Andes (2011)</w:t>
            </w:r>
          </w:p>
        </w:tc>
        <w:tc>
          <w:tcPr>
            <w:tcW w:w="1085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</w:p>
        </w:tc>
        <w:tc>
          <w:tcPr>
            <w:tcW w:w="1639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988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Emilio Maseda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(2014)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AGE, SEX, BW</w:t>
            </w:r>
          </w:p>
        </w:tc>
        <w:tc>
          <w:tcPr>
            <w:tcW w:w="1639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TBIL, SCR, BUN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vasopressor therapy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William W. Hope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(2015)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AGE, SEX</w:t>
            </w:r>
          </w:p>
        </w:tc>
        <w:tc>
          <w:tcPr>
            <w:tcW w:w="1639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ALB, PLT, RBC, SCR, ALT, AST, TBIL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BW, AST, TBIL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Lisa C. Martial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(2017)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1639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ALB, CVVH, SOFA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Vincent Jullien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(2017)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AGE, SEX, BW</w:t>
            </w:r>
          </w:p>
        </w:tc>
        <w:tc>
          <w:tcPr>
            <w:tcW w:w="1639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TP, ALT, AST, ALP, ALB, TBIL, PT, SOFA, ECMO, HE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BW, ALB, SOFA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BW, ALB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E.W. Muilwijk （2018</w:t>
            </w:r>
            <w:r>
              <w:rPr>
                <w:rFonts w:hint="default" w:ascii="Palatino Linotype" w:hAnsi="Palatino Linotype" w:eastAsia="等线" w:cs="Palatino Linotype"/>
                <w:color w:val="0000FF"/>
                <w:kern w:val="0"/>
                <w:sz w:val="16"/>
                <w:szCs w:val="16"/>
              </w:rPr>
              <w:t>）</w:t>
            </w:r>
          </w:p>
        </w:tc>
        <w:tc>
          <w:tcPr>
            <w:tcW w:w="1085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  <w:tc>
          <w:tcPr>
            <w:tcW w:w="1639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988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Sharat Chandra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(2018)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AGE, SEX, BW</w:t>
            </w:r>
          </w:p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BMI</w:t>
            </w:r>
          </w:p>
        </w:tc>
        <w:tc>
          <w:tcPr>
            <w:tcW w:w="1639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APACHE II, SCR, CRCl, ALB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Roeland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E. Wasmann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(2019)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SEX, AGE, TBW, LBW, IBW, BMI</w:t>
            </w:r>
          </w:p>
        </w:tc>
        <w:tc>
          <w:tcPr>
            <w:tcW w:w="1639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TBW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TBW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Silke Gastine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(2019)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SEX, WT, AGE</w:t>
            </w:r>
          </w:p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BMI</w:t>
            </w:r>
          </w:p>
        </w:tc>
        <w:tc>
          <w:tcPr>
            <w:tcW w:w="1639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ALB, TP, CLCR, ALT, AST, BCHE, TBIL, APACHE II, SOFA, SAPS II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SOFA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6" w:hRule="atLeast"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Iasonas Kapralos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(2020)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AGE, BW, HT</w:t>
            </w:r>
          </w:p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BSA, LBW, BWI</w:t>
            </w:r>
          </w:p>
        </w:tc>
        <w:tc>
          <w:tcPr>
            <w:tcW w:w="1639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ALB, PLT, HCT, RBC, SCR, eGFR, ALT, AST, </w:t>
            </w:r>
            <w:r>
              <w:rPr>
                <w:rFonts w:hint="default" w:ascii="Palatino Linotype" w:hAnsi="Palatino Linotype" w:cs="Palatino Linotype"/>
                <w:sz w:val="16"/>
                <w:szCs w:val="16"/>
              </w:rPr>
              <w:t xml:space="preserve">γ-GTP,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AST, ALT, GGT, ALP, TBIL, SOFA, APACHE II, CRRT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6" w:hRule="atLeast"/>
        </w:trPr>
        <w:tc>
          <w:tcPr>
            <w:tcW w:w="1742" w:type="dxa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Saeed Alqahtani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(2021)  </w:t>
            </w:r>
          </w:p>
        </w:tc>
        <w:tc>
          <w:tcPr>
            <w:tcW w:w="1085" w:type="dxa"/>
          </w:tcPr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SEX,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A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GE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 xml:space="preserve">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BW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 xml:space="preserve">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HT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, BMI</w:t>
            </w:r>
          </w:p>
        </w:tc>
        <w:tc>
          <w:tcPr>
            <w:tcW w:w="1639" w:type="dxa"/>
          </w:tcPr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SCR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 xml:space="preserve">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CRCl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 xml:space="preserve">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SOFA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, AST,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AST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,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TBIL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 xml:space="preserve">,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988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6" w:hRule="atLeast"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Zhong Shubai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(2021)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SEX, AGE, BW, BMI</w:t>
            </w:r>
          </w:p>
        </w:tc>
        <w:tc>
          <w:tcPr>
            <w:tcW w:w="1639" w:type="dxa"/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ALT, AST, TP, SCR, TP, DBIL, IBIL, etiological factors of sepsis, infection site, CP, APACHE II, SOFA, CRRT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ind w:left="150" w:hanging="160" w:hangingChars="100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0.001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SOFA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8" w:hRule="atLeast"/>
        </w:trPr>
        <w:tc>
          <w:tcPr>
            <w:tcW w:w="1742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Didi Bury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 xml:space="preserve"> (2022)</w:t>
            </w:r>
          </w:p>
        </w:tc>
        <w:tc>
          <w:tcPr>
            <w:tcW w:w="1085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  <w:tc>
          <w:tcPr>
            <w:tcW w:w="1639" w:type="dxa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  <w:tc>
          <w:tcPr>
            <w:tcW w:w="988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NR</w:t>
            </w:r>
          </w:p>
        </w:tc>
        <w:tc>
          <w:tcPr>
            <w:tcW w:w="835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 xml:space="preserve">&lt; </w:t>
            </w: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  <w:t>0.05</w:t>
            </w:r>
          </w:p>
        </w:tc>
        <w:tc>
          <w:tcPr>
            <w:tcW w:w="946" w:type="dxa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i/>
                <w:iCs/>
                <w:kern w:val="0"/>
                <w:sz w:val="16"/>
                <w:szCs w:val="16"/>
              </w:rPr>
              <w:t xml:space="preserve">P </w:t>
            </w: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&lt; 0.05</w:t>
            </w:r>
          </w:p>
          <w:p>
            <w:pPr>
              <w:snapToGrid w:val="0"/>
              <w:spacing w:line="240" w:lineRule="auto"/>
              <w:ind w:firstLine="300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  <w:lang w:val="en-GB"/>
              </w:rPr>
            </w:pPr>
          </w:p>
        </w:tc>
        <w:tc>
          <w:tcPr>
            <w:tcW w:w="641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  <w:tc>
          <w:tcPr>
            <w:tcW w:w="622" w:type="dxa"/>
          </w:tcPr>
          <w:p>
            <w:pPr>
              <w:snapToGrid w:val="0"/>
              <w:spacing w:line="240" w:lineRule="auto"/>
              <w:jc w:val="left"/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color w:val="000000"/>
                <w:kern w:val="0"/>
                <w:sz w:val="16"/>
                <w:szCs w:val="16"/>
              </w:rPr>
              <w:t>FFM</w:t>
            </w:r>
          </w:p>
        </w:tc>
      </w:tr>
    </w:tbl>
    <w:p>
      <w:pPr>
        <w:spacing w:line="240" w:lineRule="auto"/>
        <w:rPr>
          <w:rFonts w:hint="default" w:ascii="Palatino Linotype" w:hAnsi="Palatino Linotype" w:eastAsia="等线" w:cs="Palatino Linotype"/>
          <w:sz w:val="16"/>
          <w:szCs w:val="16"/>
        </w:rPr>
      </w:pPr>
      <w:r>
        <w:rPr>
          <w:rFonts w:hint="default" w:ascii="Palatino Linotype" w:hAnsi="Palatino Linotype" w:eastAsia="等线" w:cs="Palatino Linotype"/>
          <w:sz w:val="16"/>
          <w:szCs w:val="16"/>
        </w:rPr>
        <w:t>SEX, sex; AGE, age; HT, height; TBW or BW, total body weight; LBW or FFM, lean body weight; IBW, idea body weight; BW, body weight; WT, weight; BSA, body surface area; BMI, body mass index; CVVH, Continuous Veno-Venous Hemofiltration; HE, haemodialysis; RBC, red blood cell count; HCT, hematocrit; PLT, platelet count; eGFR,</w:t>
      </w:r>
      <w:bookmarkStart w:id="2" w:name="_Hlk518944567"/>
      <w:r>
        <w:rPr>
          <w:rFonts w:hint="default" w:ascii="Palatino Linotype" w:hAnsi="Palatino Linotype" w:eastAsia="等线" w:cs="Palatino Linotype"/>
          <w:sz w:val="16"/>
          <w:szCs w:val="16"/>
        </w:rPr>
        <w:t xml:space="preserve"> estimated glomerular filtration rate</w:t>
      </w:r>
      <w:bookmarkEnd w:id="2"/>
      <w:r>
        <w:rPr>
          <w:rFonts w:hint="default" w:ascii="Palatino Linotype" w:hAnsi="Palatino Linotype" w:eastAsia="等线" w:cs="Palatino Linotype"/>
          <w:sz w:val="16"/>
          <w:szCs w:val="16"/>
        </w:rPr>
        <w:t xml:space="preserve">; CL, total clearance; CLCR, creatinine clearance; SCR, serum creatinine; CRRT, continuous renal replacement therapy; TP, total protein; ALB, albumin; BUN, blood urea nitrogen; TBILI, total bilirubin; DBIL, direct bilirubin; IBIL, indirect bilirubin; ALT, alanine amino transferase or glutamic pyruvic oxaloacetate transaminase/aspartate aminotransferase; AST, aspartate aminotransferase;γ-GTP, glutamate dehydrogenase; LDH, lactate dehydrogenase; ALP, alkaline phosphatase; BCHE, butyrylcholinesterase, APACHE II, Acute Physiology and Chronic Health Evaluation II; SOFA, Sepsis-related organ failure assessment score, SAPS II, Simplifed Acute Physiology Score; CP, Child-Pugh score; Q, intercompartmental (central-peripheral) clearance; </w:t>
      </w:r>
      <w:r>
        <w:rPr>
          <w:rFonts w:hint="default" w:ascii="Palatino Linotype" w:hAnsi="Palatino Linotype" w:eastAsia="等线" w:cs="Palatino Linotype"/>
          <w:iCs/>
          <w:sz w:val="16"/>
          <w:szCs w:val="16"/>
        </w:rPr>
        <w:t>V</w:t>
      </w:r>
      <w:r>
        <w:rPr>
          <w:rFonts w:hint="default" w:ascii="Palatino Linotype" w:hAnsi="Palatino Linotype" w:eastAsia="等线" w:cs="Palatino Linotype"/>
          <w:sz w:val="16"/>
          <w:szCs w:val="16"/>
        </w:rPr>
        <w:t xml:space="preserve">, volume of distribution; </w:t>
      </w:r>
      <w:r>
        <w:rPr>
          <w:rFonts w:hint="default" w:ascii="Palatino Linotype" w:hAnsi="Palatino Linotype" w:eastAsia="等线" w:cs="Palatino Linotype"/>
          <w:iCs/>
          <w:sz w:val="16"/>
          <w:szCs w:val="16"/>
        </w:rPr>
        <w:t>V</w:t>
      </w:r>
      <w:r>
        <w:rPr>
          <w:rFonts w:hint="default" w:ascii="Palatino Linotype" w:hAnsi="Palatino Linotype" w:eastAsia="等线" w:cs="Palatino Linotype"/>
          <w:iCs/>
          <w:sz w:val="16"/>
          <w:szCs w:val="16"/>
          <w:vertAlign w:val="subscript"/>
        </w:rPr>
        <w:t>c</w:t>
      </w:r>
      <w:r>
        <w:rPr>
          <w:rFonts w:hint="default" w:ascii="Palatino Linotype" w:hAnsi="Palatino Linotype" w:eastAsia="等线" w:cs="Palatino Linotype"/>
          <w:sz w:val="16"/>
          <w:szCs w:val="16"/>
        </w:rPr>
        <w:t xml:space="preserve">, volume of distribution of the central compartment; </w:t>
      </w:r>
      <w:r>
        <w:rPr>
          <w:rFonts w:hint="default" w:ascii="Palatino Linotype" w:hAnsi="Palatino Linotype" w:eastAsia="等线" w:cs="Palatino Linotype"/>
          <w:iCs/>
          <w:sz w:val="16"/>
          <w:szCs w:val="16"/>
        </w:rPr>
        <w:t>V</w:t>
      </w:r>
      <w:r>
        <w:rPr>
          <w:rFonts w:hint="default" w:ascii="Palatino Linotype" w:hAnsi="Palatino Linotype" w:eastAsia="等线" w:cs="Palatino Linotype"/>
          <w:iCs/>
          <w:sz w:val="16"/>
          <w:szCs w:val="16"/>
          <w:vertAlign w:val="subscript"/>
        </w:rPr>
        <w:t>p</w:t>
      </w:r>
      <w:r>
        <w:rPr>
          <w:rFonts w:hint="default" w:ascii="Palatino Linotype" w:hAnsi="Palatino Linotype" w:eastAsia="等线" w:cs="Palatino Linotype"/>
          <w:iCs/>
          <w:sz w:val="16"/>
          <w:szCs w:val="16"/>
        </w:rPr>
        <w:t>,</w:t>
      </w:r>
      <w:r>
        <w:rPr>
          <w:rFonts w:hint="default" w:ascii="Palatino Linotype" w:hAnsi="Palatino Linotype" w:eastAsia="等线" w:cs="Palatino Linotype"/>
          <w:sz w:val="16"/>
          <w:szCs w:val="16"/>
        </w:rPr>
        <w:t xml:space="preserve"> volume of distribution of the central compartment.</w:t>
      </w:r>
    </w:p>
    <w:p>
      <w:pPr>
        <w:spacing w:line="240" w:lineRule="auto"/>
        <w:ind w:firstLine="422"/>
        <w:rPr>
          <w:rFonts w:hint="default" w:ascii="Palatino Linotype" w:hAnsi="Palatino Linotype" w:cs="Palatino Linotype"/>
          <w:b/>
          <w:kern w:val="44"/>
          <w:szCs w:val="21"/>
        </w:rPr>
      </w:pPr>
    </w:p>
    <w:p>
      <w:pPr>
        <w:spacing w:line="240" w:lineRule="auto"/>
        <w:rPr>
          <w:rFonts w:hint="default" w:ascii="Palatino Linotype" w:hAnsi="Palatino Linotype" w:cs="Palatino Linotype"/>
          <w:b/>
          <w:kern w:val="44"/>
          <w:sz w:val="18"/>
          <w:szCs w:val="18"/>
        </w:rPr>
      </w:pP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>T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able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 xml:space="preserve"> S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  <w:lang w:val="en-US" w:eastAsia="zh-CN"/>
        </w:rPr>
        <w:t>4</w:t>
      </w:r>
      <w:r>
        <w:rPr>
          <w:rFonts w:hint="eastAsia" w:ascii="Palatino Linotype" w:hAnsi="Palatino Linotype" w:cs="Palatino Linotype"/>
          <w:b/>
          <w:kern w:val="44"/>
          <w:sz w:val="18"/>
          <w:szCs w:val="18"/>
          <w:lang w:val="en-US" w:eastAsia="zh-CN"/>
        </w:rPr>
        <w:t>.</w:t>
      </w:r>
      <w:r>
        <w:rPr>
          <w:rFonts w:hint="default" w:ascii="Palatino Linotype" w:hAnsi="Palatino Linotype" w:cs="Palatino Linotype"/>
          <w:b/>
          <w:kern w:val="44"/>
          <w:sz w:val="18"/>
          <w:szCs w:val="18"/>
        </w:rPr>
        <w:t xml:space="preserve"> </w:t>
      </w:r>
      <w:r>
        <w:rPr>
          <w:rFonts w:hint="default" w:ascii="Palatino Linotype" w:hAnsi="Palatino Linotype" w:cs="Palatino Linotype"/>
          <w:b w:val="0"/>
          <w:bCs/>
          <w:kern w:val="44"/>
          <w:sz w:val="18"/>
          <w:szCs w:val="18"/>
        </w:rPr>
        <w:t>The effect of covariates on the range of CL in each study.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9"/>
        <w:gridCol w:w="1310"/>
        <w:gridCol w:w="916"/>
        <w:gridCol w:w="879"/>
        <w:gridCol w:w="1033"/>
        <w:gridCol w:w="979"/>
        <w:gridCol w:w="102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2379" w:type="dxa"/>
            <w:vMerge w:val="restart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bookmarkStart w:id="3" w:name="_Hlk100919997"/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Study</w:t>
            </w:r>
          </w:p>
        </w:tc>
        <w:tc>
          <w:tcPr>
            <w:tcW w:w="1310" w:type="dxa"/>
            <w:vMerge w:val="restart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Covariate</w:t>
            </w: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s</w:t>
            </w:r>
          </w:p>
        </w:tc>
        <w:tc>
          <w:tcPr>
            <w:tcW w:w="1795" w:type="dxa"/>
            <w:gridSpan w:val="2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Range of Covariate</w:t>
            </w: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s</w:t>
            </w:r>
          </w:p>
        </w:tc>
        <w:tc>
          <w:tcPr>
            <w:tcW w:w="1033" w:type="dxa"/>
            <w:vMerge w:val="restart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 xml:space="preserve">Reference value of CL </w:t>
            </w:r>
          </w:p>
        </w:tc>
        <w:tc>
          <w:tcPr>
            <w:tcW w:w="2005" w:type="dxa"/>
            <w:gridSpan w:val="2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Range of CL (Ratio*)</w:t>
            </w:r>
          </w:p>
        </w:tc>
      </w:tr>
      <w:bookmarkEnd w:id="3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2379" w:type="dxa"/>
            <w:vMerge w:val="continue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10" w:type="dxa"/>
            <w:vMerge w:val="continue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Minimum</w:t>
            </w:r>
          </w:p>
        </w:tc>
        <w:tc>
          <w:tcPr>
            <w:tcW w:w="879" w:type="dxa"/>
            <w:tcBorders>
              <w:bottom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Maximum</w:t>
            </w:r>
          </w:p>
        </w:tc>
        <w:tc>
          <w:tcPr>
            <w:tcW w:w="1033" w:type="dxa"/>
            <w:vMerge w:val="continue"/>
            <w:tcBorders>
              <w:bottom w:val="single" w:color="auto" w:sz="4" w:space="0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 xml:space="preserve">Minimum </w:t>
            </w:r>
          </w:p>
        </w:tc>
        <w:tc>
          <w:tcPr>
            <w:tcW w:w="1026" w:type="dxa"/>
            <w:tcBorders>
              <w:bottom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b/>
                <w:bCs/>
                <w:kern w:val="0"/>
                <w:sz w:val="16"/>
                <w:szCs w:val="16"/>
              </w:rPr>
              <w:t>Maximum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bookmarkStart w:id="4" w:name="_Hlk98401102"/>
            <w:bookmarkStart w:id="5" w:name="_Hlk98401024"/>
            <w:bookmarkStart w:id="6" w:name="_Hlk98403444"/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vMerge w:val="restart"/>
            <w:tcBorders>
              <w:top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Weight (kg)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6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0.14 (0.84)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0.18 (1.06)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William W. Hope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(2015)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6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0.16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0.13 (0.82)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0.19 (1.18)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Sharat Chandra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(2018)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6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0.15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0.12 (0.80)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0.18 (1.17)</w:t>
            </w:r>
          </w:p>
        </w:tc>
      </w:tr>
      <w:bookmarkEnd w:id="4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Didi Bury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(2022a)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6.31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9.06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0.13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0.11 (0.85)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0.15 (1.12)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0.19 (0.72)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0.33 (1.22)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William W. Hope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(2015)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0.20 (0.75)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0.32 (1.19)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Sharat Chandra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(2018)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0.25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0.17 (0.71)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0.29 (1.20)</w:t>
            </w:r>
          </w:p>
        </w:tc>
      </w:tr>
      <w:bookmarkEnd w:id="5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Didi Bury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(2022a)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10.41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16.65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0.25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0.20 (0.81)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0.28 (1.15)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0.39 (0.83)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等线" w:cs="Palatino Linotype"/>
                <w:kern w:val="0"/>
                <w:sz w:val="16"/>
                <w:szCs w:val="16"/>
              </w:rPr>
              <w:t>0.71 (1.51)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William W. Hope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(2015)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0.40 (0.83)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0.67 (1.39)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Sharat Chandra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(2018)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0.41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0.35 (0.85)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0.59 (1.42)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Didi Bury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(2022a)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160" w:firstLineChars="1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20.07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31.44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0.34 (0.81)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0.43 (1.14)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37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70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0.57 (0.73)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1.02 (1.31)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William W. Hope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(2015)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37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70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0.69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0.55 (0.79)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0.92 (1.33)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Didi Bury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(2022a)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160" w:firstLineChars="1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34.99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51.56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0.54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0.47 (0.86)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0.63 (1.16)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jc w:val="center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150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0.78 (1)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0.78 (1)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David Andes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(2011)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jc w:val="center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150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1.07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0.93 (0.87)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1.30 (1.22)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Emilio Maseda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(2014)</w:t>
            </w:r>
          </w:p>
        </w:tc>
        <w:tc>
          <w:tcPr>
            <w:tcW w:w="1310" w:type="dxa"/>
            <w:vMerge w:val="continue"/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150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0.88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0.58 (0.66)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1.56 (1.77)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Vincent Jullien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(2017)</w:t>
            </w:r>
          </w:p>
        </w:tc>
        <w:tc>
          <w:tcPr>
            <w:tcW w:w="1310" w:type="dxa"/>
            <w:vMerge w:val="continue"/>
            <w:tcBorders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150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1.20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0.96 (0.80)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1.82 (1.51)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E. W. Muilwijk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(2018)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310" w:type="dxa"/>
            <w:vMerge w:val="restart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jc w:val="center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39.67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83.34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1.01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0.77 (0.76)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1.34 (1.33)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Roeland E. Wasmann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(2019)</w:t>
            </w:r>
          </w:p>
        </w:tc>
        <w:tc>
          <w:tcPr>
            <w:tcW w:w="1310" w:type="dxa"/>
            <w:vMerge w:val="continue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150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0.69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0.46 (0.66)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1.21 (1.76)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Didi Bury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(2022b)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310" w:type="dxa"/>
            <w:vMerge w:val="continue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39.67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83.34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1.02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0.78 (0.76)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1.35 (1.33)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Children: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PLT (10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4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/μL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1.8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48.6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0.16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0.14 (0.91)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0.18 (1.15)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Kenji Tabata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(2006)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Adult:PLT 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(10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4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/μL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0.3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74.5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0.45 (0.95)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0.54 (1.14)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Zhong Shubai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(2021)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ALT (U/L)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8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200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0.22 (0.38)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0.72 (1.24)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William W. Hope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(2015)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AST (U/L)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340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0.48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0.41 (0.85）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0.55 (1.14)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William W. Hope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(2015)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TBIL (μmol/L)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4.5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42.2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0.46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0.43 (0.94)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0.49 (1.05)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Silke Gastine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. (2019) 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TBIL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lang w:val="en-US" w:eastAsia="zh-CN"/>
              </w:rPr>
              <w:t>≤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68.4 (μmol/L)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1.56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1.23 (0.79)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1.56 (1.00)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Vincent Jullien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(2017)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ALB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lang w:val="en-US" w:eastAsia="zh-CN"/>
              </w:rPr>
              <w:t>≤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25 (g/L)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1.37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1.37 (1.00)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1.56 (1.14)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9" w:type="dxa"/>
            <w:tcBorders>
              <w:top w:val="nil"/>
              <w:bottom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 xml:space="preserve">Vincent Jullien </w:t>
            </w:r>
            <w:r>
              <w:rPr>
                <w:rFonts w:hint="default" w:ascii="Palatino Linotype" w:hAnsi="Palatino Linotype" w:eastAsia="宋体" w:cs="Palatino Linotype"/>
                <w:i/>
                <w:kern w:val="0"/>
                <w:sz w:val="16"/>
                <w:szCs w:val="16"/>
              </w:rPr>
              <w:t>et al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. (2017)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1310" w:type="dxa"/>
            <w:tcBorders>
              <w:top w:val="nil"/>
              <w:bottom w:val="single" w:color="auto" w:sz="4" w:space="0"/>
            </w:tcBorders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SOFA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  <w:lang w:val="en-US" w:eastAsia="zh-CN"/>
              </w:rPr>
              <w:t>≥</w:t>
            </w: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</w:t>
            </w:r>
          </w:p>
        </w:tc>
        <w:tc>
          <w:tcPr>
            <w:tcW w:w="916" w:type="dxa"/>
            <w:tcBorders>
              <w:top w:val="nil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0</w:t>
            </w:r>
          </w:p>
        </w:tc>
        <w:tc>
          <w:tcPr>
            <w:tcW w:w="879" w:type="dxa"/>
            <w:tcBorders>
              <w:top w:val="nil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nil"/>
              <w:bottom w:val="single" w:color="auto" w:sz="4" w:space="0"/>
            </w:tcBorders>
          </w:tcPr>
          <w:p>
            <w:pPr>
              <w:spacing w:line="240" w:lineRule="auto"/>
              <w:ind w:firstLine="300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1.37</w:t>
            </w:r>
          </w:p>
        </w:tc>
        <w:tc>
          <w:tcPr>
            <w:tcW w:w="979" w:type="dxa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1.03 (0.75)</w:t>
            </w:r>
          </w:p>
        </w:tc>
        <w:tc>
          <w:tcPr>
            <w:tcW w:w="1026" w:type="dxa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</w:pPr>
            <w:r>
              <w:rPr>
                <w:rFonts w:hint="default" w:ascii="Palatino Linotype" w:hAnsi="Palatino Linotype" w:eastAsia="宋体" w:cs="Palatino Linotype"/>
                <w:kern w:val="0"/>
                <w:sz w:val="16"/>
                <w:szCs w:val="16"/>
              </w:rPr>
              <w:t>1.37 (1.00)</w:t>
            </w:r>
          </w:p>
        </w:tc>
      </w:tr>
      <w:bookmarkEnd w:id="6"/>
    </w:tbl>
    <w:p>
      <w:pPr>
        <w:spacing w:line="240" w:lineRule="auto"/>
        <w:ind w:firstLine="320"/>
        <w:rPr>
          <w:rFonts w:hint="default" w:ascii="Palatino Linotype" w:hAnsi="Palatino Linotype" w:cs="Palatino Linotype"/>
          <w:sz w:val="16"/>
          <w:szCs w:val="16"/>
        </w:rPr>
      </w:pPr>
      <w:r>
        <w:rPr>
          <w:rFonts w:hint="default" w:ascii="Palatino Linotype" w:hAnsi="Palatino Linotype" w:eastAsia="宋体" w:cs="Palatino Linotype"/>
          <w:kern w:val="0"/>
          <w:sz w:val="16"/>
          <w:szCs w:val="16"/>
          <w:vertAlign w:val="superscript"/>
        </w:rPr>
        <w:t>*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>Ratio refers to the effect of the identified covariate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>s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 on CL in each study, and calculated by the following equation: </w:t>
      </w:r>
    </w:p>
    <w:p>
      <w:pPr>
        <w:spacing w:line="240" w:lineRule="auto"/>
        <w:ind w:firstLine="320"/>
        <w:rPr>
          <w:rFonts w:hint="default" w:ascii="Palatino Linotype" w:hAnsi="Palatino Linotype" w:cs="Palatino Linotype"/>
          <w:sz w:val="16"/>
          <w:szCs w:val="16"/>
        </w:rPr>
      </w:pPr>
      <m:oMathPara>
        <m:oMath>
          <m:r>
            <m:rPr>
              <m:sty m:val="p"/>
            </m:rPr>
            <w:rPr>
              <w:rFonts w:hint="default" w:ascii="Cambria Math" w:hAnsi="Cambria Math" w:eastAsia="宋体" w:cs="Palatino Linotype"/>
              <w:kern w:val="0"/>
              <w:sz w:val="16"/>
              <w:szCs w:val="16"/>
            </w:rPr>
            <m:t>Effect of covariate on CL</m:t>
          </m:r>
          <m:r>
            <m:rPr>
              <m:sty m:val="p"/>
            </m:rPr>
            <w:rPr>
              <w:rFonts w:hint="default" w:ascii="Cambria Math" w:hAnsi="Cambria Math" w:eastAsia="Cambria Math" w:cs="Palatino Linotype"/>
              <w:kern w:val="0"/>
              <w:sz w:val="16"/>
              <w:szCs w:val="16"/>
            </w:rPr>
            <m:t>=</m:t>
          </m:r>
          <m:f>
            <m:fPr>
              <m:ctrlPr>
                <w:rPr>
                  <w:rFonts w:hint="default" w:ascii="Cambria Math" w:hAnsi="Cambria Math" w:eastAsia="Cambria Math" w:cs="Palatino Linotype"/>
                  <w:kern w:val="0"/>
                  <w:sz w:val="16"/>
                  <w:szCs w:val="16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eastAsia="Cambria Math" w:cs="Palatino Linotype"/>
                  <w:kern w:val="0"/>
                  <w:sz w:val="16"/>
                  <w:szCs w:val="16"/>
                </w:rPr>
                <m:t>T</m:t>
              </m:r>
              <m:r>
                <m:rPr>
                  <m:sty m:val="p"/>
                </m:rPr>
                <w:rPr>
                  <w:rFonts w:hint="default" w:ascii="Cambria Math" w:hAnsi="Cambria Math" w:eastAsia="宋体" w:cs="Palatino Linotype"/>
                  <w:kern w:val="0"/>
                  <w:sz w:val="16"/>
                  <w:szCs w:val="16"/>
                </w:rPr>
                <m:t>he range of calculated CL</m:t>
              </m:r>
              <m:ctrlPr>
                <w:rPr>
                  <w:rFonts w:hint="default" w:ascii="Cambria Math" w:hAnsi="Cambria Math" w:eastAsia="Cambria Math" w:cs="Palatino Linotype"/>
                  <w:kern w:val="0"/>
                  <w:sz w:val="16"/>
                  <w:szCs w:val="16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eastAsia="Cambria Math" w:cs="Palatino Linotype"/>
                  <w:kern w:val="0"/>
                  <w:sz w:val="16"/>
                  <w:szCs w:val="16"/>
                </w:rPr>
                <m:t>The reference CL</m:t>
              </m:r>
              <m:ctrlPr>
                <w:rPr>
                  <w:rFonts w:hint="default" w:ascii="Cambria Math" w:hAnsi="Cambria Math" w:eastAsia="Cambria Math" w:cs="Palatino Linotype"/>
                  <w:kern w:val="0"/>
                  <w:sz w:val="16"/>
                  <w:szCs w:val="16"/>
                </w:rPr>
              </m:ctrlPr>
            </m:den>
          </m:f>
          <m:r>
            <m:rPr/>
            <w:rPr>
              <w:rFonts w:hint="default" w:ascii="Cambria Math" w:hAnsi="Cambria Math" w:eastAsia="Cambria Math" w:cs="Palatino Linotype"/>
              <w:sz w:val="16"/>
              <w:szCs w:val="16"/>
            </w:rPr>
            <m:t xml:space="preserve"> </m:t>
          </m:r>
        </m:oMath>
      </m:oMathPara>
    </w:p>
    <w:p>
      <w:pPr>
        <w:spacing w:line="240" w:lineRule="auto"/>
        <w:ind w:firstLine="320"/>
        <w:rPr>
          <w:rFonts w:hint="default" w:ascii="Palatino Linotype" w:hAnsi="Palatino Linotype" w:eastAsia="宋体" w:cs="Palatino Linotype"/>
          <w:kern w:val="0"/>
          <w:sz w:val="16"/>
          <w:szCs w:val="16"/>
        </w:rPr>
      </w:pPr>
      <w:r>
        <w:rPr>
          <w:rFonts w:hint="default" w:ascii="Palatino Linotype" w:hAnsi="Palatino Linotype" w:eastAsia="宋体" w:cs="Palatino Linotype"/>
          <w:kern w:val="0"/>
          <w:sz w:val="16"/>
          <w:szCs w:val="16"/>
          <w:vertAlign w:val="superscript"/>
        </w:rPr>
        <w:t>**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 BW was transferred to FFM before calculation;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  <w:vertAlign w:val="superscript"/>
        </w:rPr>
        <w:t>*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  <w:vertAlign w:val="superscript"/>
        </w:rPr>
        <w:t>*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  <w:vertAlign w:val="superscript"/>
        </w:rPr>
        <w:t xml:space="preserve">*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For binary covariates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like SOFA,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0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for SOFA ≥10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and 1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for SOFA&lt;10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>were used.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 FFM, free-fat mass;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ALT, alanine amino transferase; AST, aspartate aminotransferase;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 xml:space="preserve">PLT, platelet count; TBILI, total bilirubin; ALB, albumin; SOFA, 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>Sepsis-related organ failure assessment score</w:t>
      </w:r>
      <w:r>
        <w:rPr>
          <w:rFonts w:hint="default" w:ascii="Palatino Linotype" w:hAnsi="Palatino Linotype" w:eastAsia="宋体" w:cs="Palatino Linotype"/>
          <w:kern w:val="0"/>
          <w:sz w:val="16"/>
          <w:szCs w:val="16"/>
        </w:rPr>
        <w:t>.</w:t>
      </w:r>
    </w:p>
    <w:p>
      <w:pPr>
        <w:spacing w:line="240" w:lineRule="auto"/>
        <w:rPr>
          <w:rFonts w:hint="default" w:ascii="Palatino Linotype" w:hAnsi="Palatino Linotype" w:cs="Palatino Linotype"/>
          <w:bCs/>
          <w:kern w:val="44"/>
          <w:sz w:val="18"/>
          <w:szCs w:val="18"/>
        </w:rPr>
      </w:pPr>
    </w:p>
    <w:p>
      <w:pPr>
        <w:spacing w:line="240" w:lineRule="auto"/>
        <w:rPr>
          <w:rFonts w:hint="default" w:ascii="Palatino Linotype" w:hAnsi="Palatino Linotype" w:cs="Palatino Linotype"/>
          <w:bCs/>
          <w:kern w:val="44"/>
          <w:sz w:val="20"/>
          <w:szCs w:val="20"/>
        </w:rPr>
      </w:pPr>
    </w:p>
    <w:p>
      <w:pPr>
        <w:spacing w:line="240" w:lineRule="auto"/>
        <w:rPr>
          <w:rFonts w:hint="default" w:ascii="Palatino Linotype" w:hAnsi="Palatino Linotype" w:cs="Palatino Linotype" w:eastAsiaTheme="minorEastAsia"/>
          <w:lang w:eastAsia="zh-CN"/>
        </w:rPr>
      </w:pPr>
    </w:p>
    <w:p>
      <w:pPr>
        <w:spacing w:line="240" w:lineRule="auto"/>
        <w:rPr>
          <w:rFonts w:hint="default" w:ascii="Palatino Linotype" w:hAnsi="Palatino Linotype" w:cs="Palatino Linotype" w:eastAsiaTheme="minorEastAsia"/>
          <w:lang w:eastAsia="zh-CN"/>
        </w:rPr>
      </w:pPr>
    </w:p>
    <w:p>
      <w:pPr>
        <w:rPr>
          <w:rFonts w:hint="default" w:ascii="Palatino Linotype" w:hAnsi="Palatino Linotype" w:cs="Palatino Linotype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wZDcwOWYyY2YzMDFhMzdkNTc1OTJkNThhZGNmMjg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SM Journ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eeawwtrqrdez4e5pzgvdazmswpevz5tpde2&quot;&gt;My EndNote Library&lt;record-ids&gt;&lt;item&gt;82&lt;/item&gt;&lt;/record-ids&gt;&lt;/item&gt;&lt;/Libraries&gt;"/>
  </w:docVars>
  <w:rsids>
    <w:rsidRoot w:val="2DAE7B8D"/>
    <w:rsid w:val="10B75E3C"/>
    <w:rsid w:val="137F4B64"/>
    <w:rsid w:val="1AC96160"/>
    <w:rsid w:val="1F404C92"/>
    <w:rsid w:val="2DAE7B8D"/>
    <w:rsid w:val="6EB92D17"/>
    <w:rsid w:val="7A0C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EndNote Bibliography Title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="Calibri" w:hAnsi="Calibri" w:cs="Calibri" w:eastAsiaTheme="minorEastAsia"/>
      <w:kern w:val="2"/>
      <w:sz w:val="20"/>
      <w:szCs w:val="24"/>
      <w:lang w:val="en-US" w:eastAsia="zh-CN" w:bidi="ar-SA"/>
    </w:rPr>
  </w:style>
  <w:style w:type="paragraph" w:customStyle="1" w:styleId="7">
    <w:name w:val="EndNote Bibliography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cs="Calibri" w:eastAsiaTheme="minorEastAsia"/>
      <w:kern w:val="2"/>
      <w:sz w:val="20"/>
      <w:szCs w:val="24"/>
      <w:lang w:val="en-US" w:eastAsia="zh-CN" w:bidi="ar-SA"/>
    </w:rPr>
  </w:style>
  <w:style w:type="paragraph" w:customStyle="1" w:styleId="8">
    <w:name w:val="MDPI_5.1_figure_caption"/>
    <w:qFormat/>
    <w:uiPriority w:val="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hAnsi="Palatino Linotype" w:eastAsia="Times New Roman" w:cs="Times New Roman"/>
      <w:color w:val="000000"/>
      <w:sz w:val="18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2596</Words>
  <Characters>10912</Characters>
  <Lines>0</Lines>
  <Paragraphs>0</Paragraphs>
  <TotalTime>61</TotalTime>
  <ScaleCrop>false</ScaleCrop>
  <LinksUpToDate>false</LinksUpToDate>
  <CharactersWithSpaces>12384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2024-05-31T17:33:00Z</dcterms:created>
  <dc:creator>李喜平</dc:creator>
  <cp:lastModifiedBy>李喜平</cp:lastModifiedBy>
  <dcterms:modified xsi:type="dcterms:W3CDTF">2024-07-03T07:47:41Z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6B67E315A7C54F7EB4663A11A2AC57A9_11</vt:lpwstr>
  </property>
</Properties>
</file>