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FEAB6" w14:textId="05DC2561" w:rsidR="00D952C4" w:rsidRDefault="00D952C4" w:rsidP="00D952C4">
      <w:pPr>
        <w:jc w:val="both"/>
        <w:rPr>
          <w:rFonts w:ascii="Times" w:hAnsi="Times"/>
          <w:bCs/>
          <w:sz w:val="24"/>
          <w:szCs w:val="24"/>
        </w:rPr>
      </w:pPr>
      <w:r w:rsidRPr="00481F28">
        <w:rPr>
          <w:rFonts w:ascii="Times" w:hAnsi="Times"/>
          <w:b/>
          <w:sz w:val="24"/>
          <w:szCs w:val="24"/>
        </w:rPr>
        <w:t>Fig.</w:t>
      </w:r>
      <w:r w:rsidR="0069621E">
        <w:rPr>
          <w:rFonts w:ascii="Times" w:hAnsi="Times"/>
          <w:b/>
          <w:sz w:val="24"/>
          <w:szCs w:val="24"/>
        </w:rPr>
        <w:t>1</w:t>
      </w:r>
      <w:r>
        <w:rPr>
          <w:rFonts w:ascii="Times" w:hAnsi="Times"/>
          <w:bCs/>
          <w:sz w:val="24"/>
          <w:szCs w:val="24"/>
        </w:rPr>
        <w:t xml:space="preserve"> </w:t>
      </w:r>
      <w:r w:rsidRPr="00481F28">
        <w:rPr>
          <w:rFonts w:ascii="Times" w:hAnsi="Times"/>
          <w:bCs/>
          <w:sz w:val="24"/>
          <w:szCs w:val="24"/>
        </w:rPr>
        <w:t xml:space="preserve">Alignment of the amino acid sequences of the QRDR region for the </w:t>
      </w:r>
      <w:r w:rsidRPr="00481F28">
        <w:rPr>
          <w:rFonts w:ascii="Times" w:hAnsi="Times"/>
          <w:bCs/>
          <w:i/>
          <w:iCs/>
          <w:sz w:val="24"/>
          <w:szCs w:val="24"/>
        </w:rPr>
        <w:t>gyr</w:t>
      </w:r>
      <w:r w:rsidRPr="00481F28">
        <w:rPr>
          <w:rFonts w:ascii="Times" w:hAnsi="Times"/>
          <w:bCs/>
          <w:sz w:val="24"/>
          <w:szCs w:val="24"/>
        </w:rPr>
        <w:t xml:space="preserve">A gene of </w:t>
      </w:r>
      <w:r w:rsidRPr="00481F28">
        <w:rPr>
          <w:rFonts w:ascii="Times" w:hAnsi="Times"/>
          <w:bCs/>
          <w:i/>
          <w:iCs/>
          <w:sz w:val="24"/>
          <w:szCs w:val="24"/>
        </w:rPr>
        <w:t>C.jejuni</w:t>
      </w:r>
      <w:r w:rsidRPr="00481F28">
        <w:rPr>
          <w:rFonts w:ascii="Times" w:hAnsi="Times"/>
          <w:bCs/>
          <w:sz w:val="24"/>
          <w:szCs w:val="24"/>
        </w:rPr>
        <w:t xml:space="preserve"> isolates. The position of the Thr-86-Ile mutation was compared and analyzed with the sequence in the database accession number L04566 for </w:t>
      </w:r>
      <w:r w:rsidRPr="00481F28">
        <w:rPr>
          <w:rFonts w:ascii="Times" w:hAnsi="Times"/>
          <w:bCs/>
          <w:i/>
          <w:iCs/>
          <w:sz w:val="24"/>
          <w:szCs w:val="24"/>
        </w:rPr>
        <w:t>C.jejuni</w:t>
      </w:r>
      <w:r w:rsidRPr="00481F28">
        <w:rPr>
          <w:rFonts w:ascii="Times" w:hAnsi="Times"/>
          <w:bCs/>
          <w:sz w:val="24"/>
          <w:szCs w:val="24"/>
        </w:rPr>
        <w:t>.</w:t>
      </w:r>
    </w:p>
    <w:p w14:paraId="032C2170" w14:textId="77777777" w:rsidR="00D952C4" w:rsidRDefault="00D952C4" w:rsidP="00D952C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35278E9" wp14:editId="4DF5567D">
            <wp:extent cx="5704840" cy="5619750"/>
            <wp:effectExtent l="0" t="0" r="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04" cy="56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6695" w14:textId="77777777" w:rsidR="00D952C4" w:rsidRDefault="00D952C4" w:rsidP="00D952C4">
      <w:pPr>
        <w:jc w:val="both"/>
        <w:rPr>
          <w:rFonts w:ascii="Times" w:hAnsi="Times"/>
          <w:b/>
          <w:bCs/>
          <w:sz w:val="24"/>
          <w:szCs w:val="24"/>
        </w:rPr>
      </w:pPr>
    </w:p>
    <w:p w14:paraId="036B3202" w14:textId="39A3A839" w:rsidR="00D952C4" w:rsidRDefault="00D952C4" w:rsidP="00D952C4">
      <w:pPr>
        <w:jc w:val="both"/>
        <w:rPr>
          <w:rFonts w:ascii="Times" w:hAnsi="Times"/>
          <w:sz w:val="24"/>
          <w:szCs w:val="24"/>
        </w:rPr>
      </w:pPr>
      <w:r w:rsidRPr="00481F28">
        <w:rPr>
          <w:rFonts w:ascii="Times" w:hAnsi="Times"/>
          <w:b/>
          <w:bCs/>
          <w:sz w:val="24"/>
          <w:szCs w:val="24"/>
        </w:rPr>
        <w:t>Fig.</w:t>
      </w:r>
      <w:r w:rsidR="0069621E">
        <w:rPr>
          <w:rFonts w:ascii="Times" w:hAnsi="Times"/>
          <w:b/>
          <w:bCs/>
          <w:sz w:val="24"/>
          <w:szCs w:val="24"/>
        </w:rPr>
        <w:t>2</w:t>
      </w:r>
      <w:r>
        <w:rPr>
          <w:rFonts w:ascii="Times" w:hAnsi="Times"/>
          <w:b/>
          <w:bCs/>
          <w:sz w:val="24"/>
          <w:szCs w:val="24"/>
        </w:rPr>
        <w:t xml:space="preserve"> </w:t>
      </w:r>
      <w:r w:rsidRPr="00481F28">
        <w:rPr>
          <w:rFonts w:ascii="Times" w:hAnsi="Times"/>
          <w:sz w:val="24"/>
          <w:szCs w:val="24"/>
        </w:rPr>
        <w:t xml:space="preserve">Alignment of the nucleotide sequences of the QRDR region for the </w:t>
      </w:r>
      <w:r w:rsidRPr="00481F28">
        <w:rPr>
          <w:rFonts w:ascii="Times" w:hAnsi="Times"/>
          <w:i/>
          <w:iCs/>
          <w:sz w:val="24"/>
          <w:szCs w:val="24"/>
        </w:rPr>
        <w:t>gyr</w:t>
      </w:r>
      <w:r w:rsidRPr="00481F28">
        <w:rPr>
          <w:rFonts w:ascii="Times" w:hAnsi="Times"/>
          <w:sz w:val="24"/>
          <w:szCs w:val="24"/>
        </w:rPr>
        <w:t xml:space="preserve">A gene. The presence of mutation in position 257 of the ACA to ATA codon and silent mutations in position 243, associated with fluroquinolone resistance of </w:t>
      </w:r>
      <w:r w:rsidRPr="00481F28">
        <w:rPr>
          <w:rFonts w:ascii="Times" w:hAnsi="Times"/>
          <w:i/>
          <w:iCs/>
          <w:sz w:val="24"/>
          <w:szCs w:val="24"/>
        </w:rPr>
        <w:t>C.jejuni</w:t>
      </w:r>
      <w:r w:rsidRPr="00481F28">
        <w:rPr>
          <w:rFonts w:ascii="Times" w:hAnsi="Times"/>
          <w:sz w:val="24"/>
          <w:szCs w:val="24"/>
        </w:rPr>
        <w:t xml:space="preserve"> isolates.</w:t>
      </w:r>
    </w:p>
    <w:p w14:paraId="426A32F8" w14:textId="77777777" w:rsidR="00D952C4" w:rsidRDefault="00D952C4" w:rsidP="00D952C4">
      <w:pPr>
        <w:jc w:val="both"/>
        <w:rPr>
          <w:rFonts w:ascii="Times" w:hAnsi="Time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3DD10" wp14:editId="27449EFB">
            <wp:extent cx="5579110" cy="5791200"/>
            <wp:effectExtent l="0" t="0" r="2540" b="0"/>
            <wp:docPr id="27701" name="Imagine 27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14" cy="57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2F6E" w14:textId="77777777" w:rsidR="00D952C4" w:rsidRDefault="00D952C4" w:rsidP="00D952C4">
      <w:pPr>
        <w:jc w:val="both"/>
        <w:rPr>
          <w:rFonts w:ascii="Times" w:hAnsi="Times"/>
          <w:sz w:val="24"/>
          <w:szCs w:val="24"/>
        </w:rPr>
      </w:pPr>
    </w:p>
    <w:p w14:paraId="3C1FAE7B" w14:textId="77777777" w:rsidR="007919C0" w:rsidRDefault="007919C0" w:rsidP="007919C0">
      <w:pPr>
        <w:jc w:val="both"/>
        <w:rPr>
          <w:rFonts w:ascii="Times" w:hAnsi="Times"/>
          <w:sz w:val="24"/>
          <w:szCs w:val="24"/>
        </w:rPr>
      </w:pPr>
    </w:p>
    <w:p w14:paraId="26756619" w14:textId="77777777" w:rsidR="007919C0" w:rsidRPr="00574D57" w:rsidRDefault="007919C0" w:rsidP="007919C0">
      <w:pPr>
        <w:jc w:val="both"/>
        <w:rPr>
          <w:rFonts w:ascii="Times" w:hAnsi="Times"/>
          <w:sz w:val="24"/>
          <w:szCs w:val="24"/>
        </w:rPr>
      </w:pPr>
      <w:r w:rsidRPr="00B93910">
        <w:rPr>
          <w:noProof/>
        </w:rPr>
        <w:lastRenderedPageBreak/>
        <w:drawing>
          <wp:inline distT="0" distB="0" distL="0" distR="0" wp14:anchorId="5CCCF9BA" wp14:editId="3E95421E">
            <wp:extent cx="5667375" cy="2838450"/>
            <wp:effectExtent l="0" t="0" r="9525" b="0"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9684" w14:textId="0C3D3D6A" w:rsidR="007919C0" w:rsidRDefault="007919C0" w:rsidP="007919C0">
      <w:pPr>
        <w:jc w:val="both"/>
        <w:rPr>
          <w:rFonts w:ascii="Times" w:hAnsi="Times"/>
          <w:bCs/>
          <w:sz w:val="24"/>
          <w:szCs w:val="24"/>
        </w:rPr>
      </w:pPr>
      <w:r w:rsidRPr="00E51B1E">
        <w:rPr>
          <w:rFonts w:ascii="Times" w:hAnsi="Times"/>
          <w:b/>
          <w:sz w:val="24"/>
          <w:szCs w:val="24"/>
        </w:rPr>
        <w:t>Fig.</w:t>
      </w:r>
      <w:r w:rsidR="0069621E">
        <w:rPr>
          <w:rFonts w:ascii="Times" w:hAnsi="Times"/>
          <w:b/>
          <w:sz w:val="24"/>
          <w:szCs w:val="24"/>
        </w:rPr>
        <w:t>3</w:t>
      </w:r>
      <w:r>
        <w:rPr>
          <w:rFonts w:ascii="Times" w:hAnsi="Times"/>
          <w:bCs/>
          <w:sz w:val="24"/>
          <w:szCs w:val="24"/>
        </w:rPr>
        <w:t xml:space="preserve"> </w:t>
      </w:r>
      <w:r w:rsidRPr="00E51B1E">
        <w:rPr>
          <w:rFonts w:ascii="Times" w:hAnsi="Times"/>
          <w:bCs/>
          <w:sz w:val="24"/>
          <w:szCs w:val="24"/>
        </w:rPr>
        <w:t xml:space="preserve">The presence of mutations in position 2074 and 2075 in </w:t>
      </w:r>
      <w:r w:rsidRPr="001E225B">
        <w:rPr>
          <w:rFonts w:ascii="Times" w:hAnsi="Times"/>
          <w:bCs/>
          <w:i/>
          <w:iCs/>
          <w:sz w:val="24"/>
          <w:szCs w:val="24"/>
        </w:rPr>
        <w:t>C.jejuni</w:t>
      </w:r>
      <w:r w:rsidRPr="00E51B1E">
        <w:rPr>
          <w:rFonts w:ascii="Times" w:hAnsi="Times"/>
          <w:bCs/>
          <w:sz w:val="24"/>
          <w:szCs w:val="24"/>
        </w:rPr>
        <w:t xml:space="preserve"> strains with increased resistance to erythromycin:-the presence of the double mutation both in position 2074 (A-C) and in position 2075 (A-G);</w:t>
      </w:r>
      <w:r>
        <w:rPr>
          <w:rFonts w:ascii="Times" w:hAnsi="Times"/>
          <w:bCs/>
          <w:sz w:val="24"/>
          <w:szCs w:val="24"/>
        </w:rPr>
        <w:t xml:space="preserve"> </w:t>
      </w:r>
      <w:r w:rsidRPr="00E51B1E">
        <w:rPr>
          <w:rFonts w:ascii="Times" w:hAnsi="Times"/>
          <w:bCs/>
          <w:sz w:val="24"/>
          <w:szCs w:val="24"/>
        </w:rPr>
        <w:t>- presence of mutation in position 2075 (A-G)</w:t>
      </w:r>
      <w:r>
        <w:rPr>
          <w:rFonts w:ascii="Times" w:hAnsi="Times"/>
          <w:bCs/>
          <w:sz w:val="24"/>
          <w:szCs w:val="24"/>
        </w:rPr>
        <w:t>.</w:t>
      </w:r>
    </w:p>
    <w:p w14:paraId="6288F2E2" w14:textId="77777777" w:rsidR="007919C0" w:rsidRDefault="007919C0" w:rsidP="007919C0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2F05049" wp14:editId="0844F87C">
            <wp:extent cx="5114925" cy="3590925"/>
            <wp:effectExtent l="0" t="0" r="9525" b="9525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63" cy="36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AB220" w14:textId="0660ABC7" w:rsidR="007919C0" w:rsidRDefault="007919C0" w:rsidP="007919C0">
      <w:pPr>
        <w:jc w:val="center"/>
        <w:rPr>
          <w:rFonts w:ascii="Times New Roman" w:hAnsi="Times New Roman" w:cs="Times New Roman"/>
          <w:sz w:val="24"/>
          <w:szCs w:val="24"/>
        </w:rPr>
      </w:pPr>
      <w:r w:rsidRPr="005951B1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69621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951B1">
        <w:rPr>
          <w:rFonts w:ascii="Times New Roman" w:hAnsi="Times New Roman" w:cs="Times New Roman"/>
          <w:sz w:val="24"/>
          <w:szCs w:val="24"/>
        </w:rPr>
        <w:t>. ST type and clonal complex identified from the MLST database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6F83F67" w14:textId="23DF5B16" w:rsidR="00924A2B" w:rsidRPr="00E0050E" w:rsidRDefault="00924A2B" w:rsidP="00924A2B">
      <w:pPr>
        <w:tabs>
          <w:tab w:val="left" w:pos="108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ED4AAB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Table </w:t>
      </w:r>
      <w:r w:rsidR="0069621E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S1</w:t>
      </w:r>
      <w:r w:rsidRPr="004C4A2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. </w:t>
      </w:r>
      <w:r w:rsidRPr="004C4A20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Campylobacter jejuni</w:t>
      </w:r>
      <w:r w:rsidRPr="004C4A2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strains analyzed by the </w:t>
      </w:r>
      <w:r w:rsidRPr="00593E3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MLST</w:t>
      </w:r>
      <w:r w:rsidRPr="004C4A2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(</w:t>
      </w:r>
      <w:r w:rsidRPr="004C4A20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multilocus sequence typing</w:t>
      </w:r>
      <w:r w:rsidRPr="004C4A2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</w:p>
    <w:p w14:paraId="3CA51EFF" w14:textId="77777777" w:rsidR="00924A2B" w:rsidRDefault="00924A2B" w:rsidP="00924A2B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5A2E88A" wp14:editId="75BFD00B">
            <wp:extent cx="5686425" cy="7534275"/>
            <wp:effectExtent l="0" t="0" r="9525" b="952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B75A" w14:textId="77777777" w:rsidR="00E849F8" w:rsidRDefault="00E849F8"/>
    <w:sectPr w:rsidR="00E849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2C4"/>
    <w:rsid w:val="00377928"/>
    <w:rsid w:val="00654926"/>
    <w:rsid w:val="0069621E"/>
    <w:rsid w:val="007919C0"/>
    <w:rsid w:val="00807797"/>
    <w:rsid w:val="00924A2B"/>
    <w:rsid w:val="00CD796D"/>
    <w:rsid w:val="00D952C4"/>
    <w:rsid w:val="00E8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AD5EA"/>
  <w15:chartTrackingRefBased/>
  <w15:docId w15:val="{5E6D5A58-655E-4D58-801A-6DADF998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2C4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Gratiela Pircalabioru</dc:creator>
  <cp:keywords/>
  <dc:description/>
  <cp:lastModifiedBy>Gratiela Pircalabioru</cp:lastModifiedBy>
  <cp:revision>3</cp:revision>
  <dcterms:created xsi:type="dcterms:W3CDTF">2024-07-16T18:46:00Z</dcterms:created>
  <dcterms:modified xsi:type="dcterms:W3CDTF">2024-07-16T18:47:00Z</dcterms:modified>
</cp:coreProperties>
</file>