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FDB17" w14:textId="61B68CC2" w:rsidR="005F0B83" w:rsidRPr="004942DC" w:rsidRDefault="005F0B83">
      <w:pPr>
        <w:rPr>
          <w:rFonts w:ascii="Palatino Linotype" w:hAnsi="Palatino Linotype"/>
          <w:b/>
          <w:bCs/>
          <w:sz w:val="24"/>
          <w:szCs w:val="24"/>
          <w:lang w:val="en-GB"/>
        </w:rPr>
      </w:pPr>
      <w:r w:rsidRPr="004942DC">
        <w:rPr>
          <w:rFonts w:ascii="Palatino Linotype" w:hAnsi="Palatino Linotype"/>
          <w:b/>
          <w:bCs/>
          <w:sz w:val="24"/>
          <w:szCs w:val="24"/>
          <w:lang w:val="en-GB"/>
        </w:rPr>
        <w:t xml:space="preserve">Suplementary 1: Genomic evaluation on </w:t>
      </w:r>
      <w:r w:rsidRPr="004942DC">
        <w:rPr>
          <w:rFonts w:ascii="Palatino Linotype" w:hAnsi="Palatino Linotype"/>
          <w:b/>
          <w:bCs/>
          <w:i/>
          <w:iCs/>
          <w:sz w:val="24"/>
          <w:szCs w:val="24"/>
          <w:lang w:val="en-GB"/>
        </w:rPr>
        <w:t>Lolium multiflorum</w:t>
      </w:r>
      <w:r w:rsidRPr="004942DC">
        <w:rPr>
          <w:rFonts w:ascii="Palatino Linotype" w:hAnsi="Palatino Linotype"/>
          <w:b/>
          <w:bCs/>
          <w:sz w:val="24"/>
          <w:szCs w:val="24"/>
          <w:lang w:val="en-GB"/>
        </w:rPr>
        <w:t xml:space="preserve"> L.</w:t>
      </w:r>
    </w:p>
    <w:p w14:paraId="3DA4E5E8" w14:textId="77777777" w:rsidR="004942DC" w:rsidRDefault="004942DC" w:rsidP="005F0B83">
      <w:pPr>
        <w:rPr>
          <w:rFonts w:ascii="Palatino Linotype" w:hAnsi="Palatino Linotype"/>
          <w:b/>
          <w:bCs/>
          <w:lang w:val="en-GB"/>
        </w:rPr>
      </w:pPr>
    </w:p>
    <w:p w14:paraId="46A921BE" w14:textId="3573FC5A" w:rsidR="005F0B83" w:rsidRPr="005F0B83" w:rsidRDefault="005F0B83" w:rsidP="005F0B83">
      <w:pPr>
        <w:rPr>
          <w:rFonts w:ascii="Palatino Linotype" w:hAnsi="Palatino Linotype"/>
          <w:lang w:val="en-GB"/>
        </w:rPr>
      </w:pPr>
      <w:r w:rsidRPr="005F0B83">
        <w:rPr>
          <w:rFonts w:ascii="Palatino Linotype" w:hAnsi="Palatino Linotype"/>
          <w:b/>
          <w:bCs/>
          <w:lang w:val="en-GB"/>
        </w:rPr>
        <w:t>Electropherogram review</w:t>
      </w:r>
    </w:p>
    <w:p w14:paraId="61804B84" w14:textId="77777777" w:rsidR="005F0B83" w:rsidRPr="005F0B83" w:rsidRDefault="005F0B83" w:rsidP="005F0B83">
      <w:pPr>
        <w:rPr>
          <w:rFonts w:ascii="Palatino Linotype" w:hAnsi="Palatino Linotype"/>
          <w:lang w:val="en-GB"/>
        </w:rPr>
      </w:pPr>
      <w:r w:rsidRPr="005F0B83">
        <w:rPr>
          <w:rFonts w:ascii="Palatino Linotype" w:hAnsi="Palatino Linotype"/>
          <w:lang w:val="en-GB"/>
        </w:rPr>
        <w:t xml:space="preserve">The files from the sequencing were received in a format; these files were opened using the SeqTrace 0.9.0 program to review the electropherograms. A new project was created, and the files containing the sequences were loaded (*.ab1 format). The minimum confidence value of 25 was considered a good-quality peak within the parameter settings. Subsequently, the Forward and Reverse sequences </w:t>
      </w:r>
      <w:r w:rsidRPr="005F0B83">
        <w:rPr>
          <w:rFonts w:ascii="Palatino Linotype" w:hAnsi="Palatino Linotype"/>
          <w:b/>
          <w:bCs/>
          <w:lang w:val="en-GB"/>
        </w:rPr>
        <w:t xml:space="preserve">(Figure S1) </w:t>
      </w:r>
      <w:r w:rsidRPr="005F0B83">
        <w:rPr>
          <w:rFonts w:ascii="Palatino Linotype" w:hAnsi="Palatino Linotype"/>
          <w:lang w:val="en-GB"/>
        </w:rPr>
        <w:t xml:space="preserve">were pooled to check the definition and quality of the peaks corresponding to each nitrogenous base. Very little or no stability was observed at the ends of the sequences, i.e. sequences of low resolution </w:t>
      </w:r>
      <w:r w:rsidRPr="005F0B83">
        <w:rPr>
          <w:rFonts w:ascii="Palatino Linotype" w:hAnsi="Palatino Linotype"/>
          <w:b/>
          <w:bCs/>
          <w:lang w:val="en-GB"/>
        </w:rPr>
        <w:t>(Figure S2)</w:t>
      </w:r>
      <w:r w:rsidRPr="005F0B83">
        <w:rPr>
          <w:rFonts w:ascii="Palatino Linotype" w:hAnsi="Palatino Linotype"/>
          <w:lang w:val="en-GB"/>
        </w:rPr>
        <w:t xml:space="preserve">, whereas, in the central part, where the F and R sequences complement each other, more excellent stability was observed </w:t>
      </w:r>
      <w:r w:rsidRPr="005F0B83">
        <w:rPr>
          <w:rFonts w:ascii="Palatino Linotype" w:hAnsi="Palatino Linotype"/>
          <w:b/>
          <w:bCs/>
          <w:lang w:val="en-GB"/>
        </w:rPr>
        <w:t xml:space="preserve">(Figure S3). </w:t>
      </w:r>
      <w:r w:rsidRPr="005F0B83">
        <w:rPr>
          <w:rFonts w:ascii="Palatino Linotype" w:hAnsi="Palatino Linotype"/>
          <w:lang w:val="en-GB"/>
        </w:rPr>
        <w:t>Considering the sound quality peaks, we generated the consensus sequence and exported them in Fasta format (*.fas).</w:t>
      </w:r>
    </w:p>
    <w:p w14:paraId="3342E2EB" w14:textId="5F3D74C1" w:rsidR="005F0B83" w:rsidRDefault="005F0B83">
      <w:pPr>
        <w:rPr>
          <w:rFonts w:ascii="Palatino Linotype" w:hAnsi="Palatino Linotype"/>
          <w:lang w:val="en-GB"/>
        </w:rPr>
      </w:pPr>
      <w:r w:rsidRPr="005F0B83">
        <w:rPr>
          <w:rFonts w:ascii="Palatino Linotype" w:hAnsi="Palatino Linotype"/>
        </w:rPr>
        <w:drawing>
          <wp:inline distT="0" distB="0" distL="0" distR="0" wp14:anchorId="79AFC38C" wp14:editId="20A8EC98">
            <wp:extent cx="5410200" cy="2922815"/>
            <wp:effectExtent l="0" t="0" r="0" b="0"/>
            <wp:docPr id="89" name="Google Shape;89;p4"/>
            <wp:cNvGraphicFramePr/>
            <a:graphic xmlns:a="http://schemas.openxmlformats.org/drawingml/2006/main">
              <a:graphicData uri="http://schemas.openxmlformats.org/drawingml/2006/picture">
                <pic:pic xmlns:pic="http://schemas.openxmlformats.org/drawingml/2006/picture">
                  <pic:nvPicPr>
                    <pic:cNvPr id="89" name="Google Shape;89;p4"/>
                    <pic:cNvPicPr preferRelativeResize="0"/>
                  </pic:nvPicPr>
                  <pic:blipFill rotWithShape="1">
                    <a:blip r:embed="rId4">
                      <a:alphaModFix/>
                    </a:blip>
                    <a:srcRect/>
                    <a:stretch/>
                  </pic:blipFill>
                  <pic:spPr>
                    <a:xfrm>
                      <a:off x="0" y="0"/>
                      <a:ext cx="5426164" cy="2931440"/>
                    </a:xfrm>
                    <a:prstGeom prst="rect">
                      <a:avLst/>
                    </a:prstGeom>
                    <a:noFill/>
                    <a:ln>
                      <a:noFill/>
                    </a:ln>
                  </pic:spPr>
                </pic:pic>
              </a:graphicData>
            </a:graphic>
          </wp:inline>
        </w:drawing>
      </w:r>
    </w:p>
    <w:p w14:paraId="7C54ED05" w14:textId="77777777" w:rsidR="005F0B83" w:rsidRPr="005F0B83" w:rsidRDefault="005F0B83" w:rsidP="005F0B83">
      <w:pPr>
        <w:rPr>
          <w:rFonts w:ascii="Palatino Linotype" w:hAnsi="Palatino Linotype"/>
          <w:lang w:val="en-GB"/>
        </w:rPr>
      </w:pPr>
      <w:r w:rsidRPr="005F0B83">
        <w:rPr>
          <w:rFonts w:ascii="Palatino Linotype" w:hAnsi="Palatino Linotype"/>
          <w:lang w:val="en-GB"/>
        </w:rPr>
        <w:t>Figure S1. Grouping of Forward and Reverse sequences in the SeqTrace programme.</w:t>
      </w:r>
    </w:p>
    <w:p w14:paraId="53B4F27E" w14:textId="230F0290" w:rsidR="005F0B83" w:rsidRDefault="005F0B83">
      <w:pPr>
        <w:rPr>
          <w:rFonts w:ascii="Palatino Linotype" w:hAnsi="Palatino Linotype"/>
          <w:lang w:val="en-GB"/>
        </w:rPr>
      </w:pPr>
      <w:r w:rsidRPr="005F0B83">
        <w:rPr>
          <w:rFonts w:ascii="Palatino Linotype" w:hAnsi="Palatino Linotype"/>
        </w:rPr>
        <w:lastRenderedPageBreak/>
        <w:drawing>
          <wp:inline distT="0" distB="0" distL="0" distR="0" wp14:anchorId="3DB96999" wp14:editId="383B56FC">
            <wp:extent cx="5400040" cy="3528060"/>
            <wp:effectExtent l="0" t="0" r="0" b="0"/>
            <wp:docPr id="95" name="Google Shape;95;p5"/>
            <wp:cNvGraphicFramePr/>
            <a:graphic xmlns:a="http://schemas.openxmlformats.org/drawingml/2006/main">
              <a:graphicData uri="http://schemas.openxmlformats.org/drawingml/2006/picture">
                <pic:pic xmlns:pic="http://schemas.openxmlformats.org/drawingml/2006/picture">
                  <pic:nvPicPr>
                    <pic:cNvPr id="95" name="Google Shape;95;p5"/>
                    <pic:cNvPicPr preferRelativeResize="0"/>
                  </pic:nvPicPr>
                  <pic:blipFill rotWithShape="1">
                    <a:blip r:embed="rId5">
                      <a:alphaModFix/>
                    </a:blip>
                    <a:srcRect r="14972"/>
                    <a:stretch/>
                  </pic:blipFill>
                  <pic:spPr>
                    <a:xfrm>
                      <a:off x="0" y="0"/>
                      <a:ext cx="5400040" cy="3528060"/>
                    </a:xfrm>
                    <a:prstGeom prst="rect">
                      <a:avLst/>
                    </a:prstGeom>
                    <a:noFill/>
                    <a:ln>
                      <a:noFill/>
                    </a:ln>
                  </pic:spPr>
                </pic:pic>
              </a:graphicData>
            </a:graphic>
          </wp:inline>
        </w:drawing>
      </w:r>
    </w:p>
    <w:p w14:paraId="74CA5F26" w14:textId="77777777" w:rsidR="005F0B83" w:rsidRPr="005F0B83" w:rsidRDefault="005F0B83" w:rsidP="005F0B83">
      <w:pPr>
        <w:rPr>
          <w:rFonts w:ascii="Palatino Linotype" w:hAnsi="Palatino Linotype"/>
          <w:lang w:val="en-GB"/>
        </w:rPr>
      </w:pPr>
      <w:r w:rsidRPr="005F0B83">
        <w:rPr>
          <w:rFonts w:ascii="Palatino Linotype" w:hAnsi="Palatino Linotype"/>
          <w:lang w:val="en-GB"/>
        </w:rPr>
        <w:t>Figure S2. Poor stability of the ends of the sequences.</w:t>
      </w:r>
    </w:p>
    <w:p w14:paraId="11E21A25" w14:textId="2A3C883C" w:rsidR="005F0B83" w:rsidRDefault="005F0B83">
      <w:pPr>
        <w:rPr>
          <w:rFonts w:ascii="Palatino Linotype" w:hAnsi="Palatino Linotype"/>
          <w:lang w:val="en-GB"/>
        </w:rPr>
      </w:pPr>
    </w:p>
    <w:p w14:paraId="63F61404" w14:textId="3A518AB8" w:rsidR="005F0B83" w:rsidRDefault="005F0B83">
      <w:pPr>
        <w:rPr>
          <w:rFonts w:ascii="Palatino Linotype" w:hAnsi="Palatino Linotype"/>
          <w:lang w:val="en-GB"/>
        </w:rPr>
      </w:pPr>
      <w:r>
        <w:rPr>
          <w:rFonts w:ascii="Palatino Linotype" w:hAnsi="Palatino Linotype"/>
          <w:lang w:val="en-GB"/>
        </w:rPr>
        <w:drawing>
          <wp:inline distT="0" distB="0" distL="0" distR="0" wp14:anchorId="6E789E2F" wp14:editId="46E42AFA">
            <wp:extent cx="5429194" cy="29744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49536" cy="2985595"/>
                    </a:xfrm>
                    <a:prstGeom prst="rect">
                      <a:avLst/>
                    </a:prstGeom>
                    <a:noFill/>
                  </pic:spPr>
                </pic:pic>
              </a:graphicData>
            </a:graphic>
          </wp:inline>
        </w:drawing>
      </w:r>
    </w:p>
    <w:p w14:paraId="65437CC6" w14:textId="204CA232" w:rsidR="005F0B83" w:rsidRDefault="005F0B83">
      <w:pPr>
        <w:rPr>
          <w:rFonts w:ascii="Palatino Linotype" w:hAnsi="Palatino Linotype"/>
          <w:lang w:val="en-GB"/>
        </w:rPr>
      </w:pPr>
      <w:r w:rsidRPr="005F0B83">
        <w:rPr>
          <w:rFonts w:ascii="Palatino Linotype" w:hAnsi="Palatino Linotype"/>
          <w:lang w:val="en-GB"/>
        </w:rPr>
        <w:t>Figure S3. High stability of the central part of the sequences or complementary region.</w:t>
      </w:r>
    </w:p>
    <w:p w14:paraId="36F7226B" w14:textId="41F03CEF" w:rsidR="005F0B83" w:rsidRDefault="005F0B83">
      <w:pPr>
        <w:rPr>
          <w:rFonts w:ascii="Palatino Linotype" w:hAnsi="Palatino Linotype"/>
          <w:lang w:val="en-GB"/>
        </w:rPr>
      </w:pPr>
    </w:p>
    <w:p w14:paraId="1E438452" w14:textId="77777777" w:rsidR="005F0B83" w:rsidRPr="005F0B83" w:rsidRDefault="005F0B83" w:rsidP="005F0B83">
      <w:pPr>
        <w:rPr>
          <w:rFonts w:ascii="Palatino Linotype" w:hAnsi="Palatino Linotype"/>
          <w:lang w:val="en-GB"/>
        </w:rPr>
      </w:pPr>
      <w:r w:rsidRPr="005F0B83">
        <w:rPr>
          <w:rFonts w:ascii="Palatino Linotype" w:hAnsi="Palatino Linotype"/>
          <w:b/>
          <w:bCs/>
          <w:lang w:val="en-GB"/>
        </w:rPr>
        <w:t>SEQUENCE EDITING AND CONFIRMATION</w:t>
      </w:r>
    </w:p>
    <w:p w14:paraId="1F37EFEB" w14:textId="77777777" w:rsidR="005F0B83" w:rsidRPr="005F0B83" w:rsidRDefault="005F0B83" w:rsidP="005F0B83">
      <w:pPr>
        <w:rPr>
          <w:rFonts w:ascii="Palatino Linotype" w:hAnsi="Palatino Linotype"/>
          <w:lang w:val="en-GB"/>
        </w:rPr>
      </w:pPr>
      <w:r w:rsidRPr="005F0B83">
        <w:rPr>
          <w:rFonts w:ascii="Palatino Linotype" w:hAnsi="Palatino Linotype"/>
          <w:lang w:val="en-GB"/>
        </w:rPr>
        <w:t xml:space="preserve">Consensus sequences in Fasta format were loaded into Mega 10.1.6 and aligned using the Muscle algorithm </w:t>
      </w:r>
      <w:r w:rsidRPr="005F0B83">
        <w:rPr>
          <w:rFonts w:ascii="Palatino Linotype" w:hAnsi="Palatino Linotype"/>
          <w:b/>
          <w:bCs/>
          <w:lang w:val="en-GB"/>
        </w:rPr>
        <w:t xml:space="preserve">(Figure S4). </w:t>
      </w:r>
      <w:r w:rsidRPr="005F0B83">
        <w:rPr>
          <w:rFonts w:ascii="Palatino Linotype" w:hAnsi="Palatino Linotype"/>
          <w:lang w:val="en-GB"/>
        </w:rPr>
        <w:t>Subsequently, all sequences of the same size were cut (edited) and exported in Fasta (*.fas) and Mega (*.meg) format.</w:t>
      </w:r>
    </w:p>
    <w:p w14:paraId="385E8367" w14:textId="2D331F07" w:rsidR="005F0B83" w:rsidRPr="005F0B83" w:rsidRDefault="005F0B83">
      <w:pPr>
        <w:rPr>
          <w:rFonts w:ascii="Palatino Linotype" w:hAnsi="Palatino Linotype"/>
          <w:lang w:val="en-GB"/>
        </w:rPr>
      </w:pPr>
      <w:r w:rsidRPr="005F0B83">
        <w:rPr>
          <w:rFonts w:ascii="Palatino Linotype" w:hAnsi="Palatino Linotype"/>
        </w:rPr>
        <w:lastRenderedPageBreak/>
        <w:drawing>
          <wp:inline distT="0" distB="0" distL="0" distR="0" wp14:anchorId="1D3A15FA" wp14:editId="3BFCA136">
            <wp:extent cx="5400040" cy="1588770"/>
            <wp:effectExtent l="0" t="0" r="0" b="0"/>
            <wp:docPr id="113" name="Google Shape;113;p7"/>
            <wp:cNvGraphicFramePr/>
            <a:graphic xmlns:a="http://schemas.openxmlformats.org/drawingml/2006/main">
              <a:graphicData uri="http://schemas.openxmlformats.org/drawingml/2006/picture">
                <pic:pic xmlns:pic="http://schemas.openxmlformats.org/drawingml/2006/picture">
                  <pic:nvPicPr>
                    <pic:cNvPr id="113" name="Google Shape;113;p7"/>
                    <pic:cNvPicPr preferRelativeResize="0"/>
                  </pic:nvPicPr>
                  <pic:blipFill rotWithShape="1">
                    <a:blip r:embed="rId7">
                      <a:alphaModFix/>
                    </a:blip>
                    <a:srcRect/>
                    <a:stretch/>
                  </pic:blipFill>
                  <pic:spPr>
                    <a:xfrm>
                      <a:off x="0" y="0"/>
                      <a:ext cx="5400040" cy="1588770"/>
                    </a:xfrm>
                    <a:prstGeom prst="rect">
                      <a:avLst/>
                    </a:prstGeom>
                    <a:noFill/>
                    <a:ln>
                      <a:noFill/>
                    </a:ln>
                  </pic:spPr>
                </pic:pic>
              </a:graphicData>
            </a:graphic>
          </wp:inline>
        </w:drawing>
      </w:r>
    </w:p>
    <w:p w14:paraId="307DFADE" w14:textId="77777777" w:rsidR="005F0B83" w:rsidRPr="005F0B83" w:rsidRDefault="005F0B83" w:rsidP="005F0B83">
      <w:pPr>
        <w:rPr>
          <w:rFonts w:ascii="Palatino Linotype" w:hAnsi="Palatino Linotype"/>
          <w:lang w:val="en-GB"/>
        </w:rPr>
      </w:pPr>
      <w:r w:rsidRPr="005F0B83">
        <w:rPr>
          <w:rFonts w:ascii="Palatino Linotype" w:hAnsi="Palatino Linotype"/>
          <w:lang w:val="en-GB"/>
        </w:rPr>
        <w:t>Figure S4. Sequence alignment in the Mega programme.</w:t>
      </w:r>
    </w:p>
    <w:p w14:paraId="6A0884CA" w14:textId="67BC5506" w:rsidR="005F0B83" w:rsidRPr="005F0B83" w:rsidRDefault="005F0B83" w:rsidP="005F0B83">
      <w:pPr>
        <w:rPr>
          <w:rFonts w:ascii="Palatino Linotype" w:hAnsi="Palatino Linotype"/>
          <w:lang w:val="en-GB"/>
        </w:rPr>
      </w:pPr>
      <w:r w:rsidRPr="005F0B83">
        <w:rPr>
          <w:rFonts w:ascii="Palatino Linotype" w:hAnsi="Palatino Linotype"/>
          <w:lang w:val="en-GB"/>
        </w:rPr>
        <w:t>The generated sequences were checked against the Genebank database using the BLASTntool</w:t>
      </w:r>
      <w:r>
        <w:rPr>
          <w:rFonts w:ascii="Palatino Linotype" w:hAnsi="Palatino Linotype"/>
          <w:lang w:val="en-GB"/>
        </w:rPr>
        <w:t xml:space="preserve"> </w:t>
      </w:r>
      <w:r w:rsidRPr="005F0B83">
        <w:rPr>
          <w:rFonts w:ascii="Palatino Linotype" w:hAnsi="Palatino Linotype"/>
          <w:lang w:val="en-GB"/>
        </w:rPr>
        <w:t xml:space="preserve">(https://blast.ncbi.nlm.nih.gov/Blast.cgi PAGE_TYPE=BlastSearch ) to confirm the identity of the Lolium multiflorum species and also to confirm the Internal Transcribed Spacer(ITS) region of the mitochondrial DNA </w:t>
      </w:r>
      <w:r w:rsidRPr="005F0B83">
        <w:rPr>
          <w:rFonts w:ascii="Palatino Linotype" w:hAnsi="Palatino Linotype"/>
          <w:b/>
          <w:bCs/>
          <w:lang w:val="en-GB"/>
        </w:rPr>
        <w:t>(Figure S5).</w:t>
      </w:r>
    </w:p>
    <w:p w14:paraId="75A7BA7C" w14:textId="77F1E509" w:rsidR="005F0B83" w:rsidRDefault="005F0B83">
      <w:pPr>
        <w:rPr>
          <w:rFonts w:ascii="Palatino Linotype" w:hAnsi="Palatino Linotype"/>
          <w:lang w:val="en-GB"/>
        </w:rPr>
      </w:pPr>
      <w:r w:rsidRPr="005F0B83">
        <w:rPr>
          <w:rFonts w:ascii="Palatino Linotype" w:hAnsi="Palatino Linotype"/>
        </w:rPr>
        <w:drawing>
          <wp:inline distT="0" distB="0" distL="0" distR="0" wp14:anchorId="392296D5" wp14:editId="79F7EE4F">
            <wp:extent cx="5400040" cy="3470275"/>
            <wp:effectExtent l="0" t="0" r="0" b="0"/>
            <wp:docPr id="120" name="Google Shape;120;p8"/>
            <wp:cNvGraphicFramePr/>
            <a:graphic xmlns:a="http://schemas.openxmlformats.org/drawingml/2006/main">
              <a:graphicData uri="http://schemas.openxmlformats.org/drawingml/2006/picture">
                <pic:pic xmlns:pic="http://schemas.openxmlformats.org/drawingml/2006/picture">
                  <pic:nvPicPr>
                    <pic:cNvPr id="120" name="Google Shape;120;p8"/>
                    <pic:cNvPicPr preferRelativeResize="0"/>
                  </pic:nvPicPr>
                  <pic:blipFill rotWithShape="1">
                    <a:blip r:embed="rId8">
                      <a:alphaModFix/>
                    </a:blip>
                    <a:srcRect/>
                    <a:stretch/>
                  </pic:blipFill>
                  <pic:spPr>
                    <a:xfrm>
                      <a:off x="0" y="0"/>
                      <a:ext cx="5400040" cy="3470275"/>
                    </a:xfrm>
                    <a:prstGeom prst="rect">
                      <a:avLst/>
                    </a:prstGeom>
                    <a:noFill/>
                    <a:ln>
                      <a:noFill/>
                    </a:ln>
                  </pic:spPr>
                </pic:pic>
              </a:graphicData>
            </a:graphic>
          </wp:inline>
        </w:drawing>
      </w:r>
    </w:p>
    <w:p w14:paraId="11344AB4" w14:textId="77777777" w:rsidR="00023A80" w:rsidRPr="00023A80" w:rsidRDefault="00023A80" w:rsidP="00023A80">
      <w:pPr>
        <w:rPr>
          <w:rFonts w:ascii="Palatino Linotype" w:hAnsi="Palatino Linotype"/>
          <w:lang w:val="en-GB"/>
        </w:rPr>
      </w:pPr>
      <w:r w:rsidRPr="00023A80">
        <w:rPr>
          <w:rFonts w:ascii="Palatino Linotype" w:hAnsi="Palatino Linotype"/>
          <w:lang w:val="en-GB"/>
        </w:rPr>
        <w:t>Figure S5. Identification of species and mitochondrial DNA region with the BLASTn tool.</w:t>
      </w:r>
    </w:p>
    <w:p w14:paraId="15EC8262" w14:textId="50421651" w:rsidR="005F0B83" w:rsidRDefault="00023A80">
      <w:pPr>
        <w:rPr>
          <w:rFonts w:ascii="Palatino Linotype" w:hAnsi="Palatino Linotype"/>
          <w:lang w:val="en-GB"/>
        </w:rPr>
      </w:pPr>
      <w:r w:rsidRPr="00023A80">
        <w:rPr>
          <w:rFonts w:ascii="Palatino Linotype" w:hAnsi="Palatino Linotype"/>
        </w:rPr>
        <w:lastRenderedPageBreak/>
        <w:drawing>
          <wp:inline distT="0" distB="0" distL="0" distR="0" wp14:anchorId="0C063D29" wp14:editId="74402CAA">
            <wp:extent cx="5400040" cy="4290695"/>
            <wp:effectExtent l="0" t="0" r="0" b="0"/>
            <wp:docPr id="126" name="Google Shape;126;p9"/>
            <wp:cNvGraphicFramePr/>
            <a:graphic xmlns:a="http://schemas.openxmlformats.org/drawingml/2006/main">
              <a:graphicData uri="http://schemas.openxmlformats.org/drawingml/2006/picture">
                <pic:pic xmlns:pic="http://schemas.openxmlformats.org/drawingml/2006/picture">
                  <pic:nvPicPr>
                    <pic:cNvPr id="126" name="Google Shape;126;p9"/>
                    <pic:cNvPicPr preferRelativeResize="0"/>
                  </pic:nvPicPr>
                  <pic:blipFill rotWithShape="1">
                    <a:blip r:embed="rId9">
                      <a:alphaModFix/>
                    </a:blip>
                    <a:srcRect/>
                    <a:stretch/>
                  </pic:blipFill>
                  <pic:spPr>
                    <a:xfrm>
                      <a:off x="0" y="0"/>
                      <a:ext cx="5400040" cy="4290695"/>
                    </a:xfrm>
                    <a:prstGeom prst="rect">
                      <a:avLst/>
                    </a:prstGeom>
                    <a:noFill/>
                    <a:ln>
                      <a:noFill/>
                    </a:ln>
                  </pic:spPr>
                </pic:pic>
              </a:graphicData>
            </a:graphic>
          </wp:inline>
        </w:drawing>
      </w:r>
    </w:p>
    <w:p w14:paraId="67182A3E" w14:textId="5B7113AD" w:rsidR="00023A80" w:rsidRDefault="00023A80">
      <w:pPr>
        <w:rPr>
          <w:rFonts w:ascii="Palatino Linotype" w:hAnsi="Palatino Linotype"/>
          <w:lang w:val="en-GB"/>
        </w:rPr>
      </w:pPr>
      <w:r w:rsidRPr="00023A80">
        <w:rPr>
          <w:rFonts w:ascii="Palatino Linotype" w:hAnsi="Palatino Linotype"/>
          <w:lang w:val="en-GB"/>
        </w:rPr>
        <w:t>Continued Figure S5. Identification of species and mitochondrial DNA region with the BLASTn tool.</w:t>
      </w:r>
    </w:p>
    <w:p w14:paraId="1C0CBBDA" w14:textId="77777777" w:rsidR="00023A80" w:rsidRDefault="00023A80">
      <w:pPr>
        <w:rPr>
          <w:rFonts w:ascii="Palatino Linotype" w:hAnsi="Palatino Linotype"/>
          <w:lang w:val="en-GB"/>
        </w:rPr>
      </w:pPr>
    </w:p>
    <w:p w14:paraId="6139533B" w14:textId="77777777" w:rsidR="00023A80" w:rsidRPr="00023A80" w:rsidRDefault="00023A80" w:rsidP="00023A80">
      <w:pPr>
        <w:rPr>
          <w:rFonts w:ascii="Palatino Linotype" w:hAnsi="Palatino Linotype"/>
          <w:lang w:val="en-GB"/>
        </w:rPr>
      </w:pPr>
      <w:r w:rsidRPr="00023A80">
        <w:rPr>
          <w:rFonts w:ascii="Palatino Linotype" w:hAnsi="Palatino Linotype"/>
          <w:b/>
          <w:bCs/>
          <w:lang w:val="en-GB"/>
        </w:rPr>
        <w:t xml:space="preserve">Phylogenetic trees of </w:t>
      </w:r>
      <w:r w:rsidRPr="00023A80">
        <w:rPr>
          <w:rFonts w:ascii="Palatino Linotype" w:hAnsi="Palatino Linotype"/>
          <w:b/>
          <w:bCs/>
          <w:i/>
          <w:iCs/>
          <w:lang w:val="en-GB"/>
        </w:rPr>
        <w:t>Lolium multiflorum</w:t>
      </w:r>
    </w:p>
    <w:p w14:paraId="6F3AE8AE" w14:textId="6DA9CC1A" w:rsidR="00023A80" w:rsidRPr="00023A80" w:rsidRDefault="00023A80" w:rsidP="00023A80">
      <w:pPr>
        <w:rPr>
          <w:rFonts w:ascii="Palatino Linotype" w:hAnsi="Palatino Linotype"/>
          <w:lang w:val="en-GB"/>
        </w:rPr>
      </w:pPr>
      <w:r w:rsidRPr="00023A80">
        <w:rPr>
          <w:rFonts w:ascii="Palatino Linotype" w:hAnsi="Palatino Linotype"/>
          <w:lang w:val="en-GB"/>
        </w:rPr>
        <w:t xml:space="preserve">The phylogenetic trees of Lolium multiflorum, obtained from the mitochondrial DNA sequences, group the three samples under study and keep the reference sequence for Lolium multiflorum (Genebank) on an external branch </w:t>
      </w:r>
      <w:r w:rsidRPr="00023A80">
        <w:rPr>
          <w:rFonts w:ascii="Palatino Linotype" w:hAnsi="Palatino Linotype"/>
          <w:b/>
          <w:bCs/>
          <w:lang w:val="en-GB"/>
        </w:rPr>
        <w:t>(Figure S</w:t>
      </w:r>
      <w:r w:rsidR="00F374CB">
        <w:rPr>
          <w:rFonts w:ascii="Palatino Linotype" w:hAnsi="Palatino Linotype"/>
          <w:b/>
          <w:bCs/>
          <w:lang w:val="en-GB"/>
        </w:rPr>
        <w:t>6</w:t>
      </w:r>
      <w:r w:rsidRPr="00023A80">
        <w:rPr>
          <w:rFonts w:ascii="Palatino Linotype" w:hAnsi="Palatino Linotype"/>
          <w:b/>
          <w:bCs/>
          <w:lang w:val="en-GB"/>
        </w:rPr>
        <w:t>).</w:t>
      </w:r>
    </w:p>
    <w:p w14:paraId="5047BE6A" w14:textId="77777777" w:rsidR="00023A80" w:rsidRDefault="00023A80">
      <w:pPr>
        <w:rPr>
          <w:rFonts w:ascii="Palatino Linotype" w:hAnsi="Palatino Linotype"/>
          <w:lang w:val="en-GB"/>
        </w:rPr>
      </w:pPr>
      <w:r w:rsidRPr="00023A80">
        <w:rPr>
          <w:rFonts w:ascii="Palatino Linotype" w:hAnsi="Palatino Linotype"/>
        </w:rPr>
        <w:drawing>
          <wp:inline distT="0" distB="0" distL="0" distR="0" wp14:anchorId="792F0A4C" wp14:editId="19111CAF">
            <wp:extent cx="4368800" cy="2073034"/>
            <wp:effectExtent l="0" t="0" r="0" b="3810"/>
            <wp:docPr id="161" name="Google Shape;161;p14"/>
            <wp:cNvGraphicFramePr/>
            <a:graphic xmlns:a="http://schemas.openxmlformats.org/drawingml/2006/main">
              <a:graphicData uri="http://schemas.openxmlformats.org/drawingml/2006/picture">
                <pic:pic xmlns:pic="http://schemas.openxmlformats.org/drawingml/2006/picture">
                  <pic:nvPicPr>
                    <pic:cNvPr id="161" name="Google Shape;161;p14"/>
                    <pic:cNvPicPr preferRelativeResize="0"/>
                  </pic:nvPicPr>
                  <pic:blipFill rotWithShape="1">
                    <a:blip r:embed="rId10">
                      <a:alphaModFix/>
                    </a:blip>
                    <a:srcRect/>
                    <a:stretch/>
                  </pic:blipFill>
                  <pic:spPr>
                    <a:xfrm>
                      <a:off x="0" y="0"/>
                      <a:ext cx="4414249" cy="2094600"/>
                    </a:xfrm>
                    <a:prstGeom prst="rect">
                      <a:avLst/>
                    </a:prstGeom>
                    <a:noFill/>
                    <a:ln>
                      <a:noFill/>
                    </a:ln>
                  </pic:spPr>
                </pic:pic>
              </a:graphicData>
            </a:graphic>
          </wp:inline>
        </w:drawing>
      </w:r>
    </w:p>
    <w:p w14:paraId="18DEB57D" w14:textId="1BFD7170" w:rsidR="00023A80" w:rsidRPr="00023A80" w:rsidRDefault="00023A80" w:rsidP="00023A80">
      <w:pPr>
        <w:rPr>
          <w:rFonts w:ascii="Palatino Linotype" w:hAnsi="Palatino Linotype"/>
          <w:lang w:val="en-GB"/>
        </w:rPr>
      </w:pPr>
      <w:r w:rsidRPr="00023A80">
        <w:rPr>
          <w:rFonts w:ascii="Palatino Linotype" w:hAnsi="Palatino Linotype"/>
          <w:lang w:val="en-GB"/>
        </w:rPr>
        <w:t>Figure S</w:t>
      </w:r>
      <w:r w:rsidR="00F374CB">
        <w:rPr>
          <w:rFonts w:ascii="Palatino Linotype" w:hAnsi="Palatino Linotype"/>
          <w:lang w:val="en-GB"/>
        </w:rPr>
        <w:t>6</w:t>
      </w:r>
      <w:r w:rsidRPr="00023A80">
        <w:rPr>
          <w:rFonts w:ascii="Palatino Linotype" w:hAnsi="Palatino Linotype"/>
          <w:lang w:val="en-GB"/>
        </w:rPr>
        <w:t xml:space="preserve">. Neighbor-joining phylogenetic tree for </w:t>
      </w:r>
      <w:r w:rsidRPr="00023A80">
        <w:rPr>
          <w:rFonts w:ascii="Palatino Linotype" w:hAnsi="Palatino Linotype"/>
          <w:i/>
          <w:iCs/>
          <w:lang w:val="en-GB"/>
        </w:rPr>
        <w:t>Lolium multiflorum</w:t>
      </w:r>
      <w:r w:rsidRPr="00023A80">
        <w:rPr>
          <w:rFonts w:ascii="Palatino Linotype" w:hAnsi="Palatino Linotype"/>
          <w:lang w:val="en-GB"/>
        </w:rPr>
        <w:t>.</w:t>
      </w:r>
    </w:p>
    <w:p w14:paraId="265D1978" w14:textId="59386C76" w:rsidR="00023A80" w:rsidRPr="00023A80" w:rsidRDefault="00023A80" w:rsidP="00023A80">
      <w:pPr>
        <w:rPr>
          <w:rFonts w:ascii="Palatino Linotype" w:hAnsi="Palatino Linotype"/>
          <w:lang w:val="en-GB"/>
        </w:rPr>
      </w:pPr>
      <w:r w:rsidRPr="00023A80">
        <w:rPr>
          <w:rFonts w:ascii="Palatino Linotype" w:hAnsi="Palatino Linotype"/>
          <w:lang w:val="en-GB"/>
        </w:rPr>
        <w:lastRenderedPageBreak/>
        <w:t xml:space="preserve">When the sequence of the Festuca drama outgroup is added, the 3 study samples maintain the clustering on a single branch. In contrast, the reference sequence and the outgroup are presented on external branches </w:t>
      </w:r>
      <w:r w:rsidRPr="00023A80">
        <w:rPr>
          <w:rFonts w:ascii="Palatino Linotype" w:hAnsi="Palatino Linotype"/>
          <w:b/>
          <w:bCs/>
          <w:lang w:val="en-GB"/>
        </w:rPr>
        <w:t>(Figure S</w:t>
      </w:r>
      <w:r w:rsidR="00F374CB">
        <w:rPr>
          <w:rFonts w:ascii="Palatino Linotype" w:hAnsi="Palatino Linotype"/>
          <w:b/>
          <w:bCs/>
          <w:lang w:val="en-GB"/>
        </w:rPr>
        <w:t>7</w:t>
      </w:r>
      <w:r w:rsidRPr="00023A80">
        <w:rPr>
          <w:rFonts w:ascii="Palatino Linotype" w:hAnsi="Palatino Linotype"/>
          <w:b/>
          <w:bCs/>
          <w:lang w:val="en-GB"/>
        </w:rPr>
        <w:t>).</w:t>
      </w:r>
    </w:p>
    <w:p w14:paraId="20E451AC" w14:textId="390A2B46" w:rsidR="005F0B83" w:rsidRDefault="00023A80">
      <w:pPr>
        <w:rPr>
          <w:rFonts w:ascii="Palatino Linotype" w:hAnsi="Palatino Linotype"/>
          <w:lang w:val="en-GB"/>
        </w:rPr>
      </w:pPr>
      <w:r w:rsidRPr="00023A80">
        <w:rPr>
          <w:rFonts w:ascii="Palatino Linotype" w:hAnsi="Palatino Linotype"/>
        </w:rPr>
        <w:drawing>
          <wp:inline distT="0" distB="0" distL="0" distR="0" wp14:anchorId="64E14FA7" wp14:editId="71C0BBC6">
            <wp:extent cx="5400040" cy="3107055"/>
            <wp:effectExtent l="0" t="0" r="0" b="0"/>
            <wp:docPr id="168" name="Google Shape;168;p15"/>
            <wp:cNvGraphicFramePr/>
            <a:graphic xmlns:a="http://schemas.openxmlformats.org/drawingml/2006/main">
              <a:graphicData uri="http://schemas.openxmlformats.org/drawingml/2006/picture">
                <pic:pic xmlns:pic="http://schemas.openxmlformats.org/drawingml/2006/picture">
                  <pic:nvPicPr>
                    <pic:cNvPr id="168" name="Google Shape;168;p15"/>
                    <pic:cNvPicPr preferRelativeResize="0"/>
                  </pic:nvPicPr>
                  <pic:blipFill rotWithShape="1">
                    <a:blip r:embed="rId11">
                      <a:alphaModFix/>
                    </a:blip>
                    <a:srcRect/>
                    <a:stretch/>
                  </pic:blipFill>
                  <pic:spPr>
                    <a:xfrm>
                      <a:off x="0" y="0"/>
                      <a:ext cx="5400040" cy="3107055"/>
                    </a:xfrm>
                    <a:prstGeom prst="rect">
                      <a:avLst/>
                    </a:prstGeom>
                    <a:noFill/>
                    <a:ln>
                      <a:noFill/>
                    </a:ln>
                  </pic:spPr>
                </pic:pic>
              </a:graphicData>
            </a:graphic>
          </wp:inline>
        </w:drawing>
      </w:r>
    </w:p>
    <w:p w14:paraId="240EC7D8" w14:textId="3AC6FFFE" w:rsidR="00023A80" w:rsidRPr="00023A80" w:rsidRDefault="00023A80" w:rsidP="00023A80">
      <w:pPr>
        <w:rPr>
          <w:rFonts w:ascii="Palatino Linotype" w:hAnsi="Palatino Linotype"/>
          <w:lang w:val="en-GB"/>
        </w:rPr>
      </w:pPr>
      <w:r w:rsidRPr="00023A80">
        <w:rPr>
          <w:rFonts w:ascii="Palatino Linotype" w:hAnsi="Palatino Linotype"/>
          <w:lang w:val="en-GB"/>
        </w:rPr>
        <w:t>Figure S</w:t>
      </w:r>
      <w:r w:rsidR="00F374CB">
        <w:rPr>
          <w:rFonts w:ascii="Palatino Linotype" w:hAnsi="Palatino Linotype"/>
          <w:lang w:val="en-GB"/>
        </w:rPr>
        <w:t>7</w:t>
      </w:r>
      <w:r w:rsidRPr="00023A80">
        <w:rPr>
          <w:rFonts w:ascii="Palatino Linotype" w:hAnsi="Palatino Linotype"/>
          <w:lang w:val="en-GB"/>
        </w:rPr>
        <w:t xml:space="preserve">. Phylogenetic tree Maximum Likelihood with the </w:t>
      </w:r>
      <w:r w:rsidRPr="00023A80">
        <w:rPr>
          <w:rFonts w:ascii="Palatino Linotype" w:hAnsi="Palatino Linotype"/>
          <w:i/>
          <w:iCs/>
          <w:lang w:val="en-GB"/>
        </w:rPr>
        <w:t>Festuca drymeja</w:t>
      </w:r>
      <w:r w:rsidRPr="00023A80">
        <w:rPr>
          <w:rFonts w:ascii="Palatino Linotype" w:hAnsi="Palatino Linotype"/>
          <w:lang w:val="en-GB"/>
        </w:rPr>
        <w:t xml:space="preserve"> group.</w:t>
      </w:r>
    </w:p>
    <w:p w14:paraId="562AFEE2" w14:textId="4F554016" w:rsidR="00023A80" w:rsidRDefault="00023A80">
      <w:pPr>
        <w:rPr>
          <w:rFonts w:ascii="Palatino Linotype" w:hAnsi="Palatino Linotype"/>
          <w:lang w:val="en-GB"/>
        </w:rPr>
      </w:pPr>
    </w:p>
    <w:p w14:paraId="76E2F6DB" w14:textId="77777777" w:rsidR="00023A80" w:rsidRPr="00023A80" w:rsidRDefault="00023A80" w:rsidP="00023A80">
      <w:pPr>
        <w:rPr>
          <w:rFonts w:ascii="Palatino Linotype" w:hAnsi="Palatino Linotype"/>
          <w:lang w:val="en-GB"/>
        </w:rPr>
      </w:pPr>
      <w:r w:rsidRPr="00023A80">
        <w:rPr>
          <w:rFonts w:ascii="Palatino Linotype" w:hAnsi="Palatino Linotype"/>
          <w:b/>
          <w:bCs/>
          <w:lang w:val="en-GB"/>
        </w:rPr>
        <w:t>Haplotype network of Lolium multiflorum</w:t>
      </w:r>
    </w:p>
    <w:p w14:paraId="7C2537C6" w14:textId="47F3945B" w:rsidR="00023A80" w:rsidRPr="00023A80" w:rsidRDefault="00023A80" w:rsidP="00023A80">
      <w:pPr>
        <w:rPr>
          <w:rFonts w:ascii="Palatino Linotype" w:hAnsi="Palatino Linotype"/>
          <w:lang w:val="en-GB"/>
        </w:rPr>
      </w:pPr>
      <w:r w:rsidRPr="00023A80">
        <w:rPr>
          <w:rFonts w:ascii="Palatino Linotype" w:hAnsi="Palatino Linotype"/>
          <w:lang w:val="en-GB"/>
        </w:rPr>
        <w:t xml:space="preserve">The haplotypic network identified for Lolium multiflorum, through the mitochondrial DNA sequences, shows two unique haplotypes, where haplotype 1 (H_1) contains the three samples under study and haplotype 2 (H_2) contains the reference sequence for Lolium multiflorum, obtained from Genebank </w:t>
      </w:r>
      <w:r w:rsidRPr="00023A80">
        <w:rPr>
          <w:rFonts w:ascii="Palatino Linotype" w:hAnsi="Palatino Linotype"/>
          <w:b/>
          <w:bCs/>
          <w:lang w:val="en-GB"/>
        </w:rPr>
        <w:t>(Figure S</w:t>
      </w:r>
      <w:r w:rsidR="00F374CB">
        <w:rPr>
          <w:rFonts w:ascii="Palatino Linotype" w:hAnsi="Palatino Linotype"/>
          <w:b/>
          <w:bCs/>
          <w:lang w:val="en-GB"/>
        </w:rPr>
        <w:t>8</w:t>
      </w:r>
      <w:r w:rsidRPr="00023A80">
        <w:rPr>
          <w:rFonts w:ascii="Palatino Linotype" w:hAnsi="Palatino Linotype"/>
          <w:b/>
          <w:bCs/>
          <w:lang w:val="en-GB"/>
        </w:rPr>
        <w:t>).</w:t>
      </w:r>
    </w:p>
    <w:p w14:paraId="3AD9AFD3" w14:textId="1F9FD5E7" w:rsidR="00023A80" w:rsidRPr="00023A80" w:rsidRDefault="00023A80" w:rsidP="00023A80">
      <w:pPr>
        <w:rPr>
          <w:rFonts w:ascii="Palatino Linotype" w:hAnsi="Palatino Linotype"/>
          <w:lang w:val="en-GB"/>
        </w:rPr>
      </w:pPr>
      <w:r w:rsidRPr="00023A80">
        <w:rPr>
          <w:rFonts w:ascii="Palatino Linotype" w:hAnsi="Palatino Linotype"/>
          <w:lang w:val="en-GB"/>
        </w:rPr>
        <w:t xml:space="preserve">Similarly, when the sequence of the outgroup Festuca drama is added, the 3 study samples maintain the clustering in the same haplogroup </w:t>
      </w:r>
      <w:r w:rsidRPr="00023A80">
        <w:rPr>
          <w:rFonts w:ascii="Palatino Linotype" w:hAnsi="Palatino Linotype"/>
          <w:b/>
          <w:bCs/>
          <w:lang w:val="en-GB"/>
        </w:rPr>
        <w:t>(Figure S</w:t>
      </w:r>
      <w:r w:rsidR="00F374CB">
        <w:rPr>
          <w:rFonts w:ascii="Palatino Linotype" w:hAnsi="Palatino Linotype"/>
          <w:b/>
          <w:bCs/>
          <w:lang w:val="en-GB"/>
        </w:rPr>
        <w:t>9</w:t>
      </w:r>
      <w:r w:rsidRPr="00023A80">
        <w:rPr>
          <w:rFonts w:ascii="Palatino Linotype" w:hAnsi="Palatino Linotype"/>
          <w:b/>
          <w:bCs/>
          <w:lang w:val="en-GB"/>
        </w:rPr>
        <w:t>).</w:t>
      </w:r>
    </w:p>
    <w:p w14:paraId="148877D1" w14:textId="5E951185" w:rsidR="00023A80" w:rsidRDefault="00023A80">
      <w:pPr>
        <w:rPr>
          <w:rFonts w:ascii="Palatino Linotype" w:hAnsi="Palatino Linotype"/>
          <w:lang w:val="en-GB"/>
        </w:rPr>
      </w:pPr>
      <w:r w:rsidRPr="00023A80">
        <w:rPr>
          <w:rFonts w:ascii="Palatino Linotype" w:hAnsi="Palatino Linotype"/>
        </w:rPr>
        <w:drawing>
          <wp:inline distT="0" distB="0" distL="0" distR="0" wp14:anchorId="0ADE3EF9" wp14:editId="7FF7DE01">
            <wp:extent cx="5400040" cy="2214880"/>
            <wp:effectExtent l="0" t="0" r="0" b="0"/>
            <wp:docPr id="175" name="Google Shape;175;p16"/>
            <wp:cNvGraphicFramePr/>
            <a:graphic xmlns:a="http://schemas.openxmlformats.org/drawingml/2006/main">
              <a:graphicData uri="http://schemas.openxmlformats.org/drawingml/2006/picture">
                <pic:pic xmlns:pic="http://schemas.openxmlformats.org/drawingml/2006/picture">
                  <pic:nvPicPr>
                    <pic:cNvPr id="175" name="Google Shape;175;p16"/>
                    <pic:cNvPicPr preferRelativeResize="0"/>
                  </pic:nvPicPr>
                  <pic:blipFill rotWithShape="1">
                    <a:blip r:embed="rId12">
                      <a:alphaModFix/>
                    </a:blip>
                    <a:srcRect/>
                    <a:stretch/>
                  </pic:blipFill>
                  <pic:spPr>
                    <a:xfrm>
                      <a:off x="0" y="0"/>
                      <a:ext cx="5400040" cy="2214880"/>
                    </a:xfrm>
                    <a:prstGeom prst="rect">
                      <a:avLst/>
                    </a:prstGeom>
                    <a:noFill/>
                    <a:ln>
                      <a:noFill/>
                    </a:ln>
                  </pic:spPr>
                </pic:pic>
              </a:graphicData>
            </a:graphic>
          </wp:inline>
        </w:drawing>
      </w:r>
    </w:p>
    <w:p w14:paraId="721C72C6" w14:textId="44087C39" w:rsidR="00023A80" w:rsidRPr="00023A80" w:rsidRDefault="00023A80" w:rsidP="00023A80">
      <w:pPr>
        <w:rPr>
          <w:rFonts w:ascii="Palatino Linotype" w:hAnsi="Palatino Linotype"/>
          <w:lang w:val="en-GB"/>
        </w:rPr>
      </w:pPr>
      <w:r w:rsidRPr="00023A80">
        <w:rPr>
          <w:rFonts w:ascii="Palatino Linotype" w:hAnsi="Palatino Linotype"/>
          <w:lang w:val="en-GB"/>
        </w:rPr>
        <w:t>Figure S</w:t>
      </w:r>
      <w:r w:rsidR="00F374CB">
        <w:rPr>
          <w:rFonts w:ascii="Palatino Linotype" w:hAnsi="Palatino Linotype"/>
          <w:lang w:val="en-GB"/>
        </w:rPr>
        <w:t>8</w:t>
      </w:r>
      <w:r w:rsidRPr="00023A80">
        <w:rPr>
          <w:rFonts w:ascii="Palatino Linotype" w:hAnsi="Palatino Linotype"/>
          <w:lang w:val="en-GB"/>
        </w:rPr>
        <w:t>. Haplotype network for Lolium multiflorum.</w:t>
      </w:r>
    </w:p>
    <w:p w14:paraId="17CDFF46" w14:textId="2FDD559F" w:rsidR="00023A80" w:rsidRDefault="00023A80">
      <w:pPr>
        <w:rPr>
          <w:rFonts w:ascii="Palatino Linotype" w:hAnsi="Palatino Linotype"/>
          <w:lang w:val="en-GB"/>
        </w:rPr>
      </w:pPr>
      <w:r w:rsidRPr="00023A80">
        <w:rPr>
          <w:rFonts w:ascii="Palatino Linotype" w:hAnsi="Palatino Linotype"/>
        </w:rPr>
        <w:lastRenderedPageBreak/>
        <w:drawing>
          <wp:inline distT="0" distB="0" distL="0" distR="0" wp14:anchorId="4E68C280" wp14:editId="1A28F21F">
            <wp:extent cx="5400040" cy="1763486"/>
            <wp:effectExtent l="0" t="0" r="0" b="8255"/>
            <wp:docPr id="181" name="Google Shape;181;p17"/>
            <wp:cNvGraphicFramePr/>
            <a:graphic xmlns:a="http://schemas.openxmlformats.org/drawingml/2006/main">
              <a:graphicData uri="http://schemas.openxmlformats.org/drawingml/2006/picture">
                <pic:pic xmlns:pic="http://schemas.openxmlformats.org/drawingml/2006/picture">
                  <pic:nvPicPr>
                    <pic:cNvPr id="181" name="Google Shape;181;p17"/>
                    <pic:cNvPicPr preferRelativeResize="0"/>
                  </pic:nvPicPr>
                  <pic:blipFill rotWithShape="1">
                    <a:blip r:embed="rId13">
                      <a:alphaModFix/>
                    </a:blip>
                    <a:srcRect/>
                    <a:stretch/>
                  </pic:blipFill>
                  <pic:spPr>
                    <a:xfrm>
                      <a:off x="0" y="0"/>
                      <a:ext cx="5419685" cy="1769901"/>
                    </a:xfrm>
                    <a:prstGeom prst="rect">
                      <a:avLst/>
                    </a:prstGeom>
                    <a:noFill/>
                    <a:ln>
                      <a:noFill/>
                    </a:ln>
                  </pic:spPr>
                </pic:pic>
              </a:graphicData>
            </a:graphic>
          </wp:inline>
        </w:drawing>
      </w:r>
    </w:p>
    <w:p w14:paraId="46A48539" w14:textId="4ED2551A" w:rsidR="00023A80" w:rsidRPr="00023A80" w:rsidRDefault="00023A80" w:rsidP="00023A80">
      <w:pPr>
        <w:rPr>
          <w:rFonts w:ascii="Palatino Linotype" w:hAnsi="Palatino Linotype"/>
          <w:lang w:val="en-GB"/>
        </w:rPr>
      </w:pPr>
      <w:r w:rsidRPr="00023A80">
        <w:rPr>
          <w:rFonts w:ascii="Palatino Linotype" w:hAnsi="Palatino Linotype"/>
          <w:lang w:val="en-GB"/>
        </w:rPr>
        <w:t>Figure S</w:t>
      </w:r>
      <w:r w:rsidR="00F374CB">
        <w:rPr>
          <w:rFonts w:ascii="Palatino Linotype" w:hAnsi="Palatino Linotype"/>
          <w:lang w:val="en-GB"/>
        </w:rPr>
        <w:t>9</w:t>
      </w:r>
      <w:r w:rsidRPr="00023A80">
        <w:rPr>
          <w:rFonts w:ascii="Palatino Linotype" w:hAnsi="Palatino Linotype"/>
          <w:lang w:val="en-GB"/>
        </w:rPr>
        <w:t>. Haplotype network including the Festuca drymeja outgroup.</w:t>
      </w:r>
    </w:p>
    <w:p w14:paraId="592A7DBE" w14:textId="77777777" w:rsidR="00023A80" w:rsidRDefault="00023A80">
      <w:pPr>
        <w:rPr>
          <w:rFonts w:ascii="Palatino Linotype" w:hAnsi="Palatino Linotype"/>
          <w:lang w:val="en-GB"/>
        </w:rPr>
      </w:pPr>
    </w:p>
    <w:p w14:paraId="441AB317" w14:textId="77777777" w:rsidR="00023A80" w:rsidRPr="005F0B83" w:rsidRDefault="00023A80">
      <w:pPr>
        <w:rPr>
          <w:rFonts w:ascii="Palatino Linotype" w:hAnsi="Palatino Linotype"/>
          <w:lang w:val="en-GB"/>
        </w:rPr>
      </w:pPr>
    </w:p>
    <w:sectPr w:rsidR="00023A80" w:rsidRPr="005F0B8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DA0"/>
    <w:rsid w:val="00023A80"/>
    <w:rsid w:val="001F5485"/>
    <w:rsid w:val="004942DC"/>
    <w:rsid w:val="0059039A"/>
    <w:rsid w:val="005F0B83"/>
    <w:rsid w:val="00BF3DA0"/>
    <w:rsid w:val="00F374CB"/>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6A3E9"/>
  <w15:chartTrackingRefBased/>
  <w15:docId w15:val="{BBFEBDCE-773C-41E0-85BF-0D90F27DA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8745">
      <w:bodyDiv w:val="1"/>
      <w:marLeft w:val="0"/>
      <w:marRight w:val="0"/>
      <w:marTop w:val="0"/>
      <w:marBottom w:val="0"/>
      <w:divBdr>
        <w:top w:val="none" w:sz="0" w:space="0" w:color="auto"/>
        <w:left w:val="none" w:sz="0" w:space="0" w:color="auto"/>
        <w:bottom w:val="none" w:sz="0" w:space="0" w:color="auto"/>
        <w:right w:val="none" w:sz="0" w:space="0" w:color="auto"/>
      </w:divBdr>
    </w:div>
    <w:div w:id="116683629">
      <w:bodyDiv w:val="1"/>
      <w:marLeft w:val="0"/>
      <w:marRight w:val="0"/>
      <w:marTop w:val="0"/>
      <w:marBottom w:val="0"/>
      <w:divBdr>
        <w:top w:val="none" w:sz="0" w:space="0" w:color="auto"/>
        <w:left w:val="none" w:sz="0" w:space="0" w:color="auto"/>
        <w:bottom w:val="none" w:sz="0" w:space="0" w:color="auto"/>
        <w:right w:val="none" w:sz="0" w:space="0" w:color="auto"/>
      </w:divBdr>
    </w:div>
    <w:div w:id="191574819">
      <w:bodyDiv w:val="1"/>
      <w:marLeft w:val="0"/>
      <w:marRight w:val="0"/>
      <w:marTop w:val="0"/>
      <w:marBottom w:val="0"/>
      <w:divBdr>
        <w:top w:val="none" w:sz="0" w:space="0" w:color="auto"/>
        <w:left w:val="none" w:sz="0" w:space="0" w:color="auto"/>
        <w:bottom w:val="none" w:sz="0" w:space="0" w:color="auto"/>
        <w:right w:val="none" w:sz="0" w:space="0" w:color="auto"/>
      </w:divBdr>
    </w:div>
    <w:div w:id="424690431">
      <w:bodyDiv w:val="1"/>
      <w:marLeft w:val="0"/>
      <w:marRight w:val="0"/>
      <w:marTop w:val="0"/>
      <w:marBottom w:val="0"/>
      <w:divBdr>
        <w:top w:val="none" w:sz="0" w:space="0" w:color="auto"/>
        <w:left w:val="none" w:sz="0" w:space="0" w:color="auto"/>
        <w:bottom w:val="none" w:sz="0" w:space="0" w:color="auto"/>
        <w:right w:val="none" w:sz="0" w:space="0" w:color="auto"/>
      </w:divBdr>
    </w:div>
    <w:div w:id="864364609">
      <w:bodyDiv w:val="1"/>
      <w:marLeft w:val="0"/>
      <w:marRight w:val="0"/>
      <w:marTop w:val="0"/>
      <w:marBottom w:val="0"/>
      <w:divBdr>
        <w:top w:val="none" w:sz="0" w:space="0" w:color="auto"/>
        <w:left w:val="none" w:sz="0" w:space="0" w:color="auto"/>
        <w:bottom w:val="none" w:sz="0" w:space="0" w:color="auto"/>
        <w:right w:val="none" w:sz="0" w:space="0" w:color="auto"/>
      </w:divBdr>
    </w:div>
    <w:div w:id="888299601">
      <w:bodyDiv w:val="1"/>
      <w:marLeft w:val="0"/>
      <w:marRight w:val="0"/>
      <w:marTop w:val="0"/>
      <w:marBottom w:val="0"/>
      <w:divBdr>
        <w:top w:val="none" w:sz="0" w:space="0" w:color="auto"/>
        <w:left w:val="none" w:sz="0" w:space="0" w:color="auto"/>
        <w:bottom w:val="none" w:sz="0" w:space="0" w:color="auto"/>
        <w:right w:val="none" w:sz="0" w:space="0" w:color="auto"/>
      </w:divBdr>
    </w:div>
    <w:div w:id="910693633">
      <w:bodyDiv w:val="1"/>
      <w:marLeft w:val="0"/>
      <w:marRight w:val="0"/>
      <w:marTop w:val="0"/>
      <w:marBottom w:val="0"/>
      <w:divBdr>
        <w:top w:val="none" w:sz="0" w:space="0" w:color="auto"/>
        <w:left w:val="none" w:sz="0" w:space="0" w:color="auto"/>
        <w:bottom w:val="none" w:sz="0" w:space="0" w:color="auto"/>
        <w:right w:val="none" w:sz="0" w:space="0" w:color="auto"/>
      </w:divBdr>
    </w:div>
    <w:div w:id="998927118">
      <w:bodyDiv w:val="1"/>
      <w:marLeft w:val="0"/>
      <w:marRight w:val="0"/>
      <w:marTop w:val="0"/>
      <w:marBottom w:val="0"/>
      <w:divBdr>
        <w:top w:val="none" w:sz="0" w:space="0" w:color="auto"/>
        <w:left w:val="none" w:sz="0" w:space="0" w:color="auto"/>
        <w:bottom w:val="none" w:sz="0" w:space="0" w:color="auto"/>
        <w:right w:val="none" w:sz="0" w:space="0" w:color="auto"/>
      </w:divBdr>
    </w:div>
    <w:div w:id="1092824975">
      <w:bodyDiv w:val="1"/>
      <w:marLeft w:val="0"/>
      <w:marRight w:val="0"/>
      <w:marTop w:val="0"/>
      <w:marBottom w:val="0"/>
      <w:divBdr>
        <w:top w:val="none" w:sz="0" w:space="0" w:color="auto"/>
        <w:left w:val="none" w:sz="0" w:space="0" w:color="auto"/>
        <w:bottom w:val="none" w:sz="0" w:space="0" w:color="auto"/>
        <w:right w:val="none" w:sz="0" w:space="0" w:color="auto"/>
      </w:divBdr>
    </w:div>
    <w:div w:id="1102918314">
      <w:bodyDiv w:val="1"/>
      <w:marLeft w:val="0"/>
      <w:marRight w:val="0"/>
      <w:marTop w:val="0"/>
      <w:marBottom w:val="0"/>
      <w:divBdr>
        <w:top w:val="none" w:sz="0" w:space="0" w:color="auto"/>
        <w:left w:val="none" w:sz="0" w:space="0" w:color="auto"/>
        <w:bottom w:val="none" w:sz="0" w:space="0" w:color="auto"/>
        <w:right w:val="none" w:sz="0" w:space="0" w:color="auto"/>
      </w:divBdr>
    </w:div>
    <w:div w:id="1252473348">
      <w:bodyDiv w:val="1"/>
      <w:marLeft w:val="0"/>
      <w:marRight w:val="0"/>
      <w:marTop w:val="0"/>
      <w:marBottom w:val="0"/>
      <w:divBdr>
        <w:top w:val="none" w:sz="0" w:space="0" w:color="auto"/>
        <w:left w:val="none" w:sz="0" w:space="0" w:color="auto"/>
        <w:bottom w:val="none" w:sz="0" w:space="0" w:color="auto"/>
        <w:right w:val="none" w:sz="0" w:space="0" w:color="auto"/>
      </w:divBdr>
    </w:div>
    <w:div w:id="1316952210">
      <w:bodyDiv w:val="1"/>
      <w:marLeft w:val="0"/>
      <w:marRight w:val="0"/>
      <w:marTop w:val="0"/>
      <w:marBottom w:val="0"/>
      <w:divBdr>
        <w:top w:val="none" w:sz="0" w:space="0" w:color="auto"/>
        <w:left w:val="none" w:sz="0" w:space="0" w:color="auto"/>
        <w:bottom w:val="none" w:sz="0" w:space="0" w:color="auto"/>
        <w:right w:val="none" w:sz="0" w:space="0" w:color="auto"/>
      </w:divBdr>
    </w:div>
    <w:div w:id="1411152679">
      <w:bodyDiv w:val="1"/>
      <w:marLeft w:val="0"/>
      <w:marRight w:val="0"/>
      <w:marTop w:val="0"/>
      <w:marBottom w:val="0"/>
      <w:divBdr>
        <w:top w:val="none" w:sz="0" w:space="0" w:color="auto"/>
        <w:left w:val="none" w:sz="0" w:space="0" w:color="auto"/>
        <w:bottom w:val="none" w:sz="0" w:space="0" w:color="auto"/>
        <w:right w:val="none" w:sz="0" w:space="0" w:color="auto"/>
      </w:divBdr>
    </w:div>
    <w:div w:id="1436439376">
      <w:bodyDiv w:val="1"/>
      <w:marLeft w:val="0"/>
      <w:marRight w:val="0"/>
      <w:marTop w:val="0"/>
      <w:marBottom w:val="0"/>
      <w:divBdr>
        <w:top w:val="none" w:sz="0" w:space="0" w:color="auto"/>
        <w:left w:val="none" w:sz="0" w:space="0" w:color="auto"/>
        <w:bottom w:val="none" w:sz="0" w:space="0" w:color="auto"/>
        <w:right w:val="none" w:sz="0" w:space="0" w:color="auto"/>
      </w:divBdr>
    </w:div>
    <w:div w:id="1482577502">
      <w:bodyDiv w:val="1"/>
      <w:marLeft w:val="0"/>
      <w:marRight w:val="0"/>
      <w:marTop w:val="0"/>
      <w:marBottom w:val="0"/>
      <w:divBdr>
        <w:top w:val="none" w:sz="0" w:space="0" w:color="auto"/>
        <w:left w:val="none" w:sz="0" w:space="0" w:color="auto"/>
        <w:bottom w:val="none" w:sz="0" w:space="0" w:color="auto"/>
        <w:right w:val="none" w:sz="0" w:space="0" w:color="auto"/>
      </w:divBdr>
    </w:div>
    <w:div w:id="1896620018">
      <w:bodyDiv w:val="1"/>
      <w:marLeft w:val="0"/>
      <w:marRight w:val="0"/>
      <w:marTop w:val="0"/>
      <w:marBottom w:val="0"/>
      <w:divBdr>
        <w:top w:val="none" w:sz="0" w:space="0" w:color="auto"/>
        <w:left w:val="none" w:sz="0" w:space="0" w:color="auto"/>
        <w:bottom w:val="none" w:sz="0" w:space="0" w:color="auto"/>
        <w:right w:val="none" w:sz="0" w:space="0" w:color="auto"/>
      </w:divBdr>
    </w:div>
    <w:div w:id="1966814507">
      <w:bodyDiv w:val="1"/>
      <w:marLeft w:val="0"/>
      <w:marRight w:val="0"/>
      <w:marTop w:val="0"/>
      <w:marBottom w:val="0"/>
      <w:divBdr>
        <w:top w:val="none" w:sz="0" w:space="0" w:color="auto"/>
        <w:left w:val="none" w:sz="0" w:space="0" w:color="auto"/>
        <w:bottom w:val="none" w:sz="0" w:space="0" w:color="auto"/>
        <w:right w:val="none" w:sz="0" w:space="0" w:color="auto"/>
      </w:divBdr>
    </w:div>
    <w:div w:id="199972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505</Words>
  <Characters>2780</Characters>
  <Application>Microsoft Office Word</Application>
  <DocSecurity>0</DocSecurity>
  <Lines>23</Lines>
  <Paragraphs>6</Paragraphs>
  <ScaleCrop>false</ScaleCrop>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laptop</cp:lastModifiedBy>
  <cp:revision>6</cp:revision>
  <dcterms:created xsi:type="dcterms:W3CDTF">2024-07-17T22:09:00Z</dcterms:created>
  <dcterms:modified xsi:type="dcterms:W3CDTF">2024-07-17T22:22:00Z</dcterms:modified>
</cp:coreProperties>
</file>