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AC3A3" w14:textId="33614703" w:rsidR="001E4622" w:rsidRDefault="1C57B3B1" w:rsidP="1C57B3B1">
      <w:pPr>
        <w:spacing w:after="240"/>
        <w:jc w:val="center"/>
        <w:rPr>
          <w:rFonts w:ascii="Times" w:eastAsia="Times" w:hAnsi="Times" w:cs="Times"/>
          <w:color w:val="000000" w:themeColor="text1"/>
          <w:sz w:val="36"/>
          <w:szCs w:val="36"/>
          <w:lang w:val="en-US"/>
        </w:rPr>
      </w:pPr>
      <w:r w:rsidRPr="1C57B3B1">
        <w:rPr>
          <w:rFonts w:ascii="Times" w:eastAsia="Times" w:hAnsi="Times" w:cs="Times"/>
          <w:b/>
          <w:bCs/>
          <w:color w:val="000000" w:themeColor="text1"/>
          <w:sz w:val="36"/>
          <w:szCs w:val="36"/>
          <w:lang w:val="en-US"/>
        </w:rPr>
        <w:t>Angiotensin II alters Mitochondrial Membrane Potential and Lipid Metabolism in Rat Colonic Epithelial Cells</w:t>
      </w:r>
    </w:p>
    <w:p w14:paraId="1DD079AB" w14:textId="08FFA0E2" w:rsidR="001E4622" w:rsidRDefault="1C57B3B1" w:rsidP="1C57B3B1">
      <w:pPr>
        <w:spacing w:after="360"/>
        <w:jc w:val="center"/>
        <w:rPr>
          <w:rFonts w:ascii="Times" w:eastAsia="Times" w:hAnsi="Times" w:cs="Times"/>
          <w:color w:val="000000" w:themeColor="text1"/>
          <w:sz w:val="16"/>
          <w:szCs w:val="16"/>
          <w:lang w:val="en-US"/>
        </w:rPr>
      </w:pP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Darby D. Toth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1,#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Christopher L. Souder II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1,#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Sarah Patuel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Cole D. English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Isaac Konig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1,4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Emma </w:t>
      </w:r>
      <w:proofErr w:type="spellStart"/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>Ivantsova</w:t>
      </w:r>
      <w:proofErr w:type="spellEnd"/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Wendy Malphurs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Jackie Watkins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Kaylie Anne-Costa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John A. Bowden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>Jasenka</w:t>
      </w:r>
      <w:proofErr w:type="spellEnd"/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 Zubcevic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5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 xml:space="preserve">, Christopher J. Martyniuk </w:t>
      </w: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vertAlign w:val="superscript"/>
          <w:lang w:val="en-US"/>
        </w:rPr>
        <w:t>1,2,3,*</w:t>
      </w:r>
    </w:p>
    <w:p w14:paraId="12980806" w14:textId="0392DCD0" w:rsidR="001E4622" w:rsidRDefault="001E4622" w:rsidP="1C57B3B1">
      <w:pPr>
        <w:spacing w:after="360"/>
        <w:jc w:val="center"/>
        <w:rPr>
          <w:rFonts w:ascii="Times" w:eastAsia="Times" w:hAnsi="Times" w:cs="Times"/>
          <w:color w:val="000000" w:themeColor="text1"/>
          <w:sz w:val="16"/>
          <w:szCs w:val="16"/>
          <w:lang w:val="en-US"/>
        </w:rPr>
      </w:pPr>
    </w:p>
    <w:p w14:paraId="57DA5E96" w14:textId="2E8056A7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vertAlign w:val="superscript"/>
          <w:lang w:val="en-US"/>
        </w:rPr>
        <w:t>1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Department of Physiological Sciences and Center for Environmental and Human Toxicology, College of Veterinary Medicine, University of Florida, Gainesville, Florida 32611, USA</w:t>
      </w:r>
    </w:p>
    <w:p w14:paraId="168A0895" w14:textId="5EFD2C7F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vertAlign w:val="superscript"/>
          <w:lang w:val="en-US"/>
        </w:rPr>
        <w:t>2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University of Florida Genetics Institute, University of Florida, Gainesville, FL 32611, USA</w:t>
      </w:r>
    </w:p>
    <w:p w14:paraId="5E877EF4" w14:textId="6413AD08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vertAlign w:val="superscript"/>
          <w:lang w:val="en-US"/>
        </w:rPr>
        <w:t>3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Interdisciplinary Program in Biomedical Sciences, Neuroscience, University of Florida, Gainesville, FL 32611, USA</w:t>
      </w:r>
    </w:p>
    <w:p w14:paraId="35C68287" w14:textId="48B0EC91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vertAlign w:val="superscript"/>
          <w:lang w:val="en-US"/>
        </w:rPr>
        <w:t>4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Department of Chemistry, Federal University of </w:t>
      </w:r>
      <w:proofErr w:type="spellStart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Lavras</w:t>
      </w:r>
      <w:proofErr w:type="spellEnd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 (UFLA), Minas Gerais, Brazil</w:t>
      </w:r>
    </w:p>
    <w:p w14:paraId="02C65ECC" w14:textId="0EFE1496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vertAlign w:val="superscript"/>
          <w:lang w:val="en-US"/>
        </w:rPr>
        <w:t>5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Center for Hypertension and Precision Medicine, Department of Physiology and Pharmacology, The University of Toledo College of Medicine and Life Sciences, Block Health Science </w:t>
      </w:r>
      <w:proofErr w:type="spellStart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Bldg</w:t>
      </w:r>
      <w:proofErr w:type="spellEnd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, 3000 Arlington Ave, Toledo, OH, 43614, USA</w:t>
      </w:r>
    </w:p>
    <w:p w14:paraId="5BE58B87" w14:textId="090B3B22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 </w:t>
      </w:r>
    </w:p>
    <w:p w14:paraId="572097DA" w14:textId="06B75D4B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>*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Correspondence: </w:t>
      </w:r>
      <w:hyperlink r:id="rId4">
        <w:r w:rsidRPr="1C57B3B1">
          <w:rPr>
            <w:rStyle w:val="Hyperlink"/>
            <w:rFonts w:ascii="Times" w:eastAsia="Times" w:hAnsi="Times" w:cs="Times"/>
            <w:sz w:val="20"/>
            <w:szCs w:val="20"/>
            <w:lang w:val="en-US"/>
          </w:rPr>
          <w:t>cmartyn@ufl.edu</w:t>
        </w:r>
      </w:hyperlink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 (2187 Mowry Rd. </w:t>
      </w:r>
      <w:proofErr w:type="spellStart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Bldg</w:t>
      </w:r>
      <w:proofErr w:type="spellEnd"/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 xml:space="preserve"> 471, PO Box 110885, University of Florida)</w:t>
      </w:r>
    </w:p>
    <w:p w14:paraId="25B94736" w14:textId="28654DDC" w:rsidR="001E4622" w:rsidRDefault="1C57B3B1" w:rsidP="1C57B3B1">
      <w:pPr>
        <w:spacing w:after="0"/>
        <w:ind w:left="198" w:hanging="198"/>
        <w:rPr>
          <w:rFonts w:ascii="Times" w:eastAsia="Times" w:hAnsi="Times" w:cs="Times"/>
          <w:color w:val="000000" w:themeColor="text1"/>
          <w:sz w:val="20"/>
          <w:szCs w:val="20"/>
          <w:lang w:val="en-US"/>
        </w:rPr>
      </w:pPr>
      <w:r w:rsidRPr="1C57B3B1">
        <w:rPr>
          <w:rFonts w:ascii="Times" w:eastAsia="Times" w:hAnsi="Times" w:cs="Times"/>
          <w:b/>
          <w:bCs/>
          <w:color w:val="000000" w:themeColor="text1"/>
          <w:sz w:val="20"/>
          <w:szCs w:val="20"/>
          <w:lang w:val="en-US"/>
        </w:rPr>
        <w:t>#</w:t>
      </w:r>
      <w:r w:rsidR="001E4622">
        <w:tab/>
      </w:r>
      <w:r w:rsidRPr="1C57B3B1">
        <w:rPr>
          <w:rFonts w:ascii="Times" w:eastAsia="Times" w:hAnsi="Times" w:cs="Times"/>
          <w:color w:val="000000" w:themeColor="text1"/>
          <w:sz w:val="20"/>
          <w:szCs w:val="20"/>
          <w:lang w:val="en-US"/>
        </w:rPr>
        <w:t>Authors contributed equally</w:t>
      </w:r>
    </w:p>
    <w:p w14:paraId="2D91DFC6" w14:textId="59CB28AE" w:rsidR="001E4622" w:rsidRDefault="001E4622" w:rsidP="1C57B3B1">
      <w:pPr>
        <w:spacing w:after="0" w:line="480" w:lineRule="auto"/>
        <w:jc w:val="center"/>
        <w:rPr>
          <w:rFonts w:ascii="Times" w:eastAsia="Times" w:hAnsi="Times" w:cs="Times"/>
          <w:color w:val="000000" w:themeColor="text1"/>
          <w:sz w:val="24"/>
          <w:szCs w:val="24"/>
          <w:lang w:val="en-US"/>
        </w:rPr>
      </w:pPr>
    </w:p>
    <w:p w14:paraId="17EDB9DD" w14:textId="17849BA5" w:rsidR="001E4622" w:rsidRDefault="001E4622" w:rsidP="1C57B3B1">
      <w:pPr>
        <w:spacing w:after="0" w:line="480" w:lineRule="auto"/>
        <w:jc w:val="center"/>
        <w:rPr>
          <w:rFonts w:ascii="Times" w:eastAsia="Times" w:hAnsi="Times" w:cs="Times"/>
          <w:color w:val="000000" w:themeColor="text1"/>
          <w:sz w:val="24"/>
          <w:szCs w:val="24"/>
          <w:lang w:val="en-US"/>
        </w:rPr>
      </w:pPr>
    </w:p>
    <w:p w14:paraId="6B949D9F" w14:textId="4A1C1581" w:rsidR="001E4622" w:rsidRDefault="001E4622" w:rsidP="1C57B3B1">
      <w:pPr>
        <w:jc w:val="both"/>
        <w:rPr>
          <w:rFonts w:ascii="Times" w:eastAsia="Times" w:hAnsi="Times" w:cs="Times"/>
          <w:color w:val="000000" w:themeColor="text1"/>
          <w:sz w:val="24"/>
          <w:szCs w:val="24"/>
        </w:rPr>
      </w:pPr>
    </w:p>
    <w:p w14:paraId="1BB06C1A" w14:textId="40D46337" w:rsidR="001E4622" w:rsidRDefault="001E4622" w:rsidP="1C57B3B1">
      <w:pPr>
        <w:jc w:val="both"/>
        <w:rPr>
          <w:rFonts w:ascii="Times" w:eastAsia="Times" w:hAnsi="Times" w:cs="Times"/>
          <w:color w:val="000000" w:themeColor="text1"/>
          <w:sz w:val="24"/>
          <w:szCs w:val="24"/>
        </w:rPr>
      </w:pPr>
    </w:p>
    <w:p w14:paraId="06F07932" w14:textId="1910ADCA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315E7059" w14:textId="77777777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63759F2E" w14:textId="77777777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6FE55CE2" w14:textId="77777777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3F76F929" w14:textId="77777777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426E7D69" w14:textId="77777777" w:rsidR="00887456" w:rsidRDefault="00887456" w:rsidP="1C57B3B1">
      <w:pPr>
        <w:rPr>
          <w:rFonts w:ascii="Times" w:eastAsia="Times" w:hAnsi="Times" w:cs="Times"/>
          <w:b/>
          <w:bCs/>
        </w:rPr>
      </w:pPr>
    </w:p>
    <w:p w14:paraId="31FD9CAB" w14:textId="77777777" w:rsidR="001E4622" w:rsidRDefault="001E4622" w:rsidP="1C57B3B1">
      <w:pPr>
        <w:rPr>
          <w:rFonts w:ascii="Times" w:eastAsia="Times" w:hAnsi="Times" w:cs="Times"/>
          <w:b/>
          <w:bCs/>
        </w:rPr>
      </w:pPr>
    </w:p>
    <w:p w14:paraId="1D95DD83" w14:textId="1BB16643" w:rsidR="00117321" w:rsidRDefault="00117321" w:rsidP="1C57B3B1">
      <w:pPr>
        <w:rPr>
          <w:rFonts w:ascii="Times" w:eastAsia="Times" w:hAnsi="Times" w:cs="Times"/>
          <w:b/>
          <w:bCs/>
        </w:rPr>
        <w:sectPr w:rsidR="00117321" w:rsidSect="00F657C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42CD0A4" w14:textId="7D8AC6E1" w:rsidR="00117321" w:rsidRPr="00F85921" w:rsidRDefault="53B7FA47" w:rsidP="53B7FA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592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Supplemental Table S1.</w:t>
      </w:r>
      <w:r w:rsidRPr="00F85921">
        <w:rPr>
          <w:rFonts w:ascii="Times New Roman" w:eastAsia="Times New Roman" w:hAnsi="Times New Roman" w:cs="Times New Roman"/>
          <w:sz w:val="24"/>
          <w:szCs w:val="24"/>
        </w:rPr>
        <w:t xml:space="preserve"> Primers used for real-time PCR analysis.</w:t>
      </w:r>
    </w:p>
    <w:tbl>
      <w:tblPr>
        <w:tblStyle w:val="TableGrid"/>
        <w:tblW w:w="13413" w:type="dxa"/>
        <w:tblLayout w:type="fixed"/>
        <w:tblLook w:val="04A0" w:firstRow="1" w:lastRow="0" w:firstColumn="1" w:lastColumn="0" w:noHBand="0" w:noVBand="1"/>
      </w:tblPr>
      <w:tblGrid>
        <w:gridCol w:w="2154"/>
        <w:gridCol w:w="1184"/>
        <w:gridCol w:w="5445"/>
        <w:gridCol w:w="2784"/>
        <w:gridCol w:w="1846"/>
      </w:tblGrid>
      <w:tr w:rsidR="00117321" w:rsidRPr="00F85921" w14:paraId="23A17D59" w14:textId="77777777" w:rsidTr="5BFCDFEE">
        <w:trPr>
          <w:trHeight w:val="208"/>
        </w:trPr>
        <w:tc>
          <w:tcPr>
            <w:tcW w:w="2154" w:type="dxa"/>
          </w:tcPr>
          <w:p w14:paraId="764D0FC6" w14:textId="77777777" w:rsidR="00117321" w:rsidRPr="00F85921" w:rsidRDefault="53B7FA47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 name</w:t>
            </w:r>
          </w:p>
        </w:tc>
        <w:tc>
          <w:tcPr>
            <w:tcW w:w="1184" w:type="dxa"/>
          </w:tcPr>
          <w:p w14:paraId="056303DD" w14:textId="77777777" w:rsidR="00117321" w:rsidRPr="00F85921" w:rsidRDefault="53B7FA47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 Symbol</w:t>
            </w:r>
          </w:p>
        </w:tc>
        <w:tc>
          <w:tcPr>
            <w:tcW w:w="5445" w:type="dxa"/>
          </w:tcPr>
          <w:p w14:paraId="4297DC2C" w14:textId="77777777" w:rsidR="00117321" w:rsidRPr="00F85921" w:rsidRDefault="53B7FA47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Forward (5' to 3')</w:t>
            </w:r>
          </w:p>
        </w:tc>
        <w:tc>
          <w:tcPr>
            <w:tcW w:w="2784" w:type="dxa"/>
          </w:tcPr>
          <w:p w14:paraId="56E6683D" w14:textId="77777777" w:rsidR="00117321" w:rsidRPr="00F85921" w:rsidRDefault="53B7FA47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Reverse (5' to 3')</w:t>
            </w:r>
          </w:p>
        </w:tc>
        <w:tc>
          <w:tcPr>
            <w:tcW w:w="1846" w:type="dxa"/>
          </w:tcPr>
          <w:p w14:paraId="6039C759" w14:textId="77777777" w:rsidR="00117321" w:rsidRPr="00F85921" w:rsidRDefault="53B7FA47" w:rsidP="53B7FA4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Reference</w:t>
            </w:r>
          </w:p>
        </w:tc>
      </w:tr>
      <w:tr w:rsidR="00117321" w:rsidRPr="00F85921" w14:paraId="7F58633B" w14:textId="77777777" w:rsidTr="5BFCDFEE">
        <w:trPr>
          <w:trHeight w:val="377"/>
        </w:trPr>
        <w:tc>
          <w:tcPr>
            <w:tcW w:w="2154" w:type="dxa"/>
          </w:tcPr>
          <w:p w14:paraId="055274E9" w14:textId="2225563E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acyl-CoA dehydrogenase long chain</w:t>
            </w:r>
          </w:p>
        </w:tc>
        <w:tc>
          <w:tcPr>
            <w:tcW w:w="1184" w:type="dxa"/>
          </w:tcPr>
          <w:p w14:paraId="475BBD40" w14:textId="306CA625" w:rsidR="00117321" w:rsidRPr="00F85921" w:rsidRDefault="53B7FA47" w:rsidP="53B7FA47">
            <w:pPr>
              <w:spacing w:line="259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acadl</w:t>
            </w:r>
            <w:proofErr w:type="spellEnd"/>
          </w:p>
        </w:tc>
        <w:tc>
          <w:tcPr>
            <w:tcW w:w="5445" w:type="dxa"/>
          </w:tcPr>
          <w:p w14:paraId="162B4241" w14:textId="487D727C" w:rsidR="53B7FA47" w:rsidRPr="00F85921" w:rsidRDefault="00E96B88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Lato" w:hAnsi="Lato"/>
                <w:color w:val="333333"/>
                <w:shd w:val="clear" w:color="auto" w:fill="FFFFFF"/>
              </w:rPr>
              <w:t>TTTCCTCAGAGCATGACATTTT</w:t>
            </w:r>
          </w:p>
        </w:tc>
        <w:tc>
          <w:tcPr>
            <w:tcW w:w="2784" w:type="dxa"/>
          </w:tcPr>
          <w:p w14:paraId="4BB3B89E" w14:textId="3A8064CA" w:rsidR="53B7FA47" w:rsidRPr="00F85921" w:rsidRDefault="00E96B88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Lato" w:hAnsi="Lato"/>
                <w:color w:val="333333"/>
                <w:shd w:val="clear" w:color="auto" w:fill="FFFFFF"/>
              </w:rPr>
              <w:t>GCCAGCTTTTTCCCAGAGCT</w:t>
            </w:r>
          </w:p>
        </w:tc>
        <w:tc>
          <w:tcPr>
            <w:tcW w:w="1846" w:type="dxa"/>
          </w:tcPr>
          <w:p w14:paraId="3DF872C9" w14:textId="5B406F2A" w:rsidR="00117321" w:rsidRPr="00F85921" w:rsidRDefault="000B048A" w:rsidP="26282C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Jernberg et al. 2017.</w:t>
            </w:r>
          </w:p>
        </w:tc>
      </w:tr>
      <w:tr w:rsidR="00117321" w:rsidRPr="00F85921" w14:paraId="57D210D5" w14:textId="77777777" w:rsidTr="5BFCDFEE">
        <w:trPr>
          <w:trHeight w:val="377"/>
        </w:trPr>
        <w:tc>
          <w:tcPr>
            <w:tcW w:w="2154" w:type="dxa"/>
          </w:tcPr>
          <w:p w14:paraId="7CE3C2F2" w14:textId="33F9E945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acetyl-CoA carboxylase</w:t>
            </w:r>
          </w:p>
        </w:tc>
        <w:tc>
          <w:tcPr>
            <w:tcW w:w="1184" w:type="dxa"/>
          </w:tcPr>
          <w:p w14:paraId="48BAA923" w14:textId="63353571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acc</w:t>
            </w:r>
          </w:p>
        </w:tc>
        <w:tc>
          <w:tcPr>
            <w:tcW w:w="5445" w:type="dxa"/>
          </w:tcPr>
          <w:p w14:paraId="13E3134E" w14:textId="56BBB0DB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GGACCACTGCATGGAATGTTAA</w:t>
            </w:r>
          </w:p>
        </w:tc>
        <w:tc>
          <w:tcPr>
            <w:tcW w:w="2784" w:type="dxa"/>
          </w:tcPr>
          <w:p w14:paraId="09685814" w14:textId="7228AFE3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TGAGTGACTGCCGAAACATCTC</w:t>
            </w:r>
          </w:p>
        </w:tc>
        <w:tc>
          <w:tcPr>
            <w:tcW w:w="1846" w:type="dxa"/>
          </w:tcPr>
          <w:p w14:paraId="0307A859" w14:textId="5B3E4588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</w:tc>
      </w:tr>
      <w:tr w:rsidR="713955AC" w:rsidRPr="00F85921" w14:paraId="4130BDFF" w14:textId="77777777" w:rsidTr="5BFCDFEE">
        <w:trPr>
          <w:trHeight w:val="377"/>
        </w:trPr>
        <w:tc>
          <w:tcPr>
            <w:tcW w:w="2154" w:type="dxa"/>
          </w:tcPr>
          <w:p w14:paraId="654372D9" w14:textId="27D7D45C" w:rsidR="713955AC" w:rsidRPr="00F85921" w:rsidRDefault="5BFCDFEE" w:rsidP="5BFCDFEE">
            <w:pPr>
              <w:rPr>
                <w:rFonts w:ascii="Georgia" w:eastAsia="Georgia" w:hAnsi="Georgia" w:cs="Georgia"/>
                <w:color w:val="000000" w:themeColor="text1"/>
                <w:sz w:val="24"/>
                <w:szCs w:val="24"/>
              </w:rPr>
            </w:pPr>
            <w:r w:rsidRPr="00F85921">
              <w:rPr>
                <w:rFonts w:ascii="Georgia" w:eastAsia="Georgia" w:hAnsi="Georgia" w:cs="Georgia"/>
                <w:color w:val="1F1F1F"/>
                <w:sz w:val="24"/>
                <w:szCs w:val="24"/>
              </w:rPr>
              <w:t>acetyl-CoA carboxylase 1</w:t>
            </w:r>
          </w:p>
        </w:tc>
        <w:tc>
          <w:tcPr>
            <w:tcW w:w="1184" w:type="dxa"/>
          </w:tcPr>
          <w:p w14:paraId="4F3F5C20" w14:textId="2DD7E58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acc1</w:t>
            </w:r>
          </w:p>
        </w:tc>
        <w:tc>
          <w:tcPr>
            <w:tcW w:w="5445" w:type="dxa"/>
          </w:tcPr>
          <w:p w14:paraId="39782491" w14:textId="613474E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ATTGTGGCTCAAACTGCAGGT</w:t>
            </w:r>
          </w:p>
        </w:tc>
        <w:tc>
          <w:tcPr>
            <w:tcW w:w="2784" w:type="dxa"/>
          </w:tcPr>
          <w:p w14:paraId="0129C43F" w14:textId="7715C2F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GCCAATCCACTCGAAGACCA</w:t>
            </w:r>
          </w:p>
        </w:tc>
        <w:tc>
          <w:tcPr>
            <w:tcW w:w="1846" w:type="dxa"/>
          </w:tcPr>
          <w:p w14:paraId="6454A68F" w14:textId="68146224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Choi et al., 2007</w:t>
            </w:r>
          </w:p>
        </w:tc>
      </w:tr>
      <w:tr w:rsidR="00117321" w:rsidRPr="00F85921" w14:paraId="075063A9" w14:textId="77777777" w:rsidTr="5BFCDFEE">
        <w:trPr>
          <w:trHeight w:val="387"/>
        </w:trPr>
        <w:tc>
          <w:tcPr>
            <w:tcW w:w="2154" w:type="dxa"/>
          </w:tcPr>
          <w:p w14:paraId="30DCA58E" w14:textId="02CE1C04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acetyl-CoA synthetase</w:t>
            </w:r>
          </w:p>
        </w:tc>
        <w:tc>
          <w:tcPr>
            <w:tcW w:w="1184" w:type="dxa"/>
          </w:tcPr>
          <w:p w14:paraId="1BC811D4" w14:textId="6C0223E4" w:rsidR="00117321" w:rsidRPr="00F85921" w:rsidRDefault="26282C3F" w:rsidP="26282C3F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acs1</w:t>
            </w:r>
          </w:p>
        </w:tc>
        <w:tc>
          <w:tcPr>
            <w:tcW w:w="5445" w:type="dxa"/>
          </w:tcPr>
          <w:p w14:paraId="649094AC" w14:textId="053D9FD1" w:rsidR="3685E81D" w:rsidRPr="00F85921" w:rsidRDefault="00E96B88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Lato" w:hAnsi="Lato"/>
                <w:color w:val="333333"/>
                <w:shd w:val="clear" w:color="auto" w:fill="FFFFFF"/>
              </w:rPr>
              <w:t>TGACAGCACAAGCACAAAAC</w:t>
            </w:r>
          </w:p>
        </w:tc>
        <w:tc>
          <w:tcPr>
            <w:tcW w:w="2784" w:type="dxa"/>
          </w:tcPr>
          <w:p w14:paraId="4C3674BE" w14:textId="313CB00C" w:rsidR="3685E81D" w:rsidRPr="00F85921" w:rsidRDefault="00E96B88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Lato" w:hAnsi="Lato"/>
                <w:color w:val="333333"/>
                <w:shd w:val="clear" w:color="auto" w:fill="FFFFFF"/>
              </w:rPr>
              <w:t>TTCCACTCGTGAAGCAAATC</w:t>
            </w:r>
          </w:p>
        </w:tc>
        <w:tc>
          <w:tcPr>
            <w:tcW w:w="1846" w:type="dxa"/>
          </w:tcPr>
          <w:p w14:paraId="7300F8A9" w14:textId="59EFAF86" w:rsidR="00117321" w:rsidRPr="00F85921" w:rsidRDefault="000B048A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Jernberg et al. 2017</w:t>
            </w:r>
          </w:p>
        </w:tc>
      </w:tr>
      <w:tr w:rsidR="713955AC" w:rsidRPr="00F85921" w14:paraId="35FE6C59" w14:textId="77777777" w:rsidTr="5BFCDFEE">
        <w:trPr>
          <w:trHeight w:val="387"/>
        </w:trPr>
        <w:tc>
          <w:tcPr>
            <w:tcW w:w="2154" w:type="dxa"/>
          </w:tcPr>
          <w:p w14:paraId="127D1828" w14:textId="5E0B32ED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adipose triglyceride lipase</w:t>
            </w:r>
          </w:p>
        </w:tc>
        <w:tc>
          <w:tcPr>
            <w:tcW w:w="1184" w:type="dxa"/>
          </w:tcPr>
          <w:p w14:paraId="515C445D" w14:textId="3176EDAC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atgl</w:t>
            </w:r>
            <w:proofErr w:type="spellEnd"/>
          </w:p>
        </w:tc>
        <w:tc>
          <w:tcPr>
            <w:tcW w:w="5445" w:type="dxa"/>
          </w:tcPr>
          <w:p w14:paraId="40B938FC" w14:textId="44561BB2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CACTTTAGCTCCAAGGATGA</w:t>
            </w:r>
          </w:p>
        </w:tc>
        <w:tc>
          <w:tcPr>
            <w:tcW w:w="2784" w:type="dxa"/>
          </w:tcPr>
          <w:p w14:paraId="091EB6A1" w14:textId="527CB27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TGGTTCAGTAGGCCATTCCT</w:t>
            </w:r>
          </w:p>
        </w:tc>
        <w:tc>
          <w:tcPr>
            <w:tcW w:w="1846" w:type="dxa"/>
          </w:tcPr>
          <w:p w14:paraId="2D1CBEB5" w14:textId="5B3E458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  <w:p w14:paraId="38A387F8" w14:textId="69146424" w:rsidR="713955AC" w:rsidRPr="00F85921" w:rsidRDefault="713955AC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321" w:rsidRPr="00F85921" w14:paraId="5E658CB8" w14:textId="77777777" w:rsidTr="5BFCDFEE">
        <w:trPr>
          <w:trHeight w:val="198"/>
        </w:trPr>
        <w:tc>
          <w:tcPr>
            <w:tcW w:w="2154" w:type="dxa"/>
          </w:tcPr>
          <w:p w14:paraId="320BEC0A" w14:textId="7D9FB960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beta-actin</w:t>
            </w:r>
          </w:p>
        </w:tc>
        <w:tc>
          <w:tcPr>
            <w:tcW w:w="1184" w:type="dxa"/>
          </w:tcPr>
          <w:p w14:paraId="0E6B0477" w14:textId="77777777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bactin</w:t>
            </w:r>
            <w:proofErr w:type="spellEnd"/>
          </w:p>
        </w:tc>
        <w:tc>
          <w:tcPr>
            <w:tcW w:w="5445" w:type="dxa"/>
            <w:vAlign w:val="center"/>
          </w:tcPr>
          <w:p w14:paraId="1156A3B8" w14:textId="624966D8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ACGAGGCCCAGAGCAAGAG</w:t>
            </w:r>
          </w:p>
        </w:tc>
        <w:tc>
          <w:tcPr>
            <w:tcW w:w="2784" w:type="dxa"/>
          </w:tcPr>
          <w:p w14:paraId="7D0318C4" w14:textId="76F08598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GGTGTGGTGCCAGATCTTCTC</w:t>
            </w:r>
          </w:p>
        </w:tc>
        <w:tc>
          <w:tcPr>
            <w:tcW w:w="1846" w:type="dxa"/>
          </w:tcPr>
          <w:p w14:paraId="391B10F0" w14:textId="351F9388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</w:tc>
      </w:tr>
      <w:tr w:rsidR="713955AC" w:rsidRPr="00F85921" w14:paraId="1344E1E1" w14:textId="77777777" w:rsidTr="5BFCDFEE">
        <w:trPr>
          <w:trHeight w:val="198"/>
        </w:trPr>
        <w:tc>
          <w:tcPr>
            <w:tcW w:w="2154" w:type="dxa"/>
          </w:tcPr>
          <w:p w14:paraId="2559FC0B" w14:textId="5184B196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caspase 3</w:t>
            </w:r>
          </w:p>
        </w:tc>
        <w:tc>
          <w:tcPr>
            <w:tcW w:w="1184" w:type="dxa"/>
          </w:tcPr>
          <w:p w14:paraId="75CC9124" w14:textId="1B5F1F48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casp3</w:t>
            </w:r>
          </w:p>
        </w:tc>
        <w:tc>
          <w:tcPr>
            <w:tcW w:w="5445" w:type="dxa"/>
            <w:vAlign w:val="center"/>
          </w:tcPr>
          <w:p w14:paraId="4D3E50E9" w14:textId="729A926B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GTGGAACTGACGATGATATGGC</w:t>
            </w:r>
          </w:p>
        </w:tc>
        <w:tc>
          <w:tcPr>
            <w:tcW w:w="2784" w:type="dxa"/>
          </w:tcPr>
          <w:p w14:paraId="0AF2B171" w14:textId="1E055D6E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CGCAAAGTGACTGGATGAACC</w:t>
            </w:r>
          </w:p>
        </w:tc>
        <w:tc>
          <w:tcPr>
            <w:tcW w:w="1846" w:type="dxa"/>
          </w:tcPr>
          <w:p w14:paraId="76CD8671" w14:textId="793756DF" w:rsidR="713955AC" w:rsidRPr="00F85921" w:rsidRDefault="5BFCDFEE" w:rsidP="5BFCDFEE">
            <w:pPr>
              <w:spacing w:line="259" w:lineRule="auto"/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He et al., 2018</w:t>
            </w:r>
          </w:p>
        </w:tc>
      </w:tr>
      <w:tr w:rsidR="713955AC" w:rsidRPr="00F85921" w14:paraId="54C9AC99" w14:textId="77777777" w:rsidTr="5BFCDFEE">
        <w:trPr>
          <w:trHeight w:val="198"/>
        </w:trPr>
        <w:tc>
          <w:tcPr>
            <w:tcW w:w="2154" w:type="dxa"/>
          </w:tcPr>
          <w:p w14:paraId="3C866981" w14:textId="4AC4C265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catalase </w:t>
            </w:r>
          </w:p>
        </w:tc>
        <w:tc>
          <w:tcPr>
            <w:tcW w:w="1184" w:type="dxa"/>
          </w:tcPr>
          <w:p w14:paraId="38F2DB91" w14:textId="7F914DE2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cat</w:t>
            </w:r>
          </w:p>
        </w:tc>
        <w:tc>
          <w:tcPr>
            <w:tcW w:w="5445" w:type="dxa"/>
            <w:vAlign w:val="center"/>
          </w:tcPr>
          <w:p w14:paraId="05F36462" w14:textId="0C92FA7B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ATGGCTTTTGACCCAAGCAA</w:t>
            </w:r>
          </w:p>
        </w:tc>
        <w:tc>
          <w:tcPr>
            <w:tcW w:w="2784" w:type="dxa"/>
          </w:tcPr>
          <w:p w14:paraId="32B2DEFE" w14:textId="41709716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CGGCCCTGAAGCTTTTTGT</w:t>
            </w:r>
          </w:p>
        </w:tc>
        <w:tc>
          <w:tcPr>
            <w:tcW w:w="1846" w:type="dxa"/>
          </w:tcPr>
          <w:p w14:paraId="549BEBC6" w14:textId="7B40E50A" w:rsidR="713955AC" w:rsidRPr="00F85921" w:rsidRDefault="5BFCDFEE" w:rsidP="5BFCDFEE">
            <w:pPr>
              <w:spacing w:line="259" w:lineRule="auto"/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Chan et al., 2006</w:t>
            </w:r>
          </w:p>
        </w:tc>
      </w:tr>
      <w:tr w:rsidR="713955AC" w:rsidRPr="00F85921" w14:paraId="1D6AE750" w14:textId="77777777" w:rsidTr="5BFCDFEE">
        <w:trPr>
          <w:trHeight w:val="198"/>
        </w:trPr>
        <w:tc>
          <w:tcPr>
            <w:tcW w:w="2154" w:type="dxa"/>
          </w:tcPr>
          <w:p w14:paraId="297B4F7D" w14:textId="1125C11E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carnitine palmitoyl transferase 1</w:t>
            </w:r>
          </w:p>
        </w:tc>
        <w:tc>
          <w:tcPr>
            <w:tcW w:w="1184" w:type="dxa"/>
          </w:tcPr>
          <w:p w14:paraId="0E43C631" w14:textId="5E47B53C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cpt1</w:t>
            </w:r>
          </w:p>
        </w:tc>
        <w:tc>
          <w:tcPr>
            <w:tcW w:w="5445" w:type="dxa"/>
            <w:vAlign w:val="center"/>
          </w:tcPr>
          <w:p w14:paraId="002DDC22" w14:textId="144518E3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TTGCACGAGGGAAAAATAAGC</w:t>
            </w:r>
          </w:p>
        </w:tc>
        <w:tc>
          <w:tcPr>
            <w:tcW w:w="2784" w:type="dxa"/>
          </w:tcPr>
          <w:p w14:paraId="68929381" w14:textId="200F42F4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CCAACGTCACGAAGAACGC</w:t>
            </w:r>
          </w:p>
        </w:tc>
        <w:tc>
          <w:tcPr>
            <w:tcW w:w="1846" w:type="dxa"/>
          </w:tcPr>
          <w:p w14:paraId="686274A9" w14:textId="68146224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Choi et al., 2007</w:t>
            </w:r>
          </w:p>
          <w:p w14:paraId="7D411004" w14:textId="72EC6CDF" w:rsidR="713955AC" w:rsidRPr="00F85921" w:rsidRDefault="713955AC" w:rsidP="53B7F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713955AC" w:rsidRPr="00F85921" w14:paraId="324379CC" w14:textId="77777777" w:rsidTr="5BFCDFEE">
        <w:trPr>
          <w:trHeight w:val="198"/>
        </w:trPr>
        <w:tc>
          <w:tcPr>
            <w:tcW w:w="2154" w:type="dxa"/>
          </w:tcPr>
          <w:p w14:paraId="475D10EB" w14:textId="01B36710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carnitine palmitoyl transferase 2</w:t>
            </w:r>
          </w:p>
        </w:tc>
        <w:tc>
          <w:tcPr>
            <w:tcW w:w="1184" w:type="dxa"/>
          </w:tcPr>
          <w:p w14:paraId="1586A5CB" w14:textId="4642C4F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cpt2</w:t>
            </w:r>
          </w:p>
        </w:tc>
        <w:tc>
          <w:tcPr>
            <w:tcW w:w="5445" w:type="dxa"/>
            <w:vAlign w:val="center"/>
          </w:tcPr>
          <w:p w14:paraId="7B0B7499" w14:textId="13C746EB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GAGCCCCTAGTAGGCCCTTA</w:t>
            </w:r>
          </w:p>
        </w:tc>
        <w:tc>
          <w:tcPr>
            <w:tcW w:w="2784" w:type="dxa"/>
          </w:tcPr>
          <w:p w14:paraId="281242D4" w14:textId="50CB2FED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AGGCTTCTGTGCATTGAGGT</w:t>
            </w:r>
          </w:p>
        </w:tc>
        <w:tc>
          <w:tcPr>
            <w:tcW w:w="1846" w:type="dxa"/>
          </w:tcPr>
          <w:p w14:paraId="74F26C78" w14:textId="51D8C579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en-US"/>
              </w:rPr>
              <w:t>Carnevali et al., 2012</w:t>
            </w:r>
          </w:p>
        </w:tc>
      </w:tr>
      <w:tr w:rsidR="00117321" w:rsidRPr="00F85921" w14:paraId="26B73481" w14:textId="77777777" w:rsidTr="5BFCDFEE">
        <w:trPr>
          <w:trHeight w:val="387"/>
        </w:trPr>
        <w:tc>
          <w:tcPr>
            <w:tcW w:w="2154" w:type="dxa"/>
          </w:tcPr>
          <w:p w14:paraId="78D45E42" w14:textId="77777777" w:rsidR="00117321" w:rsidRPr="00F85921" w:rsidRDefault="00117321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diacylglycerol O-acyltransferase 1</w:t>
            </w:r>
          </w:p>
        </w:tc>
        <w:tc>
          <w:tcPr>
            <w:tcW w:w="1184" w:type="dxa"/>
          </w:tcPr>
          <w:p w14:paraId="06310E01" w14:textId="77777777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dgat1</w:t>
            </w:r>
          </w:p>
        </w:tc>
        <w:tc>
          <w:tcPr>
            <w:tcW w:w="5445" w:type="dxa"/>
            <w:vAlign w:val="center"/>
          </w:tcPr>
          <w:p w14:paraId="55C12C9F" w14:textId="7ACBF9D0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CAGACCAGCGTGGGCG</w:t>
            </w:r>
          </w:p>
        </w:tc>
        <w:tc>
          <w:tcPr>
            <w:tcW w:w="2784" w:type="dxa"/>
          </w:tcPr>
          <w:p w14:paraId="6ED9A879" w14:textId="7F34204D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GAACAAAGAGTCTTGCAGACGATG</w:t>
            </w:r>
          </w:p>
        </w:tc>
        <w:tc>
          <w:tcPr>
            <w:tcW w:w="1846" w:type="dxa"/>
          </w:tcPr>
          <w:p w14:paraId="2F212C8F" w14:textId="6C3E03C7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Choi et al., 2007</w:t>
            </w:r>
          </w:p>
        </w:tc>
      </w:tr>
      <w:tr w:rsidR="00117321" w:rsidRPr="00F85921" w14:paraId="774751BE" w14:textId="77777777" w:rsidTr="5BFCDFEE">
        <w:trPr>
          <w:trHeight w:val="377"/>
        </w:trPr>
        <w:tc>
          <w:tcPr>
            <w:tcW w:w="2154" w:type="dxa"/>
          </w:tcPr>
          <w:p w14:paraId="5D660870" w14:textId="77777777" w:rsidR="00117321" w:rsidRPr="00F85921" w:rsidRDefault="00117321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diacylglycerol O-acyltransferase 2</w:t>
            </w:r>
          </w:p>
        </w:tc>
        <w:tc>
          <w:tcPr>
            <w:tcW w:w="1184" w:type="dxa"/>
          </w:tcPr>
          <w:p w14:paraId="2E5E86C8" w14:textId="77777777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dgat2</w:t>
            </w:r>
          </w:p>
        </w:tc>
        <w:tc>
          <w:tcPr>
            <w:tcW w:w="5445" w:type="dxa"/>
            <w:vAlign w:val="center"/>
          </w:tcPr>
          <w:p w14:paraId="769CBE2C" w14:textId="3A0B9314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GGAACCGCAAAGGCTTTGTA</w:t>
            </w:r>
          </w:p>
        </w:tc>
        <w:tc>
          <w:tcPr>
            <w:tcW w:w="2784" w:type="dxa"/>
          </w:tcPr>
          <w:p w14:paraId="76388768" w14:textId="0D9D9FF2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AATAGGTGGGAACCAGATCAGC</w:t>
            </w:r>
          </w:p>
        </w:tc>
        <w:tc>
          <w:tcPr>
            <w:tcW w:w="1846" w:type="dxa"/>
          </w:tcPr>
          <w:p w14:paraId="71AF907F" w14:textId="60388DF9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Choi et al., 2007</w:t>
            </w:r>
          </w:p>
        </w:tc>
      </w:tr>
      <w:tr w:rsidR="713955AC" w:rsidRPr="00F85921" w14:paraId="37A519C9" w14:textId="77777777" w:rsidTr="5BFCDFEE">
        <w:trPr>
          <w:trHeight w:val="377"/>
        </w:trPr>
        <w:tc>
          <w:tcPr>
            <w:tcW w:w="2154" w:type="dxa"/>
          </w:tcPr>
          <w:p w14:paraId="2FD69A19" w14:textId="6B282432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fas</w:t>
            </w:r>
            <w:proofErr w:type="spellEnd"/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cell surface death receptor</w:t>
            </w:r>
          </w:p>
        </w:tc>
        <w:tc>
          <w:tcPr>
            <w:tcW w:w="1184" w:type="dxa"/>
          </w:tcPr>
          <w:p w14:paraId="32B71409" w14:textId="0D13788D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fas</w:t>
            </w:r>
            <w:proofErr w:type="spellEnd"/>
          </w:p>
        </w:tc>
        <w:tc>
          <w:tcPr>
            <w:tcW w:w="5445" w:type="dxa"/>
            <w:vAlign w:val="center"/>
          </w:tcPr>
          <w:p w14:paraId="3D22759D" w14:textId="4A61BE94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AGCCCCTCAAGTGCACAGTG</w:t>
            </w:r>
          </w:p>
        </w:tc>
        <w:tc>
          <w:tcPr>
            <w:tcW w:w="2784" w:type="dxa"/>
          </w:tcPr>
          <w:p w14:paraId="11449568" w14:textId="38863175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TGCCAATGTGTTTTCCCTGA</w:t>
            </w:r>
          </w:p>
        </w:tc>
        <w:tc>
          <w:tcPr>
            <w:tcW w:w="1846" w:type="dxa"/>
          </w:tcPr>
          <w:p w14:paraId="211D481B" w14:textId="5B3E458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  <w:p w14:paraId="63A0B8B2" w14:textId="06AC4173" w:rsidR="713955AC" w:rsidRPr="00F85921" w:rsidRDefault="713955AC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713955AC" w:rsidRPr="00F85921" w14:paraId="0902C9C7" w14:textId="77777777" w:rsidTr="5BFCDFEE">
        <w:trPr>
          <w:trHeight w:val="377"/>
        </w:trPr>
        <w:tc>
          <w:tcPr>
            <w:tcW w:w="2154" w:type="dxa"/>
          </w:tcPr>
          <w:p w14:paraId="5986A237" w14:textId="05E7C172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hormone-sensitive lipase</w:t>
            </w:r>
          </w:p>
        </w:tc>
        <w:tc>
          <w:tcPr>
            <w:tcW w:w="1184" w:type="dxa"/>
          </w:tcPr>
          <w:p w14:paraId="4D86508F" w14:textId="018A28FA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hsl</w:t>
            </w:r>
            <w:proofErr w:type="spellEnd"/>
          </w:p>
        </w:tc>
        <w:tc>
          <w:tcPr>
            <w:tcW w:w="5445" w:type="dxa"/>
            <w:vAlign w:val="center"/>
          </w:tcPr>
          <w:p w14:paraId="00D4D3B5" w14:textId="649DABBD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AATGACACAGTCGCTGGTGGCG</w:t>
            </w:r>
          </w:p>
        </w:tc>
        <w:tc>
          <w:tcPr>
            <w:tcW w:w="2784" w:type="dxa"/>
          </w:tcPr>
          <w:p w14:paraId="388E871B" w14:textId="2FC355A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TGCCACACCCAAGAGCTGACCT</w:t>
            </w:r>
          </w:p>
        </w:tc>
        <w:tc>
          <w:tcPr>
            <w:tcW w:w="1846" w:type="dxa"/>
          </w:tcPr>
          <w:p w14:paraId="355BB828" w14:textId="489CF4EC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Wojcik et al., 2007</w:t>
            </w:r>
          </w:p>
        </w:tc>
      </w:tr>
      <w:tr w:rsidR="713955AC" w:rsidRPr="00F85921" w14:paraId="615702E5" w14:textId="77777777" w:rsidTr="5BFCDFEE">
        <w:trPr>
          <w:trHeight w:val="377"/>
        </w:trPr>
        <w:tc>
          <w:tcPr>
            <w:tcW w:w="2154" w:type="dxa"/>
          </w:tcPr>
          <w:p w14:paraId="4ABF84EC" w14:textId="1704E2C3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pyruvate dehydrogenase kinase 1</w:t>
            </w:r>
          </w:p>
        </w:tc>
        <w:tc>
          <w:tcPr>
            <w:tcW w:w="1184" w:type="dxa"/>
          </w:tcPr>
          <w:p w14:paraId="0EFE57B4" w14:textId="6E89BB5B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pdk1</w:t>
            </w:r>
          </w:p>
        </w:tc>
        <w:tc>
          <w:tcPr>
            <w:tcW w:w="5445" w:type="dxa"/>
            <w:vAlign w:val="center"/>
          </w:tcPr>
          <w:p w14:paraId="0CD5A8FF" w14:textId="2A36C24B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ACCATGCAGACAAAGGCGTTT</w:t>
            </w:r>
          </w:p>
        </w:tc>
        <w:tc>
          <w:tcPr>
            <w:tcW w:w="2784" w:type="dxa"/>
          </w:tcPr>
          <w:p w14:paraId="7AE362E0" w14:textId="4F559400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TATACACAGGGAGTCTTTCGATG</w:t>
            </w:r>
          </w:p>
        </w:tc>
        <w:tc>
          <w:tcPr>
            <w:tcW w:w="1846" w:type="dxa"/>
          </w:tcPr>
          <w:p w14:paraId="75BDB85B" w14:textId="5CCE9E0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Nakai et al., 2000</w:t>
            </w:r>
          </w:p>
        </w:tc>
      </w:tr>
      <w:tr w:rsidR="713955AC" w:rsidRPr="00F85921" w14:paraId="65BDBF83" w14:textId="77777777" w:rsidTr="5BFCDFEE">
        <w:trPr>
          <w:trHeight w:val="377"/>
        </w:trPr>
        <w:tc>
          <w:tcPr>
            <w:tcW w:w="2154" w:type="dxa"/>
          </w:tcPr>
          <w:p w14:paraId="17B213B0" w14:textId="75CA8D22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pyruvate dehydrogenase kinase 2</w:t>
            </w:r>
          </w:p>
        </w:tc>
        <w:tc>
          <w:tcPr>
            <w:tcW w:w="1184" w:type="dxa"/>
          </w:tcPr>
          <w:p w14:paraId="729ACC08" w14:textId="680707EE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pdk2</w:t>
            </w:r>
          </w:p>
        </w:tc>
        <w:tc>
          <w:tcPr>
            <w:tcW w:w="5445" w:type="dxa"/>
            <w:vAlign w:val="center"/>
          </w:tcPr>
          <w:p w14:paraId="2AD3CF6A" w14:textId="227A6C4E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GCCACGAGTCCAGCCTCACTC</w:t>
            </w:r>
          </w:p>
        </w:tc>
        <w:tc>
          <w:tcPr>
            <w:tcW w:w="2784" w:type="dxa"/>
          </w:tcPr>
          <w:p w14:paraId="6BCFF1B3" w14:textId="0B82229D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GACAGGCAGGCGCTCCACT</w:t>
            </w:r>
          </w:p>
        </w:tc>
        <w:tc>
          <w:tcPr>
            <w:tcW w:w="1846" w:type="dxa"/>
          </w:tcPr>
          <w:p w14:paraId="3292E6FC" w14:textId="5CCE9E0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Nakai et al., 2000</w:t>
            </w:r>
          </w:p>
          <w:p w14:paraId="4B611557" w14:textId="3A11C582" w:rsidR="713955AC" w:rsidRPr="00F85921" w:rsidRDefault="713955AC" w:rsidP="5BFCDFE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713955AC" w:rsidRPr="00F85921" w14:paraId="401A61B2" w14:textId="77777777" w:rsidTr="5BFCDFEE">
        <w:trPr>
          <w:trHeight w:val="377"/>
        </w:trPr>
        <w:tc>
          <w:tcPr>
            <w:tcW w:w="2154" w:type="dxa"/>
          </w:tcPr>
          <w:p w14:paraId="05FF5C2B" w14:textId="70714FFE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pyruvate dehydrogenase kinase 4</w:t>
            </w:r>
          </w:p>
        </w:tc>
        <w:tc>
          <w:tcPr>
            <w:tcW w:w="1184" w:type="dxa"/>
          </w:tcPr>
          <w:p w14:paraId="0DF77BBF" w14:textId="76D87C9B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pdk4</w:t>
            </w:r>
          </w:p>
        </w:tc>
        <w:tc>
          <w:tcPr>
            <w:tcW w:w="5445" w:type="dxa"/>
            <w:vAlign w:val="center"/>
          </w:tcPr>
          <w:p w14:paraId="429ADD55" w14:textId="1D5820F9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ATCAAGAAAACCGCCCTTTCCT</w:t>
            </w:r>
          </w:p>
        </w:tc>
        <w:tc>
          <w:tcPr>
            <w:tcW w:w="2784" w:type="dxa"/>
          </w:tcPr>
          <w:p w14:paraId="26312055" w14:textId="2416A08B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GGGGAGTTTTTCTATAGACTCAGAT</w:t>
            </w:r>
          </w:p>
        </w:tc>
        <w:tc>
          <w:tcPr>
            <w:tcW w:w="1846" w:type="dxa"/>
          </w:tcPr>
          <w:p w14:paraId="1B775DCA" w14:textId="5CCE9E0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Nakai et al., 2000</w:t>
            </w:r>
          </w:p>
          <w:p w14:paraId="6C166527" w14:textId="05401FD1" w:rsidR="713955AC" w:rsidRPr="00F85921" w:rsidRDefault="713955AC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713955AC" w:rsidRPr="00F85921" w14:paraId="1ACD7082" w14:textId="77777777" w:rsidTr="5BFCDFEE">
        <w:trPr>
          <w:trHeight w:val="377"/>
        </w:trPr>
        <w:tc>
          <w:tcPr>
            <w:tcW w:w="2154" w:type="dxa"/>
          </w:tcPr>
          <w:p w14:paraId="7F116D2D" w14:textId="1F6D0D76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peroxisome proliferator activated receptor gamma</w:t>
            </w:r>
          </w:p>
        </w:tc>
        <w:tc>
          <w:tcPr>
            <w:tcW w:w="1184" w:type="dxa"/>
          </w:tcPr>
          <w:p w14:paraId="5432F784" w14:textId="3347ECDA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pparg</w:t>
            </w:r>
            <w:proofErr w:type="spellEnd"/>
          </w:p>
        </w:tc>
        <w:tc>
          <w:tcPr>
            <w:tcW w:w="5445" w:type="dxa"/>
            <w:vAlign w:val="center"/>
          </w:tcPr>
          <w:p w14:paraId="119313C4" w14:textId="5409067F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ATTCTGGCCCACCAACTTCGG</w:t>
            </w:r>
          </w:p>
        </w:tc>
        <w:tc>
          <w:tcPr>
            <w:tcW w:w="2784" w:type="dxa"/>
          </w:tcPr>
          <w:p w14:paraId="25233461" w14:textId="5611840F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TGGAAGCCTGATGCTTTATCCCCA</w:t>
            </w:r>
          </w:p>
        </w:tc>
        <w:tc>
          <w:tcPr>
            <w:tcW w:w="1846" w:type="dxa"/>
          </w:tcPr>
          <w:p w14:paraId="00DD0E90" w14:textId="5B3E458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  <w:p w14:paraId="55467D74" w14:textId="34118989" w:rsidR="713955AC" w:rsidRPr="00F85921" w:rsidRDefault="713955AC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713955AC" w:rsidRPr="00F85921" w14:paraId="138440FD" w14:textId="77777777" w:rsidTr="5BFCDFEE">
        <w:trPr>
          <w:trHeight w:val="377"/>
        </w:trPr>
        <w:tc>
          <w:tcPr>
            <w:tcW w:w="2154" w:type="dxa"/>
          </w:tcPr>
          <w:p w14:paraId="2BB41443" w14:textId="63F44F05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stearoyl-CoA desaturase 1</w:t>
            </w:r>
          </w:p>
        </w:tc>
        <w:tc>
          <w:tcPr>
            <w:tcW w:w="1184" w:type="dxa"/>
          </w:tcPr>
          <w:p w14:paraId="53BD0C3E" w14:textId="33EE75C4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scd1</w:t>
            </w:r>
          </w:p>
        </w:tc>
        <w:tc>
          <w:tcPr>
            <w:tcW w:w="5445" w:type="dxa"/>
            <w:vAlign w:val="center"/>
          </w:tcPr>
          <w:p w14:paraId="3C49CC4D" w14:textId="4602A6BC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AATCACTGTAGATCTGATGACCTGGA</w:t>
            </w:r>
          </w:p>
        </w:tc>
        <w:tc>
          <w:tcPr>
            <w:tcW w:w="2784" w:type="dxa"/>
          </w:tcPr>
          <w:p w14:paraId="0670D08B" w14:textId="6E642EF4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GCATCTGTGACCTGGAAAAATAAA</w:t>
            </w:r>
          </w:p>
        </w:tc>
        <w:tc>
          <w:tcPr>
            <w:tcW w:w="1846" w:type="dxa"/>
          </w:tcPr>
          <w:p w14:paraId="3A872777" w14:textId="47CFD7A7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Choi et al., 2007</w:t>
            </w:r>
          </w:p>
        </w:tc>
      </w:tr>
      <w:tr w:rsidR="713955AC" w:rsidRPr="00F85921" w14:paraId="4BC9A8B9" w14:textId="77777777" w:rsidTr="5BFCDFEE">
        <w:trPr>
          <w:trHeight w:val="377"/>
        </w:trPr>
        <w:tc>
          <w:tcPr>
            <w:tcW w:w="2154" w:type="dxa"/>
          </w:tcPr>
          <w:p w14:paraId="777681EA" w14:textId="66E63DBF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superoxide dismutase 1</w:t>
            </w:r>
          </w:p>
        </w:tc>
        <w:tc>
          <w:tcPr>
            <w:tcW w:w="1184" w:type="dxa"/>
          </w:tcPr>
          <w:p w14:paraId="25FCDFE1" w14:textId="2CACFA43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sod1 (Cu/Zn SOD)</w:t>
            </w:r>
          </w:p>
        </w:tc>
        <w:tc>
          <w:tcPr>
            <w:tcW w:w="5445" w:type="dxa"/>
            <w:vAlign w:val="center"/>
          </w:tcPr>
          <w:p w14:paraId="26C5DC04" w14:textId="7FAACB1F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CACTCTAAGAAACATGGCG</w:t>
            </w:r>
          </w:p>
        </w:tc>
        <w:tc>
          <w:tcPr>
            <w:tcW w:w="2784" w:type="dxa"/>
          </w:tcPr>
          <w:p w14:paraId="39B34BA1" w14:textId="15BDA1ED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</w:rPr>
              <w:t>CTGAGAGTGAGATCACACG</w:t>
            </w:r>
          </w:p>
        </w:tc>
        <w:tc>
          <w:tcPr>
            <w:tcW w:w="1846" w:type="dxa"/>
          </w:tcPr>
          <w:p w14:paraId="1AC5F9E8" w14:textId="6805DCD5" w:rsidR="713955AC" w:rsidRPr="00F85921" w:rsidRDefault="5BFCDFEE" w:rsidP="5BFCDFEE">
            <w:pPr>
              <w:spacing w:line="259" w:lineRule="auto"/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Chan et al., 2006</w:t>
            </w:r>
          </w:p>
        </w:tc>
      </w:tr>
      <w:tr w:rsidR="713955AC" w:rsidRPr="00F85921" w14:paraId="05675B62" w14:textId="77777777" w:rsidTr="5BFCDFEE">
        <w:trPr>
          <w:trHeight w:val="377"/>
        </w:trPr>
        <w:tc>
          <w:tcPr>
            <w:tcW w:w="2154" w:type="dxa"/>
          </w:tcPr>
          <w:p w14:paraId="061E5DE7" w14:textId="7CB2212C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superoxide dismutase 2</w:t>
            </w:r>
          </w:p>
        </w:tc>
        <w:tc>
          <w:tcPr>
            <w:tcW w:w="1184" w:type="dxa"/>
          </w:tcPr>
          <w:p w14:paraId="6B45CE3D" w14:textId="315158FF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sod2 (Mn SOD)</w:t>
            </w:r>
          </w:p>
        </w:tc>
        <w:tc>
          <w:tcPr>
            <w:tcW w:w="5445" w:type="dxa"/>
            <w:vAlign w:val="center"/>
          </w:tcPr>
          <w:p w14:paraId="2EF119B3" w14:textId="4267B706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TTCAGCCTGCACTGAAG</w:t>
            </w:r>
          </w:p>
        </w:tc>
        <w:tc>
          <w:tcPr>
            <w:tcW w:w="2784" w:type="dxa"/>
          </w:tcPr>
          <w:p w14:paraId="2429F82C" w14:textId="48DB973E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GTCACGCTTGATAGCCTC</w:t>
            </w:r>
          </w:p>
        </w:tc>
        <w:tc>
          <w:tcPr>
            <w:tcW w:w="1846" w:type="dxa"/>
          </w:tcPr>
          <w:p w14:paraId="6D80275E" w14:textId="6805DCD5" w:rsidR="713955AC" w:rsidRPr="00F85921" w:rsidRDefault="5BFCDFEE" w:rsidP="5BFCDFEE">
            <w:pPr>
              <w:spacing w:line="259" w:lineRule="auto"/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Chan et al., 2006</w:t>
            </w:r>
          </w:p>
          <w:p w14:paraId="05A9FE7E" w14:textId="7D2AFDAD" w:rsidR="713955AC" w:rsidRPr="00F85921" w:rsidRDefault="713955AC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713955AC" w:rsidRPr="00F85921" w14:paraId="1C72BB59" w14:textId="77777777" w:rsidTr="5BFCDFEE">
        <w:trPr>
          <w:trHeight w:val="377"/>
        </w:trPr>
        <w:tc>
          <w:tcPr>
            <w:tcW w:w="2154" w:type="dxa"/>
          </w:tcPr>
          <w:p w14:paraId="5A221D75" w14:textId="0D7473F9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sterol regulatory element binding transcription factor 1</w:t>
            </w:r>
          </w:p>
        </w:tc>
        <w:tc>
          <w:tcPr>
            <w:tcW w:w="1184" w:type="dxa"/>
          </w:tcPr>
          <w:p w14:paraId="28E77053" w14:textId="472218A6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srebp-1c</w:t>
            </w:r>
          </w:p>
        </w:tc>
        <w:tc>
          <w:tcPr>
            <w:tcW w:w="5445" w:type="dxa"/>
            <w:vAlign w:val="center"/>
          </w:tcPr>
          <w:p w14:paraId="79D54F53" w14:textId="5EEC5054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GCGGACGCAGTCTGGG</w:t>
            </w:r>
          </w:p>
        </w:tc>
        <w:tc>
          <w:tcPr>
            <w:tcW w:w="2784" w:type="dxa"/>
          </w:tcPr>
          <w:p w14:paraId="5A53FB42" w14:textId="5835860F" w:rsidR="713955AC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ATGAGCTGGAGCATGTCTTCAAA</w:t>
            </w:r>
          </w:p>
        </w:tc>
        <w:tc>
          <w:tcPr>
            <w:tcW w:w="1846" w:type="dxa"/>
          </w:tcPr>
          <w:p w14:paraId="00254D12" w14:textId="5B3E4588" w:rsidR="713955AC" w:rsidRPr="00F85921" w:rsidRDefault="5BFCDFEE" w:rsidP="5BFCD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Alberdi et al., 2011</w:t>
            </w:r>
          </w:p>
          <w:p w14:paraId="2FD770E8" w14:textId="57D6D80E" w:rsidR="713955AC" w:rsidRPr="00F85921" w:rsidRDefault="713955AC" w:rsidP="53B7FA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321" w:rsidRPr="00F85921" w14:paraId="0B4D9AB7" w14:textId="77777777" w:rsidTr="5BFCDFEE">
        <w:trPr>
          <w:trHeight w:val="208"/>
        </w:trPr>
        <w:tc>
          <w:tcPr>
            <w:tcW w:w="2154" w:type="dxa"/>
          </w:tcPr>
          <w:p w14:paraId="6B3F7C8F" w14:textId="5302F3B8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ribosomal 18s</w:t>
            </w:r>
          </w:p>
        </w:tc>
        <w:tc>
          <w:tcPr>
            <w:tcW w:w="1184" w:type="dxa"/>
          </w:tcPr>
          <w:p w14:paraId="7D9A70C8" w14:textId="77777777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rps18</w:t>
            </w:r>
          </w:p>
        </w:tc>
        <w:tc>
          <w:tcPr>
            <w:tcW w:w="5445" w:type="dxa"/>
          </w:tcPr>
          <w:p w14:paraId="13E688F5" w14:textId="7D0CC285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AAGTTTCAGCACATCCTGCGAGTA</w:t>
            </w:r>
          </w:p>
        </w:tc>
        <w:tc>
          <w:tcPr>
            <w:tcW w:w="2784" w:type="dxa"/>
          </w:tcPr>
          <w:p w14:paraId="73CE2E88" w14:textId="379269D4" w:rsidR="53B7FA47" w:rsidRPr="00F85921" w:rsidRDefault="5BFCDFEE" w:rsidP="5BFCDFEE">
            <w:pPr>
              <w:ind w:left="-2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TTGGTGAGGTCAATGTCTGCTTTC</w:t>
            </w:r>
          </w:p>
        </w:tc>
        <w:tc>
          <w:tcPr>
            <w:tcW w:w="1846" w:type="dxa"/>
          </w:tcPr>
          <w:p w14:paraId="3C11A0AB" w14:textId="4AEE62F6" w:rsidR="00117321" w:rsidRPr="00F85921" w:rsidRDefault="5BFCDFEE" w:rsidP="5BFCDF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5921">
              <w:rPr>
                <w:rFonts w:ascii="Times New Roman" w:eastAsia="Times New Roman" w:hAnsi="Times New Roman" w:cs="Times New Roman"/>
                <w:sz w:val="24"/>
                <w:szCs w:val="24"/>
              </w:rPr>
              <w:t>Long et al., 2019</w:t>
            </w:r>
          </w:p>
        </w:tc>
      </w:tr>
    </w:tbl>
    <w:p w14:paraId="39F9850C" w14:textId="77777777" w:rsidR="00117321" w:rsidRPr="00F85921" w:rsidRDefault="00117321" w:rsidP="53B7FA4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2D18BC6" w14:textId="080F365E" w:rsidR="00117321" w:rsidRPr="00117321" w:rsidRDefault="53B7FA47" w:rsidP="53B7FA47">
      <w:pPr>
        <w:spacing w:after="0" w:line="33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8592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References:</w:t>
      </w:r>
    </w:p>
    <w:p w14:paraId="3F964781" w14:textId="1352D1EC" w:rsidR="53B7FA47" w:rsidRDefault="53B7FA47" w:rsidP="53B7FA47">
      <w:pPr>
        <w:spacing w:after="0" w:line="33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7506800" w14:textId="5DFBE84B" w:rsidR="53B7FA47" w:rsidRDefault="5BFCDFEE" w:rsidP="53B7FA47">
      <w:pPr>
        <w:spacing w:after="0" w:line="33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5BFCDFEE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Alberdi, G., Rodríguez, V. M., Miranda, J., </w:t>
      </w:r>
      <w:proofErr w:type="spellStart"/>
      <w:r w:rsidRPr="5BFCDFEE">
        <w:rPr>
          <w:rFonts w:ascii="Times New Roman" w:eastAsia="Times New Roman" w:hAnsi="Times New Roman" w:cs="Times New Roman"/>
          <w:sz w:val="24"/>
          <w:szCs w:val="24"/>
          <w:lang w:val="en-US"/>
        </w:rPr>
        <w:t>Macarulla</w:t>
      </w:r>
      <w:proofErr w:type="spellEnd"/>
      <w:r w:rsidRPr="5BFCDFEE">
        <w:rPr>
          <w:rFonts w:ascii="Times New Roman" w:eastAsia="Times New Roman" w:hAnsi="Times New Roman" w:cs="Times New Roman"/>
          <w:sz w:val="24"/>
          <w:szCs w:val="24"/>
          <w:lang w:val="en-US"/>
        </w:rPr>
        <w:t>, M. T., Arias, N., Andrés-Lacueva, C., &amp; Portillo, M. P. (2011). Changes in white adipose tissue metabolism induced by resveratrol in rats. Nutrition &amp; metabolism, 8(1), 29. https://doi.org/10.1186/1743-7075-8-29</w:t>
      </w:r>
    </w:p>
    <w:p w14:paraId="7AE5B940" w14:textId="58647F6A" w:rsidR="53B7FA47" w:rsidRDefault="53B7FA47" w:rsidP="5BFCDFEE">
      <w:pPr>
        <w:spacing w:after="0" w:line="33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69C8E5" w14:textId="47B6E8F8" w:rsidR="53B7FA47" w:rsidRDefault="5BFCDFEE" w:rsidP="5BFCDFEE">
      <w:pPr>
        <w:spacing w:after="0" w:line="330" w:lineRule="exact"/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</w:pPr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 xml:space="preserve">Carnevali, L. C., Jr, Eder, R., Lira, F. S., Lima, W. P., Gonçalves, D. C., Zanchi, N. E., Nicastro, H., Lavoie, J. M., &amp; </w:t>
      </w:r>
      <w:proofErr w:type="spellStart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Seelaender</w:t>
      </w:r>
      <w:proofErr w:type="spellEnd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 xml:space="preserve">, M. C. (2012). Effects of high-intensity intermittent training on carnitine palmitoyl transferase activity in the gastrocnemius muscle of rats. </w:t>
      </w:r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 xml:space="preserve">Brazilian journal of medical and biological research = </w:t>
      </w:r>
      <w:proofErr w:type="spell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Revista</w:t>
      </w:r>
      <w:proofErr w:type="spellEnd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 xml:space="preserve"> </w:t>
      </w:r>
      <w:proofErr w:type="spell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brasileira</w:t>
      </w:r>
      <w:proofErr w:type="spellEnd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 xml:space="preserve"> de </w:t>
      </w:r>
      <w:proofErr w:type="spell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pesquisas</w:t>
      </w:r>
      <w:proofErr w:type="spellEnd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 xml:space="preserve"> </w:t>
      </w:r>
      <w:proofErr w:type="spell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medicas</w:t>
      </w:r>
      <w:proofErr w:type="spellEnd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 xml:space="preserve"> e </w:t>
      </w:r>
      <w:proofErr w:type="spell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biologicas</w:t>
      </w:r>
      <w:proofErr w:type="spellEnd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 xml:space="preserve">, </w:t>
      </w:r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/>
        </w:rPr>
        <w:t>45</w:t>
      </w:r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(8), 777–783. https://doi.org/10.1590/s0100-879x2012007500105</w:t>
      </w:r>
    </w:p>
    <w:p w14:paraId="5A6E198F" w14:textId="72FBBDD8" w:rsidR="53B7FA47" w:rsidRDefault="53B7FA47" w:rsidP="5BFCDFEE">
      <w:pPr>
        <w:spacing w:after="0" w:line="33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E135C2A" w14:textId="1B44F4F0" w:rsidR="53B7FA47" w:rsidRPr="000B048A" w:rsidRDefault="5BFCDFEE" w:rsidP="5BFCDFEE">
      <w:pPr>
        <w:spacing w:after="0" w:line="330" w:lineRule="exact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0B048A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Chan, S. H., Tai, M. H., Li, C. Y., &amp; Chan, J. Y. (2006). Reduction in molecular synthesis or enzyme activity of superoxide </w:t>
      </w:r>
      <w:proofErr w:type="spellStart"/>
      <w:r w:rsidRPr="000B048A">
        <w:rPr>
          <w:rFonts w:asciiTheme="majorBidi" w:eastAsia="Times New Roman" w:hAnsiTheme="majorBidi" w:cstheme="majorBidi"/>
          <w:sz w:val="24"/>
          <w:szCs w:val="24"/>
          <w:lang w:val="en-US"/>
        </w:rPr>
        <w:t>dismutases</w:t>
      </w:r>
      <w:proofErr w:type="spellEnd"/>
      <w:r w:rsidRPr="000B048A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and catalase contributes to oxidative stress and neurogenic hypertension in spontaneously hypertensive rats. Free radical biology &amp; medicine, 40(11), 2028–2039. https://doi.org/10.1016/j.freeradbiomed.2006.01.032</w:t>
      </w:r>
    </w:p>
    <w:p w14:paraId="216AFACA" w14:textId="5052FE0A" w:rsidR="53B7FA47" w:rsidRPr="000B048A" w:rsidRDefault="53B7FA47" w:rsidP="5BFCDFEE">
      <w:pPr>
        <w:spacing w:after="0" w:line="330" w:lineRule="exact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14:paraId="25B4B166" w14:textId="10575649" w:rsidR="00A449A2" w:rsidRPr="000B048A" w:rsidRDefault="067E9BE1" w:rsidP="53B7FA47">
      <w:pPr>
        <w:rPr>
          <w:rFonts w:asciiTheme="majorBidi" w:eastAsia="Times New Roman" w:hAnsiTheme="majorBidi" w:cstheme="majorBidi"/>
          <w:sz w:val="24"/>
          <w:szCs w:val="24"/>
        </w:rPr>
      </w:pPr>
      <w:r w:rsidRPr="000B048A">
        <w:rPr>
          <w:rFonts w:asciiTheme="majorBidi" w:eastAsia="Times New Roman" w:hAnsiTheme="majorBidi" w:cstheme="majorBidi"/>
          <w:sz w:val="24"/>
          <w:szCs w:val="24"/>
        </w:rPr>
        <w:t xml:space="preserve">Choi, C. S., Savage, D. B., Kulkarni, A., Yu, X. X., Liu, Z. X., Morino, K., Kim, S., Distefano, A., Samuel, V. T., Neschen, S., Zhang, D., Wang, A., Zhang, X. M., Kahn, M., Cline, G. W., Pandey, S. K., Geisler, J. G., Bhanot, S., Monia, B. P., &amp; Shulman, G. I. (2007). Suppression of diacylglycerol acyltransferase-2 (DGAT2), but not DGAT1, with antisense oligonucleotides reverses diet-induced hepatic steatosis and insulin resistance. The Journal of biological chemistry, 282(31), 22678–22688. https://doi.org/10.1074/jbc.M704213200 </w:t>
      </w:r>
    </w:p>
    <w:p w14:paraId="0BFCE789" w14:textId="34C7A980" w:rsidR="00A449A2" w:rsidRPr="000B048A" w:rsidRDefault="5BFCDFEE" w:rsidP="5BFCDFEE">
      <w:pPr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He, X., Sun, J., &amp; Huang, X. (2018). Expression of caspase-3, </w:t>
      </w:r>
      <w:proofErr w:type="spellStart"/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>Bax</w:t>
      </w:r>
      <w:proofErr w:type="spellEnd"/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 and Bcl-2 in hippocampus of rats with diabetes and subarachnoid hemorrhage. </w:t>
      </w:r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Experimental and therapeutic medicine</w:t>
      </w: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, </w:t>
      </w:r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15</w:t>
      </w: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(1), 873–877. </w:t>
      </w:r>
      <w:hyperlink r:id="rId5" w:history="1">
        <w:r w:rsidR="000B048A" w:rsidRPr="000B048A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https://doi.org/10.3892/etm.2017.5438</w:t>
        </w:r>
      </w:hyperlink>
    </w:p>
    <w:p w14:paraId="7EBCF530" w14:textId="3DCE58CC" w:rsidR="000B048A" w:rsidRPr="000B048A" w:rsidRDefault="000B048A" w:rsidP="5BFCDFEE">
      <w:pPr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0B048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Jernberg, J.N., Bowman, C.E., Wolfgang, M.J. and Scafidi, S., 2017. Developmental regulation and localization of carnitine </w:t>
      </w:r>
      <w:proofErr w:type="spellStart"/>
      <w:r w:rsidRPr="000B048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palmitoyltransferases</w:t>
      </w:r>
      <w:proofErr w:type="spellEnd"/>
      <w:r w:rsidRPr="000B048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(CPT s) in rat brain. </w:t>
      </w:r>
      <w:r w:rsidRPr="000B048A">
        <w:rPr>
          <w:rFonts w:asciiTheme="majorBidi" w:hAnsiTheme="majorBidi" w:cstheme="majorBidi"/>
          <w:i/>
          <w:iCs/>
          <w:color w:val="222222"/>
          <w:sz w:val="24"/>
          <w:szCs w:val="24"/>
          <w:shd w:val="clear" w:color="auto" w:fill="FFFFFF"/>
        </w:rPr>
        <w:t>Journal of neurochemistry</w:t>
      </w:r>
      <w:r w:rsidRPr="000B048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, </w:t>
      </w:r>
      <w:r w:rsidRPr="000B048A">
        <w:rPr>
          <w:rFonts w:asciiTheme="majorBidi" w:hAnsiTheme="majorBidi" w:cstheme="majorBidi"/>
          <w:i/>
          <w:iCs/>
          <w:color w:val="222222"/>
          <w:sz w:val="24"/>
          <w:szCs w:val="24"/>
          <w:shd w:val="clear" w:color="auto" w:fill="FFFFFF"/>
        </w:rPr>
        <w:t>142</w:t>
      </w:r>
      <w:r w:rsidRPr="000B048A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(3), pp.407-419.</w:t>
      </w:r>
    </w:p>
    <w:p w14:paraId="1E0C5A1E" w14:textId="3F0C6C2B" w:rsidR="00A449A2" w:rsidRPr="000B048A" w:rsidRDefault="5BFCDFEE" w:rsidP="5BFCDFEE">
      <w:pPr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Long, C., Xiao, Y., Li, S., Tang, X., Yuan, Z., &amp; Bai, Y. (2019). Identification of optimal endogenous reference RNAs for RT-qPCR normalization in hindgut of rat models with anorectal malformations. </w:t>
      </w:r>
      <w:proofErr w:type="spellStart"/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PeerJ</w:t>
      </w:r>
      <w:proofErr w:type="spellEnd"/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, </w:t>
      </w:r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7</w:t>
      </w: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>, e6829. https://doi.org/10.7717/peerj.6829</w:t>
      </w:r>
    </w:p>
    <w:p w14:paraId="44594DF0" w14:textId="11170CEF" w:rsidR="00A449A2" w:rsidRPr="000B048A" w:rsidRDefault="00A449A2" w:rsidP="5BFCDFEE">
      <w:pPr>
        <w:shd w:val="clear" w:color="auto" w:fill="FFFFFF" w:themeFill="background1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14:paraId="2B6CC448" w14:textId="68C80785" w:rsidR="00A449A2" w:rsidRPr="000B048A" w:rsidRDefault="5BFCDFEE" w:rsidP="5BFCDFEE">
      <w:pPr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lastRenderedPageBreak/>
        <w:t xml:space="preserve">Nakai, N., Obayashi, M., Nagasaki, M., Sato, Y., </w:t>
      </w:r>
      <w:proofErr w:type="spellStart"/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>Fujitsuka</w:t>
      </w:r>
      <w:proofErr w:type="spellEnd"/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, N., Yoshimura, A., Miyazaki, Y., Sugiyama, S., &amp; Shimomura, Y. (2000). The abundance of mRNAs for pyruvate dehydrogenase kinase isoenzymes in brain regions of young and aged rats. </w:t>
      </w:r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Life sciences</w:t>
      </w: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 xml:space="preserve">, </w:t>
      </w:r>
      <w:r w:rsidRPr="000B048A">
        <w:rPr>
          <w:rFonts w:asciiTheme="majorBidi" w:eastAsia="Times New Roman" w:hAnsiTheme="majorBidi" w:cstheme="majorBidi"/>
          <w:i/>
          <w:iCs/>
          <w:color w:val="212121"/>
          <w:sz w:val="24"/>
          <w:szCs w:val="24"/>
        </w:rPr>
        <w:t>68</w:t>
      </w:r>
      <w:r w:rsidRPr="000B048A">
        <w:rPr>
          <w:rFonts w:asciiTheme="majorBidi" w:eastAsia="Times New Roman" w:hAnsiTheme="majorBidi" w:cstheme="majorBidi"/>
          <w:color w:val="212121"/>
          <w:sz w:val="24"/>
          <w:szCs w:val="24"/>
        </w:rPr>
        <w:t>(5), 497–503. https://doi.org/10.1016/s0024-3205(00)00947-4</w:t>
      </w:r>
    </w:p>
    <w:p w14:paraId="31FBDAAB" w14:textId="4C1C1F2B" w:rsidR="5BFCDFEE" w:rsidRDefault="5BFCDFEE" w:rsidP="5BFCDFEE">
      <w:pPr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Wojcik, B., </w:t>
      </w:r>
      <w:proofErr w:type="spellStart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>Miklosz</w:t>
      </w:r>
      <w:proofErr w:type="spellEnd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A., Zabielski, P., </w:t>
      </w:r>
      <w:proofErr w:type="spellStart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>Chabowski</w:t>
      </w:r>
      <w:proofErr w:type="spellEnd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A., &amp; Gorski, J. (2017). Effect of tachycardia on mRNA </w:t>
      </w:r>
      <w:proofErr w:type="spellStart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>andf</w:t>
      </w:r>
      <w:proofErr w:type="spellEnd"/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protein expression of the principal components of the lipolytic system in the rat's heart ventricles. </w:t>
      </w:r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</w:rPr>
        <w:t xml:space="preserve">Journal of physiology and </w:t>
      </w:r>
      <w:proofErr w:type="gramStart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</w:rPr>
        <w:t>pharmacology :</w:t>
      </w:r>
      <w:proofErr w:type="gramEnd"/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</w:rPr>
        <w:t xml:space="preserve"> an official journal of the Polish Physiological Society</w:t>
      </w:r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r w:rsidRPr="5BFCDFE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</w:rPr>
        <w:t>68</w:t>
      </w:r>
      <w:r w:rsidRPr="5BFCDFEE">
        <w:rPr>
          <w:rFonts w:ascii="Times New Roman" w:eastAsia="Times New Roman" w:hAnsi="Times New Roman" w:cs="Times New Roman"/>
          <w:color w:val="212121"/>
          <w:sz w:val="24"/>
          <w:szCs w:val="24"/>
        </w:rPr>
        <w:t>(5), 731–736.</w:t>
      </w:r>
    </w:p>
    <w:sectPr w:rsidR="5BFCDFEE" w:rsidSect="00F657C7"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59A8A26-AFA7-4E7F-B232-862937611267}"/>
    <w:docVar w:name="dgnword-eventsink" w:val="2975210204096"/>
  </w:docVars>
  <w:rsids>
    <w:rsidRoot w:val="003941D4"/>
    <w:rsid w:val="0009015F"/>
    <w:rsid w:val="00094E25"/>
    <w:rsid w:val="000A087E"/>
    <w:rsid w:val="000A45A9"/>
    <w:rsid w:val="000B048A"/>
    <w:rsid w:val="000C51F8"/>
    <w:rsid w:val="001014E6"/>
    <w:rsid w:val="00117321"/>
    <w:rsid w:val="0014215D"/>
    <w:rsid w:val="001566F1"/>
    <w:rsid w:val="00176112"/>
    <w:rsid w:val="0018418D"/>
    <w:rsid w:val="001A1511"/>
    <w:rsid w:val="001C0991"/>
    <w:rsid w:val="001D6657"/>
    <w:rsid w:val="001E0F6F"/>
    <w:rsid w:val="001E4622"/>
    <w:rsid w:val="00226D56"/>
    <w:rsid w:val="002A52B0"/>
    <w:rsid w:val="002D4EB5"/>
    <w:rsid w:val="0031518E"/>
    <w:rsid w:val="00356AC5"/>
    <w:rsid w:val="00370370"/>
    <w:rsid w:val="003737F0"/>
    <w:rsid w:val="003941D4"/>
    <w:rsid w:val="00401EFE"/>
    <w:rsid w:val="00416A6E"/>
    <w:rsid w:val="00445109"/>
    <w:rsid w:val="00475F9F"/>
    <w:rsid w:val="004D3A27"/>
    <w:rsid w:val="0051707F"/>
    <w:rsid w:val="00602843"/>
    <w:rsid w:val="006049F3"/>
    <w:rsid w:val="00622D73"/>
    <w:rsid w:val="0067306B"/>
    <w:rsid w:val="006A0CEA"/>
    <w:rsid w:val="006D3CCA"/>
    <w:rsid w:val="00714E57"/>
    <w:rsid w:val="00745C69"/>
    <w:rsid w:val="00805979"/>
    <w:rsid w:val="008276B4"/>
    <w:rsid w:val="008666A9"/>
    <w:rsid w:val="00887456"/>
    <w:rsid w:val="008A4ED0"/>
    <w:rsid w:val="008B77DD"/>
    <w:rsid w:val="008F18D8"/>
    <w:rsid w:val="00917FAC"/>
    <w:rsid w:val="00961132"/>
    <w:rsid w:val="00A14D7F"/>
    <w:rsid w:val="00A449A2"/>
    <w:rsid w:val="00A4797C"/>
    <w:rsid w:val="00A5185A"/>
    <w:rsid w:val="00A95749"/>
    <w:rsid w:val="00AB331E"/>
    <w:rsid w:val="00B24EA4"/>
    <w:rsid w:val="00B304BB"/>
    <w:rsid w:val="00B73E43"/>
    <w:rsid w:val="00BC1E16"/>
    <w:rsid w:val="00CC3EAF"/>
    <w:rsid w:val="00CD2D8D"/>
    <w:rsid w:val="00D05513"/>
    <w:rsid w:val="00D8765A"/>
    <w:rsid w:val="00E177F9"/>
    <w:rsid w:val="00E2696C"/>
    <w:rsid w:val="00E96B88"/>
    <w:rsid w:val="00F250E9"/>
    <w:rsid w:val="00F26714"/>
    <w:rsid w:val="00F26A4E"/>
    <w:rsid w:val="00F64C54"/>
    <w:rsid w:val="00F657C7"/>
    <w:rsid w:val="00F85921"/>
    <w:rsid w:val="00F91B0E"/>
    <w:rsid w:val="00F93DB5"/>
    <w:rsid w:val="067E9BE1"/>
    <w:rsid w:val="09B8FB15"/>
    <w:rsid w:val="198EA3BA"/>
    <w:rsid w:val="1B63868D"/>
    <w:rsid w:val="1C57B3B1"/>
    <w:rsid w:val="26282C3F"/>
    <w:rsid w:val="3219ED77"/>
    <w:rsid w:val="3685E81D"/>
    <w:rsid w:val="53B7FA47"/>
    <w:rsid w:val="5BFCDFEE"/>
    <w:rsid w:val="65D7758E"/>
    <w:rsid w:val="713955AC"/>
    <w:rsid w:val="796AC5F9"/>
    <w:rsid w:val="7D9B9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EC02A"/>
  <w15:chartTrackingRefBased/>
  <w15:docId w15:val="{6A618F4C-7571-47EF-8B29-2F5EB571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3">
    <w:name w:val="List Table 2 Accent 3"/>
    <w:basedOn w:val="TableNormal"/>
    <w:uiPriority w:val="47"/>
    <w:rsid w:val="003737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ibliography">
    <w:name w:val="Bibliography"/>
    <w:basedOn w:val="Normal"/>
    <w:next w:val="Normal"/>
    <w:uiPriority w:val="37"/>
    <w:unhideWhenUsed/>
    <w:rsid w:val="00226D56"/>
    <w:pPr>
      <w:spacing w:after="0" w:line="240" w:lineRule="auto"/>
      <w:ind w:left="720" w:hanging="720"/>
    </w:pPr>
  </w:style>
  <w:style w:type="paragraph" w:styleId="NormalWeb">
    <w:name w:val="Normal (Web)"/>
    <w:basedOn w:val="Normal"/>
    <w:link w:val="NormalWebChar"/>
    <w:uiPriority w:val="99"/>
    <w:unhideWhenUsed/>
    <w:rsid w:val="001E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0">
    <w:name w:val="Normal0"/>
    <w:link w:val="Normal0Char"/>
    <w:qFormat/>
    <w:rsid w:val="001E4622"/>
    <w:pPr>
      <w:spacing w:after="0" w:line="240" w:lineRule="auto"/>
    </w:pPr>
    <w:rPr>
      <w:rFonts w:ascii="Calibri" w:eastAsia="Calibri" w:hAnsi="Calibri" w:cs="Calibri"/>
      <w:lang w:val="en-US" w:eastAsia="en-CA"/>
    </w:rPr>
  </w:style>
  <w:style w:type="character" w:customStyle="1" w:styleId="Normal0Char">
    <w:name w:val="Normal0 Char"/>
    <w:basedOn w:val="DefaultParagraphFont"/>
    <w:link w:val="Normal0"/>
    <w:rsid w:val="001E4622"/>
    <w:rPr>
      <w:rFonts w:ascii="Calibri" w:eastAsia="Calibri" w:hAnsi="Calibri" w:cs="Calibri"/>
      <w:lang w:val="en-US" w:eastAsia="en-CA"/>
    </w:rPr>
  </w:style>
  <w:style w:type="character" w:customStyle="1" w:styleId="NormalWebChar">
    <w:name w:val="Normal (Web) Char"/>
    <w:basedOn w:val="DefaultParagraphFont"/>
    <w:link w:val="NormalWeb"/>
    <w:uiPriority w:val="99"/>
    <w:rsid w:val="001E462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64C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3892/etm.2017.5438" TargetMode="External"/><Relationship Id="rId4" Type="http://schemas.openxmlformats.org/officeDocument/2006/relationships/hyperlink" Target="mailto:cmartyn@ufl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Denina Simmons</dc:creator>
  <cp:keywords/>
  <dc:description/>
  <cp:lastModifiedBy>Chris Martyniuk</cp:lastModifiedBy>
  <cp:revision>26</cp:revision>
  <dcterms:created xsi:type="dcterms:W3CDTF">2023-12-22T03:39:00Z</dcterms:created>
  <dcterms:modified xsi:type="dcterms:W3CDTF">2024-06-15T10:16:00Z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id="RYjLFJJf"/&gt;&lt;style id="http://www.zotero.org/styles/science-of-the-total-environment" hasBibliography="1" bibliographyStyleHasBeenSet="1"/&gt;&lt;prefs&gt;&lt;pref name="fieldType" value="Field"/&gt;&lt;/prefs&gt;&lt;/da</vt:lpwstr>
  </property>
  <property fmtid="{D5CDD505-2E9C-101B-9397-08002B2CF9AE}" pid="3" name="ZOTERO_PREF_2">
    <vt:lpwstr>ta&gt;</vt:lpwstr>
  </property>
</Properties>
</file>