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F8C02" w14:textId="34ABC3FF" w:rsidR="00563617" w:rsidRDefault="00563617">
      <w:r w:rsidRPr="007D35DB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C8AE0BC" wp14:editId="36DC50A2">
            <wp:simplePos x="0" y="0"/>
            <wp:positionH relativeFrom="column">
              <wp:posOffset>0</wp:posOffset>
            </wp:positionH>
            <wp:positionV relativeFrom="paragraph">
              <wp:posOffset>167005</wp:posOffset>
            </wp:positionV>
            <wp:extent cx="3030220" cy="2144395"/>
            <wp:effectExtent l="0" t="0" r="0" b="0"/>
            <wp:wrapTopAndBottom/>
            <wp:docPr id="190852263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74DEBB" w14:textId="77777777" w:rsidR="00563617" w:rsidRDefault="00563617"/>
    <w:p w14:paraId="354B2E58" w14:textId="77777777" w:rsidR="00CC3AB4" w:rsidRDefault="00CC3AB4" w:rsidP="008A36FF">
      <w:pPr>
        <w:pStyle w:val="NormalWeb"/>
        <w:spacing w:after="160" w:line="256" w:lineRule="auto"/>
        <w:rPr>
          <w:rFonts w:eastAsia="Calibri"/>
          <w:kern w:val="24"/>
          <w:szCs w:val="20"/>
        </w:rPr>
      </w:pPr>
      <w:r w:rsidRPr="009C3393">
        <w:rPr>
          <w:rFonts w:eastAsia="Calibri"/>
          <w:b/>
          <w:bCs/>
          <w:kern w:val="24"/>
          <w:szCs w:val="20"/>
        </w:rPr>
        <w:t xml:space="preserve">Supplementary figure 1. </w:t>
      </w:r>
      <w:r w:rsidRPr="00DF4E03">
        <w:rPr>
          <w:rFonts w:eastAsia="Calibri"/>
          <w:kern w:val="24"/>
          <w:szCs w:val="20"/>
        </w:rPr>
        <w:t xml:space="preserve">Gate strategy used for MDSCs cells in intratracheal infection. Bronchoaveolar lavage of mice was performed 48 hours or 21 days after infection with the B3501 or CAP67 strain of </w:t>
      </w:r>
      <w:r w:rsidRPr="00D45E24">
        <w:rPr>
          <w:rFonts w:eastAsia="Calibri"/>
          <w:i/>
          <w:iCs/>
          <w:kern w:val="24"/>
          <w:szCs w:val="20"/>
        </w:rPr>
        <w:t>C. neoformans</w:t>
      </w:r>
      <w:r w:rsidRPr="00DF4E03">
        <w:rPr>
          <w:rFonts w:eastAsia="Calibri"/>
          <w:kern w:val="24"/>
          <w:szCs w:val="20"/>
        </w:rPr>
        <w:t xml:space="preserve">. The obtained cells were </w:t>
      </w:r>
      <w:r>
        <w:rPr>
          <w:rFonts w:eastAsia="Calibri"/>
          <w:kern w:val="24"/>
          <w:szCs w:val="20"/>
        </w:rPr>
        <w:t>stained</w:t>
      </w:r>
      <w:r w:rsidRPr="00DF4E03">
        <w:rPr>
          <w:rFonts w:eastAsia="Calibri"/>
          <w:kern w:val="24"/>
          <w:szCs w:val="20"/>
        </w:rPr>
        <w:t xml:space="preserve"> for flow cytometry to determine the frequency of CD11b+Ly6G+Ly6C+PD-L1+ cells within the gate of SiglecF-CD11c+ cells.</w:t>
      </w:r>
    </w:p>
    <w:p w14:paraId="0D34D8D2" w14:textId="77777777" w:rsidR="002A0EA3" w:rsidRDefault="002A0EA3" w:rsidP="008A36FF">
      <w:pPr>
        <w:pStyle w:val="NormalWeb"/>
        <w:spacing w:after="160" w:line="256" w:lineRule="auto"/>
        <w:rPr>
          <w:rFonts w:eastAsia="Calibri"/>
          <w:kern w:val="24"/>
          <w:szCs w:val="20"/>
        </w:rPr>
      </w:pPr>
    </w:p>
    <w:p w14:paraId="132E60A3" w14:textId="753DFFA3" w:rsidR="002A0EA3" w:rsidRDefault="002A0EA3" w:rsidP="008A36FF">
      <w:pPr>
        <w:pStyle w:val="NormalWeb"/>
        <w:spacing w:after="160" w:line="256" w:lineRule="auto"/>
        <w:rPr>
          <w:rFonts w:eastAsia="Calibri"/>
          <w:kern w:val="24"/>
          <w:szCs w:val="20"/>
          <w:lang w:val="pt-BR"/>
        </w:rPr>
      </w:pPr>
      <w:r w:rsidRPr="007D35DB">
        <w:rPr>
          <w:rFonts w:ascii="Arial" w:hAnsi="Arial" w:cs="Arial"/>
          <w:b/>
          <w:sz w:val="24"/>
        </w:rPr>
        <w:drawing>
          <wp:anchor distT="0" distB="0" distL="114300" distR="114300" simplePos="0" relativeHeight="251661312" behindDoc="0" locked="0" layoutInCell="1" allowOverlap="1" wp14:anchorId="668519C8" wp14:editId="1B3AFA61">
            <wp:simplePos x="0" y="0"/>
            <wp:positionH relativeFrom="column">
              <wp:posOffset>0</wp:posOffset>
            </wp:positionH>
            <wp:positionV relativeFrom="paragraph">
              <wp:posOffset>280035</wp:posOffset>
            </wp:positionV>
            <wp:extent cx="2975145" cy="3173185"/>
            <wp:effectExtent l="0" t="0" r="0" b="0"/>
            <wp:wrapTopAndBottom/>
            <wp:docPr id="200816107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145" cy="317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CCEB74" w14:textId="77777777" w:rsidR="00D60EC1" w:rsidRPr="00D60EC1" w:rsidRDefault="00D60EC1" w:rsidP="00D60EC1">
      <w:pPr>
        <w:spacing w:line="260" w:lineRule="atLeast"/>
        <w:jc w:val="both"/>
        <w:rPr>
          <w:rFonts w:ascii="Palatino Linotype" w:eastAsia="SimSun" w:hAnsi="Palatino Linotype" w:cs="Arial"/>
          <w:noProof/>
          <w:color w:val="000000"/>
          <w:kern w:val="0"/>
          <w:sz w:val="20"/>
          <w:szCs w:val="20"/>
          <w:lang w:val="en-US" w:eastAsia="zh-CN"/>
          <w14:ligatures w14:val="none"/>
        </w:rPr>
      </w:pPr>
      <w:r w:rsidRPr="00D60EC1">
        <w:rPr>
          <w:rFonts w:ascii="Palatino Linotype" w:eastAsia="SimSun" w:hAnsi="Palatino Linotype" w:cs="Arial"/>
          <w:b/>
          <w:bCs/>
          <w:noProof/>
          <w:color w:val="000000"/>
          <w:kern w:val="0"/>
          <w:sz w:val="20"/>
          <w:szCs w:val="20"/>
          <w:lang w:val="en-US" w:eastAsia="zh-CN"/>
          <w14:ligatures w14:val="none"/>
        </w:rPr>
        <w:t xml:space="preserve">Supplementary figure 2. </w:t>
      </w:r>
      <w:r w:rsidRPr="00D60EC1">
        <w:rPr>
          <w:rFonts w:ascii="Palatino Linotype" w:eastAsia="Calibri" w:hAnsi="Palatino Linotype" w:cs="Times New Roman"/>
          <w:noProof/>
          <w:color w:val="000000"/>
          <w:kern w:val="24"/>
          <w:sz w:val="20"/>
          <w:szCs w:val="20"/>
          <w:lang w:val="en-US" w:eastAsia="zh-CN"/>
          <w14:ligatures w14:val="none"/>
        </w:rPr>
        <w:t>Gate strategy used for MDSCs cells in peritoneal infection. Peritoneal lavage of mice was performed 4 or 8 hours after infection with the B3501 or CAP67 strain of C. neoformans. The cells obtained were stained for flow cytometry to determine the frequency of CD11b+Ly6G+Ly6C+PD-L1+ cells within the gate of F4/80+ cells.</w:t>
      </w:r>
    </w:p>
    <w:p w14:paraId="740E4F08" w14:textId="77777777" w:rsidR="002A0EA3" w:rsidRPr="00F33E78" w:rsidRDefault="002A0EA3" w:rsidP="008A36FF">
      <w:pPr>
        <w:pStyle w:val="NormalWeb"/>
        <w:spacing w:after="160" w:line="256" w:lineRule="auto"/>
        <w:rPr>
          <w:rFonts w:eastAsia="Calibri"/>
          <w:kern w:val="24"/>
          <w:szCs w:val="20"/>
          <w:lang w:val="pt-BR"/>
        </w:rPr>
      </w:pPr>
    </w:p>
    <w:p w14:paraId="46EA535F" w14:textId="0ED5A5ED" w:rsidR="00563617" w:rsidRDefault="00563617"/>
    <w:sectPr w:rsidR="005636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17"/>
    <w:rsid w:val="00222057"/>
    <w:rsid w:val="002A0EA3"/>
    <w:rsid w:val="002A1FA4"/>
    <w:rsid w:val="00563617"/>
    <w:rsid w:val="008502C4"/>
    <w:rsid w:val="00CC3AB4"/>
    <w:rsid w:val="00D60EC1"/>
    <w:rsid w:val="00DB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2A84"/>
  <w15:chartTrackingRefBased/>
  <w15:docId w15:val="{3D6386D4-B273-CC42-9763-BC81A49C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C3AB4"/>
    <w:pPr>
      <w:spacing w:line="260" w:lineRule="atLeast"/>
      <w:jc w:val="both"/>
    </w:pPr>
    <w:rPr>
      <w:rFonts w:ascii="Palatino Linotype" w:eastAsia="SimSun" w:hAnsi="Palatino Linotype" w:cs="Times New Roman"/>
      <w:noProof/>
      <w:color w:val="000000"/>
      <w:kern w:val="0"/>
      <w:sz w:val="20"/>
      <w:szCs w:val="24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Oliveira</dc:creator>
  <cp:keywords/>
  <dc:description/>
  <cp:lastModifiedBy>Celio Lima</cp:lastModifiedBy>
  <cp:revision>2</cp:revision>
  <dcterms:created xsi:type="dcterms:W3CDTF">2024-07-24T14:39:00Z</dcterms:created>
  <dcterms:modified xsi:type="dcterms:W3CDTF">2024-07-24T14:39:00Z</dcterms:modified>
</cp:coreProperties>
</file>