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256.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Historical Data for 2010-2014 (NATIONAL UNIVERSITY OF COSTA RICA):</w:t>
      </w:r>
    </w:p>
    <w:tbl>
      <w:tblPr>
        <w:tblStyle w:val="Table1"/>
        <w:tblW w:w="5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750"/>
        <w:gridCol w:w="555"/>
        <w:gridCol w:w="480"/>
        <w:gridCol w:w="690"/>
        <w:gridCol w:w="525"/>
        <w:gridCol w:w="525"/>
        <w:gridCol w:w="795"/>
        <w:tblGridChange w:id="0">
          <w:tblGrid>
            <w:gridCol w:w="705"/>
            <w:gridCol w:w="750"/>
            <w:gridCol w:w="555"/>
            <w:gridCol w:w="480"/>
            <w:gridCol w:w="690"/>
            <w:gridCol w:w="525"/>
            <w:gridCol w:w="525"/>
            <w:gridCol w:w="7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S1.Number of Laboratories Performing Six Waste Minimization Practices (2015-2050)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780"/>
        <w:gridCol w:w="780"/>
        <w:gridCol w:w="780"/>
        <w:gridCol w:w="780"/>
        <w:gridCol w:w="780"/>
        <w:gridCol w:w="780"/>
        <w:gridCol w:w="795"/>
        <w:tblGridChange w:id="0">
          <w:tblGrid>
            <w:gridCol w:w="705"/>
            <w:gridCol w:w="780"/>
            <w:gridCol w:w="780"/>
            <w:gridCol w:w="780"/>
            <w:gridCol w:w="780"/>
            <w:gridCol w:w="780"/>
            <w:gridCol w:w="780"/>
            <w:gridCol w:w="7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56.3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126.2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72.3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77.6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88.3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83.0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88.3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138.8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149.4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93.6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98.9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104.2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118.8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109.5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114.8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125.4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130.7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209.0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141.3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146.6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151.9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157.2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248.0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167.8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278.4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173.1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178.4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341.8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351.6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361.4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199.6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371.2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204.9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381.0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347.2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390.8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215.5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326.0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355.8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220.8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364.4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410.4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226.1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S2.Number of Laboratories Performing Five Waste Minimization Practices (2015-2050)</w:t>
      </w:r>
      <w:r w:rsidDel="00000000" w:rsidR="00000000" w:rsidRPr="00000000">
        <w:rPr>
          <w:rtl w:val="0"/>
        </w:rPr>
      </w:r>
    </w:p>
    <w:tbl>
      <w:tblPr>
        <w:tblStyle w:val="Table3"/>
        <w:tblW w:w="5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780"/>
        <w:gridCol w:w="780"/>
        <w:gridCol w:w="780"/>
        <w:gridCol w:w="780"/>
        <w:gridCol w:w="780"/>
        <w:gridCol w:w="765"/>
        <w:tblGridChange w:id="0">
          <w:tblGrid>
            <w:gridCol w:w="705"/>
            <w:gridCol w:w="780"/>
            <w:gridCol w:w="780"/>
            <w:gridCol w:w="780"/>
            <w:gridCol w:w="780"/>
            <w:gridCol w:w="780"/>
            <w:gridCol w:w="7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77.2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87.0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96.8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116.4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126.2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88.3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145.8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138.8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149.4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165.4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175.2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118.8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204.6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214.4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224.2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234.0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243.8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209.0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253.6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263.4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273.2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283.0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292.8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185.9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248.0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269.8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302.6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177.6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278.4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312.4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263.6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322.2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188.6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332.0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279.2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341.8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287.0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351.6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205.1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294.8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361.4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302.6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371.2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338.6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381.0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318.2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347.2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390.8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227.1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326.0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355.8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400.6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253.0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232.6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333.8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364.4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410.4</w:t>
            </w:r>
          </w:p>
        </w:tc>
      </w:tr>
    </w:tbl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S3.Annual Percentage Variation for Six Waste Minimization Practices (2015-2050)</w:t>
      </w:r>
      <w:r w:rsidDel="00000000" w:rsidR="00000000" w:rsidRPr="00000000">
        <w:rPr>
          <w:rtl w:val="0"/>
        </w:rPr>
      </w:r>
    </w:p>
    <w:tbl>
      <w:tblPr>
        <w:tblStyle w:val="Table4"/>
        <w:tblW w:w="6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215"/>
        <w:gridCol w:w="1005"/>
        <w:gridCol w:w="855"/>
        <w:gridCol w:w="1155"/>
        <w:gridCol w:w="990"/>
        <w:gridCol w:w="975"/>
        <w:tblGridChange w:id="0">
          <w:tblGrid>
            <w:gridCol w:w="705"/>
            <w:gridCol w:w="1215"/>
            <w:gridCol w:w="1005"/>
            <w:gridCol w:w="855"/>
            <w:gridCol w:w="1155"/>
            <w:gridCol w:w="990"/>
            <w:gridCol w:w="9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SNM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RSC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 (%)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22.5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12.7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8.0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5.0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4.0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16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</w:tr>
    </w:tbl>
    <w:p w:rsidR="00000000" w:rsidDel="00000000" w:rsidP="00000000" w:rsidRDefault="00000000" w:rsidRPr="00000000" w14:paraId="0000036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S4.Annual Percentage Variation for Five Waste Minimization Practices (2015-2050)</w:t>
      </w:r>
    </w:p>
    <w:p w:rsidR="00000000" w:rsidDel="00000000" w:rsidP="00000000" w:rsidRDefault="00000000" w:rsidRPr="00000000" w14:paraId="000003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215"/>
        <w:gridCol w:w="1005"/>
        <w:gridCol w:w="855"/>
        <w:gridCol w:w="1155"/>
        <w:gridCol w:w="990"/>
        <w:gridCol w:w="975"/>
        <w:tblGridChange w:id="0">
          <w:tblGrid>
            <w:gridCol w:w="705"/>
            <w:gridCol w:w="1215"/>
            <w:gridCol w:w="1005"/>
            <w:gridCol w:w="855"/>
            <w:gridCol w:w="1155"/>
            <w:gridCol w:w="990"/>
            <w:gridCol w:w="9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SNM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RSC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RS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 (%)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14.56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8.55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7.74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6.88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6.71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5.94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4.76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3.72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2.86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2.76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2.71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2.53</w:t>
            </w:r>
          </w:p>
        </w:tc>
      </w:tr>
    </w:tbl>
    <w:p w:rsidR="00000000" w:rsidDel="00000000" w:rsidP="00000000" w:rsidRDefault="00000000" w:rsidRPr="00000000" w14:paraId="000004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S6: Waste Management Innovation Index Table</w:t>
      </w:r>
    </w:p>
    <w:p w:rsidR="00000000" w:rsidDel="00000000" w:rsidP="00000000" w:rsidRDefault="00000000" w:rsidRPr="00000000" w14:paraId="000004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8.3934342480816"/>
        <w:gridCol w:w="1463.9405617316174"/>
        <w:gridCol w:w="1527.5901513721224"/>
        <w:gridCol w:w="1311.181546594405"/>
        <w:gridCol w:w="1476.6704796597182"/>
        <w:gridCol w:w="1387.5610541630112"/>
        <w:gridCol w:w="840.1745832546674"/>
        <w:tblGridChange w:id="0">
          <w:tblGrid>
            <w:gridCol w:w="1018.3934342480816"/>
            <w:gridCol w:w="1463.9405617316174"/>
            <w:gridCol w:w="1527.5901513721224"/>
            <w:gridCol w:w="1311.181546594405"/>
            <w:gridCol w:w="1476.6704796597182"/>
            <w:gridCol w:w="1387.5610541630112"/>
            <w:gridCol w:w="840.1745832546674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Technological Advancements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Innovation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Engagement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Infrastructure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Sustainability Impact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Index Score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Germany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Advanced WtE facilities, extensive recycling technologies.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Strong regulations, Pfand system for containers, Green Dot system.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High public involvement, effective waste separation practices ingrained in daily life.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Comprehensive infrastructure for recycling, WtE, and landfill management.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Leading sustainability outcomes, significant reduction in landfill use, high recycling rate (67%).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9/10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United States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Variability in technological adoption across states, limited WtE use.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Mixed policy landscape with strong state-level variations, EPR in some areas.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Public engagement varies significantly by region, with strong recycling culture in some states and weak participation in others.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Developed infrastructure, but significant state-level disparities in recycling and waste management capabilities.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Mixed sustainability outcomes due to high landfill dependency and uneven adoption of advanced practices, recycling rate of 21%.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6/10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Advanced waste sorting and incineration technologies, focus on reducing landfill use.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Robust policy frameworks, 3R (Reduce, Reuse, Recycle) initiative, strict waste separation laws.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Strong cultural norms around meticulous waste sorting, high public participation in recycling.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Strong incineration infrastructure, but limited space for landfills and recycling facilities.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High incineration rates with some sustainability concerns, but effective waste management with a recycling rate of 19.6%.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8/10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Brazil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Limited adoption of advanced technologies, reliance on informal sector for recycling.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Weak policy enforcement, limited formal infrastructure, heavy reliance on informal waste pickers.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Low public engagement, with most recycling driven by the informal sector, and limited government-led initiatives.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Inadequate infrastructure, especially in rural areas, leading to significant environmental issues like open dumps.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Poor sustainability outcomes with a recycling rate of 4%, significant challenges in waste management and environmental health.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3/10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Korea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Advanced waste sorting systems, extensive use of WtE technologies.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Strong policy support, pay-as-you-throw (PAYT) system, rigorous enforcement of recycling regulations.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High public involvement, strong cultural norms around waste reduction and recycling.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Well-developed infrastructure with a focus on minimizing landfill use, comprehensive recycling facilities.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Significant sustainability outcomes, high recycling rate of 69%, and reduced landfill dependency.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9/10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Sweden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High integration of WtE technologies, focus on reducing landfill use to near zero.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Progressive policies encouraging recycling, strong enforcement of environmental regulations.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Strong public engagement, with a cultural focus on sustainability and recycling as a norm.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Advanced infrastructure with extensive WtE facilities and well-established recycling systems.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High: Exceptional sustainability outcomes, recycling rate of 50%, minimal landfill use, and significant contributions to renewable energy.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9/10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Emerging composting and recycling initiatives, minimal adoption of WtE technologies.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Strong legal framework with the Law for Integrated Waste Management, but challenges in enforcement and practical implementation.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Moderate: Growing public awareness and participation in recycling efforts, but infrastructure limitations hinder effectiveness.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Inadequate infrastructure, with 93% of waste ending up in landfills, and limited selective collection programs.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Low: Recent efforts like the National Plan for Integrated Waste Management show potential, but effectiveness is yet to be seen; recycling rate at 7%.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4/10</w:t>
            </w:r>
          </w:p>
        </w:tc>
      </w:tr>
    </w:tbl>
    <w:p w:rsidR="00000000" w:rsidDel="00000000" w:rsidP="00000000" w:rsidRDefault="00000000" w:rsidRPr="00000000" w14:paraId="000004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b w:val="1"/>
          <w:rtl w:val="0"/>
        </w:rPr>
        <w:t xml:space="preserve">References: </w:t>
      </w:r>
      <w:r w:rsidDel="00000000" w:rsidR="00000000" w:rsidRPr="00000000">
        <w:rPr>
          <w:rtl w:val="0"/>
        </w:rPr>
        <w:t xml:space="preserve">Germany: Federal Ministry for the Environment, Nature Conservation, Nuclear Safety, and Consumer Protection (BMUV). (2023). </w:t>
      </w:r>
      <w:r w:rsidDel="00000000" w:rsidR="00000000" w:rsidRPr="00000000">
        <w:rPr>
          <w:i w:val="1"/>
          <w:rtl w:val="0"/>
        </w:rPr>
        <w:t xml:space="preserve">Waste management in Germany 2023: Facts, data, figures</w:t>
      </w:r>
      <w:r w:rsidDel="00000000" w:rsidR="00000000" w:rsidRPr="00000000">
        <w:rPr>
          <w:rtl w:val="0"/>
        </w:rPr>
        <w:t xml:space="preserve">. BMUV. Retrieved from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BMUV website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Eighmy, T. T., &amp; Kosson, D. S. (1996). </w:t>
      </w:r>
      <w:r w:rsidDel="00000000" w:rsidR="00000000" w:rsidRPr="00000000">
        <w:rPr>
          <w:i w:val="1"/>
          <w:rtl w:val="0"/>
        </w:rPr>
        <w:t xml:space="preserve">U.S.A. National overview on waste management</w:t>
      </w:r>
      <w:r w:rsidDel="00000000" w:rsidR="00000000" w:rsidRPr="00000000">
        <w:rPr>
          <w:rtl w:val="0"/>
        </w:rPr>
        <w:t xml:space="preserve">. Waste Management, 16(5-6), 361-366.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https://doi.org/10.1016/S0956-053X(96)00080-3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Lino, F. A. M., Ismail, K. A. R., &amp; Castañeda-Ayarza, J. A. (2023). </w:t>
      </w:r>
      <w:r w:rsidDel="00000000" w:rsidR="00000000" w:rsidRPr="00000000">
        <w:rPr>
          <w:i w:val="1"/>
          <w:rtl w:val="0"/>
        </w:rPr>
        <w:t xml:space="preserve">Municipal solid waste treatment in Brazil: A comprehensive review</w:t>
      </w:r>
      <w:r w:rsidDel="00000000" w:rsidR="00000000" w:rsidRPr="00000000">
        <w:rPr>
          <w:rtl w:val="0"/>
        </w:rPr>
        <w:t xml:space="preserve">. Energy Nexus, 11, 100232.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https://doi.org/10.1016/j.nexus.2023.100232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Kwon, Y., Lee, S., Bae, J., Park, S., Moon, H., Lee, T., Kim, K., Kang, J., &amp; Jeon, T. (2024). </w:t>
      </w:r>
      <w:r w:rsidDel="00000000" w:rsidR="00000000" w:rsidRPr="00000000">
        <w:rPr>
          <w:i w:val="1"/>
          <w:rtl w:val="0"/>
        </w:rPr>
        <w:t xml:space="preserve">Evaluation of incinerator performance and policy framework for effective waste management and energy recovery: A case study of South Korea</w:t>
      </w:r>
      <w:r w:rsidDel="00000000" w:rsidR="00000000" w:rsidRPr="00000000">
        <w:rPr>
          <w:rtl w:val="0"/>
        </w:rPr>
        <w:t xml:space="preserve">. Sustainability, 16(1), 448.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https://doi.org/10.3390/su16010448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Sandhi, A., &amp; Rosenlund, J. (2024). </w:t>
      </w:r>
      <w:r w:rsidDel="00000000" w:rsidR="00000000" w:rsidRPr="00000000">
        <w:rPr>
          <w:i w:val="1"/>
          <w:rtl w:val="0"/>
        </w:rPr>
        <w:t xml:space="preserve">Municipal solid waste management in Scandinavia and key factors for improved waste segregation: A review</w:t>
      </w:r>
      <w:r w:rsidDel="00000000" w:rsidR="00000000" w:rsidRPr="00000000">
        <w:rPr>
          <w:rtl w:val="0"/>
        </w:rPr>
        <w:t xml:space="preserve">. Cleaner Waste Systems, 8, 100144.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https://doi.org/10.1016/j.clwas.2024.100144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Arias</w:t>
      </w:r>
      <w:r w:rsidDel="00000000" w:rsidR="00000000" w:rsidRPr="00000000">
        <w:rPr>
          <w:rtl w:val="0"/>
        </w:rPr>
        <w:t xml:space="preserve">. (2024). </w:t>
      </w:r>
      <w:r w:rsidDel="00000000" w:rsidR="00000000" w:rsidRPr="00000000">
        <w:rPr>
          <w:b w:val="1"/>
          <w:rtl w:val="0"/>
        </w:rPr>
        <w:t xml:space="preserve">Challenges and opportunities in waste management: Perspectives from Costa Rica for the world recycling day</w:t>
      </w:r>
      <w:r w:rsidDel="00000000" w:rsidR="00000000" w:rsidRPr="00000000">
        <w:rPr>
          <w:rtl w:val="0"/>
        </w:rPr>
        <w:t xml:space="preserve">. Arias Knowledge Center. Retrieved from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https://ariasknowledgecenter.com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DE LA NACION</w:t>
      </w:r>
    </w:p>
    <w:p w:rsidR="00000000" w:rsidDel="00000000" w:rsidP="00000000" w:rsidRDefault="00000000" w:rsidRPr="00000000" w14:paraId="000004B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S7:Generación de Gases con efecto invernadero asociados al sector residuos sólidos</w:t>
        <w:br w:type="textWrapping"/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(Miles de Toneladas CO2 e)</w:t>
      </w:r>
      <w:r w:rsidDel="00000000" w:rsidR="00000000" w:rsidRPr="00000000">
        <w:rPr>
          <w:rtl w:val="0"/>
        </w:rPr>
      </w:r>
    </w:p>
    <w:tbl>
      <w:tblPr>
        <w:tblStyle w:val="Table7"/>
        <w:tblW w:w="4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190"/>
        <w:gridCol w:w="1155"/>
        <w:tblGridChange w:id="0">
          <w:tblGrid>
            <w:gridCol w:w="705"/>
            <w:gridCol w:w="2190"/>
            <w:gridCol w:w="11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Rellenos Sanitarios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Reciclaje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1.195,3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-17,5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1.209,6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-17,7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-17,9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1.238,9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-18,1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1.253,8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-18,4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1.268,8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-18,6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1.284,1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-18,8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1.299,5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-19,0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1.315,0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-19,2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1.330,6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-19,4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-19,6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1.361,8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-19,8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1.377,4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-20,0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1.393,0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-20,2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1.408,7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-20,4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1.424,3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-20,6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1.440,0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-20,8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-21,0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1.471,4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-21,2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1.487,0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-21,4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1.502,7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after="160"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-21,6</w:t>
            </w:r>
          </w:p>
        </w:tc>
      </w:tr>
    </w:tbl>
    <w:p w:rsidR="00000000" w:rsidDel="00000000" w:rsidP="00000000" w:rsidRDefault="00000000" w:rsidRPr="00000000" w14:paraId="000004F6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CONTINUES…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390775" cy="19145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Supplementary Figure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9878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Figure 2</w:t>
      </w:r>
    </w:p>
    <w:p w:rsidR="00000000" w:rsidDel="00000000" w:rsidP="00000000" w:rsidRDefault="00000000" w:rsidRPr="00000000" w14:paraId="00000509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40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3390/su16010448" TargetMode="External"/><Relationship Id="rId10" Type="http://schemas.openxmlformats.org/officeDocument/2006/relationships/hyperlink" Target="https://doi.org/10.1016/j.nexus.2023.100232" TargetMode="External"/><Relationship Id="rId13" Type="http://schemas.openxmlformats.org/officeDocument/2006/relationships/hyperlink" Target="https://doi.org/10.1016/j.clwas.2024.100144" TargetMode="External"/><Relationship Id="rId12" Type="http://schemas.openxmlformats.org/officeDocument/2006/relationships/hyperlink" Target="https://doi.org/10.3390/su1601044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nexus.2023.100232" TargetMode="External"/><Relationship Id="rId15" Type="http://schemas.openxmlformats.org/officeDocument/2006/relationships/hyperlink" Target="https://ariasknowledgecenter.com" TargetMode="External"/><Relationship Id="rId14" Type="http://schemas.openxmlformats.org/officeDocument/2006/relationships/hyperlink" Target="https://doi.org/10.1016/j.clwas.2024.100144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ariasknowledgecenter.com" TargetMode="External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s://www.bmuv.de/en/publications" TargetMode="External"/><Relationship Id="rId18" Type="http://schemas.openxmlformats.org/officeDocument/2006/relationships/image" Target="media/image3.png"/><Relationship Id="rId7" Type="http://schemas.openxmlformats.org/officeDocument/2006/relationships/hyperlink" Target="https://www.bmuv.de/en/publications" TargetMode="External"/><Relationship Id="rId8" Type="http://schemas.openxmlformats.org/officeDocument/2006/relationships/hyperlink" Target="https://doi.org/10.1016/S0956-053X(96)00080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