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0E10E" w14:textId="1ACEF9D6" w:rsidR="00485991" w:rsidRDefault="00485991" w:rsidP="00485991">
      <w:pPr>
        <w:jc w:val="center"/>
        <w:rPr>
          <w:rFonts w:ascii="Times New Roman" w:hAnsi="Times New Roman" w:cs="Times New Roman"/>
          <w:b/>
          <w:sz w:val="36"/>
          <w:lang w:val="en-GB"/>
        </w:rPr>
      </w:pPr>
      <w:r w:rsidRPr="006620BA">
        <w:rPr>
          <w:rFonts w:ascii="Times New Roman" w:hAnsi="Times New Roman" w:cs="Times New Roman"/>
          <w:b/>
          <w:sz w:val="36"/>
          <w:lang w:val="en-GB"/>
        </w:rPr>
        <w:t>Supporting Information</w:t>
      </w:r>
    </w:p>
    <w:p w14:paraId="115335BA" w14:textId="77777777" w:rsidR="00A20DAB" w:rsidRPr="006620BA" w:rsidRDefault="00A20DAB" w:rsidP="00485991">
      <w:pPr>
        <w:jc w:val="center"/>
        <w:rPr>
          <w:rFonts w:ascii="Times New Roman" w:hAnsi="Times New Roman" w:cs="Times New Roman"/>
          <w:b/>
          <w:sz w:val="36"/>
          <w:lang w:val="en-GB"/>
        </w:rPr>
      </w:pPr>
    </w:p>
    <w:p w14:paraId="7D86A2A9" w14:textId="4040CFC7" w:rsidR="00485991" w:rsidRDefault="001E2BC1" w:rsidP="0048599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E2B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Polyphosphate Kinase from </w:t>
      </w:r>
      <w:r w:rsidRPr="001E2BC1">
        <w:rPr>
          <w:rFonts w:ascii="Times New Roman" w:hAnsi="Times New Roman" w:cs="Times New Roman"/>
          <w:b/>
          <w:i/>
          <w:sz w:val="28"/>
          <w:szCs w:val="28"/>
          <w:lang w:val="en-US"/>
        </w:rPr>
        <w:t>Burkholderia cenocepacia</w:t>
      </w:r>
      <w:r w:rsidRPr="001E2BC1">
        <w:rPr>
          <w:rFonts w:ascii="Times New Roman" w:hAnsi="Times New Roman" w:cs="Times New Roman"/>
          <w:b/>
          <w:sz w:val="28"/>
          <w:szCs w:val="28"/>
          <w:lang w:val="en-US"/>
        </w:rPr>
        <w:t>, One Enzyme Catalyzing a Two Step Cascade Reaction to Synthesize ATP from AMP</w:t>
      </w:r>
    </w:p>
    <w:p w14:paraId="116FC968" w14:textId="77777777" w:rsidR="00A20DAB" w:rsidRPr="006620BA" w:rsidRDefault="00A20DAB" w:rsidP="00485991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4DC34664" w14:textId="1552CEDC" w:rsidR="001E2BC1" w:rsidRPr="00332D91" w:rsidRDefault="00B1004C" w:rsidP="00B1004C">
      <w:pPr>
        <w:pStyle w:val="MDPI13authornames"/>
        <w:rPr>
          <w:rFonts w:ascii="Times New Roman" w:hAnsi="Times New Roman"/>
          <w:sz w:val="24"/>
          <w:szCs w:val="24"/>
          <w:lang w:val="es-ES"/>
        </w:rPr>
      </w:pPr>
      <w:r w:rsidRPr="00332D91">
        <w:rPr>
          <w:rFonts w:ascii="Times New Roman" w:hAnsi="Times New Roman"/>
          <w:sz w:val="24"/>
          <w:szCs w:val="24"/>
          <w:lang w:val="es-ES"/>
        </w:rPr>
        <w:t>Dianelis T. Monterrey</w:t>
      </w:r>
      <w:r w:rsidRPr="00332D91">
        <w:rPr>
          <w:rFonts w:ascii="Times New Roman" w:hAnsi="Times New Roman"/>
          <w:sz w:val="24"/>
          <w:szCs w:val="24"/>
          <w:vertAlign w:val="superscript"/>
          <w:lang w:val="es-ES"/>
        </w:rPr>
        <w:t>1,</w:t>
      </w:r>
      <w:r w:rsidR="00874C22" w:rsidRPr="005B0232">
        <w:rPr>
          <w:lang w:val="es-ES"/>
        </w:rPr>
        <w:t xml:space="preserve"> </w:t>
      </w:r>
      <w:r w:rsidR="00874C22" w:rsidRPr="00874C22">
        <w:rPr>
          <w:rFonts w:ascii="Times New Roman" w:hAnsi="Times New Roman"/>
          <w:sz w:val="24"/>
          <w:szCs w:val="24"/>
          <w:vertAlign w:val="superscript"/>
          <w:lang w:val="es-ES"/>
        </w:rPr>
        <w:t>†</w:t>
      </w:r>
      <w:r w:rsidRPr="00332D91">
        <w:rPr>
          <w:rFonts w:ascii="Times New Roman" w:hAnsi="Times New Roman"/>
          <w:sz w:val="24"/>
          <w:szCs w:val="24"/>
          <w:vertAlign w:val="superscript"/>
          <w:lang w:val="es-ES"/>
        </w:rPr>
        <w:t>,</w:t>
      </w:r>
      <w:r w:rsidRPr="00332D91">
        <w:rPr>
          <w:rFonts w:ascii="Times New Roman" w:hAnsi="Times New Roman"/>
          <w:sz w:val="24"/>
          <w:szCs w:val="24"/>
          <w:lang w:val="es-ES"/>
        </w:rPr>
        <w:t>* Leire Azcona,</w:t>
      </w:r>
      <w:r w:rsidRPr="00332D91">
        <w:rPr>
          <w:rFonts w:ascii="Times New Roman" w:hAnsi="Times New Roman"/>
          <w:sz w:val="24"/>
          <w:szCs w:val="24"/>
          <w:vertAlign w:val="superscript"/>
          <w:lang w:val="es-ES"/>
        </w:rPr>
        <w:t>1</w:t>
      </w:r>
      <w:r w:rsidRPr="00332D91">
        <w:rPr>
          <w:rFonts w:ascii="Times New Roman" w:hAnsi="Times New Roman"/>
          <w:sz w:val="24"/>
          <w:szCs w:val="24"/>
          <w:lang w:val="es-ES"/>
        </w:rPr>
        <w:t xml:space="preserve"> Julia Revuelta,</w:t>
      </w:r>
      <w:r w:rsidRPr="00332D91">
        <w:rPr>
          <w:rFonts w:ascii="Times New Roman" w:hAnsi="Times New Roman"/>
          <w:sz w:val="24"/>
          <w:szCs w:val="24"/>
          <w:vertAlign w:val="superscript"/>
          <w:lang w:val="es-ES"/>
        </w:rPr>
        <w:t>1</w:t>
      </w:r>
      <w:r w:rsidRPr="00332D91">
        <w:rPr>
          <w:rFonts w:ascii="Times New Roman" w:hAnsi="Times New Roman"/>
          <w:sz w:val="24"/>
          <w:szCs w:val="24"/>
          <w:lang w:val="es-ES"/>
        </w:rPr>
        <w:t xml:space="preserve"> Israel Sánchez-Moreno,</w:t>
      </w:r>
      <w:r w:rsidRPr="00332D91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1 </w:t>
      </w:r>
      <w:r w:rsidRPr="00332D91">
        <w:rPr>
          <w:rFonts w:ascii="Times New Roman" w:hAnsi="Times New Roman"/>
          <w:sz w:val="24"/>
          <w:szCs w:val="24"/>
          <w:lang w:val="es-ES"/>
        </w:rPr>
        <w:t>and Eduardo García-Junceda</w:t>
      </w:r>
      <w:r w:rsidRPr="00332D91">
        <w:rPr>
          <w:rFonts w:ascii="Times New Roman" w:hAnsi="Times New Roman"/>
          <w:sz w:val="24"/>
          <w:szCs w:val="24"/>
          <w:vertAlign w:val="superscript"/>
          <w:lang w:val="es-ES"/>
        </w:rPr>
        <w:t>1,</w:t>
      </w:r>
      <w:r w:rsidRPr="00332D91">
        <w:rPr>
          <w:rFonts w:ascii="Times New Roman" w:hAnsi="Times New Roman"/>
          <w:sz w:val="24"/>
          <w:szCs w:val="24"/>
          <w:lang w:val="es-ES"/>
        </w:rPr>
        <w:t>*</w:t>
      </w:r>
    </w:p>
    <w:p w14:paraId="2399AD1A" w14:textId="67EBF51C" w:rsidR="001E2BC1" w:rsidRPr="00332D91" w:rsidRDefault="001E2BC1" w:rsidP="00AE746D">
      <w:pPr>
        <w:pStyle w:val="MDPI16affiliation"/>
        <w:ind w:left="284"/>
        <w:rPr>
          <w:rFonts w:ascii="Times New Roman" w:hAnsi="Times New Roman"/>
          <w:sz w:val="24"/>
          <w:szCs w:val="24"/>
        </w:rPr>
      </w:pPr>
      <w:r w:rsidRPr="00332D91">
        <w:rPr>
          <w:rFonts w:ascii="Times New Roman" w:hAnsi="Times New Roman"/>
          <w:sz w:val="24"/>
          <w:szCs w:val="24"/>
          <w:vertAlign w:val="superscript"/>
          <w:lang w:val="es-ES"/>
        </w:rPr>
        <w:t>1</w:t>
      </w:r>
      <w:r w:rsidRPr="00332D91">
        <w:rPr>
          <w:rFonts w:ascii="Times New Roman" w:hAnsi="Times New Roman"/>
          <w:sz w:val="24"/>
          <w:szCs w:val="24"/>
          <w:lang w:val="es-ES"/>
        </w:rPr>
        <w:tab/>
      </w:r>
      <w:r w:rsidR="000773ED" w:rsidRPr="00332D91">
        <w:rPr>
          <w:rFonts w:ascii="Times New Roman" w:hAnsi="Times New Roman"/>
          <w:iCs/>
          <w:sz w:val="24"/>
          <w:szCs w:val="24"/>
          <w:lang w:val="es-ES"/>
        </w:rPr>
        <w:t>Departamento de Química Bioorgánica, Instituto de Química Orgánica General, CSIC</w:t>
      </w:r>
      <w:r w:rsidR="00AE746D" w:rsidRPr="00332D91">
        <w:rPr>
          <w:rFonts w:ascii="Times New Roman" w:hAnsi="Times New Roman"/>
          <w:iCs/>
          <w:sz w:val="24"/>
          <w:szCs w:val="24"/>
          <w:lang w:val="es-ES"/>
        </w:rPr>
        <w:t xml:space="preserve"> (IQOG-CSIC)</w:t>
      </w:r>
      <w:r w:rsidR="000773ED" w:rsidRPr="00332D91">
        <w:rPr>
          <w:rFonts w:ascii="Times New Roman" w:hAnsi="Times New Roman"/>
          <w:iCs/>
          <w:sz w:val="24"/>
          <w:szCs w:val="24"/>
          <w:lang w:val="es-ES"/>
        </w:rPr>
        <w:t xml:space="preserve">. </w:t>
      </w:r>
      <w:r w:rsidR="000773ED" w:rsidRPr="00332D91">
        <w:rPr>
          <w:rFonts w:ascii="Times New Roman" w:hAnsi="Times New Roman"/>
          <w:sz w:val="24"/>
          <w:szCs w:val="24"/>
          <w:lang w:val="es-ES"/>
        </w:rPr>
        <w:t xml:space="preserve">Juan de la Cierva 3, 28006 Madrid, </w:t>
      </w:r>
      <w:r w:rsidR="00AE746D" w:rsidRPr="00332D91">
        <w:rPr>
          <w:rFonts w:ascii="Times New Roman" w:hAnsi="Times New Roman"/>
          <w:sz w:val="24"/>
          <w:szCs w:val="24"/>
          <w:lang w:val="es-ES"/>
        </w:rPr>
        <w:t>(</w:t>
      </w:r>
      <w:r w:rsidR="000773ED" w:rsidRPr="00332D91">
        <w:rPr>
          <w:rFonts w:ascii="Times New Roman" w:hAnsi="Times New Roman"/>
          <w:sz w:val="24"/>
          <w:szCs w:val="24"/>
          <w:lang w:val="es-ES"/>
        </w:rPr>
        <w:t>Spain</w:t>
      </w:r>
      <w:r w:rsidR="00AE746D" w:rsidRPr="00332D91">
        <w:rPr>
          <w:rFonts w:ascii="Times New Roman" w:hAnsi="Times New Roman"/>
          <w:sz w:val="24"/>
          <w:szCs w:val="24"/>
          <w:lang w:val="es-ES"/>
        </w:rPr>
        <w:t>)</w:t>
      </w:r>
      <w:r w:rsidR="000773ED" w:rsidRPr="00332D91">
        <w:rPr>
          <w:rFonts w:ascii="Times New Roman" w:hAnsi="Times New Roman"/>
          <w:sz w:val="24"/>
          <w:szCs w:val="24"/>
          <w:lang w:val="es-ES"/>
        </w:rPr>
        <w:t>;</w:t>
      </w:r>
      <w:r w:rsidR="00AE746D" w:rsidRPr="00332D91">
        <w:rPr>
          <w:rFonts w:ascii="Times New Roman" w:hAnsi="Times New Roman"/>
          <w:sz w:val="24"/>
          <w:szCs w:val="24"/>
          <w:lang w:val="es-ES"/>
        </w:rPr>
        <w:t xml:space="preserve"> </w:t>
      </w:r>
      <w:hyperlink r:id="rId6" w:history="1">
        <w:r w:rsidR="00EB004A" w:rsidRPr="00EB004A">
          <w:rPr>
            <w:rStyle w:val="Hipervnculo"/>
            <w:rFonts w:ascii="Times New Roman" w:hAnsi="Times New Roman"/>
            <w:sz w:val="24"/>
            <w:szCs w:val="24"/>
            <w:lang w:val="es-ES"/>
          </w:rPr>
          <w:t>leireazcona.sa@gmail.com</w:t>
        </w:r>
      </w:hyperlink>
      <w:r w:rsidR="00AE746D" w:rsidRPr="00EB004A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AE746D" w:rsidRPr="00332D91">
        <w:rPr>
          <w:rFonts w:ascii="Times New Roman" w:hAnsi="Times New Roman"/>
          <w:sz w:val="24"/>
          <w:szCs w:val="24"/>
          <w:lang w:val="es-ES"/>
        </w:rPr>
        <w:t xml:space="preserve">(L.A.); </w:t>
      </w:r>
      <w:hyperlink r:id="rId7" w:history="1">
        <w:r w:rsidR="00AE746D" w:rsidRPr="00332D91">
          <w:rPr>
            <w:rStyle w:val="Hipervnculo"/>
            <w:rFonts w:ascii="Times New Roman" w:hAnsi="Times New Roman"/>
            <w:sz w:val="24"/>
            <w:szCs w:val="24"/>
            <w:lang w:val="es-ES"/>
          </w:rPr>
          <w:t>julia.revuelta@iqog.csic.es</w:t>
        </w:r>
      </w:hyperlink>
      <w:r w:rsidR="00AE746D" w:rsidRPr="00332D91">
        <w:rPr>
          <w:rFonts w:ascii="Times New Roman" w:hAnsi="Times New Roman"/>
          <w:sz w:val="24"/>
          <w:szCs w:val="24"/>
          <w:lang w:val="es-ES"/>
        </w:rPr>
        <w:t xml:space="preserve"> (J.R.)</w:t>
      </w:r>
      <w:r w:rsidRPr="00332D91">
        <w:rPr>
          <w:rFonts w:ascii="Times New Roman" w:hAnsi="Times New Roman"/>
          <w:sz w:val="24"/>
          <w:szCs w:val="24"/>
          <w:lang w:val="es-ES"/>
        </w:rPr>
        <w:t xml:space="preserve"> </w:t>
      </w:r>
      <w:hyperlink r:id="rId8" w:history="1">
        <w:r w:rsidR="00AE746D" w:rsidRPr="00332D91">
          <w:rPr>
            <w:rStyle w:val="Hipervnculo"/>
            <w:rFonts w:ascii="Times New Roman" w:hAnsi="Times New Roman"/>
            <w:sz w:val="24"/>
            <w:szCs w:val="24"/>
          </w:rPr>
          <w:t>isra.sanchez@iqog.csic.es</w:t>
        </w:r>
      </w:hyperlink>
      <w:r w:rsidR="00AE746D" w:rsidRPr="00332D91">
        <w:rPr>
          <w:rFonts w:ascii="Times New Roman" w:hAnsi="Times New Roman"/>
          <w:sz w:val="24"/>
          <w:szCs w:val="24"/>
        </w:rPr>
        <w:t xml:space="preserve"> (I.S-M.)</w:t>
      </w:r>
    </w:p>
    <w:p w14:paraId="59928819" w14:textId="64F886F1" w:rsidR="001E2BC1" w:rsidRPr="00332D91" w:rsidRDefault="00874C22" w:rsidP="00AE746D">
      <w:pPr>
        <w:pStyle w:val="MDPI16affiliation"/>
        <w:ind w:left="284"/>
        <w:rPr>
          <w:rFonts w:ascii="Times New Roman" w:hAnsi="Times New Roman"/>
          <w:sz w:val="24"/>
          <w:szCs w:val="24"/>
        </w:rPr>
      </w:pPr>
      <w:r w:rsidRPr="00874C22">
        <w:rPr>
          <w:rFonts w:ascii="Times New Roman" w:hAnsi="Times New Roman"/>
          <w:sz w:val="24"/>
          <w:szCs w:val="24"/>
          <w:vertAlign w:val="superscript"/>
        </w:rPr>
        <w:t>†</w:t>
      </w:r>
      <w:r w:rsidR="001E2BC1" w:rsidRPr="00332D91">
        <w:rPr>
          <w:rFonts w:ascii="Times New Roman" w:hAnsi="Times New Roman"/>
          <w:sz w:val="24"/>
          <w:szCs w:val="24"/>
        </w:rPr>
        <w:tab/>
      </w:r>
      <w:r w:rsidR="00AE746D" w:rsidRPr="00332D91">
        <w:rPr>
          <w:rFonts w:ascii="Times New Roman" w:hAnsi="Times New Roman"/>
          <w:sz w:val="24"/>
          <w:szCs w:val="24"/>
        </w:rPr>
        <w:t>Current address:</w:t>
      </w:r>
      <w:r w:rsidR="00AE746D" w:rsidRPr="00332D91">
        <w:rPr>
          <w:sz w:val="24"/>
          <w:szCs w:val="24"/>
        </w:rPr>
        <w:t xml:space="preserve"> </w:t>
      </w:r>
      <w:r w:rsidR="00AE746D" w:rsidRPr="00332D91">
        <w:rPr>
          <w:rFonts w:ascii="Times New Roman" w:hAnsi="Times New Roman"/>
          <w:sz w:val="24"/>
          <w:szCs w:val="24"/>
        </w:rPr>
        <w:t>Department of Biocatalysis, Institute of Catalysis and Petrochemistry, CSIC (ICP-CSIC). Marie Curie 2, 28049 Madrid (Spain)</w:t>
      </w:r>
    </w:p>
    <w:p w14:paraId="2454C969" w14:textId="57200030" w:rsidR="00AE746D" w:rsidRPr="00874C22" w:rsidRDefault="001E2BC1" w:rsidP="00AE746D">
      <w:pPr>
        <w:pStyle w:val="MDPI16affiliation"/>
        <w:ind w:left="284"/>
        <w:rPr>
          <w:rFonts w:ascii="Times New Roman" w:hAnsi="Times New Roman"/>
          <w:sz w:val="24"/>
          <w:szCs w:val="24"/>
        </w:rPr>
      </w:pPr>
      <w:r w:rsidRPr="00874C22">
        <w:rPr>
          <w:rFonts w:ascii="Times New Roman" w:hAnsi="Times New Roman"/>
          <w:b/>
          <w:sz w:val="24"/>
          <w:szCs w:val="24"/>
        </w:rPr>
        <w:t>*</w:t>
      </w:r>
      <w:r w:rsidRPr="00874C22">
        <w:rPr>
          <w:rFonts w:ascii="Times New Roman" w:hAnsi="Times New Roman"/>
          <w:sz w:val="24"/>
          <w:szCs w:val="24"/>
        </w:rPr>
        <w:tab/>
        <w:t xml:space="preserve">Correspondence: </w:t>
      </w:r>
      <w:hyperlink r:id="rId9" w:history="1">
        <w:r w:rsidR="00AE746D" w:rsidRPr="00874C22">
          <w:rPr>
            <w:rStyle w:val="Hipervnculo"/>
            <w:rFonts w:ascii="Times New Roman" w:hAnsi="Times New Roman"/>
            <w:sz w:val="24"/>
            <w:szCs w:val="24"/>
          </w:rPr>
          <w:t>d.monterrey@csic.es</w:t>
        </w:r>
      </w:hyperlink>
      <w:r w:rsidR="00EB1DB1" w:rsidRPr="00874C22">
        <w:rPr>
          <w:rFonts w:ascii="Times New Roman" w:hAnsi="Times New Roman"/>
          <w:sz w:val="24"/>
          <w:szCs w:val="24"/>
        </w:rPr>
        <w:t xml:space="preserve"> (D.T.M.)</w:t>
      </w:r>
    </w:p>
    <w:p w14:paraId="63BF88A0" w14:textId="5504E5DD" w:rsidR="00AE746D" w:rsidRPr="00332D91" w:rsidRDefault="00EB1DB1" w:rsidP="00EB1DB1">
      <w:pPr>
        <w:pStyle w:val="MDPI16affiliation"/>
        <w:ind w:left="1700" w:firstLine="0"/>
        <w:rPr>
          <w:rFonts w:ascii="Times New Roman" w:hAnsi="Times New Roman"/>
          <w:sz w:val="24"/>
          <w:szCs w:val="24"/>
        </w:rPr>
      </w:pPr>
      <w:r w:rsidRPr="00332D91">
        <w:rPr>
          <w:rFonts w:ascii="Times New Roman" w:hAnsi="Times New Roman"/>
          <w:sz w:val="24"/>
          <w:szCs w:val="24"/>
          <w:lang w:val="de-DE"/>
        </w:rPr>
        <w:t xml:space="preserve"> </w:t>
      </w:r>
      <w:r w:rsidR="00332D91">
        <w:rPr>
          <w:rFonts w:ascii="Times New Roman" w:hAnsi="Times New Roman"/>
          <w:sz w:val="24"/>
          <w:szCs w:val="24"/>
          <w:lang w:val="de-DE"/>
        </w:rPr>
        <w:t xml:space="preserve">   </w:t>
      </w:r>
      <w:r w:rsidRPr="00332D91">
        <w:rPr>
          <w:rFonts w:ascii="Times New Roman" w:hAnsi="Times New Roman"/>
          <w:sz w:val="24"/>
          <w:szCs w:val="24"/>
          <w:lang w:val="de-DE"/>
        </w:rPr>
        <w:t xml:space="preserve"> </w:t>
      </w:r>
      <w:hyperlink r:id="rId10" w:history="1">
        <w:r w:rsidR="00AE746D" w:rsidRPr="00332D91">
          <w:rPr>
            <w:rStyle w:val="Hipervnculo"/>
            <w:rFonts w:ascii="Times New Roman" w:hAnsi="Times New Roman"/>
            <w:sz w:val="24"/>
            <w:szCs w:val="24"/>
          </w:rPr>
          <w:t>eduardo.junceda@csic.es</w:t>
        </w:r>
      </w:hyperlink>
      <w:r w:rsidR="00AE746D" w:rsidRPr="00332D91">
        <w:rPr>
          <w:rFonts w:ascii="Times New Roman" w:hAnsi="Times New Roman"/>
          <w:sz w:val="24"/>
          <w:szCs w:val="24"/>
        </w:rPr>
        <w:t xml:space="preserve"> </w:t>
      </w:r>
      <w:r w:rsidRPr="00332D91">
        <w:rPr>
          <w:rFonts w:ascii="Times New Roman" w:hAnsi="Times New Roman"/>
          <w:sz w:val="24"/>
          <w:szCs w:val="24"/>
        </w:rPr>
        <w:t>(E.G.-J-)</w:t>
      </w:r>
    </w:p>
    <w:p w14:paraId="5143CBC4" w14:textId="77777777" w:rsidR="00485991" w:rsidRPr="00EB1DB1" w:rsidRDefault="00485991">
      <w:pPr>
        <w:rPr>
          <w:lang w:val="en-US"/>
        </w:rPr>
      </w:pPr>
    </w:p>
    <w:p w14:paraId="0A5DD65E" w14:textId="77777777" w:rsidR="00917736" w:rsidRPr="00332D91" w:rsidRDefault="00485991" w:rsidP="00917736">
      <w:pPr>
        <w:rPr>
          <w:rFonts w:ascii="Arial" w:hAnsi="Arial" w:cs="Arial"/>
          <w:sz w:val="24"/>
          <w:szCs w:val="24"/>
          <w:lang w:val="en-US"/>
        </w:rPr>
      </w:pPr>
      <w:r w:rsidRPr="00EB1DB1">
        <w:rPr>
          <w:lang w:val="en-US"/>
        </w:rPr>
        <w:br w:type="page"/>
      </w:r>
    </w:p>
    <w:p w14:paraId="4CF5781D" w14:textId="4E891B55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7CEA595A" w14:textId="1407E0C7" w:rsidR="005B0232" w:rsidRDefault="005B0232" w:rsidP="00917736">
      <w:pPr>
        <w:rPr>
          <w:rFonts w:ascii="Arial" w:hAnsi="Arial" w:cs="Arial"/>
          <w:sz w:val="24"/>
          <w:szCs w:val="24"/>
          <w:lang w:val="en-US"/>
        </w:rPr>
      </w:pPr>
      <w:r w:rsidRPr="005B0232">
        <w:rPr>
          <w:noProof/>
          <w:lang w:eastAsia="es-ES"/>
        </w:rPr>
        <w:drawing>
          <wp:inline distT="0" distB="0" distL="0" distR="0" wp14:anchorId="0CCCA88F" wp14:editId="2A790CA2">
            <wp:extent cx="6245860" cy="2159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21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419D" w14:textId="0636609C" w:rsidR="005B0232" w:rsidRPr="005B0232" w:rsidRDefault="005B0232" w:rsidP="005B0232">
      <w:pPr>
        <w:rPr>
          <w:rFonts w:ascii="Arial" w:hAnsi="Arial" w:cs="Arial"/>
          <w:sz w:val="24"/>
          <w:szCs w:val="24"/>
          <w:lang w:val="en-US"/>
        </w:rPr>
      </w:pPr>
      <w:r w:rsidRPr="005B0232">
        <w:rPr>
          <w:rFonts w:ascii="Arial" w:hAnsi="Arial" w:cs="Arial"/>
          <w:b/>
          <w:bCs/>
          <w:sz w:val="24"/>
          <w:szCs w:val="24"/>
          <w:lang w:val="en-US"/>
        </w:rPr>
        <w:t>Figure S1</w:t>
      </w:r>
      <w:r w:rsidRPr="005B0232">
        <w:rPr>
          <w:rFonts w:ascii="Arial" w:hAnsi="Arial" w:cs="Arial"/>
          <w:sz w:val="24"/>
          <w:szCs w:val="24"/>
          <w:lang w:val="en-US"/>
        </w:rPr>
        <w:t xml:space="preserve">. Sequence alignment of PPK2-III proteins from </w:t>
      </w:r>
      <w:r w:rsidRPr="005B0232">
        <w:rPr>
          <w:rFonts w:ascii="Arial" w:hAnsi="Arial" w:cs="Arial"/>
          <w:i/>
          <w:sz w:val="24"/>
          <w:szCs w:val="24"/>
          <w:lang w:val="en-US"/>
        </w:rPr>
        <w:t>B. cenocepacia</w:t>
      </w:r>
      <w:r w:rsidRPr="005B0232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5B0232">
        <w:rPr>
          <w:rFonts w:ascii="Arial" w:hAnsi="Arial" w:cs="Arial"/>
          <w:i/>
          <w:sz w:val="24"/>
          <w:szCs w:val="24"/>
          <w:lang w:val="de-DE"/>
        </w:rPr>
        <w:t>M</w:t>
      </w:r>
      <w:r>
        <w:rPr>
          <w:rFonts w:ascii="Arial" w:hAnsi="Arial" w:cs="Arial"/>
          <w:i/>
          <w:sz w:val="24"/>
          <w:szCs w:val="24"/>
          <w:lang w:val="de-DE"/>
        </w:rPr>
        <w:t>.</w:t>
      </w:r>
      <w:r w:rsidRPr="005B0232">
        <w:rPr>
          <w:rFonts w:ascii="Arial" w:hAnsi="Arial" w:cs="Arial"/>
          <w:i/>
          <w:sz w:val="24"/>
          <w:szCs w:val="24"/>
          <w:lang w:val="de-DE"/>
        </w:rPr>
        <w:t xml:space="preserve"> ruber </w:t>
      </w:r>
      <w:r w:rsidRPr="005B0232">
        <w:rPr>
          <w:rFonts w:ascii="Arial" w:hAnsi="Arial" w:cs="Arial"/>
          <w:sz w:val="24"/>
          <w:szCs w:val="24"/>
          <w:lang w:val="de-DE"/>
        </w:rPr>
        <w:t>(Mrub_2488)</w:t>
      </w:r>
      <w:r w:rsidRPr="005B0232">
        <w:rPr>
          <w:rFonts w:ascii="Arial" w:hAnsi="Arial" w:cs="Arial"/>
          <w:sz w:val="24"/>
          <w:szCs w:val="24"/>
          <w:lang w:val="en-US"/>
        </w:rPr>
        <w:t xml:space="preserve">. Walker A and B motifs highlighted in red and blue, respectively and the cap module highlighted in purple; </w:t>
      </w:r>
      <w:r>
        <w:rPr>
          <w:rFonts w:ascii="Arial" w:hAnsi="Arial" w:cs="Arial"/>
          <w:sz w:val="24"/>
          <w:szCs w:val="24"/>
          <w:lang w:val="en-US"/>
        </w:rPr>
        <w:t xml:space="preserve">the conserved residues, </w:t>
      </w:r>
      <w:r w:rsidRPr="005B0232">
        <w:rPr>
          <w:rFonts w:ascii="Arial" w:hAnsi="Arial" w:cs="Arial"/>
          <w:sz w:val="24"/>
          <w:szCs w:val="24"/>
          <w:lang w:val="en-US"/>
        </w:rPr>
        <w:t>glutamic acid (E</w:t>
      </w:r>
      <w:r w:rsidR="00A135BA">
        <w:rPr>
          <w:rFonts w:ascii="Arial" w:hAnsi="Arial" w:cs="Arial"/>
          <w:sz w:val="24"/>
          <w:szCs w:val="24"/>
          <w:lang w:val="en-US"/>
        </w:rPr>
        <w:t>137</w:t>
      </w:r>
      <w:r w:rsidRPr="005B0232">
        <w:rPr>
          <w:rFonts w:ascii="Arial" w:hAnsi="Arial" w:cs="Arial"/>
          <w:sz w:val="24"/>
          <w:szCs w:val="24"/>
          <w:lang w:val="en-US"/>
        </w:rPr>
        <w:t>) is highlighted in green</w:t>
      </w:r>
      <w:r w:rsidRPr="005B0232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</w:t>
      </w:r>
      <w:r w:rsidRPr="005B0232">
        <w:rPr>
          <w:rFonts w:ascii="Arial" w:hAnsi="Arial" w:cs="Arial"/>
          <w:sz w:val="24"/>
          <w:szCs w:val="24"/>
          <w:lang w:val="de-DE"/>
        </w:rPr>
        <w:t>and glutamine (Q</w:t>
      </w:r>
      <w:r w:rsidR="00A135BA">
        <w:rPr>
          <w:rFonts w:ascii="Arial" w:hAnsi="Arial" w:cs="Arial"/>
          <w:sz w:val="24"/>
          <w:szCs w:val="24"/>
          <w:lang w:val="de-DE"/>
        </w:rPr>
        <w:t>74</w:t>
      </w:r>
      <w:r w:rsidRPr="005B0232">
        <w:rPr>
          <w:rFonts w:ascii="Arial" w:hAnsi="Arial" w:cs="Arial"/>
          <w:sz w:val="24"/>
          <w:szCs w:val="24"/>
          <w:lang w:val="de-DE"/>
        </w:rPr>
        <w:t>) in yellow</w:t>
      </w:r>
      <w:r w:rsidRPr="005B0232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0D46E4CC" w14:textId="44E43488" w:rsidR="005B0232" w:rsidRDefault="005B0232" w:rsidP="00917736">
      <w:pPr>
        <w:rPr>
          <w:rFonts w:ascii="Arial" w:hAnsi="Arial" w:cs="Arial"/>
          <w:sz w:val="24"/>
          <w:szCs w:val="24"/>
          <w:lang w:val="en-US"/>
        </w:rPr>
      </w:pPr>
    </w:p>
    <w:p w14:paraId="01C02B9D" w14:textId="215BFAE5" w:rsidR="005B0232" w:rsidRDefault="005B0232" w:rsidP="00917736">
      <w:pPr>
        <w:rPr>
          <w:rFonts w:ascii="Arial" w:hAnsi="Arial" w:cs="Arial"/>
          <w:sz w:val="24"/>
          <w:szCs w:val="24"/>
          <w:lang w:val="en-US"/>
        </w:rPr>
      </w:pPr>
    </w:p>
    <w:p w14:paraId="60B4F5D6" w14:textId="77777777" w:rsidR="00526B9B" w:rsidRDefault="00526B9B" w:rsidP="00917736">
      <w:pPr>
        <w:rPr>
          <w:rFonts w:ascii="Arial" w:hAnsi="Arial" w:cs="Arial"/>
          <w:sz w:val="24"/>
          <w:szCs w:val="24"/>
          <w:lang w:val="en-US"/>
        </w:rPr>
      </w:pPr>
    </w:p>
    <w:p w14:paraId="2B21D84D" w14:textId="77777777" w:rsidR="005B0232" w:rsidRPr="00332D91" w:rsidRDefault="005B0232" w:rsidP="00917736">
      <w:pPr>
        <w:rPr>
          <w:rFonts w:ascii="Arial" w:hAnsi="Arial" w:cs="Arial"/>
          <w:sz w:val="24"/>
          <w:szCs w:val="24"/>
          <w:lang w:val="en-US"/>
        </w:rPr>
      </w:pPr>
    </w:p>
    <w:p w14:paraId="000DD192" w14:textId="77777777" w:rsidR="00917736" w:rsidRPr="00EF43D5" w:rsidRDefault="00917736" w:rsidP="00917736">
      <w:pPr>
        <w:rPr>
          <w:rFonts w:ascii="Arial" w:hAnsi="Arial" w:cs="Arial"/>
          <w:sz w:val="24"/>
          <w:szCs w:val="24"/>
        </w:rPr>
      </w:pPr>
      <w:r w:rsidRPr="00EF43D5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86E6A52" wp14:editId="7EF19AAF">
            <wp:extent cx="4338000" cy="23256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8A22" w14:textId="7A2743EA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  <w:r w:rsidRPr="00EF43D5">
        <w:rPr>
          <w:rFonts w:ascii="Arial" w:hAnsi="Arial" w:cs="Arial"/>
          <w:b/>
          <w:bCs/>
          <w:sz w:val="24"/>
          <w:szCs w:val="24"/>
          <w:lang w:val="en-US"/>
        </w:rPr>
        <w:t>Figure S</w:t>
      </w:r>
      <w:r w:rsidR="00526B9B">
        <w:rPr>
          <w:rFonts w:ascii="Arial" w:hAnsi="Arial" w:cs="Arial"/>
          <w:b/>
          <w:bCs/>
          <w:sz w:val="24"/>
          <w:szCs w:val="24"/>
          <w:lang w:val="en-US"/>
        </w:rPr>
        <w:t>2</w:t>
      </w:r>
      <w:r w:rsidRPr="00EF43D5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EF43D5">
        <w:rPr>
          <w:rFonts w:ascii="Arial" w:hAnsi="Arial" w:cs="Arial"/>
          <w:sz w:val="24"/>
          <w:szCs w:val="24"/>
          <w:lang w:val="en-US"/>
        </w:rPr>
        <w:t xml:space="preserve"> SDS-PAGE analysis of expression and IMAC purification of </w:t>
      </w:r>
      <w:r w:rsidRPr="00EF43D5">
        <w:rPr>
          <w:rFonts w:ascii="Arial" w:hAnsi="Arial" w:cs="Arial"/>
          <w:i/>
          <w:sz w:val="24"/>
          <w:szCs w:val="24"/>
          <w:lang w:val="en-US"/>
        </w:rPr>
        <w:t>Bc</w:t>
      </w:r>
      <w:r w:rsidRPr="00EF43D5">
        <w:rPr>
          <w:rFonts w:ascii="Arial" w:hAnsi="Arial" w:cs="Arial"/>
          <w:sz w:val="24"/>
          <w:szCs w:val="24"/>
          <w:lang w:val="en-US"/>
        </w:rPr>
        <w:t>PPK2-III. MWM: molecular weight marker; Lane 1: cell-free extract; Lane 2: pass-through fraction; Lane 3: elution of proteins nonspecifically bound to resin; Lane 4: elution of recombinant protein; Lane 5: resin with proteins not removed after washing and elution.</w:t>
      </w:r>
    </w:p>
    <w:p w14:paraId="471907C1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04672F01" w14:textId="6AD819CE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7F62EEF1" w14:textId="77777777" w:rsidR="00444EA9" w:rsidRDefault="00444EA9" w:rsidP="00917736">
      <w:pPr>
        <w:rPr>
          <w:rFonts w:ascii="Arial" w:hAnsi="Arial" w:cs="Arial"/>
          <w:sz w:val="24"/>
          <w:szCs w:val="24"/>
          <w:lang w:val="en-US"/>
        </w:rPr>
      </w:pPr>
    </w:p>
    <w:p w14:paraId="0582DF5B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  <w:r w:rsidRPr="00EF43D5">
        <w:rPr>
          <w:noProof/>
          <w:lang w:eastAsia="es-ES"/>
        </w:rPr>
        <w:drawing>
          <wp:inline distT="0" distB="0" distL="0" distR="0" wp14:anchorId="15C8360B" wp14:editId="3CCE113F">
            <wp:extent cx="5083651" cy="2446867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04" cy="24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5D0F" w14:textId="7EB992A9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  <w:r w:rsidRPr="00EF43D5">
        <w:rPr>
          <w:rFonts w:ascii="Arial" w:hAnsi="Arial" w:cs="Arial"/>
          <w:b/>
          <w:bCs/>
          <w:sz w:val="24"/>
          <w:szCs w:val="24"/>
          <w:lang w:val="en-US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444EA9">
        <w:rPr>
          <w:rFonts w:ascii="Arial" w:hAnsi="Arial" w:cs="Arial"/>
          <w:b/>
          <w:bCs/>
          <w:sz w:val="24"/>
          <w:szCs w:val="24"/>
          <w:lang w:val="en-US"/>
        </w:rPr>
        <w:t>3</w:t>
      </w:r>
      <w:r w:rsidRPr="00EF43D5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EF43D5">
        <w:rPr>
          <w:rFonts w:ascii="Arial" w:hAnsi="Arial" w:cs="Arial"/>
          <w:sz w:val="24"/>
          <w:szCs w:val="24"/>
          <w:lang w:val="en-US"/>
        </w:rPr>
        <w:t xml:space="preserve"> Peptide mass fingerprint </w:t>
      </w:r>
      <w:r>
        <w:rPr>
          <w:rFonts w:ascii="Arial" w:hAnsi="Arial" w:cs="Arial"/>
          <w:sz w:val="24"/>
          <w:szCs w:val="24"/>
          <w:lang w:val="en-US"/>
        </w:rPr>
        <w:t xml:space="preserve">and </w:t>
      </w:r>
      <w:r w:rsidRPr="00EF43D5">
        <w:rPr>
          <w:rFonts w:ascii="Arial" w:hAnsi="Arial" w:cs="Arial"/>
          <w:sz w:val="24"/>
          <w:szCs w:val="24"/>
          <w:lang w:val="en-US"/>
        </w:rPr>
        <w:t xml:space="preserve">major secondary structural motifs of </w:t>
      </w:r>
      <w:r w:rsidRPr="00EF43D5">
        <w:rPr>
          <w:rFonts w:ascii="Arial" w:hAnsi="Arial" w:cs="Arial"/>
          <w:i/>
          <w:sz w:val="24"/>
          <w:szCs w:val="24"/>
          <w:lang w:val="en-US"/>
        </w:rPr>
        <w:t>Bc</w:t>
      </w:r>
      <w:r w:rsidRPr="00EF43D5">
        <w:rPr>
          <w:rFonts w:ascii="Arial" w:hAnsi="Arial" w:cs="Arial"/>
          <w:sz w:val="24"/>
          <w:szCs w:val="24"/>
          <w:lang w:val="en-US"/>
        </w:rPr>
        <w:t xml:space="preserve">PPK2-III. The identified peptides are highlighted in bold and underlined with their corresponding molecular mass in Dalton (Da). Sequences corresponding to </w:t>
      </w:r>
      <w:r w:rsidRPr="00EF43D5">
        <w:rPr>
          <w:rFonts w:ascii="Symbol" w:hAnsi="Symbol" w:cs="Arial"/>
          <w:sz w:val="24"/>
          <w:szCs w:val="24"/>
          <w:lang w:val="en-US"/>
        </w:rPr>
        <w:t></w:t>
      </w:r>
      <w:r w:rsidRPr="00EF43D5">
        <w:rPr>
          <w:rFonts w:ascii="Arial" w:hAnsi="Arial" w:cs="Arial"/>
          <w:sz w:val="24"/>
          <w:szCs w:val="24"/>
          <w:lang w:val="en-US"/>
        </w:rPr>
        <w:t xml:space="preserve">-helix are shown in pink and those corresponding to </w:t>
      </w:r>
      <w:r w:rsidRPr="00EF43D5">
        <w:rPr>
          <w:rFonts w:ascii="Symbol" w:hAnsi="Symbol" w:cs="Arial"/>
          <w:sz w:val="24"/>
          <w:szCs w:val="24"/>
          <w:lang w:val="en-US"/>
        </w:rPr>
        <w:t></w:t>
      </w:r>
      <w:r w:rsidRPr="00EF43D5">
        <w:rPr>
          <w:rFonts w:ascii="Arial" w:hAnsi="Arial" w:cs="Arial"/>
          <w:sz w:val="24"/>
          <w:szCs w:val="24"/>
          <w:lang w:val="en-US"/>
        </w:rPr>
        <w:t>-sheets in orange. Segments corresponding to "coil-coil" structures are highlighted in gray.</w:t>
      </w:r>
    </w:p>
    <w:p w14:paraId="32506F4D" w14:textId="5FD719B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5A0264AF" w14:textId="28DD7A4C" w:rsidR="00444EA9" w:rsidRDefault="00444EA9" w:rsidP="00917736">
      <w:pPr>
        <w:rPr>
          <w:rFonts w:ascii="Arial" w:hAnsi="Arial" w:cs="Arial"/>
          <w:sz w:val="24"/>
          <w:szCs w:val="24"/>
          <w:lang w:val="en-US"/>
        </w:rPr>
      </w:pPr>
    </w:p>
    <w:p w14:paraId="53A97E97" w14:textId="286A3D8D" w:rsidR="00444EA9" w:rsidRDefault="00444EA9" w:rsidP="00917736">
      <w:pPr>
        <w:rPr>
          <w:rFonts w:ascii="Arial" w:hAnsi="Arial" w:cs="Arial"/>
          <w:sz w:val="24"/>
          <w:szCs w:val="24"/>
          <w:lang w:val="en-US"/>
        </w:rPr>
      </w:pPr>
    </w:p>
    <w:p w14:paraId="42FC6690" w14:textId="77777777" w:rsidR="00444EA9" w:rsidRDefault="00444EA9" w:rsidP="00917736">
      <w:pPr>
        <w:rPr>
          <w:rFonts w:ascii="Arial" w:hAnsi="Arial" w:cs="Arial"/>
          <w:sz w:val="24"/>
          <w:szCs w:val="24"/>
          <w:lang w:val="en-US"/>
        </w:rPr>
      </w:pPr>
    </w:p>
    <w:p w14:paraId="52CABCCE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  <w:r w:rsidRPr="00946D2D">
        <w:rPr>
          <w:noProof/>
          <w:lang w:eastAsia="es-ES"/>
        </w:rPr>
        <w:drawing>
          <wp:inline distT="0" distB="0" distL="0" distR="0" wp14:anchorId="48788224" wp14:editId="52257A44">
            <wp:extent cx="6371590" cy="22158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2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10E3" w14:textId="06F87091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  <w:r w:rsidRPr="00946D2D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>
        <w:rPr>
          <w:rFonts w:ascii="Arial" w:hAnsi="Arial" w:cs="Arial"/>
          <w:b/>
          <w:sz w:val="24"/>
          <w:szCs w:val="24"/>
          <w:lang w:val="en-US"/>
        </w:rPr>
        <w:t>S</w:t>
      </w:r>
      <w:r w:rsidR="000A0B9D">
        <w:rPr>
          <w:rFonts w:ascii="Arial" w:hAnsi="Arial" w:cs="Arial"/>
          <w:b/>
          <w:sz w:val="24"/>
          <w:szCs w:val="24"/>
          <w:lang w:val="en-US"/>
        </w:rPr>
        <w:t>4</w:t>
      </w:r>
      <w:r w:rsidRPr="00946D2D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Pr="00946D2D">
        <w:rPr>
          <w:rFonts w:ascii="Arial" w:hAnsi="Arial" w:cs="Arial"/>
          <w:sz w:val="24"/>
          <w:szCs w:val="24"/>
          <w:lang w:val="en-US"/>
        </w:rPr>
        <w:t>(</w:t>
      </w:r>
      <w:r w:rsidRPr="00946D2D">
        <w:rPr>
          <w:rFonts w:ascii="Arial" w:hAnsi="Arial" w:cs="Arial"/>
          <w:b/>
          <w:sz w:val="24"/>
          <w:szCs w:val="24"/>
          <w:lang w:val="en-US"/>
        </w:rPr>
        <w:t>a</w:t>
      </w:r>
      <w:r w:rsidRPr="00946D2D">
        <w:rPr>
          <w:rFonts w:ascii="Arial" w:hAnsi="Arial" w:cs="Arial"/>
          <w:sz w:val="24"/>
          <w:szCs w:val="24"/>
          <w:lang w:val="en-US"/>
        </w:rPr>
        <w:t xml:space="preserve">) </w:t>
      </w:r>
      <w:r w:rsidR="006B3161" w:rsidRPr="006B3161">
        <w:rPr>
          <w:rFonts w:ascii="Arial" w:hAnsi="Arial" w:cs="Arial"/>
          <w:sz w:val="24"/>
          <w:szCs w:val="24"/>
          <w:lang w:val="en-US"/>
        </w:rPr>
        <w:t>AlphaFold</w:t>
      </w:r>
      <w:r w:rsidR="006B3161">
        <w:rPr>
          <w:rFonts w:ascii="Arial" w:hAnsi="Arial" w:cs="Arial"/>
          <w:sz w:val="24"/>
          <w:szCs w:val="24"/>
          <w:lang w:val="en-US"/>
        </w:rPr>
        <w:t xml:space="preserve"> </w:t>
      </w:r>
      <w:r w:rsidR="006B3161" w:rsidRPr="006B3161">
        <w:rPr>
          <w:rFonts w:ascii="Arial" w:hAnsi="Arial" w:cs="Arial"/>
          <w:sz w:val="24"/>
          <w:szCs w:val="24"/>
          <w:lang w:val="en-US"/>
        </w:rPr>
        <w:t>prediction colored by model</w:t>
      </w:r>
      <w:r w:rsidR="006B3161">
        <w:rPr>
          <w:rFonts w:ascii="Arial" w:hAnsi="Arial" w:cs="Arial"/>
          <w:sz w:val="24"/>
          <w:szCs w:val="24"/>
          <w:lang w:val="en-US"/>
        </w:rPr>
        <w:t xml:space="preserve"> </w:t>
      </w:r>
      <w:r w:rsidR="006B3161" w:rsidRPr="006B3161">
        <w:rPr>
          <w:rFonts w:ascii="Arial" w:hAnsi="Arial" w:cs="Arial"/>
          <w:sz w:val="24"/>
          <w:szCs w:val="24"/>
          <w:lang w:val="en-US"/>
        </w:rPr>
        <w:t>confidence band</w:t>
      </w:r>
      <w:r w:rsidRPr="00946D2D">
        <w:rPr>
          <w:rFonts w:ascii="Arial" w:hAnsi="Arial" w:cs="Arial"/>
          <w:sz w:val="24"/>
          <w:szCs w:val="24"/>
          <w:lang w:val="en-US"/>
        </w:rPr>
        <w:t>; (</w:t>
      </w:r>
      <w:r w:rsidRPr="00946D2D">
        <w:rPr>
          <w:rFonts w:ascii="Arial" w:hAnsi="Arial" w:cs="Arial"/>
          <w:b/>
          <w:sz w:val="24"/>
          <w:szCs w:val="24"/>
          <w:lang w:val="en-US"/>
        </w:rPr>
        <w:t>b</w:t>
      </w:r>
      <w:r w:rsidRPr="00946D2D">
        <w:rPr>
          <w:rFonts w:ascii="Arial" w:hAnsi="Arial" w:cs="Arial"/>
          <w:sz w:val="24"/>
          <w:szCs w:val="24"/>
          <w:lang w:val="en-US"/>
        </w:rPr>
        <w:t>) Sequence coverage.</w:t>
      </w:r>
      <w:r w:rsidR="006B3161">
        <w:rPr>
          <w:rFonts w:ascii="Arial" w:hAnsi="Arial" w:cs="Arial"/>
          <w:sz w:val="24"/>
          <w:szCs w:val="24"/>
          <w:lang w:val="en-US"/>
        </w:rPr>
        <w:t xml:space="preserve"> </w:t>
      </w:r>
      <w:r w:rsidR="006B3161" w:rsidRPr="006B3161">
        <w:rPr>
          <w:rFonts w:ascii="Arial" w:hAnsi="Arial" w:cs="Arial"/>
          <w:sz w:val="24"/>
          <w:szCs w:val="24"/>
          <w:lang w:val="en-US"/>
        </w:rPr>
        <w:t>Number of homologous sequences identified per position</w:t>
      </w:r>
    </w:p>
    <w:p w14:paraId="6B26BD70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483E5DE2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58380988" w14:textId="77777777" w:rsidR="000A0B9D" w:rsidRDefault="000A0B9D" w:rsidP="000A0B9D">
      <w:pPr>
        <w:rPr>
          <w:rFonts w:ascii="Arial" w:hAnsi="Arial" w:cs="Arial"/>
          <w:sz w:val="24"/>
          <w:szCs w:val="24"/>
          <w:lang w:val="en-US"/>
        </w:rPr>
      </w:pPr>
    </w:p>
    <w:p w14:paraId="78D2942C" w14:textId="77777777" w:rsidR="000A0B9D" w:rsidRDefault="000A0B9D" w:rsidP="000A0B9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AF4C842" wp14:editId="3BB34AC4">
            <wp:extent cx="6371590" cy="2271395"/>
            <wp:effectExtent l="0" t="0" r="3810" b="1905"/>
            <wp:docPr id="1006191120" name="Imagen 3" descr="Imagen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91120" name="Imagen 3" descr="Imagen en blanco y negr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6028" w14:textId="0701ABD6" w:rsidR="000A0B9D" w:rsidRDefault="000A0B9D" w:rsidP="000A0B9D">
      <w:pPr>
        <w:rPr>
          <w:rFonts w:ascii="Arial" w:hAnsi="Arial" w:cs="Arial"/>
          <w:bCs/>
          <w:sz w:val="24"/>
          <w:szCs w:val="24"/>
          <w:lang w:val="en-US"/>
        </w:rPr>
      </w:pPr>
      <w:r w:rsidRPr="00AF3288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>
        <w:rPr>
          <w:rFonts w:ascii="Arial" w:hAnsi="Arial" w:cs="Arial"/>
          <w:b/>
          <w:sz w:val="24"/>
          <w:szCs w:val="24"/>
          <w:lang w:val="en-US"/>
        </w:rPr>
        <w:t xml:space="preserve">S5. </w:t>
      </w:r>
      <w:r w:rsidRPr="00730475">
        <w:rPr>
          <w:rFonts w:ascii="Arial" w:hAnsi="Arial" w:cs="Arial"/>
          <w:bCs/>
          <w:sz w:val="24"/>
          <w:szCs w:val="24"/>
          <w:lang w:val="en-US"/>
        </w:rPr>
        <w:t>Transmission electron microscop</w:t>
      </w:r>
      <w:r>
        <w:rPr>
          <w:rFonts w:ascii="Arial" w:hAnsi="Arial" w:cs="Arial"/>
          <w:bCs/>
          <w:sz w:val="24"/>
          <w:szCs w:val="24"/>
          <w:lang w:val="en-US"/>
        </w:rPr>
        <w:t>y images (</w:t>
      </w:r>
      <w:r w:rsidRPr="00730475">
        <w:rPr>
          <w:rFonts w:ascii="Arial" w:hAnsi="Arial" w:cs="Arial"/>
          <w:bCs/>
          <w:sz w:val="24"/>
          <w:szCs w:val="24"/>
          <w:lang w:val="en-US"/>
        </w:rPr>
        <w:t>sTEM</w:t>
      </w:r>
      <w:r>
        <w:rPr>
          <w:rFonts w:ascii="Arial" w:hAnsi="Arial" w:cs="Arial"/>
          <w:bCs/>
          <w:sz w:val="24"/>
          <w:szCs w:val="24"/>
          <w:lang w:val="en-US"/>
        </w:rPr>
        <w:t>) of the nanoflower structure formed between Mn</w:t>
      </w:r>
      <w:r w:rsidRPr="00730475">
        <w:rPr>
          <w:rFonts w:ascii="Arial" w:hAnsi="Arial" w:cs="Arial"/>
          <w:bCs/>
          <w:sz w:val="24"/>
          <w:szCs w:val="24"/>
          <w:vertAlign w:val="superscript"/>
          <w:lang w:val="en-US"/>
        </w:rPr>
        <w:t>2+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and the shorter chains of phosphate donor groups. </w:t>
      </w:r>
    </w:p>
    <w:p w14:paraId="22815F76" w14:textId="18C0D68A" w:rsidR="000A0B9D" w:rsidRDefault="000A0B9D" w:rsidP="00917736">
      <w:pPr>
        <w:rPr>
          <w:rFonts w:ascii="Arial" w:hAnsi="Arial" w:cs="Arial"/>
          <w:sz w:val="24"/>
          <w:szCs w:val="24"/>
          <w:lang w:val="en-US"/>
        </w:rPr>
      </w:pPr>
    </w:p>
    <w:p w14:paraId="38F31DD0" w14:textId="77777777" w:rsidR="008F5E00" w:rsidRDefault="008F5E00" w:rsidP="00917736">
      <w:pPr>
        <w:rPr>
          <w:rFonts w:ascii="Arial" w:hAnsi="Arial" w:cs="Arial"/>
          <w:sz w:val="24"/>
          <w:szCs w:val="24"/>
          <w:lang w:val="en-US"/>
        </w:rPr>
      </w:pPr>
    </w:p>
    <w:p w14:paraId="327E7871" w14:textId="38DF677C" w:rsidR="000A0B9D" w:rsidRDefault="000A0B9D" w:rsidP="00917736">
      <w:pPr>
        <w:rPr>
          <w:rFonts w:ascii="Arial" w:hAnsi="Arial" w:cs="Arial"/>
          <w:sz w:val="24"/>
          <w:szCs w:val="24"/>
          <w:lang w:val="en-US"/>
        </w:rPr>
      </w:pPr>
    </w:p>
    <w:p w14:paraId="6D91D11E" w14:textId="0E105A45" w:rsidR="000A0B9D" w:rsidRDefault="000A0B9D" w:rsidP="00917736">
      <w:pPr>
        <w:rPr>
          <w:rFonts w:ascii="Arial" w:hAnsi="Arial" w:cs="Arial"/>
          <w:sz w:val="24"/>
          <w:szCs w:val="24"/>
          <w:lang w:val="en-US"/>
        </w:rPr>
      </w:pPr>
    </w:p>
    <w:p w14:paraId="2463D1F9" w14:textId="77777777" w:rsidR="000A0B9D" w:rsidRDefault="000A0B9D" w:rsidP="00917736">
      <w:pPr>
        <w:rPr>
          <w:rFonts w:ascii="Arial" w:hAnsi="Arial" w:cs="Arial"/>
          <w:sz w:val="24"/>
          <w:szCs w:val="24"/>
          <w:lang w:val="en-US"/>
        </w:rPr>
      </w:pPr>
    </w:p>
    <w:p w14:paraId="5FE16651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  <w:r w:rsidRPr="0093247B">
        <w:rPr>
          <w:noProof/>
          <w:lang w:eastAsia="es-ES"/>
        </w:rPr>
        <w:drawing>
          <wp:inline distT="0" distB="0" distL="0" distR="0" wp14:anchorId="02D05EB8" wp14:editId="0ECE6E6C">
            <wp:extent cx="5782945" cy="2489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0D10" w14:textId="659A80AB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  <w:r w:rsidRPr="0093247B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>
        <w:rPr>
          <w:rFonts w:ascii="Arial" w:hAnsi="Arial" w:cs="Arial"/>
          <w:b/>
          <w:sz w:val="24"/>
          <w:szCs w:val="24"/>
          <w:lang w:val="en-US"/>
        </w:rPr>
        <w:t>S</w:t>
      </w:r>
      <w:r w:rsidR="008F5E00">
        <w:rPr>
          <w:rFonts w:ascii="Arial" w:hAnsi="Arial" w:cs="Arial"/>
          <w:b/>
          <w:sz w:val="24"/>
          <w:szCs w:val="24"/>
          <w:lang w:val="en-US"/>
        </w:rPr>
        <w:t>6</w:t>
      </w:r>
      <w:r w:rsidRPr="0093247B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Pr="0093247B">
        <w:rPr>
          <w:rFonts w:ascii="Arial" w:hAnsi="Arial" w:cs="Arial"/>
          <w:sz w:val="24"/>
          <w:szCs w:val="24"/>
          <w:lang w:val="en-US"/>
        </w:rPr>
        <w:t>Agarose gel of restriction analysis of plasmid pET-28b(+)-</w:t>
      </w:r>
      <w:r w:rsidRPr="0093247B">
        <w:rPr>
          <w:rFonts w:ascii="Arial" w:hAnsi="Arial" w:cs="Arial"/>
          <w:i/>
          <w:sz w:val="24"/>
          <w:szCs w:val="24"/>
          <w:lang w:val="en-US"/>
        </w:rPr>
        <w:t>ppk-III</w:t>
      </w:r>
      <w:r w:rsidRPr="0093247B">
        <w:rPr>
          <w:rFonts w:ascii="Arial" w:hAnsi="Arial" w:cs="Arial"/>
          <w:sz w:val="24"/>
          <w:szCs w:val="24"/>
          <w:lang w:val="en-US"/>
        </w:rPr>
        <w:t>, purified from three different colonies. MWM = molecular weight marker.</w:t>
      </w:r>
    </w:p>
    <w:p w14:paraId="7344FE45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38DB86A4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58C918DE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6B74029A" w14:textId="2E158919" w:rsidR="00917736" w:rsidRDefault="00A4262F" w:rsidP="00917736">
      <w:pPr>
        <w:rPr>
          <w:rFonts w:ascii="Arial" w:hAnsi="Arial" w:cs="Arial"/>
          <w:sz w:val="24"/>
          <w:szCs w:val="24"/>
          <w:lang w:val="en-US"/>
        </w:rPr>
      </w:pPr>
      <w:r w:rsidRPr="00A4262F">
        <w:drawing>
          <wp:inline distT="0" distB="0" distL="0" distR="0" wp14:anchorId="4217BD82" wp14:editId="235636D1">
            <wp:extent cx="6245860" cy="3216363"/>
            <wp:effectExtent l="0" t="0" r="254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2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053A" w14:textId="414CC9EC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  <w:r w:rsidRPr="00AF3288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>
        <w:rPr>
          <w:rFonts w:ascii="Arial" w:hAnsi="Arial" w:cs="Arial"/>
          <w:b/>
          <w:sz w:val="24"/>
          <w:szCs w:val="24"/>
          <w:lang w:val="en-US"/>
        </w:rPr>
        <w:t>S</w:t>
      </w:r>
      <w:r w:rsidR="00A4262F">
        <w:rPr>
          <w:rFonts w:ascii="Arial" w:hAnsi="Arial" w:cs="Arial"/>
          <w:b/>
          <w:sz w:val="24"/>
          <w:szCs w:val="24"/>
          <w:lang w:val="en-US"/>
        </w:rPr>
        <w:t>7</w:t>
      </w:r>
      <w:r w:rsidRPr="00AF3288">
        <w:rPr>
          <w:rFonts w:ascii="Arial" w:hAnsi="Arial" w:cs="Arial"/>
          <w:b/>
          <w:sz w:val="24"/>
          <w:szCs w:val="24"/>
          <w:lang w:val="en-US"/>
        </w:rPr>
        <w:t>.</w:t>
      </w:r>
      <w:r w:rsidRPr="00A4262F">
        <w:rPr>
          <w:rFonts w:ascii="Arial" w:hAnsi="Arial" w:cs="Arial"/>
          <w:sz w:val="24"/>
          <w:szCs w:val="24"/>
          <w:lang w:val="en-US"/>
        </w:rPr>
        <w:t xml:space="preserve"> </w:t>
      </w:r>
      <w:r w:rsidR="00A4262F" w:rsidRPr="00A4262F">
        <w:rPr>
          <w:rFonts w:ascii="Arial" w:hAnsi="Arial" w:cs="Arial"/>
          <w:sz w:val="24"/>
          <w:szCs w:val="24"/>
          <w:lang w:val="en-US"/>
        </w:rPr>
        <w:t>(</w:t>
      </w:r>
      <w:r w:rsidR="00A4262F" w:rsidRPr="00A4262F">
        <w:rPr>
          <w:rFonts w:ascii="Arial" w:hAnsi="Arial" w:cs="Arial"/>
          <w:b/>
          <w:sz w:val="24"/>
          <w:szCs w:val="24"/>
          <w:lang w:val="en-US"/>
        </w:rPr>
        <w:t>a</w:t>
      </w:r>
      <w:r w:rsidR="00A4262F" w:rsidRPr="00A4262F">
        <w:rPr>
          <w:rFonts w:ascii="Arial" w:hAnsi="Arial" w:cs="Arial"/>
          <w:sz w:val="24"/>
          <w:szCs w:val="24"/>
          <w:lang w:val="en-US"/>
        </w:rPr>
        <w:t xml:space="preserve">) </w:t>
      </w:r>
      <w:r w:rsidRPr="00AF3288">
        <w:rPr>
          <w:rFonts w:ascii="Arial" w:hAnsi="Arial" w:cs="Arial"/>
          <w:sz w:val="24"/>
          <w:szCs w:val="24"/>
          <w:lang w:val="en-US"/>
        </w:rPr>
        <w:t>Chromatogram of the standard mixture of polyP, ATP, ADP and AMP.</w:t>
      </w:r>
      <w:r w:rsidR="00A4262F">
        <w:rPr>
          <w:rFonts w:ascii="Arial" w:hAnsi="Arial" w:cs="Arial"/>
          <w:sz w:val="24"/>
          <w:szCs w:val="24"/>
          <w:lang w:val="en-US"/>
        </w:rPr>
        <w:t xml:space="preserve"> (</w:t>
      </w:r>
      <w:r w:rsidR="00A4262F" w:rsidRPr="00A4262F">
        <w:rPr>
          <w:rFonts w:ascii="Arial" w:hAnsi="Arial" w:cs="Arial"/>
          <w:b/>
          <w:sz w:val="24"/>
          <w:szCs w:val="24"/>
          <w:lang w:val="en-US"/>
        </w:rPr>
        <w:t>b</w:t>
      </w:r>
      <w:r w:rsidR="00A4262F">
        <w:rPr>
          <w:rFonts w:ascii="Arial" w:hAnsi="Arial" w:cs="Arial"/>
          <w:sz w:val="24"/>
          <w:szCs w:val="24"/>
          <w:lang w:val="en-US"/>
        </w:rPr>
        <w:t xml:space="preserve">) </w:t>
      </w:r>
      <w:r w:rsidR="00A4262F" w:rsidRPr="00A4262F">
        <w:rPr>
          <w:rFonts w:ascii="Arial" w:hAnsi="Arial" w:cs="Arial"/>
          <w:sz w:val="24"/>
          <w:szCs w:val="24"/>
          <w:lang w:val="en-US"/>
        </w:rPr>
        <w:t xml:space="preserve">Chromatogram of </w:t>
      </w:r>
      <w:r w:rsidR="00A4262F" w:rsidRPr="00A4262F">
        <w:rPr>
          <w:rFonts w:ascii="Arial" w:hAnsi="Arial" w:cs="Arial"/>
          <w:i/>
          <w:sz w:val="24"/>
          <w:szCs w:val="24"/>
          <w:lang w:val="en-US"/>
        </w:rPr>
        <w:t>Bc</w:t>
      </w:r>
      <w:r w:rsidR="00A4262F" w:rsidRPr="00A4262F">
        <w:rPr>
          <w:rFonts w:ascii="Arial" w:hAnsi="Arial" w:cs="Arial"/>
          <w:sz w:val="24"/>
          <w:szCs w:val="24"/>
          <w:lang w:val="en-US"/>
        </w:rPr>
        <w:t>PPK2-III reaction after 3.5h, with AMP as the starting substrate</w:t>
      </w:r>
      <w:r w:rsidR="00A4262F">
        <w:rPr>
          <w:rFonts w:ascii="Arial" w:hAnsi="Arial" w:cs="Arial"/>
          <w:sz w:val="24"/>
          <w:szCs w:val="24"/>
          <w:lang w:val="en-US"/>
        </w:rPr>
        <w:t>. (</w:t>
      </w:r>
      <w:r w:rsidR="00A4262F" w:rsidRPr="00A4262F">
        <w:rPr>
          <w:rFonts w:ascii="Arial" w:hAnsi="Arial" w:cs="Arial"/>
          <w:b/>
          <w:sz w:val="24"/>
          <w:szCs w:val="24"/>
          <w:lang w:val="en-US"/>
        </w:rPr>
        <w:t>c</w:t>
      </w:r>
      <w:r w:rsidR="00A4262F">
        <w:rPr>
          <w:rFonts w:ascii="Arial" w:hAnsi="Arial" w:cs="Arial"/>
          <w:sz w:val="24"/>
          <w:szCs w:val="24"/>
          <w:lang w:val="en-US"/>
        </w:rPr>
        <w:t xml:space="preserve">) </w:t>
      </w:r>
      <w:r w:rsidR="00A4262F" w:rsidRPr="00A4262F">
        <w:rPr>
          <w:rFonts w:ascii="Arial" w:hAnsi="Arial" w:cs="Arial"/>
          <w:sz w:val="24"/>
          <w:szCs w:val="24"/>
          <w:lang w:val="en-US"/>
        </w:rPr>
        <w:t xml:space="preserve">Chromatogram of </w:t>
      </w:r>
      <w:r w:rsidR="00A4262F" w:rsidRPr="00A4262F">
        <w:rPr>
          <w:rFonts w:ascii="Arial" w:hAnsi="Arial" w:cs="Arial"/>
          <w:i/>
          <w:sz w:val="24"/>
          <w:szCs w:val="24"/>
          <w:lang w:val="en-US"/>
        </w:rPr>
        <w:t>Bc</w:t>
      </w:r>
      <w:r w:rsidR="00A4262F" w:rsidRPr="00A4262F">
        <w:rPr>
          <w:rFonts w:ascii="Arial" w:hAnsi="Arial" w:cs="Arial"/>
          <w:sz w:val="24"/>
          <w:szCs w:val="24"/>
          <w:lang w:val="en-US"/>
        </w:rPr>
        <w:t>PPK2-III reaction after 3.5h, with A</w:t>
      </w:r>
      <w:r w:rsidR="00A4262F">
        <w:rPr>
          <w:rFonts w:ascii="Arial" w:hAnsi="Arial" w:cs="Arial"/>
          <w:sz w:val="24"/>
          <w:szCs w:val="24"/>
          <w:lang w:val="en-US"/>
        </w:rPr>
        <w:t>D</w:t>
      </w:r>
      <w:r w:rsidR="00A4262F" w:rsidRPr="00A4262F">
        <w:rPr>
          <w:rFonts w:ascii="Arial" w:hAnsi="Arial" w:cs="Arial"/>
          <w:sz w:val="24"/>
          <w:szCs w:val="24"/>
          <w:lang w:val="en-US"/>
        </w:rPr>
        <w:t>P as the starting substrate</w:t>
      </w:r>
      <w:r w:rsidR="00A4262F">
        <w:rPr>
          <w:rFonts w:ascii="Arial" w:hAnsi="Arial" w:cs="Arial"/>
          <w:sz w:val="24"/>
          <w:szCs w:val="24"/>
          <w:lang w:val="en-US"/>
        </w:rPr>
        <w:t>.</w:t>
      </w:r>
    </w:p>
    <w:p w14:paraId="2CA44FE4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36999BCB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3DFA9CE7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526221CF" w14:textId="77777777" w:rsidR="00917736" w:rsidRDefault="00917736" w:rsidP="00917736">
      <w:pPr>
        <w:rPr>
          <w:rFonts w:ascii="Arial" w:hAnsi="Arial" w:cs="Arial"/>
          <w:sz w:val="24"/>
          <w:szCs w:val="24"/>
          <w:lang w:val="en-US"/>
        </w:rPr>
      </w:pPr>
    </w:p>
    <w:p w14:paraId="3BC0AE7D" w14:textId="187A8485" w:rsidR="00917736" w:rsidRDefault="00917736" w:rsidP="00917736">
      <w:pPr>
        <w:rPr>
          <w:rFonts w:ascii="Arial" w:hAnsi="Arial" w:cs="Arial"/>
          <w:bCs/>
          <w:sz w:val="24"/>
          <w:szCs w:val="24"/>
          <w:lang w:val="en-US"/>
        </w:rPr>
      </w:pPr>
      <w:bookmarkStart w:id="0" w:name="_GoBack"/>
      <w:bookmarkEnd w:id="0"/>
    </w:p>
    <w:sectPr w:rsidR="00917736" w:rsidSect="00332D91">
      <w:pgSz w:w="11906" w:h="16838"/>
      <w:pgMar w:top="1418" w:right="936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2F716" w14:textId="77777777" w:rsidR="002F02AD" w:rsidRDefault="002F02AD" w:rsidP="00485991">
      <w:pPr>
        <w:spacing w:after="0" w:line="240" w:lineRule="auto"/>
      </w:pPr>
      <w:r>
        <w:separator/>
      </w:r>
    </w:p>
  </w:endnote>
  <w:endnote w:type="continuationSeparator" w:id="0">
    <w:p w14:paraId="56AE66BC" w14:textId="77777777" w:rsidR="002F02AD" w:rsidRDefault="002F02AD" w:rsidP="00485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50ACD" w14:textId="77777777" w:rsidR="002F02AD" w:rsidRDefault="002F02AD" w:rsidP="00485991">
      <w:pPr>
        <w:spacing w:after="0" w:line="240" w:lineRule="auto"/>
      </w:pPr>
      <w:r>
        <w:separator/>
      </w:r>
    </w:p>
  </w:footnote>
  <w:footnote w:type="continuationSeparator" w:id="0">
    <w:p w14:paraId="29B0B818" w14:textId="77777777" w:rsidR="002F02AD" w:rsidRDefault="002F02AD" w:rsidP="00485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6C4"/>
    <w:rsid w:val="000773ED"/>
    <w:rsid w:val="00094E8F"/>
    <w:rsid w:val="000A0B9D"/>
    <w:rsid w:val="000D5C33"/>
    <w:rsid w:val="00151A2F"/>
    <w:rsid w:val="00173F43"/>
    <w:rsid w:val="001B03BA"/>
    <w:rsid w:val="001D5821"/>
    <w:rsid w:val="001E2BC1"/>
    <w:rsid w:val="001E7399"/>
    <w:rsid w:val="00205CF0"/>
    <w:rsid w:val="002F02AD"/>
    <w:rsid w:val="0030549C"/>
    <w:rsid w:val="00305536"/>
    <w:rsid w:val="00316A78"/>
    <w:rsid w:val="00332D91"/>
    <w:rsid w:val="003A5E62"/>
    <w:rsid w:val="003E60A6"/>
    <w:rsid w:val="00406738"/>
    <w:rsid w:val="00444EA9"/>
    <w:rsid w:val="00466E98"/>
    <w:rsid w:val="00485991"/>
    <w:rsid w:val="00526B9B"/>
    <w:rsid w:val="005414F2"/>
    <w:rsid w:val="005B0232"/>
    <w:rsid w:val="00610E82"/>
    <w:rsid w:val="00632C72"/>
    <w:rsid w:val="006620BA"/>
    <w:rsid w:val="006866C4"/>
    <w:rsid w:val="006B3161"/>
    <w:rsid w:val="006C6A74"/>
    <w:rsid w:val="007057AF"/>
    <w:rsid w:val="00720F9E"/>
    <w:rsid w:val="00723B9E"/>
    <w:rsid w:val="00800DCC"/>
    <w:rsid w:val="00804BFE"/>
    <w:rsid w:val="00832B88"/>
    <w:rsid w:val="00874C22"/>
    <w:rsid w:val="008F5E00"/>
    <w:rsid w:val="00917736"/>
    <w:rsid w:val="009305A4"/>
    <w:rsid w:val="009F11C7"/>
    <w:rsid w:val="00A135BA"/>
    <w:rsid w:val="00A20DAB"/>
    <w:rsid w:val="00A26162"/>
    <w:rsid w:val="00A4262F"/>
    <w:rsid w:val="00A90D1C"/>
    <w:rsid w:val="00AE746D"/>
    <w:rsid w:val="00B1004C"/>
    <w:rsid w:val="00B94536"/>
    <w:rsid w:val="00C73C42"/>
    <w:rsid w:val="00C75B5E"/>
    <w:rsid w:val="00DC5780"/>
    <w:rsid w:val="00EB004A"/>
    <w:rsid w:val="00EB1DB1"/>
    <w:rsid w:val="00F436D0"/>
    <w:rsid w:val="00FF7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34B0D2"/>
  <w15:docId w15:val="{851D4D9A-03DF-40A3-8D24-7E26587EA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CF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66C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59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5991"/>
  </w:style>
  <w:style w:type="paragraph" w:styleId="Piedepgina">
    <w:name w:val="footer"/>
    <w:basedOn w:val="Normal"/>
    <w:link w:val="PiedepginaCar"/>
    <w:uiPriority w:val="99"/>
    <w:unhideWhenUsed/>
    <w:rsid w:val="004859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5991"/>
  </w:style>
  <w:style w:type="character" w:styleId="Nmerodepgina">
    <w:name w:val="page number"/>
    <w:basedOn w:val="Fuentedeprrafopredeter"/>
    <w:uiPriority w:val="99"/>
    <w:semiHidden/>
    <w:unhideWhenUsed/>
    <w:rsid w:val="00485991"/>
  </w:style>
  <w:style w:type="paragraph" w:customStyle="1" w:styleId="MDPI13authornames">
    <w:name w:val="MDPI_1.3_authornames"/>
    <w:next w:val="Normal"/>
    <w:qFormat/>
    <w:rsid w:val="001E2BC1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1E2BC1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1E2BC1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61Citation">
    <w:name w:val="MDPI_6.1_Citation"/>
    <w:qFormat/>
    <w:rsid w:val="001E2BC1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72Copyright">
    <w:name w:val="MDPI_7.2_Copyright"/>
    <w:qFormat/>
    <w:rsid w:val="001E2BC1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AE74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ra.sanchez@iqog.csic.es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ulia.revuelta@iqog.csic.es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hyperlink" Target="mailto:leireazcona.sa@gmail.com" TargetMode="External"/><Relationship Id="rId11" Type="http://schemas.openxmlformats.org/officeDocument/2006/relationships/image" Target="media/image1.emf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mailto:eduardo.junceda@csic.es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d.monterrey@csic.es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UVEG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Eduardo Garcia-Junceda</cp:lastModifiedBy>
  <cp:revision>17</cp:revision>
  <cp:lastPrinted>2015-10-29T14:13:00Z</cp:lastPrinted>
  <dcterms:created xsi:type="dcterms:W3CDTF">2024-07-15T10:08:00Z</dcterms:created>
  <dcterms:modified xsi:type="dcterms:W3CDTF">2024-07-27T11:16:00Z</dcterms:modified>
</cp:coreProperties>
</file>