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888D2" w14:textId="77777777" w:rsidR="005D1D38" w:rsidRPr="005D1D38" w:rsidRDefault="005D1D38" w:rsidP="005D1D38">
      <w:pPr>
        <w:rPr>
          <w:rFonts w:ascii="Palatino Linotype" w:hAnsi="Palatino Linotype"/>
          <w:b/>
          <w:bCs/>
          <w:sz w:val="20"/>
          <w:szCs w:val="20"/>
        </w:rPr>
      </w:pPr>
      <w:r w:rsidRPr="005D1D38">
        <w:rPr>
          <w:rFonts w:ascii="Palatino Linotype" w:hAnsi="Palatino Linotype"/>
          <w:b/>
          <w:bCs/>
          <w:sz w:val="20"/>
          <w:szCs w:val="20"/>
        </w:rPr>
        <w:t>Supplementary Materials</w:t>
      </w:r>
    </w:p>
    <w:p w14:paraId="7225D759" w14:textId="77777777" w:rsidR="005D1D38" w:rsidRPr="004647E5" w:rsidRDefault="005D1D38" w:rsidP="005D1D38">
      <w:pPr>
        <w:rPr>
          <w:rFonts w:ascii="Palatino Linotype" w:hAnsi="Palatino Linotype"/>
          <w:i/>
          <w:iCs/>
          <w:sz w:val="20"/>
          <w:szCs w:val="20"/>
        </w:rPr>
      </w:pPr>
      <w:r w:rsidRPr="005D1D38">
        <w:rPr>
          <w:rFonts w:ascii="Palatino Linotype" w:hAnsi="Palatino Linotype"/>
          <w:i/>
          <w:iCs/>
          <w:sz w:val="20"/>
          <w:szCs w:val="20"/>
        </w:rPr>
        <w:t>Supplemental Figures</w:t>
      </w:r>
    </w:p>
    <w:p w14:paraId="0DAF3EC4" w14:textId="1CAF5AD7" w:rsidR="00E60559" w:rsidRDefault="00E60559" w:rsidP="009D23D8">
      <w:pPr>
        <w:jc w:val="center"/>
        <w:rPr>
          <w:i/>
          <w:iCs/>
        </w:rPr>
      </w:pPr>
      <w:r>
        <w:rPr>
          <w:i/>
          <w:iCs/>
          <w:noProof/>
        </w:rPr>
        <w:drawing>
          <wp:inline distT="0" distB="0" distL="0" distR="0" wp14:anchorId="1FF5C6E3" wp14:editId="52C6BC0C">
            <wp:extent cx="5390976" cy="3207735"/>
            <wp:effectExtent l="0" t="0" r="635" b="0"/>
            <wp:docPr id="7323484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4980" cy="3210117"/>
                    </a:xfrm>
                    <a:prstGeom prst="rect">
                      <a:avLst/>
                    </a:prstGeom>
                    <a:noFill/>
                    <a:ln>
                      <a:noFill/>
                    </a:ln>
                  </pic:spPr>
                </pic:pic>
              </a:graphicData>
            </a:graphic>
          </wp:inline>
        </w:drawing>
      </w:r>
    </w:p>
    <w:p w14:paraId="795C1D60" w14:textId="2E551146" w:rsidR="009D23D8" w:rsidRDefault="00B26266" w:rsidP="00B26266">
      <w:pPr>
        <w:jc w:val="both"/>
        <w:rPr>
          <w:rFonts w:ascii="Palatino Linotype" w:hAnsi="Palatino Linotype"/>
          <w:sz w:val="20"/>
          <w:szCs w:val="20"/>
        </w:rPr>
      </w:pPr>
      <w:r w:rsidRPr="005D1D38">
        <w:rPr>
          <w:rFonts w:ascii="Palatino Linotype" w:hAnsi="Palatino Linotype"/>
          <w:b/>
          <w:bCs/>
          <w:sz w:val="20"/>
          <w:szCs w:val="20"/>
        </w:rPr>
        <w:t>Figure S</w:t>
      </w:r>
      <w:r>
        <w:rPr>
          <w:rFonts w:ascii="Palatino Linotype" w:hAnsi="Palatino Linotype"/>
          <w:b/>
          <w:bCs/>
          <w:sz w:val="20"/>
          <w:szCs w:val="20"/>
        </w:rPr>
        <w:t>1</w:t>
      </w:r>
      <w:r w:rsidRPr="005D1D38">
        <w:rPr>
          <w:rFonts w:ascii="Palatino Linotype" w:hAnsi="Palatino Linotype"/>
          <w:sz w:val="20"/>
          <w:szCs w:val="20"/>
        </w:rPr>
        <w:t xml:space="preserve">. </w:t>
      </w:r>
      <w:r>
        <w:rPr>
          <w:rFonts w:ascii="Palatino Linotype" w:hAnsi="Palatino Linotype"/>
          <w:sz w:val="20"/>
          <w:szCs w:val="20"/>
        </w:rPr>
        <w:t>The</w:t>
      </w:r>
      <w:r w:rsidRPr="005D1D38">
        <w:rPr>
          <w:rFonts w:ascii="Palatino Linotype" w:hAnsi="Palatino Linotype"/>
          <w:sz w:val="20"/>
          <w:szCs w:val="20"/>
        </w:rPr>
        <w:t xml:space="preserve"> raw association (~0-120 sec) and dissociation (~120-250 sec) curve for </w:t>
      </w:r>
      <w:r>
        <w:rPr>
          <w:rFonts w:ascii="Palatino Linotype" w:hAnsi="Palatino Linotype"/>
          <w:sz w:val="20"/>
          <w:szCs w:val="20"/>
        </w:rPr>
        <w:t xml:space="preserve">Psi (DIS-6C) at 125 nM of Gag. </w:t>
      </w:r>
    </w:p>
    <w:p w14:paraId="10846840" w14:textId="77777777" w:rsidR="009D23D8" w:rsidRDefault="009D23D8">
      <w:pPr>
        <w:rPr>
          <w:rFonts w:ascii="Palatino Linotype" w:hAnsi="Palatino Linotype"/>
          <w:sz w:val="20"/>
          <w:szCs w:val="20"/>
        </w:rPr>
      </w:pPr>
      <w:r>
        <w:rPr>
          <w:rFonts w:ascii="Palatino Linotype" w:hAnsi="Palatino Linotype"/>
          <w:sz w:val="20"/>
          <w:szCs w:val="20"/>
        </w:rPr>
        <w:br w:type="page"/>
      </w:r>
    </w:p>
    <w:p w14:paraId="30C3634D" w14:textId="11E80ED9" w:rsidR="005D1D38" w:rsidRPr="005D1D38" w:rsidRDefault="00123410" w:rsidP="009D23D8">
      <w:pPr>
        <w:jc w:val="center"/>
      </w:pPr>
      <w:r>
        <w:rPr>
          <w:noProof/>
        </w:rPr>
        <w:lastRenderedPageBreak/>
        <w:drawing>
          <wp:inline distT="0" distB="0" distL="0" distR="0" wp14:anchorId="14EC2C1F" wp14:editId="0E8E6218">
            <wp:extent cx="3506470" cy="4572000"/>
            <wp:effectExtent l="0" t="0" r="0" b="0"/>
            <wp:docPr id="157781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6470" cy="4572000"/>
                    </a:xfrm>
                    <a:prstGeom prst="rect">
                      <a:avLst/>
                    </a:prstGeom>
                    <a:noFill/>
                    <a:ln>
                      <a:noFill/>
                    </a:ln>
                  </pic:spPr>
                </pic:pic>
              </a:graphicData>
            </a:graphic>
          </wp:inline>
        </w:drawing>
      </w:r>
    </w:p>
    <w:p w14:paraId="52C53F16" w14:textId="3F0E8602" w:rsidR="009D23D8" w:rsidRDefault="005D1D38" w:rsidP="004647E5">
      <w:pPr>
        <w:jc w:val="both"/>
        <w:rPr>
          <w:rFonts w:ascii="Palatino Linotype" w:hAnsi="Palatino Linotype"/>
          <w:sz w:val="20"/>
          <w:szCs w:val="20"/>
        </w:rPr>
      </w:pPr>
      <w:r w:rsidRPr="005D1D38">
        <w:rPr>
          <w:rFonts w:ascii="Palatino Linotype" w:hAnsi="Palatino Linotype"/>
          <w:b/>
          <w:bCs/>
          <w:sz w:val="20"/>
          <w:szCs w:val="20"/>
        </w:rPr>
        <w:t>Figure S</w:t>
      </w:r>
      <w:r w:rsidR="00ED3DB2">
        <w:rPr>
          <w:rFonts w:ascii="Palatino Linotype" w:hAnsi="Palatino Linotype"/>
          <w:b/>
          <w:bCs/>
          <w:sz w:val="20"/>
          <w:szCs w:val="20"/>
        </w:rPr>
        <w:t>2</w:t>
      </w:r>
      <w:r w:rsidRPr="005D1D38">
        <w:rPr>
          <w:rFonts w:ascii="Palatino Linotype" w:hAnsi="Palatino Linotype"/>
          <w:sz w:val="20"/>
          <w:szCs w:val="20"/>
        </w:rPr>
        <w:t>. Single replicate examples of the raw association (~0-120 sec) and dissociation (~120-250 sec) curves for each of the RNA lengths (145nt (</w:t>
      </w:r>
      <w:r w:rsidRPr="005D1D38">
        <w:rPr>
          <w:rFonts w:ascii="Palatino Linotype" w:hAnsi="Palatino Linotype"/>
          <w:b/>
          <w:bCs/>
          <w:sz w:val="20"/>
          <w:szCs w:val="20"/>
        </w:rPr>
        <w:t>A</w:t>
      </w:r>
      <w:r w:rsidRPr="005D1D38">
        <w:rPr>
          <w:rFonts w:ascii="Palatino Linotype" w:hAnsi="Palatino Linotype"/>
          <w:sz w:val="20"/>
          <w:szCs w:val="20"/>
        </w:rPr>
        <w:t>), stem-loop combination (</w:t>
      </w:r>
      <w:r w:rsidRPr="005D1D38">
        <w:rPr>
          <w:rFonts w:ascii="Palatino Linotype" w:hAnsi="Palatino Linotype"/>
          <w:b/>
          <w:bCs/>
          <w:sz w:val="20"/>
          <w:szCs w:val="20"/>
        </w:rPr>
        <w:t>B</w:t>
      </w:r>
      <w:r w:rsidRPr="005D1D38">
        <w:rPr>
          <w:rFonts w:ascii="Palatino Linotype" w:hAnsi="Palatino Linotype"/>
          <w:sz w:val="20"/>
          <w:szCs w:val="20"/>
        </w:rPr>
        <w:t>), stem-loop (</w:t>
      </w:r>
      <w:r w:rsidRPr="005D1D38">
        <w:rPr>
          <w:rFonts w:ascii="Palatino Linotype" w:hAnsi="Palatino Linotype"/>
          <w:b/>
          <w:bCs/>
          <w:sz w:val="20"/>
          <w:szCs w:val="20"/>
        </w:rPr>
        <w:t>C</w:t>
      </w:r>
      <w:r w:rsidRPr="005D1D38">
        <w:rPr>
          <w:rFonts w:ascii="Palatino Linotype" w:hAnsi="Palatino Linotype"/>
          <w:sz w:val="20"/>
          <w:szCs w:val="20"/>
        </w:rPr>
        <w:t>)) tested in physiological salt buffer. No detectable dissociation of delta-p6 Gag is observed for any RNA length measured by switchSENSE.</w:t>
      </w:r>
    </w:p>
    <w:p w14:paraId="2B37C55B" w14:textId="77777777" w:rsidR="009D23D8" w:rsidRDefault="009D23D8">
      <w:pPr>
        <w:rPr>
          <w:rFonts w:ascii="Palatino Linotype" w:hAnsi="Palatino Linotype"/>
          <w:sz w:val="20"/>
          <w:szCs w:val="20"/>
        </w:rPr>
      </w:pPr>
      <w:r>
        <w:rPr>
          <w:rFonts w:ascii="Palatino Linotype" w:hAnsi="Palatino Linotype"/>
          <w:sz w:val="20"/>
          <w:szCs w:val="20"/>
        </w:rPr>
        <w:br w:type="page"/>
      </w:r>
    </w:p>
    <w:p w14:paraId="74121F15" w14:textId="42A00D1B" w:rsidR="005D1D38" w:rsidRPr="005D1D38" w:rsidRDefault="00414AC2" w:rsidP="009D23D8">
      <w:pPr>
        <w:jc w:val="center"/>
      </w:pPr>
      <w:r>
        <w:rPr>
          <w:noProof/>
        </w:rPr>
        <w:lastRenderedPageBreak/>
        <w:drawing>
          <wp:inline distT="0" distB="0" distL="0" distR="0" wp14:anchorId="39DDF0AA" wp14:editId="6453E20F">
            <wp:extent cx="4192716" cy="3808675"/>
            <wp:effectExtent l="0" t="0" r="0" b="1905"/>
            <wp:docPr id="1641565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8493" cy="3813923"/>
                    </a:xfrm>
                    <a:prstGeom prst="rect">
                      <a:avLst/>
                    </a:prstGeom>
                    <a:noFill/>
                    <a:ln>
                      <a:noFill/>
                    </a:ln>
                  </pic:spPr>
                </pic:pic>
              </a:graphicData>
            </a:graphic>
          </wp:inline>
        </w:drawing>
      </w:r>
    </w:p>
    <w:p w14:paraId="763F5EA3" w14:textId="3ABF6D63" w:rsidR="009D23D8" w:rsidRDefault="005D1D38" w:rsidP="00895383">
      <w:pPr>
        <w:jc w:val="both"/>
        <w:rPr>
          <w:rFonts w:ascii="Palatino Linotype" w:hAnsi="Palatino Linotype"/>
          <w:sz w:val="20"/>
          <w:szCs w:val="20"/>
        </w:rPr>
      </w:pPr>
      <w:r w:rsidRPr="005D1D38">
        <w:rPr>
          <w:rFonts w:ascii="Palatino Linotype" w:hAnsi="Palatino Linotype"/>
          <w:b/>
          <w:bCs/>
          <w:sz w:val="20"/>
          <w:szCs w:val="20"/>
        </w:rPr>
        <w:t>Table S1.</w:t>
      </w:r>
      <w:r w:rsidRPr="005D1D38">
        <w:rPr>
          <w:rFonts w:ascii="Palatino Linotype" w:hAnsi="Palatino Linotype"/>
          <w:sz w:val="20"/>
          <w:szCs w:val="20"/>
        </w:rPr>
        <w:t xml:space="preserve"> Summary of Gag binding affinity measurements (MST) in physiological salt buffer for all RNA transcripts. Binding affinity values reported are representative of two to three experimental replicates. </w:t>
      </w:r>
    </w:p>
    <w:p w14:paraId="5CD44803" w14:textId="77777777" w:rsidR="009D23D8" w:rsidRDefault="009D23D8">
      <w:pPr>
        <w:rPr>
          <w:rFonts w:ascii="Palatino Linotype" w:hAnsi="Palatino Linotype"/>
          <w:sz w:val="20"/>
          <w:szCs w:val="20"/>
        </w:rPr>
      </w:pPr>
      <w:r>
        <w:rPr>
          <w:rFonts w:ascii="Palatino Linotype" w:hAnsi="Palatino Linotype"/>
          <w:sz w:val="20"/>
          <w:szCs w:val="20"/>
        </w:rPr>
        <w:br w:type="page"/>
      </w:r>
    </w:p>
    <w:p w14:paraId="409E5E05" w14:textId="252DA569" w:rsidR="005D1D38" w:rsidRPr="005D1D38" w:rsidRDefault="00414AC2" w:rsidP="009D23D8">
      <w:pPr>
        <w:jc w:val="center"/>
      </w:pPr>
      <w:r>
        <w:rPr>
          <w:noProof/>
        </w:rPr>
        <w:lastRenderedPageBreak/>
        <w:drawing>
          <wp:inline distT="0" distB="0" distL="0" distR="0" wp14:anchorId="490B3C70" wp14:editId="3A6F8BD3">
            <wp:extent cx="5939790" cy="3538220"/>
            <wp:effectExtent l="0" t="0" r="3810" b="5080"/>
            <wp:docPr id="1064120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538220"/>
                    </a:xfrm>
                    <a:prstGeom prst="rect">
                      <a:avLst/>
                    </a:prstGeom>
                    <a:noFill/>
                    <a:ln>
                      <a:noFill/>
                    </a:ln>
                  </pic:spPr>
                </pic:pic>
              </a:graphicData>
            </a:graphic>
          </wp:inline>
        </w:drawing>
      </w:r>
    </w:p>
    <w:p w14:paraId="1689C760" w14:textId="61E16A06" w:rsidR="009D23D8" w:rsidRDefault="005D1D38" w:rsidP="00895383">
      <w:pPr>
        <w:jc w:val="both"/>
        <w:rPr>
          <w:rFonts w:ascii="Palatino Linotype" w:hAnsi="Palatino Linotype"/>
          <w:sz w:val="20"/>
          <w:szCs w:val="20"/>
        </w:rPr>
      </w:pPr>
      <w:r w:rsidRPr="005D1D38">
        <w:rPr>
          <w:rFonts w:ascii="Palatino Linotype" w:hAnsi="Palatino Linotype"/>
          <w:b/>
          <w:bCs/>
          <w:sz w:val="20"/>
          <w:szCs w:val="20"/>
        </w:rPr>
        <w:t>Figure S</w:t>
      </w:r>
      <w:r w:rsidR="00ED3DB2">
        <w:rPr>
          <w:rFonts w:ascii="Palatino Linotype" w:hAnsi="Palatino Linotype"/>
          <w:b/>
          <w:bCs/>
          <w:sz w:val="20"/>
          <w:szCs w:val="20"/>
        </w:rPr>
        <w:t>3</w:t>
      </w:r>
      <w:r w:rsidRPr="005D1D38">
        <w:rPr>
          <w:rFonts w:ascii="Palatino Linotype" w:hAnsi="Palatino Linotype"/>
          <w:b/>
          <w:bCs/>
          <w:sz w:val="20"/>
          <w:szCs w:val="20"/>
        </w:rPr>
        <w:t>.</w:t>
      </w:r>
      <w:r w:rsidRPr="005D1D38">
        <w:rPr>
          <w:rFonts w:ascii="Palatino Linotype" w:hAnsi="Palatino Linotype"/>
          <w:sz w:val="20"/>
          <w:szCs w:val="20"/>
        </w:rPr>
        <w:t xml:space="preserve"> One-phase association model fit to each experimental replicate(s), 145-nt length RNAs: Psi (DIS-6C) (</w:t>
      </w:r>
      <w:r w:rsidRPr="005D1D38">
        <w:rPr>
          <w:rFonts w:ascii="Palatino Linotype" w:hAnsi="Palatino Linotype"/>
          <w:b/>
          <w:bCs/>
          <w:sz w:val="20"/>
          <w:szCs w:val="20"/>
        </w:rPr>
        <w:t>A</w:t>
      </w:r>
      <w:r w:rsidRPr="005D1D38">
        <w:rPr>
          <w:rFonts w:ascii="Palatino Linotype" w:hAnsi="Palatino Linotype"/>
          <w:sz w:val="20"/>
          <w:szCs w:val="20"/>
        </w:rPr>
        <w:t>), MBSM (DIS-6C) (</w:t>
      </w:r>
      <w:r w:rsidRPr="005D1D38">
        <w:rPr>
          <w:rFonts w:ascii="Palatino Linotype" w:hAnsi="Palatino Linotype"/>
          <w:b/>
          <w:bCs/>
          <w:sz w:val="20"/>
          <w:szCs w:val="20"/>
        </w:rPr>
        <w:t>B</w:t>
      </w:r>
      <w:r w:rsidRPr="005D1D38">
        <w:rPr>
          <w:rFonts w:ascii="Palatino Linotype" w:hAnsi="Palatino Linotype"/>
          <w:sz w:val="20"/>
          <w:szCs w:val="20"/>
        </w:rPr>
        <w:t>), Scrambled Psi (</w:t>
      </w:r>
      <w:r w:rsidRPr="005D1D38">
        <w:rPr>
          <w:rFonts w:ascii="Palatino Linotype" w:hAnsi="Palatino Linotype"/>
          <w:b/>
          <w:bCs/>
          <w:sz w:val="20"/>
          <w:szCs w:val="20"/>
        </w:rPr>
        <w:t>C</w:t>
      </w:r>
      <w:r w:rsidRPr="005D1D38">
        <w:rPr>
          <w:rFonts w:ascii="Palatino Linotype" w:hAnsi="Palatino Linotype"/>
          <w:sz w:val="20"/>
          <w:szCs w:val="20"/>
        </w:rPr>
        <w:t>). For every replicate (n) Gag concentration goes in 2-fold steps from 31.2 nM to 250 nM (top to bottom response curve).</w:t>
      </w:r>
    </w:p>
    <w:p w14:paraId="1FAD55E1" w14:textId="77777777" w:rsidR="009D23D8" w:rsidRDefault="009D23D8">
      <w:pPr>
        <w:rPr>
          <w:rFonts w:ascii="Palatino Linotype" w:hAnsi="Palatino Linotype"/>
          <w:sz w:val="20"/>
          <w:szCs w:val="20"/>
        </w:rPr>
      </w:pPr>
      <w:r>
        <w:rPr>
          <w:rFonts w:ascii="Palatino Linotype" w:hAnsi="Palatino Linotype"/>
          <w:sz w:val="20"/>
          <w:szCs w:val="20"/>
        </w:rPr>
        <w:br w:type="page"/>
      </w:r>
    </w:p>
    <w:p w14:paraId="5F27AA84" w14:textId="1F420569" w:rsidR="005D1D38" w:rsidRPr="005D1D38" w:rsidRDefault="00414AC2" w:rsidP="009D23D8">
      <w:pPr>
        <w:jc w:val="center"/>
      </w:pPr>
      <w:r>
        <w:rPr>
          <w:noProof/>
        </w:rPr>
        <w:lastRenderedPageBreak/>
        <w:drawing>
          <wp:inline distT="0" distB="0" distL="0" distR="0" wp14:anchorId="233390D3" wp14:editId="0F974CF2">
            <wp:extent cx="5947410" cy="4460875"/>
            <wp:effectExtent l="0" t="0" r="0" b="0"/>
            <wp:docPr id="1037997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0FC57EC5" w14:textId="6041736E" w:rsidR="009D23D8" w:rsidRDefault="005D1D38" w:rsidP="00895383">
      <w:pPr>
        <w:jc w:val="both"/>
        <w:rPr>
          <w:rFonts w:ascii="Palatino Linotype" w:hAnsi="Palatino Linotype"/>
          <w:sz w:val="20"/>
          <w:szCs w:val="20"/>
        </w:rPr>
      </w:pPr>
      <w:r w:rsidRPr="005D1D38">
        <w:rPr>
          <w:rFonts w:ascii="Palatino Linotype" w:hAnsi="Palatino Linotype"/>
          <w:b/>
          <w:bCs/>
          <w:sz w:val="20"/>
          <w:szCs w:val="20"/>
        </w:rPr>
        <w:t>Figure S</w:t>
      </w:r>
      <w:r w:rsidR="00ED3DB2">
        <w:rPr>
          <w:rFonts w:ascii="Palatino Linotype" w:hAnsi="Palatino Linotype"/>
          <w:b/>
          <w:bCs/>
          <w:sz w:val="20"/>
          <w:szCs w:val="20"/>
        </w:rPr>
        <w:t>4</w:t>
      </w:r>
      <w:r w:rsidRPr="005D1D38">
        <w:rPr>
          <w:rFonts w:ascii="Palatino Linotype" w:hAnsi="Palatino Linotype"/>
          <w:b/>
          <w:bCs/>
          <w:sz w:val="20"/>
          <w:szCs w:val="20"/>
        </w:rPr>
        <w:t>.</w:t>
      </w:r>
      <w:r w:rsidRPr="005D1D38">
        <w:rPr>
          <w:rFonts w:ascii="Palatino Linotype" w:hAnsi="Palatino Linotype"/>
          <w:sz w:val="20"/>
          <w:szCs w:val="20"/>
        </w:rPr>
        <w:t xml:space="preserve"> One-phase association model fit to each experimental replicate(s), stem-loop RNAs: SL1 (DIS-6C) (</w:t>
      </w:r>
      <w:r w:rsidRPr="005D1D38">
        <w:rPr>
          <w:rFonts w:ascii="Palatino Linotype" w:hAnsi="Palatino Linotype"/>
          <w:b/>
          <w:bCs/>
          <w:sz w:val="20"/>
          <w:szCs w:val="20"/>
        </w:rPr>
        <w:t>A</w:t>
      </w:r>
      <w:r w:rsidRPr="005D1D38">
        <w:rPr>
          <w:rFonts w:ascii="Palatino Linotype" w:hAnsi="Palatino Linotype"/>
          <w:sz w:val="20"/>
          <w:szCs w:val="20"/>
        </w:rPr>
        <w:t>), SL2 (</w:t>
      </w:r>
      <w:r w:rsidRPr="005D1D38">
        <w:rPr>
          <w:rFonts w:ascii="Palatino Linotype" w:hAnsi="Palatino Linotype"/>
          <w:b/>
          <w:bCs/>
          <w:sz w:val="20"/>
          <w:szCs w:val="20"/>
        </w:rPr>
        <w:t>B</w:t>
      </w:r>
      <w:r w:rsidRPr="005D1D38">
        <w:rPr>
          <w:rFonts w:ascii="Palatino Linotype" w:hAnsi="Palatino Linotype"/>
          <w:sz w:val="20"/>
          <w:szCs w:val="20"/>
        </w:rPr>
        <w:t>), SL3 (</w:t>
      </w:r>
      <w:r w:rsidRPr="005D1D38">
        <w:rPr>
          <w:rFonts w:ascii="Palatino Linotype" w:hAnsi="Palatino Linotype"/>
          <w:b/>
          <w:bCs/>
          <w:sz w:val="20"/>
          <w:szCs w:val="20"/>
        </w:rPr>
        <w:t>C</w:t>
      </w:r>
      <w:r w:rsidRPr="005D1D38">
        <w:rPr>
          <w:rFonts w:ascii="Palatino Linotype" w:hAnsi="Palatino Linotype"/>
          <w:sz w:val="20"/>
          <w:szCs w:val="20"/>
        </w:rPr>
        <w:t>), Scrambled SL3 (</w:t>
      </w:r>
      <w:r w:rsidRPr="005D1D38">
        <w:rPr>
          <w:rFonts w:ascii="Palatino Linotype" w:hAnsi="Palatino Linotype"/>
          <w:b/>
          <w:bCs/>
          <w:sz w:val="20"/>
          <w:szCs w:val="20"/>
        </w:rPr>
        <w:t>D</w:t>
      </w:r>
      <w:r w:rsidRPr="005D1D38">
        <w:rPr>
          <w:rFonts w:ascii="Palatino Linotype" w:hAnsi="Palatino Linotype"/>
          <w:sz w:val="20"/>
          <w:szCs w:val="20"/>
        </w:rPr>
        <w:t>). For every replicate (n) Gag concentration goes from 31.2 nM to 250 nM (top to bottom response curve).</w:t>
      </w:r>
    </w:p>
    <w:p w14:paraId="49F62890" w14:textId="77777777" w:rsidR="009D23D8" w:rsidRDefault="009D23D8">
      <w:pPr>
        <w:rPr>
          <w:rFonts w:ascii="Palatino Linotype" w:hAnsi="Palatino Linotype"/>
          <w:sz w:val="20"/>
          <w:szCs w:val="20"/>
        </w:rPr>
      </w:pPr>
      <w:r>
        <w:rPr>
          <w:rFonts w:ascii="Palatino Linotype" w:hAnsi="Palatino Linotype"/>
          <w:sz w:val="20"/>
          <w:szCs w:val="20"/>
        </w:rPr>
        <w:br w:type="page"/>
      </w:r>
    </w:p>
    <w:p w14:paraId="70F6AEE6" w14:textId="4B71BF6B" w:rsidR="005D1D38" w:rsidRPr="005D1D38" w:rsidRDefault="00414AC2" w:rsidP="009D23D8">
      <w:pPr>
        <w:jc w:val="center"/>
      </w:pPr>
      <w:r>
        <w:rPr>
          <w:noProof/>
        </w:rPr>
        <w:lastRenderedPageBreak/>
        <w:drawing>
          <wp:inline distT="0" distB="0" distL="0" distR="0" wp14:anchorId="733CB9D9" wp14:editId="3F07215A">
            <wp:extent cx="5939790" cy="4246245"/>
            <wp:effectExtent l="0" t="0" r="3810" b="1905"/>
            <wp:docPr id="652697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246245"/>
                    </a:xfrm>
                    <a:prstGeom prst="rect">
                      <a:avLst/>
                    </a:prstGeom>
                    <a:noFill/>
                    <a:ln>
                      <a:noFill/>
                    </a:ln>
                  </pic:spPr>
                </pic:pic>
              </a:graphicData>
            </a:graphic>
          </wp:inline>
        </w:drawing>
      </w:r>
    </w:p>
    <w:p w14:paraId="42A08F90" w14:textId="6D402370" w:rsidR="009D23D8" w:rsidRDefault="005D1D38" w:rsidP="00895383">
      <w:pPr>
        <w:jc w:val="both"/>
        <w:rPr>
          <w:rFonts w:ascii="Palatino Linotype" w:hAnsi="Palatino Linotype"/>
          <w:sz w:val="20"/>
          <w:szCs w:val="20"/>
        </w:rPr>
      </w:pPr>
      <w:r w:rsidRPr="005D1D38">
        <w:rPr>
          <w:rFonts w:ascii="Palatino Linotype" w:hAnsi="Palatino Linotype"/>
          <w:b/>
          <w:bCs/>
          <w:sz w:val="20"/>
          <w:szCs w:val="20"/>
        </w:rPr>
        <w:t>Figure S</w:t>
      </w:r>
      <w:r w:rsidR="00ED3DB2">
        <w:rPr>
          <w:rFonts w:ascii="Palatino Linotype" w:hAnsi="Palatino Linotype"/>
          <w:b/>
          <w:bCs/>
          <w:sz w:val="20"/>
          <w:szCs w:val="20"/>
        </w:rPr>
        <w:t>5</w:t>
      </w:r>
      <w:r w:rsidRPr="005D1D38">
        <w:rPr>
          <w:rFonts w:ascii="Palatino Linotype" w:hAnsi="Palatino Linotype"/>
          <w:b/>
          <w:bCs/>
          <w:sz w:val="20"/>
          <w:szCs w:val="20"/>
        </w:rPr>
        <w:t>.</w:t>
      </w:r>
      <w:r w:rsidRPr="005D1D38">
        <w:rPr>
          <w:rFonts w:ascii="Palatino Linotype" w:hAnsi="Palatino Linotype"/>
          <w:sz w:val="20"/>
          <w:szCs w:val="20"/>
        </w:rPr>
        <w:t xml:space="preserve"> One-phase association model fit to each experimental replicate(s), stem-loop combination RNAs: Psi 2-3 (</w:t>
      </w:r>
      <w:r w:rsidRPr="005D1D38">
        <w:rPr>
          <w:rFonts w:ascii="Palatino Linotype" w:hAnsi="Palatino Linotype"/>
          <w:b/>
          <w:bCs/>
          <w:sz w:val="20"/>
          <w:szCs w:val="20"/>
        </w:rPr>
        <w:t>A</w:t>
      </w:r>
      <w:r w:rsidRPr="005D1D38">
        <w:rPr>
          <w:rFonts w:ascii="Palatino Linotype" w:hAnsi="Palatino Linotype"/>
          <w:sz w:val="20"/>
          <w:szCs w:val="20"/>
        </w:rPr>
        <w:t>), Psi 1-2 (DIS-6C) (</w:t>
      </w:r>
      <w:r w:rsidRPr="005D1D38">
        <w:rPr>
          <w:rFonts w:ascii="Palatino Linotype" w:hAnsi="Palatino Linotype"/>
          <w:b/>
          <w:bCs/>
          <w:sz w:val="20"/>
          <w:szCs w:val="20"/>
        </w:rPr>
        <w:t>B</w:t>
      </w:r>
      <w:r w:rsidRPr="005D1D38">
        <w:rPr>
          <w:rFonts w:ascii="Palatino Linotype" w:hAnsi="Palatino Linotype"/>
          <w:sz w:val="20"/>
          <w:szCs w:val="20"/>
        </w:rPr>
        <w:t>), Scrambled Psi (</w:t>
      </w:r>
      <w:r w:rsidRPr="005D1D38">
        <w:rPr>
          <w:rFonts w:ascii="Palatino Linotype" w:hAnsi="Palatino Linotype"/>
          <w:b/>
          <w:bCs/>
          <w:sz w:val="20"/>
          <w:szCs w:val="20"/>
        </w:rPr>
        <w:t>C</w:t>
      </w:r>
      <w:r w:rsidRPr="005D1D38">
        <w:rPr>
          <w:rFonts w:ascii="Palatino Linotype" w:hAnsi="Palatino Linotype"/>
          <w:sz w:val="20"/>
          <w:szCs w:val="20"/>
        </w:rPr>
        <w:t>). For every replicate (n) Gag concentration goes from 31.2 nM to 250 nM (top to bottom response curve).</w:t>
      </w:r>
    </w:p>
    <w:p w14:paraId="509C61FE" w14:textId="77777777" w:rsidR="009D23D8" w:rsidRDefault="009D23D8">
      <w:pPr>
        <w:rPr>
          <w:rFonts w:ascii="Palatino Linotype" w:hAnsi="Palatino Linotype"/>
          <w:sz w:val="20"/>
          <w:szCs w:val="20"/>
        </w:rPr>
      </w:pPr>
      <w:r>
        <w:rPr>
          <w:rFonts w:ascii="Palatino Linotype" w:hAnsi="Palatino Linotype"/>
          <w:sz w:val="20"/>
          <w:szCs w:val="20"/>
        </w:rPr>
        <w:br w:type="page"/>
      </w:r>
    </w:p>
    <w:p w14:paraId="1B2A8242" w14:textId="0F276B6E" w:rsidR="005D1D38" w:rsidRPr="005D1D38" w:rsidRDefault="00414AC2" w:rsidP="009D23D8">
      <w:pPr>
        <w:jc w:val="center"/>
      </w:pPr>
      <w:r>
        <w:rPr>
          <w:noProof/>
        </w:rPr>
        <w:lastRenderedPageBreak/>
        <w:drawing>
          <wp:inline distT="0" distB="0" distL="0" distR="0" wp14:anchorId="3516B051" wp14:editId="33D64AFA">
            <wp:extent cx="3689405" cy="3689405"/>
            <wp:effectExtent l="0" t="0" r="6350" b="6350"/>
            <wp:docPr id="237352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4308" cy="3694308"/>
                    </a:xfrm>
                    <a:prstGeom prst="rect">
                      <a:avLst/>
                    </a:prstGeom>
                    <a:noFill/>
                    <a:ln>
                      <a:noFill/>
                    </a:ln>
                  </pic:spPr>
                </pic:pic>
              </a:graphicData>
            </a:graphic>
          </wp:inline>
        </w:drawing>
      </w:r>
    </w:p>
    <w:p w14:paraId="48D3EEAD" w14:textId="77777777" w:rsidR="005D1D38" w:rsidRDefault="005D1D38" w:rsidP="00895383">
      <w:pPr>
        <w:jc w:val="both"/>
        <w:rPr>
          <w:rFonts w:ascii="Palatino Linotype" w:hAnsi="Palatino Linotype"/>
          <w:sz w:val="20"/>
          <w:szCs w:val="20"/>
        </w:rPr>
      </w:pPr>
      <w:r w:rsidRPr="005D1D38">
        <w:rPr>
          <w:rFonts w:ascii="Palatino Linotype" w:hAnsi="Palatino Linotype"/>
          <w:b/>
          <w:bCs/>
          <w:sz w:val="20"/>
          <w:szCs w:val="20"/>
        </w:rPr>
        <w:t>Table S2.</w:t>
      </w:r>
      <w:r w:rsidRPr="005D1D38">
        <w:rPr>
          <w:rFonts w:ascii="Palatino Linotype" w:hAnsi="Palatino Linotype"/>
          <w:sz w:val="20"/>
          <w:szCs w:val="20"/>
        </w:rPr>
        <w:t xml:space="preserve"> A statistical comparison of model fits to the highest Gag concentration for RNA transcripts. For each experimental replicate, the fit of one-phase association is compared with the fit of two-phase association model by extra sum-of-squares F test. The extra sum-of-squares F test for one of the experimental replicates is reported, representing the overall trend of data. The large F test value(s) and p-value(s) indicate that a two-phase association model fits the data significantly better than a one-phase association model.</w:t>
      </w:r>
    </w:p>
    <w:p w14:paraId="72CDFCE0" w14:textId="1A68331B" w:rsidR="009D23D8" w:rsidRDefault="009D23D8">
      <w:pPr>
        <w:rPr>
          <w:rFonts w:ascii="Palatino Linotype" w:hAnsi="Palatino Linotype"/>
          <w:sz w:val="20"/>
          <w:szCs w:val="20"/>
        </w:rPr>
      </w:pPr>
      <w:r>
        <w:rPr>
          <w:rFonts w:ascii="Palatino Linotype" w:hAnsi="Palatino Linotype"/>
          <w:sz w:val="20"/>
          <w:szCs w:val="20"/>
        </w:rPr>
        <w:br w:type="page"/>
      </w:r>
    </w:p>
    <w:p w14:paraId="05782E61" w14:textId="77777777" w:rsidR="005D1D38" w:rsidRPr="005D1D38" w:rsidRDefault="005D1D38" w:rsidP="00895383">
      <w:pPr>
        <w:jc w:val="both"/>
        <w:rPr>
          <w:rFonts w:ascii="Palatino Linotype" w:hAnsi="Palatino Linotype"/>
          <w:b/>
          <w:bCs/>
          <w:sz w:val="20"/>
          <w:szCs w:val="20"/>
        </w:rPr>
      </w:pPr>
      <w:r w:rsidRPr="005D1D38">
        <w:rPr>
          <w:rFonts w:ascii="Palatino Linotype" w:hAnsi="Palatino Linotype"/>
          <w:b/>
          <w:bCs/>
          <w:sz w:val="20"/>
          <w:szCs w:val="20"/>
        </w:rPr>
        <w:lastRenderedPageBreak/>
        <w:t>Supplemental Material and Methods</w:t>
      </w:r>
    </w:p>
    <w:p w14:paraId="6E97F64F" w14:textId="77777777" w:rsidR="005D1D38" w:rsidRPr="005D1D38" w:rsidRDefault="005D1D38" w:rsidP="00895383">
      <w:pPr>
        <w:jc w:val="both"/>
        <w:rPr>
          <w:rFonts w:ascii="Palatino Linotype" w:hAnsi="Palatino Linotype"/>
          <w:i/>
          <w:iCs/>
          <w:sz w:val="20"/>
          <w:szCs w:val="20"/>
        </w:rPr>
      </w:pPr>
      <w:r w:rsidRPr="005D1D38">
        <w:rPr>
          <w:rFonts w:ascii="Palatino Linotype" w:hAnsi="Palatino Linotype"/>
          <w:i/>
          <w:iCs/>
          <w:sz w:val="20"/>
          <w:szCs w:val="20"/>
        </w:rPr>
        <w:t>RNA preparation and RNA labeling for thermophoresis</w:t>
      </w:r>
    </w:p>
    <w:p w14:paraId="56D121F2" w14:textId="77777777"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ab/>
        <w:t xml:space="preserve">RNA transcripts were prepared as described in the main section of the publication with the following modification. The plasmids were digested with </w:t>
      </w:r>
      <w:r w:rsidRPr="005D1D38">
        <w:rPr>
          <w:rFonts w:ascii="Palatino Linotype" w:hAnsi="Palatino Linotype"/>
          <w:i/>
          <w:iCs/>
          <w:sz w:val="20"/>
          <w:szCs w:val="20"/>
        </w:rPr>
        <w:t>Spe1</w:t>
      </w:r>
      <w:r w:rsidRPr="005D1D38">
        <w:rPr>
          <w:rFonts w:ascii="Palatino Linotype" w:hAnsi="Palatino Linotype"/>
          <w:sz w:val="20"/>
          <w:szCs w:val="20"/>
        </w:rPr>
        <w:t xml:space="preserve"> to ensure exclusion of the 96-nts nanolever sequence from the transcripts.</w:t>
      </w:r>
      <w:r w:rsidRPr="005D1D38">
        <w:rPr>
          <w:rFonts w:ascii="Palatino Linotype" w:hAnsi="Palatino Linotype"/>
          <w:i/>
          <w:iCs/>
          <w:sz w:val="20"/>
          <w:szCs w:val="20"/>
        </w:rPr>
        <w:t xml:space="preserve"> </w:t>
      </w:r>
      <w:r w:rsidRPr="005D1D38">
        <w:rPr>
          <w:rFonts w:ascii="Palatino Linotype" w:hAnsi="Palatino Linotype"/>
          <w:sz w:val="20"/>
          <w:szCs w:val="20"/>
        </w:rPr>
        <w:t xml:space="preserve">Following in vitro transcription and purification, the RNAs were 3’-end Cy5 labeled with pCp-Cy5 (Jena Bioscience GmbH, Jena, Germany) as previously described [10]. </w:t>
      </w:r>
    </w:p>
    <w:p w14:paraId="30101476" w14:textId="77777777" w:rsidR="005D1D38" w:rsidRPr="005D1D38" w:rsidRDefault="005D1D38" w:rsidP="00895383">
      <w:pPr>
        <w:jc w:val="both"/>
        <w:rPr>
          <w:rFonts w:ascii="Palatino Linotype" w:hAnsi="Palatino Linotype"/>
          <w:i/>
          <w:iCs/>
          <w:sz w:val="20"/>
          <w:szCs w:val="20"/>
        </w:rPr>
      </w:pPr>
      <w:r w:rsidRPr="005D1D38">
        <w:rPr>
          <w:rFonts w:ascii="Palatino Linotype" w:hAnsi="Palatino Linotype"/>
          <w:i/>
          <w:iCs/>
          <w:sz w:val="20"/>
          <w:szCs w:val="20"/>
        </w:rPr>
        <w:t>Microscale thermophoresis (MST) measurements</w:t>
      </w:r>
    </w:p>
    <w:p w14:paraId="73EDBAA5" w14:textId="77777777"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ab/>
        <w:t>MST measurements were performed as previously described [11] in premium coated capillaries on a Monolith NT. 115 instrument (Nanotemper Technologies GmbH, Munich, Germany). All measurements were completed in the buffer containing 150 mM NaCl, 20 mM Tris (pH 7.5), 1 mM ZnCl</w:t>
      </w:r>
      <w:r w:rsidRPr="005D1D38">
        <w:rPr>
          <w:rFonts w:ascii="Palatino Linotype" w:hAnsi="Palatino Linotype"/>
          <w:sz w:val="20"/>
          <w:szCs w:val="20"/>
          <w:vertAlign w:val="subscript"/>
        </w:rPr>
        <w:t>2</w:t>
      </w:r>
      <w:r w:rsidRPr="005D1D38">
        <w:rPr>
          <w:rFonts w:ascii="Palatino Linotype" w:hAnsi="Palatino Linotype"/>
          <w:sz w:val="20"/>
          <w:szCs w:val="20"/>
        </w:rPr>
        <w:t>, 5 mM MgCl</w:t>
      </w:r>
      <w:r w:rsidRPr="005D1D38">
        <w:rPr>
          <w:rFonts w:ascii="Palatino Linotype" w:hAnsi="Palatino Linotype"/>
          <w:sz w:val="20"/>
          <w:szCs w:val="20"/>
          <w:vertAlign w:val="subscript"/>
        </w:rPr>
        <w:t>2</w:t>
      </w:r>
      <w:r w:rsidRPr="005D1D38">
        <w:rPr>
          <w:rFonts w:ascii="Palatino Linotype" w:hAnsi="Palatino Linotype"/>
          <w:sz w:val="20"/>
          <w:szCs w:val="20"/>
        </w:rPr>
        <w:t>, 0.05% Tween20, 0.1 mM phenylmethylsulfonylfluoride (PMSF), and 1 mM β-mercaptoethanol (βME). The calculation of Kd values for all measurements were performed using the MO. Affinity Analysis software provided by the manufacturer (v2.1.3).</w:t>
      </w:r>
    </w:p>
    <w:p w14:paraId="021E4C99" w14:textId="77777777" w:rsidR="005D1D38" w:rsidRPr="005D1D38" w:rsidRDefault="005D1D38" w:rsidP="00895383">
      <w:pPr>
        <w:jc w:val="both"/>
        <w:rPr>
          <w:rFonts w:ascii="Palatino Linotype" w:hAnsi="Palatino Linotype"/>
          <w:i/>
          <w:iCs/>
          <w:sz w:val="20"/>
          <w:szCs w:val="20"/>
        </w:rPr>
      </w:pPr>
      <w:r w:rsidRPr="005D1D38">
        <w:rPr>
          <w:rFonts w:ascii="Palatino Linotype" w:hAnsi="Palatino Linotype"/>
          <w:i/>
          <w:iCs/>
          <w:sz w:val="20"/>
          <w:szCs w:val="20"/>
        </w:rPr>
        <w:t xml:space="preserve">Model fit comparison </w:t>
      </w:r>
    </w:p>
    <w:p w14:paraId="5F6D3869" w14:textId="77777777"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ab/>
        <w:t>The statistical comparison of model fits to the highest Gag concentration was performed using the program GraphPad Prism (version 9.4.1). The association measurements at 250 nM of Gag were fit to both One-phase association model equation (1) and Two-phase association model (2):</w:t>
      </w:r>
    </w:p>
    <w:p w14:paraId="7C1A0223" w14:textId="77777777"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ab/>
        <w:t>(1). Y=Y0 + (Plateau−Y0)(1−e</w:t>
      </w:r>
      <w:r w:rsidRPr="005D1D38">
        <w:rPr>
          <w:rFonts w:ascii="Palatino Linotype" w:hAnsi="Palatino Linotype"/>
          <w:sz w:val="20"/>
          <w:szCs w:val="20"/>
          <w:vertAlign w:val="superscript"/>
        </w:rPr>
        <w:t>-Kx</w:t>
      </w:r>
      <w:r w:rsidRPr="005D1D38">
        <w:rPr>
          <w:rFonts w:ascii="Palatino Linotype" w:hAnsi="Palatino Linotype"/>
          <w:sz w:val="20"/>
          <w:szCs w:val="20"/>
        </w:rPr>
        <w:t>)</w:t>
      </w:r>
    </w:p>
    <w:p w14:paraId="0CD10270" w14:textId="77777777"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ab/>
        <w:t>(2). Y=Y0 + (SpanFast)(1−e</w:t>
      </w:r>
      <w:r w:rsidRPr="005D1D38">
        <w:rPr>
          <w:rFonts w:ascii="Palatino Linotype" w:hAnsi="Palatino Linotype"/>
          <w:sz w:val="20"/>
          <w:szCs w:val="20"/>
          <w:vertAlign w:val="superscript"/>
        </w:rPr>
        <w:t>-KFast(x)</w:t>
      </w:r>
      <w:r w:rsidRPr="005D1D38">
        <w:rPr>
          <w:rFonts w:ascii="Palatino Linotype" w:hAnsi="Palatino Linotype"/>
          <w:sz w:val="20"/>
          <w:szCs w:val="20"/>
        </w:rPr>
        <w:t>) + (SpanSlow)( 1−e</w:t>
      </w:r>
      <w:r w:rsidRPr="005D1D38">
        <w:rPr>
          <w:rFonts w:ascii="Palatino Linotype" w:hAnsi="Palatino Linotype"/>
          <w:sz w:val="20"/>
          <w:szCs w:val="20"/>
          <w:vertAlign w:val="superscript"/>
        </w:rPr>
        <w:t>-Kslow(x)</w:t>
      </w:r>
      <w:r w:rsidRPr="005D1D38">
        <w:rPr>
          <w:rFonts w:ascii="Palatino Linotype" w:hAnsi="Palatino Linotype"/>
          <w:sz w:val="20"/>
          <w:szCs w:val="20"/>
        </w:rPr>
        <w:t>)</w:t>
      </w:r>
    </w:p>
    <w:p w14:paraId="495730C5" w14:textId="77777777"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ab/>
      </w:r>
      <w:r w:rsidRPr="005D1D38">
        <w:rPr>
          <w:rFonts w:ascii="Palatino Linotype" w:hAnsi="Palatino Linotype"/>
          <w:sz w:val="20"/>
          <w:szCs w:val="20"/>
        </w:rPr>
        <w:tab/>
      </w:r>
      <w:r w:rsidRPr="005D1D38">
        <w:rPr>
          <w:rFonts w:ascii="Palatino Linotype" w:hAnsi="Palatino Linotype"/>
          <w:sz w:val="20"/>
          <w:szCs w:val="20"/>
        </w:rPr>
        <w:tab/>
        <w:t>SpanFast=(Plateau−Y0)(%Fast)(0.1)</w:t>
      </w:r>
    </w:p>
    <w:p w14:paraId="30F6C43E" w14:textId="77777777"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ab/>
      </w:r>
      <w:r w:rsidRPr="005D1D38">
        <w:rPr>
          <w:rFonts w:ascii="Palatino Linotype" w:hAnsi="Palatino Linotype"/>
          <w:sz w:val="20"/>
          <w:szCs w:val="20"/>
        </w:rPr>
        <w:tab/>
      </w:r>
      <w:r w:rsidRPr="005D1D38">
        <w:rPr>
          <w:rFonts w:ascii="Palatino Linotype" w:hAnsi="Palatino Linotype"/>
          <w:sz w:val="20"/>
          <w:szCs w:val="20"/>
        </w:rPr>
        <w:tab/>
        <w:t>SpanSlow=(Plateau−Y0)(100−%Fast)(0.1)</w:t>
      </w:r>
    </w:p>
    <w:p w14:paraId="05D34DBA" w14:textId="77777777"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The extra sum-of-squares F test equation was used to compare the fits of the two models:</w:t>
      </w:r>
    </w:p>
    <w:p w14:paraId="16598BD3" w14:textId="77616954" w:rsidR="005D1D38" w:rsidRPr="005D1D38" w:rsidRDefault="005D1D38" w:rsidP="00895383">
      <w:pPr>
        <w:jc w:val="both"/>
        <w:rPr>
          <w:rFonts w:ascii="Palatino Linotype" w:hAnsi="Palatino Linotype"/>
          <w:sz w:val="20"/>
          <w:szCs w:val="20"/>
        </w:rPr>
      </w:pPr>
      <w:r w:rsidRPr="005D1D38">
        <w:rPr>
          <w:rFonts w:ascii="Palatino Linotype" w:hAnsi="Palatino Linotype"/>
          <w:sz w:val="20"/>
          <w:szCs w:val="20"/>
        </w:rPr>
        <w:tab/>
      </w:r>
      <w:r w:rsidRPr="005D1D38">
        <w:rPr>
          <w:rFonts w:ascii="Palatino Linotype" w:hAnsi="Palatino Linotype"/>
          <w:sz w:val="20"/>
          <w:szCs w:val="20"/>
        </w:rPr>
        <w:tab/>
        <w:t>F=</w:t>
      </w:r>
      <m:oMath>
        <m:f>
          <m:fPr>
            <m:ctrlPr>
              <w:rPr>
                <w:rFonts w:ascii="Cambria Math" w:hAnsi="Cambria Math"/>
                <w:i/>
                <w:sz w:val="20"/>
                <w:szCs w:val="20"/>
              </w:rPr>
            </m:ctrlPr>
          </m:fPr>
          <m:num>
            <m:d>
              <m:dPr>
                <m:ctrlPr>
                  <w:rPr>
                    <w:rFonts w:ascii="Cambria Math" w:hAnsi="Cambria Math"/>
                    <w:i/>
                    <w:sz w:val="20"/>
                    <w:szCs w:val="20"/>
                  </w:rPr>
                </m:ctrlPr>
              </m:dPr>
              <m:e>
                <m:r>
                  <w:rPr>
                    <w:rFonts w:ascii="Cambria Math" w:hAnsi="Cambria Math"/>
                    <w:sz w:val="20"/>
                    <w:szCs w:val="20"/>
                  </w:rPr>
                  <m:t>SS1-SS2</m:t>
                </m:r>
              </m:e>
            </m:d>
            <m:r>
              <w:rPr>
                <w:rFonts w:ascii="Cambria Math" w:hAnsi="Cambria Math"/>
                <w:sz w:val="20"/>
                <w:szCs w:val="20"/>
              </w:rPr>
              <m:t>/(DF1-DF2)</m:t>
            </m:r>
          </m:num>
          <m:den>
            <m:r>
              <w:rPr>
                <w:rFonts w:ascii="Cambria Math" w:hAnsi="Cambria Math"/>
                <w:sz w:val="20"/>
                <w:szCs w:val="20"/>
              </w:rPr>
              <m:t>SS2/DF2</m:t>
            </m:r>
          </m:den>
        </m:f>
      </m:oMath>
    </w:p>
    <w:p w14:paraId="68AC9085" w14:textId="2220DA27" w:rsidR="00225CC4" w:rsidRPr="009D23D8" w:rsidRDefault="005D1D38" w:rsidP="009D23D8">
      <w:pPr>
        <w:jc w:val="both"/>
        <w:rPr>
          <w:rFonts w:ascii="Palatino Linotype" w:hAnsi="Palatino Linotype"/>
          <w:sz w:val="20"/>
          <w:szCs w:val="20"/>
        </w:rPr>
      </w:pPr>
      <w:r w:rsidRPr="005D1D38">
        <w:rPr>
          <w:rFonts w:ascii="Palatino Linotype" w:hAnsi="Palatino Linotype"/>
          <w:sz w:val="20"/>
          <w:szCs w:val="20"/>
        </w:rPr>
        <w:t>Where SS1 is the sum-of-squares for model (1) and SS2 is the sum-of-squares for model (2). The DF1 is the degrees of freedom for model (1) and DF2 is the degrees of freedom for model (2).</w:t>
      </w:r>
    </w:p>
    <w:sectPr w:rsidR="00225CC4" w:rsidRPr="009D23D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3B07C" w14:textId="77777777" w:rsidR="00D840B2" w:rsidRDefault="00D840B2" w:rsidP="003403C2">
      <w:pPr>
        <w:spacing w:after="0" w:line="240" w:lineRule="auto"/>
      </w:pPr>
      <w:r>
        <w:separator/>
      </w:r>
    </w:p>
  </w:endnote>
  <w:endnote w:type="continuationSeparator" w:id="0">
    <w:p w14:paraId="69F0A932" w14:textId="77777777" w:rsidR="00D840B2" w:rsidRDefault="00D840B2" w:rsidP="00340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607518"/>
      <w:docPartObj>
        <w:docPartGallery w:val="Page Numbers (Bottom of Page)"/>
        <w:docPartUnique/>
      </w:docPartObj>
    </w:sdtPr>
    <w:sdtEndPr>
      <w:rPr>
        <w:noProof/>
      </w:rPr>
    </w:sdtEndPr>
    <w:sdtContent>
      <w:p w14:paraId="6BEBD6AA" w14:textId="2CA77F9A" w:rsidR="003403C2" w:rsidRDefault="003403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84B0B0" w14:textId="77777777" w:rsidR="003403C2" w:rsidRDefault="00340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7DBCB" w14:textId="77777777" w:rsidR="00D840B2" w:rsidRDefault="00D840B2" w:rsidP="003403C2">
      <w:pPr>
        <w:spacing w:after="0" w:line="240" w:lineRule="auto"/>
      </w:pPr>
      <w:r>
        <w:separator/>
      </w:r>
    </w:p>
  </w:footnote>
  <w:footnote w:type="continuationSeparator" w:id="0">
    <w:p w14:paraId="5A437BAC" w14:textId="77777777" w:rsidR="00D840B2" w:rsidRDefault="00D840B2" w:rsidP="003403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D38"/>
    <w:rsid w:val="00017210"/>
    <w:rsid w:val="00123410"/>
    <w:rsid w:val="00225CC4"/>
    <w:rsid w:val="002A19B5"/>
    <w:rsid w:val="003403C2"/>
    <w:rsid w:val="00414AC2"/>
    <w:rsid w:val="004647E5"/>
    <w:rsid w:val="005D1D38"/>
    <w:rsid w:val="006425C1"/>
    <w:rsid w:val="0075068D"/>
    <w:rsid w:val="00894A03"/>
    <w:rsid w:val="00895383"/>
    <w:rsid w:val="0096519D"/>
    <w:rsid w:val="00972EDD"/>
    <w:rsid w:val="009D23D8"/>
    <w:rsid w:val="00B26266"/>
    <w:rsid w:val="00BC553C"/>
    <w:rsid w:val="00BF666A"/>
    <w:rsid w:val="00C74A67"/>
    <w:rsid w:val="00D840B2"/>
    <w:rsid w:val="00E60559"/>
    <w:rsid w:val="00EA1E71"/>
    <w:rsid w:val="00ED3DB2"/>
    <w:rsid w:val="00EF0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B58F4"/>
  <w15:chartTrackingRefBased/>
  <w15:docId w15:val="{4DAF6539-CA0F-4FA6-8B1D-80FB7E253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D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1D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1D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1D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1D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1D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1D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1D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1D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D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1D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1D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1D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1D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1D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1D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1D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1D38"/>
    <w:rPr>
      <w:rFonts w:eastAsiaTheme="majorEastAsia" w:cstheme="majorBidi"/>
      <w:color w:val="272727" w:themeColor="text1" w:themeTint="D8"/>
    </w:rPr>
  </w:style>
  <w:style w:type="paragraph" w:styleId="Title">
    <w:name w:val="Title"/>
    <w:basedOn w:val="Normal"/>
    <w:next w:val="Normal"/>
    <w:link w:val="TitleChar"/>
    <w:uiPriority w:val="10"/>
    <w:qFormat/>
    <w:rsid w:val="005D1D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D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1D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1D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1D38"/>
    <w:pPr>
      <w:spacing w:before="160"/>
      <w:jc w:val="center"/>
    </w:pPr>
    <w:rPr>
      <w:i/>
      <w:iCs/>
      <w:color w:val="404040" w:themeColor="text1" w:themeTint="BF"/>
    </w:rPr>
  </w:style>
  <w:style w:type="character" w:customStyle="1" w:styleId="QuoteChar">
    <w:name w:val="Quote Char"/>
    <w:basedOn w:val="DefaultParagraphFont"/>
    <w:link w:val="Quote"/>
    <w:uiPriority w:val="29"/>
    <w:rsid w:val="005D1D38"/>
    <w:rPr>
      <w:i/>
      <w:iCs/>
      <w:color w:val="404040" w:themeColor="text1" w:themeTint="BF"/>
    </w:rPr>
  </w:style>
  <w:style w:type="paragraph" w:styleId="ListParagraph">
    <w:name w:val="List Paragraph"/>
    <w:basedOn w:val="Normal"/>
    <w:uiPriority w:val="34"/>
    <w:qFormat/>
    <w:rsid w:val="005D1D38"/>
    <w:pPr>
      <w:ind w:left="720"/>
      <w:contextualSpacing/>
    </w:pPr>
  </w:style>
  <w:style w:type="character" w:styleId="IntenseEmphasis">
    <w:name w:val="Intense Emphasis"/>
    <w:basedOn w:val="DefaultParagraphFont"/>
    <w:uiPriority w:val="21"/>
    <w:qFormat/>
    <w:rsid w:val="005D1D38"/>
    <w:rPr>
      <w:i/>
      <w:iCs/>
      <w:color w:val="0F4761" w:themeColor="accent1" w:themeShade="BF"/>
    </w:rPr>
  </w:style>
  <w:style w:type="paragraph" w:styleId="IntenseQuote">
    <w:name w:val="Intense Quote"/>
    <w:basedOn w:val="Normal"/>
    <w:next w:val="Normal"/>
    <w:link w:val="IntenseQuoteChar"/>
    <w:uiPriority w:val="30"/>
    <w:qFormat/>
    <w:rsid w:val="005D1D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1D38"/>
    <w:rPr>
      <w:i/>
      <w:iCs/>
      <w:color w:val="0F4761" w:themeColor="accent1" w:themeShade="BF"/>
    </w:rPr>
  </w:style>
  <w:style w:type="character" w:styleId="IntenseReference">
    <w:name w:val="Intense Reference"/>
    <w:basedOn w:val="DefaultParagraphFont"/>
    <w:uiPriority w:val="32"/>
    <w:qFormat/>
    <w:rsid w:val="005D1D38"/>
    <w:rPr>
      <w:b/>
      <w:bCs/>
      <w:smallCaps/>
      <w:color w:val="0F4761" w:themeColor="accent1" w:themeShade="BF"/>
      <w:spacing w:val="5"/>
    </w:rPr>
  </w:style>
  <w:style w:type="character" w:styleId="CommentReference">
    <w:name w:val="annotation reference"/>
    <w:basedOn w:val="DefaultParagraphFont"/>
    <w:uiPriority w:val="99"/>
    <w:semiHidden/>
    <w:unhideWhenUsed/>
    <w:rsid w:val="005D1D38"/>
    <w:rPr>
      <w:sz w:val="16"/>
      <w:szCs w:val="16"/>
    </w:rPr>
  </w:style>
  <w:style w:type="paragraph" w:styleId="CommentText">
    <w:name w:val="annotation text"/>
    <w:basedOn w:val="Normal"/>
    <w:link w:val="CommentTextChar"/>
    <w:uiPriority w:val="99"/>
    <w:unhideWhenUsed/>
    <w:rsid w:val="005D1D38"/>
    <w:pPr>
      <w:spacing w:line="240" w:lineRule="auto"/>
    </w:pPr>
    <w:rPr>
      <w:sz w:val="20"/>
      <w:szCs w:val="20"/>
    </w:rPr>
  </w:style>
  <w:style w:type="character" w:customStyle="1" w:styleId="CommentTextChar">
    <w:name w:val="Comment Text Char"/>
    <w:basedOn w:val="DefaultParagraphFont"/>
    <w:link w:val="CommentText"/>
    <w:uiPriority w:val="99"/>
    <w:rsid w:val="005D1D38"/>
    <w:rPr>
      <w:sz w:val="20"/>
      <w:szCs w:val="20"/>
    </w:rPr>
  </w:style>
  <w:style w:type="paragraph" w:styleId="Header">
    <w:name w:val="header"/>
    <w:basedOn w:val="Normal"/>
    <w:link w:val="HeaderChar"/>
    <w:uiPriority w:val="99"/>
    <w:unhideWhenUsed/>
    <w:rsid w:val="00340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C2"/>
  </w:style>
  <w:style w:type="paragraph" w:styleId="Footer">
    <w:name w:val="footer"/>
    <w:basedOn w:val="Normal"/>
    <w:link w:val="FooterChar"/>
    <w:uiPriority w:val="99"/>
    <w:unhideWhenUsed/>
    <w:rsid w:val="00340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Rink, Connie (NIH/NCI) [F]</dc:creator>
  <cp:keywords/>
  <dc:description/>
  <cp:lastModifiedBy>MDPI</cp:lastModifiedBy>
  <cp:revision>3</cp:revision>
  <dcterms:created xsi:type="dcterms:W3CDTF">2024-08-06T18:33:00Z</dcterms:created>
  <dcterms:modified xsi:type="dcterms:W3CDTF">2024-08-07T03:08:00Z</dcterms:modified>
</cp:coreProperties>
</file>