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A7B68F">
      <w:pPr>
        <w:jc w:val="both"/>
        <w:rPr>
          <w:rFonts w:hint="eastAsia" w:ascii="Times New Roman" w:hAnsi="Times New Roman" w:cs="Times New Roman" w:eastAsiaTheme="minorEastAsia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t>Supplementary Table S1.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sz w:val="20"/>
          <w:lang w:val="cs-CZ" w:eastAsia="cs-CZ"/>
        </w:rPr>
        <w:t>List of the primers used for the experiments</w:t>
      </w:r>
      <w:r>
        <w:rPr>
          <w:rFonts w:hint="eastAsia" w:ascii="Times New Roman" w:hAnsi="Times New Roman" w:cs="Times New Roman"/>
          <w:b w:val="0"/>
          <w:bCs/>
          <w:sz w:val="20"/>
          <w:lang w:val="en-US" w:eastAsia="zh-CN"/>
        </w:rPr>
        <w:t>.</w:t>
      </w:r>
    </w:p>
    <w:p w14:paraId="121BF6EB">
      <w:pPr>
        <w:jc w:val="both"/>
        <w:rPr>
          <w:rFonts w:hint="default" w:ascii="Times New Roman" w:hAnsi="Times New Roman" w:cs="Times New Roman"/>
          <w:b w:val="0"/>
          <w:bCs w:val="0"/>
          <w:lang w:val="en-US" w:eastAsia="zh-CN"/>
        </w:rPr>
      </w:pPr>
    </w:p>
    <w:tbl>
      <w:tblPr>
        <w:tblStyle w:val="3"/>
        <w:tblW w:w="5367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5"/>
        <w:gridCol w:w="3365"/>
        <w:gridCol w:w="350"/>
        <w:gridCol w:w="3979"/>
      </w:tblGrid>
      <w:tr w14:paraId="358ECB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vMerge w:val="restart"/>
            <w:tcBorders>
              <w:top w:val="single" w:color="auto" w:sz="12" w:space="0"/>
              <w:left w:val="nil"/>
              <w:right w:val="nil"/>
            </w:tcBorders>
            <w:shd w:val="clear" w:color="auto" w:fill="auto"/>
            <w:vAlign w:val="center"/>
          </w:tcPr>
          <w:p w14:paraId="0F36DFDD"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 w:line="36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P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rimer</w:t>
            </w:r>
          </w:p>
        </w:tc>
        <w:tc>
          <w:tcPr>
            <w:tcW w:w="4204" w:type="pct"/>
            <w:gridSpan w:val="3"/>
            <w:tcBorders>
              <w:top w:val="single" w:color="auto" w:sz="12" w:space="0"/>
              <w:left w:val="nil"/>
              <w:bottom w:val="single" w:color="auto" w:sz="6" w:space="0"/>
              <w:right w:val="nil"/>
            </w:tcBorders>
            <w:shd w:val="clear" w:color="auto" w:fill="auto"/>
            <w:vAlign w:val="center"/>
          </w:tcPr>
          <w:p w14:paraId="3A9A8E12"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 w:line="36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Sequence（5'→3'）</w:t>
            </w:r>
          </w:p>
        </w:tc>
      </w:tr>
      <w:tr w14:paraId="3359D7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vMerge w:val="continue"/>
            <w:tcBorders>
              <w:left w:val="nil"/>
              <w:bottom w:val="single" w:color="auto" w:sz="6" w:space="0"/>
              <w:right w:val="nil"/>
            </w:tcBorders>
            <w:shd w:val="clear" w:color="auto" w:fill="auto"/>
            <w:vAlign w:val="center"/>
          </w:tcPr>
          <w:p w14:paraId="03F1011C"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 w:line="360" w:lineRule="auto"/>
              <w:ind w:left="0" w:right="0" w:firstLine="0" w:firstLineChars="0"/>
              <w:jc w:val="center"/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</w:pPr>
          </w:p>
        </w:tc>
        <w:tc>
          <w:tcPr>
            <w:tcW w:w="1838" w:type="pct"/>
            <w:tcBorders>
              <w:top w:val="single" w:color="auto" w:sz="6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 w14:paraId="2B4CA8AB"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 w:line="360" w:lineRule="auto"/>
              <w:ind w:left="0" w:right="0" w:firstLine="0" w:firstLineChars="0"/>
              <w:jc w:val="center"/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Forward</w:t>
            </w:r>
            <w:r>
              <w:rPr>
                <w:rFonts w:hint="eastAsia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primer</w:t>
            </w:r>
          </w:p>
        </w:tc>
        <w:tc>
          <w:tcPr>
            <w:tcW w:w="2365" w:type="pct"/>
            <w:gridSpan w:val="2"/>
            <w:tcBorders>
              <w:top w:val="single" w:color="auto" w:sz="6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 w14:paraId="644E4AE5"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 w:line="360" w:lineRule="auto"/>
              <w:ind w:left="0" w:right="0" w:firstLine="0" w:firstLineChars="0"/>
              <w:jc w:val="center"/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Reversed</w:t>
            </w:r>
            <w:r>
              <w:rPr>
                <w:rFonts w:hint="eastAsia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primer</w:t>
            </w:r>
          </w:p>
        </w:tc>
      </w:tr>
      <w:tr w14:paraId="002E0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single" w:color="auto" w:sz="6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23FB3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kern w:val="2"/>
                <w:sz w:val="20"/>
                <w:szCs w:val="20"/>
                <w:lang w:val="en-US" w:eastAsia="zh-CN" w:bidi="ar"/>
              </w:rPr>
              <w:t>EuSIP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-F/R</w:t>
            </w:r>
          </w:p>
        </w:tc>
        <w:tc>
          <w:tcPr>
            <w:tcW w:w="2030" w:type="pct"/>
            <w:gridSpan w:val="2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C333E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GAGCTAGACAAGGCCAGTGG</w:t>
            </w:r>
          </w:p>
        </w:tc>
        <w:tc>
          <w:tcPr>
            <w:tcW w:w="2174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499236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TCACTGCAACCGACTTGTTCTC</w:t>
            </w:r>
          </w:p>
        </w:tc>
      </w:tr>
      <w:tr w14:paraId="35D74F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F50D7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eGFP-F/R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E1C8E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ATGGCTGAGAATAATGCACAAGG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8BD2B5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TGGAGAAAATAGAGAGAGATAGATTTGTAGAG</w:t>
            </w:r>
          </w:p>
        </w:tc>
      </w:tr>
      <w:tr w14:paraId="65F9ED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CC507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eGFP-cx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CBA73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CACGGGGGACTCTTGCCACC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0E61C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right="0" w:firstLine="0" w:firstLineChars="0"/>
              <w:jc w:val="left"/>
              <w:textAlignment w:val="auto"/>
              <w:rPr>
                <w:rFonts w:hint="default"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GACACGCTGAACTTGTGG</w:t>
            </w:r>
          </w:p>
        </w:tc>
      </w:tr>
      <w:tr w14:paraId="0BF861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BF837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EuSIP5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73D78E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ACAGGACATTCGCACATGGTC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0D7BBD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ATGCCATGGATGAGCAGCAAC</w:t>
            </w:r>
          </w:p>
        </w:tc>
      </w:tr>
      <w:tr w14:paraId="52D3DA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9C59FB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EuActin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FF51B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GTGTTATGGTTGGGATGGG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EB364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TGCTGACTATGCCGTGTTC</w:t>
            </w:r>
          </w:p>
        </w:tc>
      </w:tr>
      <w:tr w14:paraId="5B177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2052A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NtEF1α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80A42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AGCTTCACCTCCCAGGTCATC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38F3A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AGAACGCCTGTCAATCTTGG</w:t>
            </w:r>
          </w:p>
        </w:tc>
      </w:tr>
      <w:tr w14:paraId="51059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2C20AB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NtF-Box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F5DF88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GAGGCACAGGCTGTTGAGTTATTTG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C1A766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TTGATGCCCATGTCCTGACCAC</w:t>
            </w:r>
          </w:p>
        </w:tc>
      </w:tr>
      <w:tr w14:paraId="729CF5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BEBD3A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NtP5CS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29DAE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TCACCGTCAACAATTTGTCCAGTTC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1A6B4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GATTTAGTGATGGGTTCCGCTTTGG</w:t>
            </w:r>
          </w:p>
        </w:tc>
      </w:tr>
      <w:tr w14:paraId="5B76A8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A1251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NtCYP85A1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33ADBE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TGTCCTGGGAAAGAACTTGGTGTAG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AD484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CGTAGACCATTTGGTGCTTCAACTC</w:t>
            </w:r>
          </w:p>
        </w:tc>
      </w:tr>
      <w:tr w14:paraId="64171C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38A60B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NtDET2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5AB4A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ACATCAATCGCACCATCATTTACCC</w:t>
            </w:r>
          </w:p>
        </w:tc>
        <w:tc>
          <w:tcPr>
            <w:tcW w:w="21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BD95B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AAAAGCCATCATCGCAATACTCACC</w:t>
            </w:r>
          </w:p>
        </w:tc>
      </w:tr>
      <w:tr w14:paraId="5222AE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  <w:jc w:val="center"/>
        </w:trPr>
        <w:tc>
          <w:tcPr>
            <w:tcW w:w="795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 w14:paraId="407F2C0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NtERF1</w:t>
            </w: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napToGrid/>
                <w:kern w:val="2"/>
                <w:sz w:val="20"/>
                <w:szCs w:val="20"/>
                <w:lang w:val="en-US" w:eastAsia="zh-CN" w:bidi="ar"/>
              </w:rPr>
              <w:t>F/R</w:t>
            </w:r>
          </w:p>
        </w:tc>
        <w:tc>
          <w:tcPr>
            <w:tcW w:w="2030" w:type="pct"/>
            <w:gridSpan w:val="2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 w14:paraId="76467C0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AGGCATTACAGAGGTGTTAGACGAC</w:t>
            </w:r>
          </w:p>
        </w:tc>
        <w:tc>
          <w:tcPr>
            <w:tcW w:w="2174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 w14:paraId="237442A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000000"/>
                <w:sz w:val="20"/>
                <w:szCs w:val="20"/>
                <w:lang w:val="en-US" w:eastAsia="zh-CN" w:bidi="hi-IN"/>
              </w:rPr>
            </w:pPr>
            <w:r>
              <w:rPr>
                <w:rFonts w:hint="default" w:ascii="Times New Roman" w:hAnsi="Times New Roman" w:eastAsia="宋体" w:cs="Times New Roman"/>
                <w:snapToGrid/>
                <w:color w:val="000000"/>
                <w:kern w:val="2"/>
                <w:sz w:val="20"/>
                <w:szCs w:val="20"/>
                <w:lang w:val="en-US" w:eastAsia="zh-CN" w:bidi="ar"/>
              </w:rPr>
              <w:t>GTATGTTCCAAGCCAAACCCTAGC</w:t>
            </w:r>
          </w:p>
        </w:tc>
      </w:tr>
    </w:tbl>
    <w:p w14:paraId="17B80221">
      <w:pPr>
        <w:jc w:val="both"/>
        <w:rPr>
          <w:rFonts w:hint="default" w:ascii="Times New Roman" w:hAnsi="Times New Roman" w:cs="Times New Roman"/>
          <w:b w:val="0"/>
          <w:bCs w:val="0"/>
          <w:lang w:val="en-US" w:eastAsia="zh-CN"/>
        </w:rPr>
      </w:pPr>
    </w:p>
    <w:p w14:paraId="6B24FD1A">
      <w:pPr>
        <w:jc w:val="both"/>
      </w:pPr>
    </w:p>
    <w:p w14:paraId="1094E02E">
      <w:pPr>
        <w:jc w:val="both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  <w:r>
        <w:rPr>
          <w:rFonts w:ascii="Times New Roman" w:hAnsi="Times New Roman" w:cs="Times New Roman"/>
          <w:b/>
          <w:sz w:val="21"/>
          <w:szCs w:val="21"/>
          <w:lang w:eastAsia="cs-CZ"/>
        </w:rPr>
        <w:t>Supplementary Table</w:t>
      </w:r>
      <w:r>
        <w:rPr>
          <w:rFonts w:ascii="Times New Roman" w:hAnsi="Times New Roman" w:cs="Times New Roman"/>
          <w:b/>
          <w:bCs/>
          <w:color w:val="000000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b/>
          <w:bCs/>
          <w:color w:val="000000"/>
          <w:sz w:val="21"/>
          <w:szCs w:val="21"/>
          <w:lang w:val="en-US" w:eastAsia="zh-CN"/>
        </w:rPr>
        <w:t>S</w:t>
      </w:r>
      <w:r>
        <w:rPr>
          <w:rFonts w:ascii="Times New Roman" w:hAnsi="Times New Roman" w:cs="Times New Roman"/>
          <w:b/>
          <w:bCs/>
          <w:color w:val="000000"/>
          <w:sz w:val="21"/>
          <w:szCs w:val="21"/>
        </w:rPr>
        <w:t xml:space="preserve">2. </w:t>
      </w:r>
      <w:r>
        <w:rPr>
          <w:rFonts w:ascii="Times New Roman" w:hAnsi="Times New Roman" w:cs="Times New Roman"/>
          <w:color w:val="000000"/>
          <w:sz w:val="21"/>
          <w:szCs w:val="21"/>
        </w:rPr>
        <w:t xml:space="preserve">The list shows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soluble inorganic pyrophosphatase</w:t>
      </w:r>
      <w:r>
        <w:rPr>
          <w:rFonts w:ascii="Times New Roman" w:hAnsi="Times New Roman" w:cs="Times New Roman"/>
          <w:color w:val="000000"/>
          <w:sz w:val="21"/>
          <w:szCs w:val="21"/>
        </w:rPr>
        <w:t xml:space="preserve"> sequences retrieved from NCBI from different plant species</w:t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>.</w:t>
      </w:r>
    </w:p>
    <w:tbl>
      <w:tblPr>
        <w:tblStyle w:val="2"/>
        <w:tblpPr w:leftFromText="180" w:rightFromText="180" w:vertAnchor="text" w:horzAnchor="page" w:tblpX="1785" w:tblpY="310"/>
        <w:tblOverlap w:val="never"/>
        <w:tblW w:w="8398" w:type="dxa"/>
        <w:tblInd w:w="0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3023"/>
        <w:gridCol w:w="1908"/>
        <w:gridCol w:w="3467"/>
      </w:tblGrid>
      <w:tr w14:paraId="2B6AED7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auto" w:sz="8" w:space="0"/>
              <w:left w:val="single" w:color="FFFFFF" w:sz="8" w:space="0"/>
              <w:bottom w:val="single" w:color="auto" w:sz="4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30E29EA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Species</w:t>
            </w:r>
          </w:p>
        </w:tc>
        <w:tc>
          <w:tcPr>
            <w:tcW w:w="1908" w:type="dxa"/>
            <w:tcBorders>
              <w:top w:val="single" w:color="auto" w:sz="8" w:space="0"/>
              <w:left w:val="single" w:color="FFFFFF" w:sz="8" w:space="0"/>
              <w:bottom w:val="single" w:color="auto" w:sz="4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4031A482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AA length</w:t>
            </w:r>
          </w:p>
        </w:tc>
        <w:tc>
          <w:tcPr>
            <w:tcW w:w="3467" w:type="dxa"/>
            <w:tcBorders>
              <w:top w:val="single" w:color="auto" w:sz="8" w:space="0"/>
              <w:left w:val="single" w:color="FFFFFF" w:sz="8" w:space="0"/>
              <w:bottom w:val="single" w:color="auto" w:sz="4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113F2C2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en-US"/>
              </w:rPr>
              <w:t>Protein accession number</w:t>
            </w:r>
          </w:p>
        </w:tc>
      </w:tr>
      <w:tr w14:paraId="79FCD9F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auto" w:sz="4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3AC73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Coffea arabica</w:t>
            </w:r>
          </w:p>
        </w:tc>
        <w:tc>
          <w:tcPr>
            <w:tcW w:w="1908" w:type="dxa"/>
            <w:tcBorders>
              <w:top w:val="single" w:color="auto" w:sz="4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775A12B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213</w:t>
            </w:r>
          </w:p>
        </w:tc>
        <w:tc>
          <w:tcPr>
            <w:tcW w:w="3467" w:type="dxa"/>
            <w:tcBorders>
              <w:top w:val="single" w:color="auto" w:sz="4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8E099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XP_027076151.1</w:t>
            </w:r>
          </w:p>
        </w:tc>
      </w:tr>
      <w:tr w14:paraId="3072409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24F3B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Jatropha curcas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ADB75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5F4AC3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XP_012091077.1</w:t>
            </w:r>
          </w:p>
        </w:tc>
      </w:tr>
      <w:tr w14:paraId="71A096D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5F77F6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Cornus florida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1482E11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02F519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XP_059640344.1</w:t>
            </w:r>
          </w:p>
        </w:tc>
      </w:tr>
      <w:tr w14:paraId="4B52EE1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EB9E7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Olea europaea var. sylvestris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4C4FB5B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34D34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XP_022854977.1</w:t>
            </w:r>
          </w:p>
        </w:tc>
      </w:tr>
      <w:tr w14:paraId="0076EDA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18004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Hevea brasiliensis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4ACD2B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74BA82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XP_021678610.1</w:t>
            </w:r>
          </w:p>
        </w:tc>
      </w:tr>
      <w:tr w14:paraId="0DCA47C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1B8B9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Morus notabilis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4F1EA8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D3D11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XP_024032929.1</w:t>
            </w:r>
          </w:p>
        </w:tc>
      </w:tr>
      <w:tr w14:paraId="1BA8675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0F3FE2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Solanum dulcamara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560784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214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5D21E6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XP_055805627.1</w:t>
            </w:r>
          </w:p>
        </w:tc>
      </w:tr>
      <w:tr w14:paraId="416CB0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1EDA3F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Camellia lanceoleosa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5B3960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216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D28536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KAI8018372.1</w:t>
            </w:r>
          </w:p>
        </w:tc>
      </w:tr>
      <w:tr w14:paraId="217BAE2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6" w:hRule="atLeast"/>
        </w:trPr>
        <w:tc>
          <w:tcPr>
            <w:tcW w:w="3023" w:type="dxa"/>
            <w:tcBorders>
              <w:top w:val="single" w:color="FFFFFF" w:sz="8" w:space="0"/>
              <w:left w:val="single" w:color="FFFFFF" w:sz="8" w:space="0"/>
              <w:bottom w:val="single" w:color="000000" w:themeColor="text1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6BF76D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 w:eastAsiaTheme="minorHAnsi"/>
                <w:i/>
                <w:iCs/>
                <w:sz w:val="22"/>
                <w:szCs w:val="22"/>
                <w:lang w:val="cs-CZ" w:eastAsia="en-US" w:bidi="ar-SA"/>
              </w:rPr>
            </w:pPr>
            <w:r>
              <w:rPr>
                <w:rFonts w:hint="default" w:ascii="Times New Roman" w:hAnsi="Times New Roman" w:cs="Times New Roman"/>
                <w:i/>
                <w:iCs/>
                <w:sz w:val="22"/>
                <w:szCs w:val="22"/>
              </w:rPr>
              <w:t>Ipomoea batatas</w:t>
            </w:r>
          </w:p>
        </w:tc>
        <w:tc>
          <w:tcPr>
            <w:tcW w:w="1908" w:type="dxa"/>
            <w:tcBorders>
              <w:top w:val="single" w:color="FFFFFF" w:sz="8" w:space="0"/>
              <w:left w:val="single" w:color="FFFFFF" w:sz="8" w:space="0"/>
              <w:bottom w:val="single" w:color="000000" w:themeColor="text1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5C0E28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  <w:t>211</w:t>
            </w:r>
          </w:p>
        </w:tc>
        <w:tc>
          <w:tcPr>
            <w:tcW w:w="3467" w:type="dxa"/>
            <w:tcBorders>
              <w:top w:val="single" w:color="FFFFFF" w:sz="8" w:space="0"/>
              <w:left w:val="single" w:color="FFFFFF" w:sz="8" w:space="0"/>
              <w:bottom w:val="single" w:color="000000" w:themeColor="text1" w:sz="8" w:space="0"/>
              <w:right w:val="single" w:color="FFFFFF" w:sz="8" w:space="0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3336EF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default" w:ascii="Times New Roman" w:hAnsi="Times New Roman" w:cs="Times New Roman" w:eastAsiaTheme="minorHAnsi"/>
                <w:sz w:val="22"/>
                <w:szCs w:val="22"/>
                <w:lang w:val="cs-CZ" w:eastAsia="en-US" w:bidi="ar-SA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GMC99100.1</w:t>
            </w:r>
          </w:p>
        </w:tc>
      </w:tr>
    </w:tbl>
    <w:p w14:paraId="5D56C0F1">
      <w:pPr>
        <w:jc w:val="both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</w:p>
    <w:p w14:paraId="12757738">
      <w:pPr>
        <w:rPr>
          <w:rFonts w:hint="default" w:ascii="Times New Roman" w:hAnsi="Times New Roman" w:cs="Times New Roman"/>
          <w:b/>
          <w:bCs/>
          <w:lang w:val="en-US" w:eastAsia="zh-CN"/>
        </w:rPr>
      </w:pPr>
    </w:p>
    <w:p w14:paraId="105278D9">
      <w:pPr>
        <w:rPr>
          <w:rFonts w:hint="default" w:ascii="Times New Roman" w:hAnsi="Times New Roman" w:cs="Times New Roman"/>
          <w:b/>
          <w:bCs/>
          <w:lang w:val="en-US" w:eastAsia="zh-CN"/>
        </w:rPr>
      </w:pPr>
    </w:p>
    <w:p w14:paraId="2EAEDDD6">
      <w:pPr>
        <w:rPr>
          <w:rFonts w:hint="default" w:ascii="Times New Roman" w:hAnsi="Times New Roman" w:cs="Times New Roman"/>
          <w:b/>
          <w:bCs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t>Supplementary</w:t>
      </w:r>
    </w:p>
    <w:p w14:paraId="13CEA9F4">
      <w:pPr>
        <w:jc w:val="center"/>
        <w:rPr>
          <w:rFonts w:hint="default" w:ascii="Times New Roman" w:hAnsi="Times New Roman" w:cs="Times New Roman"/>
          <w:b/>
          <w:bCs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drawing>
          <wp:inline distT="0" distB="0" distL="114300" distR="114300">
            <wp:extent cx="2000250" cy="1352550"/>
            <wp:effectExtent l="0" t="0" r="6350" b="6350"/>
            <wp:docPr id="1" name="图片 1" descr="Supplementary Fi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upplementary Fig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040C2">
      <w:pPr>
        <w:jc w:val="center"/>
        <w:rPr>
          <w:rFonts w:hint="default" w:ascii="Times New Roman" w:hAnsi="Times New Roman" w:cs="Times New Roman"/>
          <w:b/>
          <w:bCs/>
          <w:lang w:val="en-US" w:eastAsia="zh-CN"/>
        </w:rPr>
      </w:pPr>
    </w:p>
    <w:p w14:paraId="0D2D3719">
      <w:pPr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Figure S1. Target gene band test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 xml:space="preserve">. 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M: Marker DL2000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 xml:space="preserve">; 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1: </w:t>
      </w:r>
      <w:r>
        <w:rPr>
          <w:rFonts w:hint="default" w:ascii="Times New Roman" w:hAnsi="Times New Roman" w:cs="Times New Roman"/>
          <w:b w:val="0"/>
          <w:bCs w:val="0"/>
          <w:i/>
          <w:iCs/>
          <w:lang w:val="en-US" w:eastAsia="zh-CN"/>
        </w:rPr>
        <w:t>E. coli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DH5α; 2,3: </w:t>
      </w:r>
      <w:r>
        <w:rPr>
          <w:rFonts w:hint="default" w:ascii="Times New Roman" w:hAnsi="Times New Roman" w:cs="Times New Roman"/>
          <w:b w:val="0"/>
          <w:bCs w:val="0"/>
          <w:i/>
          <w:iCs/>
          <w:lang w:val="en-US" w:eastAsia="zh-CN"/>
        </w:rPr>
        <w:t>Agrobacterium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GV3101</w:t>
      </w:r>
    </w:p>
    <w:p w14:paraId="400EFE69">
      <w:pPr>
        <w:rPr>
          <w:rFonts w:hint="default" w:ascii="Times New Roman" w:hAnsi="Times New Roman" w:cs="Times New Roman"/>
          <w:b w:val="0"/>
          <w:bCs w:val="0"/>
          <w:lang w:val="en-US" w:eastAsia="zh-CN"/>
        </w:rPr>
      </w:pPr>
    </w:p>
    <w:p w14:paraId="09BB23AC">
      <w:pPr>
        <w:jc w:val="center"/>
        <w:rPr>
          <w:rFonts w:hint="default" w:ascii="Times New Roman" w:hAnsi="Times New Roman" w:cs="Times New Roman"/>
          <w:b/>
          <w:bCs/>
          <w:lang w:val="en-US" w:eastAsia="zh-CN"/>
        </w:rPr>
      </w:pPr>
      <w:r>
        <w:rPr>
          <w:rFonts w:hint="default" w:ascii="Times New Roman" w:hAnsi="Times New Roman" w:cs="Times New Roman"/>
          <w:b/>
          <w:bCs/>
          <w:lang w:val="en-US" w:eastAsia="zh-CN"/>
        </w:rPr>
        <w:drawing>
          <wp:inline distT="0" distB="0" distL="114300" distR="114300">
            <wp:extent cx="4166870" cy="1611630"/>
            <wp:effectExtent l="0" t="0" r="11430" b="1270"/>
            <wp:docPr id="3" name="图片 3" descr="载体图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载体图谱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66870" cy="161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01AD3">
      <w:pPr>
        <w:jc w:val="center"/>
        <w:rPr>
          <w:rFonts w:hint="default" w:ascii="Times New Roman" w:hAnsi="Times New Roman" w:cs="Times New Roman"/>
          <w:b/>
          <w:bCs/>
          <w:lang w:val="en-US" w:eastAsia="zh-CN"/>
        </w:rPr>
      </w:pPr>
    </w:p>
    <w:p w14:paraId="47D83039">
      <w:pPr>
        <w:jc w:val="both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Figure S2. Constructing carrier maps. </w:t>
      </w:r>
      <w:r>
        <w:rPr>
          <w:rFonts w:hint="default" w:ascii="Times New Roman" w:hAnsi="Times New Roman" w:cs="Times New Roman"/>
          <w:lang w:val="en-US" w:eastAsia="zh-CN"/>
        </w:rPr>
        <w:t>(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a</w:t>
      </w:r>
      <w:r>
        <w:rPr>
          <w:rFonts w:hint="default" w:ascii="Times New Roman" w:hAnsi="Times New Roman" w:cs="Times New Roman"/>
          <w:lang w:val="en-US" w:eastAsia="zh-CN"/>
        </w:rPr>
        <w:t xml:space="preserve">) </w:t>
      </w:r>
      <w:r>
        <w:rPr>
          <w:rFonts w:hint="default" w:ascii="Times New Roman" w:hAnsi="Times New Roman" w:cs="Times New Roman"/>
        </w:rPr>
        <w:t>pEGOEP35S-H-EuSIP5-EGFP Fusion-based expression vector profile</w:t>
      </w:r>
      <w:r>
        <w:rPr>
          <w:rFonts w:hint="default" w:ascii="Times New Roman" w:hAnsi="Times New Roman" w:cs="Times New Roman"/>
          <w:lang w:val="en-US" w:eastAsia="zh-CN"/>
        </w:rPr>
        <w:t xml:space="preserve">; 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(b</w:t>
      </w:r>
      <w:r>
        <w:rPr>
          <w:rFonts w:hint="default" w:ascii="Times New Roman" w:hAnsi="Times New Roman" w:cs="Times New Roman"/>
          <w:lang w:val="en-US" w:eastAsia="zh-CN"/>
        </w:rPr>
        <w:t xml:space="preserve">) </w:t>
      </w:r>
      <w:r>
        <w:rPr>
          <w:rFonts w:hint="default" w:ascii="Times New Roman" w:hAnsi="Times New Roman" w:cs="Times New Roman"/>
          <w:lang w:eastAsia="zh-CN"/>
        </w:rPr>
        <w:t>pSH737-35S-EuSIP5-NOS</w:t>
      </w:r>
      <w:r>
        <w:rPr>
          <w:rFonts w:hint="default" w:ascii="Times New Roman" w:hAnsi="Times New Roman" w:cs="Times New Roman"/>
        </w:rPr>
        <w:t xml:space="preserve"> overexpression vector profile</w:t>
      </w:r>
      <w:r>
        <w:rPr>
          <w:rFonts w:hint="eastAsia" w:ascii="Times New Roman" w:hAnsi="Times New Roman" w:cs="Times New Roman"/>
          <w:lang w:val="en-US" w:eastAsia="zh-CN"/>
        </w:rPr>
        <w:t>.</w:t>
      </w:r>
    </w:p>
    <w:p w14:paraId="05665A7C">
      <w:pPr>
        <w:jc w:val="both"/>
        <w:rPr>
          <w:rFonts w:hint="eastAsia" w:ascii="Times New Roman" w:hAnsi="Times New Roman" w:cs="Times New Roman"/>
          <w:lang w:val="en-US" w:eastAsia="zh-CN"/>
        </w:rPr>
      </w:pPr>
    </w:p>
    <w:p w14:paraId="74CD0A10">
      <w:pPr>
        <w:jc w:val="center"/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drawing>
          <wp:inline distT="0" distB="0" distL="114300" distR="114300">
            <wp:extent cx="5271135" cy="2322195"/>
            <wp:effectExtent l="0" t="0" r="0" b="1905"/>
            <wp:docPr id="4" name="图片 4" descr="Supplementary Fi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upplementary Fig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012D7">
      <w:pPr>
        <w:jc w:val="center"/>
        <w:rPr>
          <w:rFonts w:hint="eastAsia" w:ascii="Times New Roman" w:hAnsi="Times New Roman" w:cs="Times New Roman"/>
          <w:lang w:val="en-US" w:eastAsia="zh-CN"/>
        </w:rPr>
      </w:pPr>
    </w:p>
    <w:p w14:paraId="7C5EDC68">
      <w:pPr>
        <w:jc w:val="both"/>
        <w:rPr>
          <w:rFonts w:hint="default" w:ascii="Times New Roman" w:hAnsi="Times New Roman" w:cs="Times New Roman"/>
          <w:b w:val="0"/>
          <w:bCs w:val="0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Figure S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3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.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Tobacco genetic transformation process and GUS staining and PCR identification. (a) Co-culture process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(b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)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selected culture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(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c) successor culture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(d) Rooting process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(e) GUS histochemical analysis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(f) PCR identification of transgenic plants. M: DNA DL2000 Marker; WT: wild-type plant</w:t>
      </w:r>
      <w:r>
        <w:rPr>
          <w:rFonts w:hint="eastAsia" w:ascii="Times New Roman" w:hAnsi="Times New Roman" w:cs="Times New Roman"/>
          <w:b w:val="0"/>
          <w:bCs w:val="0"/>
          <w:lang w:val="en-US" w:eastAsia="zh-CN"/>
        </w:rPr>
        <w:t>;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 xml:space="preserve"> EV: transformed empty vector plants; H</w:t>
      </w:r>
      <w:r>
        <w:rPr>
          <w:rFonts w:hint="default" w:ascii="Times New Roman" w:hAnsi="Times New Roman" w:cs="Times New Roman"/>
          <w:b w:val="0"/>
          <w:bCs w:val="0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b w:val="0"/>
          <w:bCs w:val="0"/>
          <w:lang w:val="en-US" w:eastAsia="zh-CN"/>
        </w:rPr>
        <w:t>O: negative control; 1-10: transgenic plants (2 is false positive); scale bar: 1cm</w:t>
      </w:r>
    </w:p>
    <w:p w14:paraId="6125E66C">
      <w:pPr>
        <w:jc w:val="both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pgBorders w:offsetFrom="page"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MjRhZjY1NjM2YjBiMzgwMDVhNThmOTQ3NTA0YTYifQ=="/>
  </w:docVars>
  <w:rsids>
    <w:rsidRoot w:val="00000000"/>
    <w:rsid w:val="271138CD"/>
    <w:rsid w:val="325B55F4"/>
    <w:rsid w:val="34572B3B"/>
    <w:rsid w:val="41E82D86"/>
    <w:rsid w:val="58421289"/>
    <w:rsid w:val="5BB64468"/>
    <w:rsid w:val="5C91458D"/>
    <w:rsid w:val="61B55E70"/>
    <w:rsid w:val="729A6E06"/>
    <w:rsid w:val="7F56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">
    <w:name w:val="表头"/>
    <w:autoRedefine/>
    <w:qFormat/>
    <w:uiPriority w:val="0"/>
    <w:pPr>
      <w:spacing w:line="300" w:lineRule="exact"/>
      <w:jc w:val="center"/>
      <w:pPrChange w:id="0" w:author="lenovo" w:date="2024-04-14T22:37:00Z">
        <w:pPr>
          <w:spacing w:line="300" w:lineRule="exact"/>
          <w:jc w:val="center"/>
        </w:pPr>
      </w:pPrChange>
    </w:pPr>
    <w:rPr>
      <w:rFonts w:ascii="Times New Roman" w:hAnsi="Times New Roman" w:eastAsia="宋体" w:cs="Times New Roman"/>
      <w:b/>
      <w:sz w:val="21"/>
      <w:szCs w:val="21"/>
      <w:lang w:val="en-US" w:eastAsia="zh-CN" w:bidi="ar-SA"/>
      <w:rPrChange w:id="1" w:author="lenovo" w:date="2024-04-14T22:37:00Z">
        <w:rPr>
          <w:rFonts w:eastAsia="宋体"/>
          <w:b/>
          <w:sz w:val="21"/>
          <w:szCs w:val="21"/>
          <w:lang w:val="en-US" w:eastAsia="zh-CN" w:bidi="ar-SA"/>
        </w:rPr>
      </w:rPrChange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214</Words>
  <Characters>1758</Characters>
  <Lines>0</Lines>
  <Paragraphs>0</Paragraphs>
  <TotalTime>0</TotalTime>
  <ScaleCrop>false</ScaleCrop>
  <LinksUpToDate>false</LinksUpToDate>
  <CharactersWithSpaces>1896</CharactersWithSpaces>
  <Application>WPS Office_12.1.0.17468_F1E327BC-269C-435d-A152-05C5408002CA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2024-08-08T04:09:00Z</dcterms:created>
  <dc:creator>010</dc:creator>
  <cp:lastModifiedBy>WPS_1461487114</cp:lastModifiedBy>
  <dcterms:modified xsi:type="dcterms:W3CDTF">2024-08-12T18:56:15Z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2052-12.1.0.17468</vt:lpwstr>
  </property>
  <property fmtid="{D5CDD505-2E9C-101B-9397-08002B2CF9AE}" pid="3" name="ICV">
    <vt:lpwstr>C286F125BC8749EBBB1128529E56AC86_12</vt:lpwstr>
  </property>
</Properties>
</file>